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AAC6F2">
      <w:pPr>
        <w:spacing w:line="360" w:lineRule="auto"/>
        <w:jc w:val="center"/>
        <w:rPr>
          <w:rFonts w:ascii="仿宋" w:hAnsi="仿宋" w:eastAsia="仿宋" w:cs="仿宋"/>
          <w:b/>
          <w:color w:val="auto"/>
          <w:sz w:val="24"/>
          <w:highlight w:val="none"/>
        </w:rPr>
      </w:pPr>
    </w:p>
    <w:p w14:paraId="56E4D0E6">
      <w:pPr>
        <w:spacing w:line="360" w:lineRule="auto"/>
        <w:jc w:val="center"/>
        <w:rPr>
          <w:rFonts w:ascii="仿宋" w:hAnsi="仿宋" w:eastAsia="仿宋" w:cs="仿宋"/>
          <w:b/>
          <w:color w:val="auto"/>
          <w:sz w:val="24"/>
          <w:highlight w:val="none"/>
        </w:rPr>
      </w:pPr>
    </w:p>
    <w:p w14:paraId="5706E75F">
      <w:pPr>
        <w:adjustRightInd/>
        <w:spacing w:line="360" w:lineRule="auto"/>
        <w:jc w:val="center"/>
        <w:rPr>
          <w:rFonts w:ascii="仿宋" w:hAnsi="仿宋" w:eastAsia="仿宋" w:cs="仿宋"/>
          <w:b/>
          <w:color w:val="auto"/>
          <w:sz w:val="44"/>
          <w:szCs w:val="44"/>
          <w:highlight w:val="none"/>
        </w:rPr>
      </w:pPr>
    </w:p>
    <w:p w14:paraId="33113C5F">
      <w:pPr>
        <w:adjustRightInd/>
        <w:spacing w:line="360" w:lineRule="auto"/>
        <w:jc w:val="center"/>
        <w:rPr>
          <w:rFonts w:hint="eastAsia" w:ascii="仿宋" w:hAnsi="仿宋" w:eastAsia="仿宋" w:cs="仿宋"/>
          <w:b/>
          <w:bCs/>
          <w:color w:val="auto"/>
          <w:w w:val="95"/>
          <w:sz w:val="72"/>
          <w:szCs w:val="72"/>
          <w:highlight w:val="none"/>
          <w:lang w:eastAsia="zh-CN"/>
        </w:rPr>
      </w:pPr>
      <w:r>
        <w:rPr>
          <w:rFonts w:hint="eastAsia" w:ascii="仿宋" w:hAnsi="仿宋" w:eastAsia="仿宋" w:cs="仿宋"/>
          <w:b/>
          <w:color w:val="auto"/>
          <w:sz w:val="52"/>
          <w:szCs w:val="52"/>
          <w:highlight w:val="none"/>
          <w:lang w:eastAsia="zh-CN"/>
        </w:rPr>
        <w:t>杭州市公安局滨江区分局采购人型机器人服务项目</w:t>
      </w:r>
    </w:p>
    <w:p w14:paraId="69E7BBEC">
      <w:pPr>
        <w:adjustRightInd/>
        <w:spacing w:line="360" w:lineRule="auto"/>
        <w:jc w:val="center"/>
        <w:rPr>
          <w:rFonts w:ascii="仿宋" w:hAnsi="仿宋" w:eastAsia="仿宋" w:cs="仿宋"/>
          <w:b/>
          <w:bCs/>
          <w:color w:val="auto"/>
          <w:w w:val="95"/>
          <w:sz w:val="72"/>
          <w:szCs w:val="72"/>
          <w:highlight w:val="none"/>
          <w:lang w:val="zh-CN"/>
        </w:rPr>
      </w:pPr>
    </w:p>
    <w:p w14:paraId="35C28E46">
      <w:pPr>
        <w:adjustRightInd/>
        <w:spacing w:line="360" w:lineRule="auto"/>
        <w:jc w:val="center"/>
        <w:rPr>
          <w:rFonts w:ascii="仿宋" w:hAnsi="仿宋" w:eastAsia="仿宋" w:cs="仿宋"/>
          <w:b/>
          <w:color w:val="auto"/>
          <w:sz w:val="72"/>
          <w:szCs w:val="72"/>
          <w:highlight w:val="none"/>
        </w:rPr>
      </w:pPr>
      <w:r>
        <w:rPr>
          <w:rFonts w:hint="eastAsia" w:ascii="仿宋" w:hAnsi="仿宋" w:eastAsia="仿宋" w:cs="仿宋"/>
          <w:b/>
          <w:bCs/>
          <w:color w:val="auto"/>
          <w:w w:val="95"/>
          <w:sz w:val="72"/>
          <w:szCs w:val="72"/>
          <w:highlight w:val="none"/>
          <w:lang w:val="zh-CN"/>
        </w:rPr>
        <w:t>竞争性磋商</w:t>
      </w:r>
      <w:r>
        <w:rPr>
          <w:rFonts w:hint="eastAsia" w:ascii="仿宋" w:hAnsi="仿宋" w:eastAsia="仿宋" w:cs="仿宋"/>
          <w:b/>
          <w:color w:val="auto"/>
          <w:sz w:val="72"/>
          <w:szCs w:val="72"/>
          <w:highlight w:val="none"/>
        </w:rPr>
        <w:t>文件</w:t>
      </w:r>
    </w:p>
    <w:p w14:paraId="49AE8802">
      <w:pP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（电子交易）</w:t>
      </w:r>
    </w:p>
    <w:p w14:paraId="0E18D78F">
      <w:pPr>
        <w:snapToGrid w:val="0"/>
        <w:spacing w:line="360" w:lineRule="auto"/>
        <w:jc w:val="center"/>
        <w:rPr>
          <w:rFonts w:ascii="仿宋" w:hAnsi="仿宋" w:eastAsia="仿宋" w:cs="仿宋"/>
          <w:color w:val="auto"/>
          <w:sz w:val="30"/>
          <w:szCs w:val="30"/>
          <w:highlight w:val="none"/>
        </w:rPr>
      </w:pPr>
    </w:p>
    <w:p w14:paraId="1F87D753">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lang w:eastAsia="zh-CN"/>
        </w:rPr>
        <w:t>BJFJ-2025-01（1）</w:t>
      </w:r>
    </w:p>
    <w:p w14:paraId="5B2F6879">
      <w:pPr>
        <w:adjustRightInd/>
        <w:spacing w:line="360" w:lineRule="auto"/>
        <w:rPr>
          <w:rFonts w:ascii="仿宋" w:hAnsi="仿宋" w:eastAsia="仿宋" w:cs="仿宋"/>
          <w:color w:val="auto"/>
          <w:sz w:val="28"/>
          <w:szCs w:val="20"/>
          <w:highlight w:val="none"/>
        </w:rPr>
      </w:pPr>
    </w:p>
    <w:p w14:paraId="0A65E805">
      <w:pPr>
        <w:spacing w:line="360" w:lineRule="auto"/>
        <w:jc w:val="center"/>
        <w:rPr>
          <w:rFonts w:ascii="仿宋" w:hAnsi="仿宋" w:eastAsia="仿宋" w:cs="仿宋"/>
          <w:color w:val="auto"/>
          <w:sz w:val="24"/>
          <w:highlight w:val="none"/>
        </w:rPr>
      </w:pPr>
    </w:p>
    <w:p w14:paraId="53366D68">
      <w:pPr>
        <w:spacing w:line="360" w:lineRule="auto"/>
        <w:jc w:val="center"/>
        <w:rPr>
          <w:rFonts w:ascii="仿宋" w:hAnsi="仿宋" w:eastAsia="仿宋" w:cs="仿宋"/>
          <w:color w:val="auto"/>
          <w:sz w:val="24"/>
          <w:highlight w:val="none"/>
        </w:rPr>
      </w:pPr>
    </w:p>
    <w:p w14:paraId="3CF497D5">
      <w:pPr>
        <w:pStyle w:val="185"/>
        <w:widowControl w:val="0"/>
        <w:spacing w:before="0" w:beforeAutospacing="0" w:after="0" w:afterAutospacing="0" w:line="360" w:lineRule="auto"/>
        <w:textAlignment w:val="auto"/>
        <w:rPr>
          <w:rFonts w:hint="default" w:ascii="仿宋" w:hAnsi="仿宋" w:eastAsia="仿宋" w:cs="仿宋"/>
          <w:color w:val="auto"/>
          <w:kern w:val="2"/>
          <w:highlight w:val="none"/>
        </w:rPr>
      </w:pPr>
    </w:p>
    <w:p w14:paraId="61283B58">
      <w:pPr>
        <w:pStyle w:val="185"/>
        <w:widowControl w:val="0"/>
        <w:spacing w:before="0" w:beforeAutospacing="0" w:after="0" w:afterAutospacing="0" w:line="360" w:lineRule="auto"/>
        <w:textAlignment w:val="auto"/>
        <w:rPr>
          <w:rFonts w:hint="default" w:ascii="仿宋" w:hAnsi="仿宋" w:eastAsia="仿宋" w:cs="仿宋"/>
          <w:color w:val="auto"/>
          <w:kern w:val="2"/>
          <w:highlight w:val="none"/>
        </w:rPr>
      </w:pPr>
    </w:p>
    <w:p w14:paraId="31DBB480">
      <w:pPr>
        <w:snapToGrid w:val="0"/>
        <w:spacing w:line="360" w:lineRule="auto"/>
        <w:jc w:val="center"/>
        <w:rPr>
          <w:rFonts w:ascii="仿宋" w:hAnsi="仿宋" w:eastAsia="仿宋" w:cs="仿宋"/>
          <w:color w:val="auto"/>
          <w:sz w:val="32"/>
          <w:szCs w:val="32"/>
          <w:highlight w:val="none"/>
        </w:rPr>
      </w:pPr>
    </w:p>
    <w:p w14:paraId="26B7946F">
      <w:pPr>
        <w:snapToGrid w:val="0"/>
        <w:spacing w:line="360" w:lineRule="auto"/>
        <w:jc w:val="center"/>
        <w:rPr>
          <w:rFonts w:ascii="仿宋" w:hAnsi="仿宋" w:eastAsia="仿宋" w:cs="仿宋"/>
          <w:color w:val="auto"/>
          <w:sz w:val="32"/>
          <w:szCs w:val="32"/>
          <w:highlight w:val="none"/>
        </w:rPr>
      </w:pPr>
    </w:p>
    <w:p w14:paraId="5256900D">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杭州市公安局滨江区分局</w:t>
      </w:r>
    </w:p>
    <w:p w14:paraId="243CE534">
      <w:pPr>
        <w:spacing w:line="360" w:lineRule="auto"/>
        <w:jc w:val="center"/>
        <w:rPr>
          <w:rFonts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浙江信达咨询监理有限公司</w:t>
      </w:r>
    </w:p>
    <w:p w14:paraId="05B1C1CF">
      <w:pPr>
        <w:snapToGrid w:val="0"/>
        <w:spacing w:line="360" w:lineRule="auto"/>
        <w:jc w:val="center"/>
        <w:rPr>
          <w:rFonts w:ascii="仿宋" w:hAnsi="仿宋" w:eastAsia="仿宋" w:cs="仿宋"/>
          <w:color w:val="auto"/>
          <w:sz w:val="24"/>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r>
        <w:rPr>
          <w:rFonts w:hint="eastAsia" w:ascii="仿宋" w:hAnsi="仿宋" w:eastAsia="仿宋" w:cs="仿宋"/>
          <w:color w:val="auto"/>
          <w:sz w:val="24"/>
          <w:highlight w:val="none"/>
        </w:rPr>
        <w:br w:type="page"/>
      </w:r>
      <w:bookmarkStart w:id="0" w:name="_Hlt67893495"/>
      <w:bookmarkEnd w:id="0"/>
    </w:p>
    <w:p w14:paraId="6D336E2B">
      <w:pPr>
        <w:tabs>
          <w:tab w:val="left" w:pos="2268"/>
        </w:tabs>
        <w:spacing w:line="360" w:lineRule="auto"/>
        <w:jc w:val="center"/>
        <w:rPr>
          <w:rFonts w:ascii="仿宋" w:hAnsi="仿宋" w:eastAsia="仿宋" w:cs="仿宋"/>
          <w:color w:val="auto"/>
          <w:sz w:val="24"/>
          <w:highlight w:val="none"/>
        </w:rPr>
      </w:pPr>
    </w:p>
    <w:p w14:paraId="7100BE8F">
      <w:pPr>
        <w:spacing w:line="360" w:lineRule="auto"/>
        <w:jc w:val="center"/>
        <w:rPr>
          <w:rFonts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891ED3A">
      <w:pPr>
        <w:spacing w:line="360" w:lineRule="auto"/>
        <w:rPr>
          <w:rFonts w:ascii="仿宋" w:hAnsi="仿宋" w:eastAsia="仿宋" w:cs="仿宋"/>
          <w:color w:val="auto"/>
          <w:sz w:val="32"/>
          <w:szCs w:val="32"/>
          <w:highlight w:val="none"/>
        </w:rPr>
      </w:pPr>
    </w:p>
    <w:p w14:paraId="4427EE7A">
      <w:pPr>
        <w:spacing w:line="360" w:lineRule="auto"/>
        <w:rPr>
          <w:rFonts w:ascii="仿宋" w:hAnsi="仿宋" w:eastAsia="仿宋" w:cs="仿宋"/>
          <w:color w:val="auto"/>
          <w:sz w:val="32"/>
          <w:szCs w:val="32"/>
          <w:highlight w:val="none"/>
        </w:rPr>
      </w:pPr>
    </w:p>
    <w:p w14:paraId="4DC58789">
      <w:pPr>
        <w:spacing w:line="360" w:lineRule="auto"/>
        <w:ind w:firstLine="1280" w:firstLineChars="400"/>
        <w:rPr>
          <w:rFonts w:ascii="仿宋" w:hAnsi="仿宋" w:eastAsia="仿宋" w:cs="仿宋"/>
          <w:color w:val="auto"/>
          <w:sz w:val="32"/>
          <w:szCs w:val="32"/>
          <w:highlight w:val="none"/>
        </w:rPr>
      </w:pPr>
      <w:bookmarkStart w:id="1" w:name="_Hlt91233176"/>
      <w:bookmarkEnd w:id="1"/>
      <w:bookmarkStart w:id="2" w:name="_Toc91899869"/>
      <w:r>
        <w:rPr>
          <w:rFonts w:hint="eastAsia" w:ascii="仿宋" w:hAnsi="仿宋" w:eastAsia="仿宋" w:cs="仿宋"/>
          <w:color w:val="auto"/>
          <w:sz w:val="32"/>
          <w:szCs w:val="32"/>
          <w:highlight w:val="none"/>
        </w:rPr>
        <w:t>第一部分竞争性磋商公告</w:t>
      </w:r>
    </w:p>
    <w:p w14:paraId="134AFC54">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第二部分供应商须知</w:t>
      </w:r>
    </w:p>
    <w:p w14:paraId="58C653E2">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第三部分采购需求</w:t>
      </w:r>
    </w:p>
    <w:p w14:paraId="6F37066D">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第四部分评标办法</w:t>
      </w:r>
    </w:p>
    <w:p w14:paraId="4033C21E">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第五部分拟签订的合同文本</w:t>
      </w:r>
    </w:p>
    <w:p w14:paraId="5A803861">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第六部分应提交的有关格式范例</w:t>
      </w:r>
    </w:p>
    <w:p w14:paraId="60080E66">
      <w:pPr>
        <w:spacing w:line="360" w:lineRule="auto"/>
        <w:ind w:firstLine="549" w:firstLineChars="229"/>
        <w:rPr>
          <w:rFonts w:ascii="仿宋" w:hAnsi="仿宋" w:eastAsia="仿宋" w:cs="仿宋"/>
          <w:color w:val="auto"/>
          <w:sz w:val="24"/>
          <w:highlight w:val="none"/>
        </w:rPr>
      </w:pPr>
    </w:p>
    <w:p w14:paraId="08525572">
      <w:pPr>
        <w:spacing w:line="360" w:lineRule="auto"/>
        <w:ind w:firstLine="549" w:firstLineChars="229"/>
        <w:rPr>
          <w:rFonts w:ascii="仿宋" w:hAnsi="仿宋" w:eastAsia="仿宋" w:cs="仿宋"/>
          <w:color w:val="auto"/>
          <w:sz w:val="24"/>
          <w:highlight w:val="none"/>
        </w:rPr>
      </w:pPr>
    </w:p>
    <w:p w14:paraId="56E838A5">
      <w:pPr>
        <w:spacing w:line="360" w:lineRule="auto"/>
        <w:ind w:firstLine="549" w:firstLineChars="229"/>
        <w:rPr>
          <w:rFonts w:ascii="仿宋" w:hAnsi="仿宋" w:eastAsia="仿宋" w:cs="仿宋"/>
          <w:color w:val="auto"/>
          <w:sz w:val="24"/>
          <w:highlight w:val="none"/>
        </w:rPr>
      </w:pPr>
    </w:p>
    <w:p w14:paraId="703FBCD8">
      <w:pPr>
        <w:spacing w:line="360" w:lineRule="auto"/>
        <w:ind w:firstLine="549" w:firstLineChars="229"/>
        <w:rPr>
          <w:rFonts w:ascii="仿宋" w:hAnsi="仿宋" w:eastAsia="仿宋" w:cs="仿宋"/>
          <w:color w:val="auto"/>
          <w:sz w:val="24"/>
          <w:highlight w:val="none"/>
        </w:rPr>
      </w:pPr>
    </w:p>
    <w:p w14:paraId="51BF3F77">
      <w:pPr>
        <w:spacing w:line="360" w:lineRule="auto"/>
        <w:ind w:firstLine="549" w:firstLineChars="229"/>
        <w:rPr>
          <w:rFonts w:ascii="仿宋" w:hAnsi="仿宋" w:eastAsia="仿宋" w:cs="仿宋"/>
          <w:color w:val="auto"/>
          <w:sz w:val="24"/>
          <w:highlight w:val="none"/>
        </w:rPr>
      </w:pPr>
    </w:p>
    <w:p w14:paraId="375F3369">
      <w:pPr>
        <w:spacing w:line="360" w:lineRule="auto"/>
        <w:ind w:firstLine="549" w:firstLineChars="229"/>
        <w:rPr>
          <w:rFonts w:ascii="仿宋" w:hAnsi="仿宋" w:eastAsia="仿宋" w:cs="仿宋"/>
          <w:color w:val="auto"/>
          <w:sz w:val="24"/>
          <w:highlight w:val="none"/>
        </w:rPr>
      </w:pPr>
    </w:p>
    <w:p w14:paraId="440D1C51">
      <w:pPr>
        <w:spacing w:line="360" w:lineRule="auto"/>
        <w:ind w:firstLine="549" w:firstLineChars="229"/>
        <w:rPr>
          <w:rFonts w:ascii="仿宋" w:hAnsi="仿宋" w:eastAsia="仿宋" w:cs="仿宋"/>
          <w:color w:val="auto"/>
          <w:sz w:val="24"/>
          <w:highlight w:val="none"/>
        </w:rPr>
      </w:pPr>
    </w:p>
    <w:p w14:paraId="0507C1D3">
      <w:pPr>
        <w:spacing w:line="360" w:lineRule="auto"/>
        <w:ind w:firstLine="549" w:firstLineChars="229"/>
        <w:rPr>
          <w:rFonts w:ascii="仿宋" w:hAnsi="仿宋" w:eastAsia="仿宋" w:cs="仿宋"/>
          <w:color w:val="auto"/>
          <w:sz w:val="24"/>
          <w:highlight w:val="none"/>
        </w:rPr>
      </w:pPr>
    </w:p>
    <w:p w14:paraId="13A8D915">
      <w:pPr>
        <w:spacing w:line="360" w:lineRule="auto"/>
        <w:ind w:firstLine="549" w:firstLineChars="229"/>
        <w:rPr>
          <w:rFonts w:ascii="仿宋" w:hAnsi="仿宋" w:eastAsia="仿宋" w:cs="仿宋"/>
          <w:color w:val="auto"/>
          <w:sz w:val="24"/>
          <w:highlight w:val="none"/>
        </w:rPr>
      </w:pPr>
    </w:p>
    <w:p w14:paraId="6C4C30E5">
      <w:pPr>
        <w:spacing w:line="360" w:lineRule="auto"/>
        <w:ind w:firstLine="549" w:firstLineChars="229"/>
        <w:rPr>
          <w:rFonts w:ascii="仿宋" w:hAnsi="仿宋" w:eastAsia="仿宋" w:cs="仿宋"/>
          <w:color w:val="auto"/>
          <w:sz w:val="24"/>
          <w:highlight w:val="none"/>
        </w:rPr>
      </w:pPr>
    </w:p>
    <w:p w14:paraId="678A2D59">
      <w:pPr>
        <w:spacing w:line="360" w:lineRule="auto"/>
        <w:ind w:firstLine="549" w:firstLineChars="229"/>
        <w:rPr>
          <w:rFonts w:ascii="仿宋" w:hAnsi="仿宋" w:eastAsia="仿宋" w:cs="仿宋"/>
          <w:color w:val="auto"/>
          <w:sz w:val="24"/>
          <w:highlight w:val="none"/>
        </w:rPr>
      </w:pPr>
    </w:p>
    <w:p w14:paraId="7920F9B6">
      <w:pPr>
        <w:spacing w:line="360" w:lineRule="auto"/>
        <w:ind w:firstLine="549" w:firstLineChars="229"/>
        <w:rPr>
          <w:rFonts w:ascii="仿宋" w:hAnsi="仿宋" w:eastAsia="仿宋" w:cs="仿宋"/>
          <w:color w:val="auto"/>
          <w:sz w:val="24"/>
          <w:highlight w:val="none"/>
        </w:rPr>
      </w:pPr>
    </w:p>
    <w:p w14:paraId="08148F33">
      <w:pPr>
        <w:spacing w:line="360" w:lineRule="auto"/>
        <w:ind w:firstLine="549" w:firstLineChars="229"/>
        <w:rPr>
          <w:rFonts w:ascii="仿宋" w:hAnsi="仿宋" w:eastAsia="仿宋" w:cs="仿宋"/>
          <w:color w:val="auto"/>
          <w:sz w:val="24"/>
          <w:highlight w:val="none"/>
        </w:rPr>
      </w:pPr>
    </w:p>
    <w:p w14:paraId="032AA849">
      <w:pPr>
        <w:spacing w:line="360" w:lineRule="auto"/>
        <w:rPr>
          <w:rFonts w:ascii="仿宋" w:hAnsi="仿宋" w:eastAsia="仿宋" w:cs="仿宋"/>
          <w:color w:val="auto"/>
          <w:sz w:val="24"/>
          <w:highlight w:val="none"/>
        </w:rPr>
      </w:pPr>
    </w:p>
    <w:p w14:paraId="66E5BDB7">
      <w:pPr>
        <w:adjustRightInd/>
        <w:spacing w:line="360" w:lineRule="auto"/>
        <w:jc w:val="center"/>
        <w:outlineLvl w:val="0"/>
        <w:rPr>
          <w:rFonts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竞争性磋商公告</w:t>
      </w:r>
    </w:p>
    <w:p w14:paraId="3A4A0795">
      <w:pPr>
        <w:spacing w:line="360" w:lineRule="auto"/>
        <w:rPr>
          <w:rFonts w:ascii="仿宋" w:hAnsi="仿宋" w:eastAsia="仿宋" w:cs="仿宋"/>
          <w:color w:val="auto"/>
          <w:sz w:val="24"/>
          <w:highlight w:val="none"/>
        </w:rPr>
      </w:pPr>
    </w:p>
    <w:p w14:paraId="1BD6C942">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63D9C14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杭州市公安局滨江区分局采购人型机器人服务项目</w:t>
      </w:r>
      <w:r>
        <w:rPr>
          <w:rFonts w:hint="eastAsia" w:ascii="仿宋" w:hAnsi="仿宋" w:eastAsia="仿宋" w:cs="仿宋"/>
          <w:color w:val="auto"/>
          <w:sz w:val="24"/>
          <w:highlight w:val="none"/>
        </w:rPr>
        <w:t>采购项目的潜在供应商应在</w:t>
      </w:r>
      <w:r>
        <w:rPr>
          <w:rFonts w:hint="eastAsia" w:ascii="仿宋" w:hAnsi="仿宋" w:eastAsia="仿宋" w:cs="仿宋"/>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ascii="仿宋" w:hAnsi="仿宋" w:eastAsia="仿宋" w:cs="仿宋"/>
          <w:color w:val="auto"/>
          <w:sz w:val="24"/>
          <w:highlight w:val="none"/>
          <w:u w:val="single"/>
        </w:rPr>
        <w:t>https://www.zcygov.cn/</w:t>
      </w:r>
      <w:r>
        <w:rPr>
          <w:rStyle w:val="69"/>
          <w:rFonts w:hint="eastAsia" w:ascii="仿宋" w:hAnsi="仿宋" w:eastAsia="仿宋" w:cs="仿宋"/>
          <w:color w:val="auto"/>
          <w:sz w:val="24"/>
          <w:highlight w:val="none"/>
          <w:u w:val="single"/>
        </w:rPr>
        <w:fldChar w:fldCharType="end"/>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获取采购文件，并于</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15</w:t>
      </w:r>
      <w:r>
        <w:rPr>
          <w:rFonts w:hint="eastAsia" w:ascii="仿宋" w:hAnsi="仿宋" w:eastAsia="仿宋" w:cs="仿宋"/>
          <w:bCs/>
          <w:color w:val="auto"/>
          <w:sz w:val="24"/>
          <w:highlight w:val="none"/>
          <w:u w:val="single"/>
        </w:rPr>
        <w:t>日09点00分00秒</w:t>
      </w:r>
      <w:r>
        <w:rPr>
          <w:rFonts w:hint="eastAsia" w:ascii="仿宋" w:hAnsi="仿宋" w:eastAsia="仿宋" w:cs="仿宋"/>
          <w:bCs/>
          <w:color w:val="auto"/>
          <w:sz w:val="24"/>
          <w:highlight w:val="none"/>
        </w:rPr>
        <w:t>（北京时间）前提交响应文件</w:t>
      </w:r>
      <w:r>
        <w:rPr>
          <w:rFonts w:hint="eastAsia" w:ascii="仿宋" w:hAnsi="仿宋" w:eastAsia="仿宋" w:cs="仿宋"/>
          <w:color w:val="auto"/>
          <w:sz w:val="24"/>
          <w:highlight w:val="none"/>
        </w:rPr>
        <w:t>。</w:t>
      </w:r>
    </w:p>
    <w:p w14:paraId="63E1D175">
      <w:pPr>
        <w:spacing w:line="360" w:lineRule="auto"/>
        <w:rPr>
          <w:rFonts w:ascii="仿宋" w:hAnsi="仿宋" w:eastAsia="仿宋" w:cs="仿宋"/>
          <w:color w:val="auto"/>
          <w:sz w:val="24"/>
          <w:highlight w:val="none"/>
        </w:rPr>
      </w:pPr>
    </w:p>
    <w:p w14:paraId="2B7BB123">
      <w:pPr>
        <w:pStyle w:val="3"/>
        <w:numPr>
          <w:ilvl w:val="0"/>
          <w:numId w:val="0"/>
        </w:numPr>
        <w:ind w:left="432" w:hanging="432"/>
        <w:rPr>
          <w:rFonts w:ascii="仿宋" w:eastAsia="仿宋" w:cs="仿宋"/>
          <w:color w:val="auto"/>
          <w:sz w:val="24"/>
          <w:szCs w:val="24"/>
          <w:highlight w:val="none"/>
        </w:rPr>
      </w:pPr>
      <w:bookmarkStart w:id="11" w:name="_Toc28359089"/>
      <w:bookmarkStart w:id="12" w:name="_Toc28359012"/>
      <w:bookmarkStart w:id="13" w:name="_Toc35393629"/>
      <w:bookmarkStart w:id="14" w:name="_Toc35393798"/>
      <w:r>
        <w:rPr>
          <w:rFonts w:hint="eastAsia" w:ascii="仿宋" w:eastAsia="仿宋" w:cs="仿宋"/>
          <w:color w:val="auto"/>
          <w:sz w:val="24"/>
          <w:szCs w:val="24"/>
          <w:highlight w:val="none"/>
        </w:rPr>
        <w:t>一、项目基本情况</w:t>
      </w:r>
      <w:bookmarkEnd w:id="11"/>
      <w:bookmarkEnd w:id="12"/>
      <w:bookmarkEnd w:id="13"/>
      <w:bookmarkEnd w:id="14"/>
    </w:p>
    <w:p w14:paraId="0B216B15">
      <w:pPr>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BJFJ-2025-01（1）</w:t>
      </w:r>
    </w:p>
    <w:p w14:paraId="203501F3">
      <w:pPr>
        <w:spacing w:line="360" w:lineRule="auto"/>
        <w:ind w:firstLine="482" w:firstLineChars="200"/>
        <w:rPr>
          <w:rFonts w:hint="eastAsia" w:ascii="仿宋" w:hAnsi="仿宋" w:eastAsia="仿宋" w:cs="仿宋"/>
          <w:color w:val="auto"/>
          <w:sz w:val="24"/>
          <w:highlight w:val="none"/>
          <w:u w:val="singl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杭州市公安局滨江区分局采购人型机器人服务项目</w:t>
      </w:r>
    </w:p>
    <w:p w14:paraId="7FE426A9">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采购方式：</w:t>
      </w:r>
      <w:r>
        <w:rPr>
          <w:rFonts w:hint="eastAsia" w:ascii="仿宋" w:hAnsi="仿宋" w:eastAsia="仿宋" w:cs="仿宋"/>
          <w:color w:val="auto"/>
          <w:sz w:val="24"/>
          <w:highlight w:val="none"/>
        </w:rPr>
        <w:t>竞争性磋商</w:t>
      </w:r>
    </w:p>
    <w:p w14:paraId="76EC5CED">
      <w:pPr>
        <w:spacing w:line="360" w:lineRule="auto"/>
        <w:ind w:firstLine="482" w:firstLineChars="200"/>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1396000</w:t>
      </w:r>
    </w:p>
    <w:p w14:paraId="6785B6E8">
      <w:pPr>
        <w:spacing w:line="360" w:lineRule="auto"/>
        <w:ind w:firstLine="482" w:firstLineChars="200"/>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1360000</w:t>
      </w:r>
    </w:p>
    <w:p w14:paraId="64DCCCAB">
      <w:pPr>
        <w:spacing w:line="360" w:lineRule="auto"/>
        <w:ind w:firstLine="420"/>
        <w:rPr>
          <w:rFonts w:ascii="仿宋" w:hAnsi="仿宋" w:eastAsia="仿宋" w:cs="仿宋"/>
          <w:color w:val="auto"/>
          <w:sz w:val="24"/>
          <w:highlight w:val="none"/>
        </w:rPr>
      </w:pPr>
      <w:r>
        <w:rPr>
          <w:rFonts w:hint="eastAsia" w:ascii="仿宋" w:hAnsi="仿宋" w:eastAsia="仿宋" w:cs="仿宋"/>
          <w:b/>
          <w:color w:val="auto"/>
          <w:sz w:val="24"/>
          <w:highlight w:val="none"/>
        </w:rPr>
        <w:t>采购需求：</w:t>
      </w:r>
      <w:r>
        <w:rPr>
          <w:rFonts w:hint="eastAsia" w:ascii="仿宋" w:hAnsi="仿宋" w:eastAsia="仿宋" w:cs="宋体"/>
          <w:bCs/>
          <w:snapToGrid/>
          <w:color w:val="auto"/>
          <w:kern w:val="2"/>
          <w:sz w:val="24"/>
          <w:szCs w:val="24"/>
          <w:highlight w:val="none"/>
          <w:lang w:val="en-US" w:eastAsia="zh-CN"/>
        </w:rPr>
        <w:t>杭州市公安局滨江公安分局为进一步丰富警务场景下智能无人装备的种类，加快推进人形机器人装备与分区警务工作。在功能匹配、挂载适配、人机互动等方面的应用落地，拟采购三套人型机器人定制服务，服务包含根据公安业务需求配合提供巡逻防控、人机肢体动作交互、</w:t>
      </w:r>
      <w:r>
        <w:rPr>
          <w:rFonts w:hint="eastAsia" w:ascii="仿宋" w:hAnsi="仿宋" w:eastAsia="仿宋" w:cs="仿宋_GB2312"/>
          <w:color w:val="auto"/>
          <w:sz w:val="24"/>
          <w:szCs w:val="24"/>
          <w:highlight w:val="none"/>
          <w:lang w:val="en-US" w:eastAsia="zh-CN"/>
        </w:rPr>
        <w:t>语音交互,</w:t>
      </w:r>
      <w:r>
        <w:rPr>
          <w:rFonts w:hint="eastAsia" w:ascii="仿宋" w:hAnsi="仿宋" w:eastAsia="仿宋" w:cs="宋体"/>
          <w:bCs/>
          <w:snapToGrid/>
          <w:color w:val="auto"/>
          <w:kern w:val="2"/>
          <w:sz w:val="24"/>
          <w:szCs w:val="24"/>
          <w:highlight w:val="none"/>
          <w:lang w:val="en-US" w:eastAsia="zh-CN"/>
        </w:rPr>
        <w:t>配合接入特定场景地图建模、音视频传输等软件系统模块服务。</w:t>
      </w:r>
    </w:p>
    <w:p w14:paraId="4DB201AF">
      <w:pPr>
        <w:spacing w:line="360" w:lineRule="auto"/>
        <w:ind w:firstLine="4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合同履行期限：</w:t>
      </w:r>
      <w:r>
        <w:rPr>
          <w:rFonts w:hint="eastAsia" w:ascii="仿宋" w:hAnsi="仿宋" w:eastAsia="仿宋" w:cs="仿宋"/>
          <w:b w:val="0"/>
          <w:bCs/>
          <w:color w:val="auto"/>
          <w:sz w:val="24"/>
          <w:highlight w:val="none"/>
        </w:rPr>
        <w:t>在签订合同之日起</w:t>
      </w:r>
      <w:r>
        <w:rPr>
          <w:rFonts w:hint="eastAsia" w:ascii="仿宋" w:hAnsi="仿宋" w:eastAsia="仿宋" w:cs="仿宋"/>
          <w:b w:val="0"/>
          <w:bCs/>
          <w:color w:val="auto"/>
          <w:sz w:val="24"/>
          <w:highlight w:val="none"/>
          <w:lang w:val="en-US" w:eastAsia="zh-CN"/>
        </w:rPr>
        <w:t>1</w:t>
      </w:r>
      <w:r>
        <w:rPr>
          <w:rFonts w:hint="eastAsia" w:ascii="仿宋" w:hAnsi="仿宋" w:eastAsia="仿宋" w:cs="仿宋"/>
          <w:b w:val="0"/>
          <w:bCs/>
          <w:color w:val="auto"/>
          <w:sz w:val="24"/>
          <w:highlight w:val="none"/>
        </w:rPr>
        <w:t>个月内完成</w:t>
      </w:r>
      <w:r>
        <w:rPr>
          <w:rFonts w:hint="eastAsia" w:ascii="仿宋" w:hAnsi="仿宋" w:eastAsia="仿宋" w:cs="仿宋"/>
          <w:b w:val="0"/>
          <w:bCs/>
          <w:color w:val="auto"/>
          <w:sz w:val="24"/>
          <w:highlight w:val="none"/>
          <w:lang w:val="en-US" w:eastAsia="zh-CN"/>
        </w:rPr>
        <w:t>安装调试</w:t>
      </w:r>
      <w:r>
        <w:rPr>
          <w:rFonts w:hint="eastAsia" w:ascii="仿宋" w:hAnsi="仿宋" w:eastAsia="仿宋" w:cs="仿宋"/>
          <w:b w:val="0"/>
          <w:bCs/>
          <w:color w:val="auto"/>
          <w:sz w:val="24"/>
          <w:highlight w:val="none"/>
        </w:rPr>
        <w:t>，试运行1</w:t>
      </w:r>
      <w:r>
        <w:rPr>
          <w:rFonts w:hint="eastAsia" w:ascii="仿宋" w:hAnsi="仿宋" w:eastAsia="仿宋" w:cs="仿宋"/>
          <w:b w:val="0"/>
          <w:bCs/>
          <w:color w:val="auto"/>
          <w:sz w:val="24"/>
          <w:highlight w:val="none"/>
          <w:lang w:val="en-US" w:eastAsia="zh-CN"/>
        </w:rPr>
        <w:t>5天内</w:t>
      </w:r>
      <w:r>
        <w:rPr>
          <w:rFonts w:hint="eastAsia" w:ascii="仿宋" w:hAnsi="仿宋" w:eastAsia="仿宋" w:cs="仿宋"/>
          <w:b w:val="0"/>
          <w:bCs/>
          <w:color w:val="auto"/>
          <w:sz w:val="24"/>
          <w:highlight w:val="none"/>
        </w:rPr>
        <w:t>无异常，验收合格后正式进入</w:t>
      </w:r>
      <w:r>
        <w:rPr>
          <w:rFonts w:hint="eastAsia" w:ascii="仿宋" w:hAnsi="仿宋" w:eastAsia="仿宋" w:cs="仿宋"/>
          <w:b w:val="0"/>
          <w:bCs/>
          <w:color w:val="auto"/>
          <w:sz w:val="24"/>
          <w:highlight w:val="none"/>
          <w:lang w:val="en-US" w:eastAsia="zh-CN"/>
        </w:rPr>
        <w:t>2年服务</w:t>
      </w:r>
      <w:r>
        <w:rPr>
          <w:rFonts w:hint="eastAsia" w:ascii="仿宋" w:hAnsi="仿宋" w:eastAsia="仿宋" w:cs="仿宋"/>
          <w:b w:val="0"/>
          <w:bCs/>
          <w:color w:val="auto"/>
          <w:sz w:val="24"/>
          <w:highlight w:val="none"/>
        </w:rPr>
        <w:t>期。</w:t>
      </w:r>
    </w:p>
    <w:p w14:paraId="5F451A47">
      <w:pPr>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szCs w:val="24"/>
          <w:highlight w:val="none"/>
        </w:rPr>
        <w:sym w:font="Wingdings 2" w:char="0052"/>
      </w:r>
      <w:r>
        <w:rPr>
          <w:rFonts w:hint="eastAsia" w:ascii="仿宋" w:hAnsi="仿宋" w:eastAsia="仿宋" w:cs="仿宋"/>
          <w:b/>
          <w:color w:val="auto"/>
          <w:sz w:val="24"/>
          <w:highlight w:val="none"/>
        </w:rPr>
        <w:t>是，</w:t>
      </w:r>
      <w:sdt>
        <w:sdtPr>
          <w:rPr>
            <w:rFonts w:hint="eastAsia" w:ascii="仿宋" w:hAnsi="仿宋" w:eastAsia="仿宋" w:cs="仿宋"/>
            <w:b/>
            <w:color w:val="auto"/>
            <w:sz w:val="24"/>
            <w:highlight w:val="none"/>
          </w:rPr>
          <w:id w:val="-1765526721"/>
        </w:sdtPr>
        <w:sdtEndPr>
          <w:rPr>
            <w:rFonts w:hint="eastAsia" w:ascii="仿宋" w:hAnsi="仿宋" w:eastAsia="仿宋" w:cs="仿宋"/>
            <w:b/>
            <w:color w:val="auto"/>
            <w:sz w:val="24"/>
            <w:highlight w:val="none"/>
          </w:rPr>
        </w:sdtEndPr>
        <w:sdtContent>
          <w:r>
            <w:rPr>
              <w:rFonts w:hint="eastAsia" w:ascii="仿宋" w:hAnsi="仿宋" w:eastAsia="仿宋" w:cs="仿宋"/>
              <w:color w:val="auto"/>
              <w:kern w:val="0"/>
              <w:sz w:val="24"/>
              <w:highlight w:val="none"/>
            </w:rPr>
            <w:sym w:font="Wingdings" w:char="00A8"/>
          </w:r>
        </w:sdtContent>
      </w:sdt>
      <w:r>
        <w:rPr>
          <w:rFonts w:hint="eastAsia" w:ascii="仿宋" w:hAnsi="仿宋" w:eastAsia="仿宋" w:cs="仿宋"/>
          <w:b/>
          <w:color w:val="auto"/>
          <w:sz w:val="24"/>
          <w:highlight w:val="none"/>
        </w:rPr>
        <w:t>否。</w:t>
      </w:r>
    </w:p>
    <w:p w14:paraId="22642198">
      <w:pPr>
        <w:spacing w:line="360" w:lineRule="auto"/>
        <w:ind w:firstLine="480" w:firstLineChars="200"/>
        <w:rPr>
          <w:rFonts w:ascii="仿宋" w:hAnsi="仿宋" w:eastAsia="仿宋" w:cs="仿宋"/>
          <w:color w:val="auto"/>
          <w:sz w:val="24"/>
          <w:highlight w:val="none"/>
        </w:rPr>
      </w:pPr>
      <w:bookmarkStart w:id="15" w:name="_Toc35393799"/>
      <w:bookmarkStart w:id="16" w:name="_Toc35393630"/>
      <w:bookmarkStart w:id="17" w:name="_Toc28359090"/>
      <w:bookmarkStart w:id="18" w:name="_Toc28359013"/>
      <w:r>
        <w:rPr>
          <w:rFonts w:hint="eastAsia" w:ascii="仿宋" w:hAnsi="仿宋" w:eastAsia="仿宋" w:cs="仿宋"/>
          <w:color w:val="auto"/>
          <w:sz w:val="24"/>
          <w:highlight w:val="none"/>
        </w:rPr>
        <w:t>二、申请人的资格要求：</w:t>
      </w:r>
      <w:bookmarkEnd w:id="15"/>
      <w:bookmarkEnd w:id="16"/>
      <w:bookmarkEnd w:id="17"/>
      <w:bookmarkEnd w:id="18"/>
    </w:p>
    <w:p w14:paraId="1B2AE976">
      <w:pPr>
        <w:spacing w:line="360" w:lineRule="auto"/>
        <w:ind w:firstLine="48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1344595E">
      <w:pPr>
        <w:spacing w:line="360"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2.以联合体形式响应的，提供联合协议(本项目不接受联合体响应或者供应商不以联合体形式响应的，则不需要提供) ；</w:t>
      </w:r>
    </w:p>
    <w:p w14:paraId="2E29F274">
      <w:pPr>
        <w:spacing w:line="360"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5673583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（注：不得限制大中型企业与小微企业组成联合体参与响应）</w:t>
      </w:r>
      <w:r>
        <w:rPr>
          <w:rFonts w:hint="eastAsia" w:ascii="仿宋" w:hAnsi="仿宋" w:eastAsia="仿宋" w:cs="仿宋"/>
          <w:color w:val="auto"/>
          <w:sz w:val="24"/>
          <w:highlight w:val="none"/>
        </w:rPr>
        <w:t>；</w:t>
      </w:r>
    </w:p>
    <w:p w14:paraId="3E8EDF23">
      <w:pPr>
        <w:spacing w:before="156" w:beforeLines="50" w:line="3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sym w:font="Wingdings 2" w:char="0052"/>
      </w:r>
      <w:r>
        <w:rPr>
          <w:rFonts w:hint="eastAsia" w:ascii="仿宋" w:hAnsi="仿宋" w:eastAsia="仿宋" w:cs="仿宋"/>
          <w:color w:val="auto"/>
          <w:sz w:val="24"/>
          <w:szCs w:val="24"/>
          <w:highlight w:val="none"/>
          <w:lang w:bidi="ar"/>
        </w:rPr>
        <w:t>专门面向中小企业</w:t>
      </w:r>
    </w:p>
    <w:p w14:paraId="4D77A6F6">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sym w:font="Wingdings 2" w:char="0052"/>
      </w:r>
      <w:r>
        <w:rPr>
          <w:rFonts w:hint="eastAsia" w:ascii="仿宋" w:hAnsi="仿宋" w:eastAsia="仿宋" w:cs="仿宋"/>
          <w:snapToGrid w:val="0"/>
          <w:color w:val="auto"/>
          <w:kern w:val="28"/>
          <w:sz w:val="24"/>
          <w:szCs w:val="20"/>
          <w:highlight w:val="none"/>
        </w:rPr>
        <w:t>服务全部由符合政策要求的中小企业承接，提供中小企业声明函；</w:t>
      </w:r>
    </w:p>
    <w:p w14:paraId="0CDA9D54">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☐服务全部由符合政策要求的小微企业承接，提供中小企业声明函；</w:t>
      </w:r>
    </w:p>
    <w:p w14:paraId="573C08A5">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要求以联合体形式参加，提供联合协议和中小企业声明函，联合协议中中小企业合同金额应当达到%，小微企业合同金额应当达到%;如果供应商本身提供所有标的均由中小企业制造、承建或承接，视同符合了资格条件，无需再与其他中小企业组成联合体参加政府采购活动，无需提供联合协议；</w:t>
      </w:r>
    </w:p>
    <w:p w14:paraId="399D1A6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合同分包，提供分包意向协议和中小企业声明函，分包意向协议中中小企业合同金额应当达到达到%，小微企业合同金额应当达到%；如果供应商本身提供所有标的均由中小企业制造、承建或承接，视同符合了资格条件，无需再向中小企业分包，无需提供分包意向协议；</w:t>
      </w:r>
    </w:p>
    <w:p w14:paraId="44CAE4C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val="en-US" w:eastAsia="zh-CN"/>
        </w:rPr>
        <w:t>无</w:t>
      </w:r>
      <w:r>
        <w:rPr>
          <w:rFonts w:hint="eastAsia" w:ascii="仿宋" w:hAnsi="仿宋" w:eastAsia="仿宋" w:cs="仿宋"/>
          <w:color w:val="auto"/>
          <w:sz w:val="24"/>
          <w:highlight w:val="none"/>
        </w:rPr>
        <w:t>；</w:t>
      </w:r>
    </w:p>
    <w:p w14:paraId="739809C4">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AAAA10D">
      <w:pPr>
        <w:spacing w:line="360" w:lineRule="auto"/>
        <w:ind w:firstLine="480" w:firstLineChars="200"/>
        <w:rPr>
          <w:rFonts w:ascii="仿宋" w:hAnsi="仿宋" w:eastAsia="仿宋" w:cs="仿宋"/>
          <w:color w:val="auto"/>
          <w:sz w:val="24"/>
          <w:highlight w:val="none"/>
        </w:rPr>
      </w:pPr>
      <w:bookmarkStart w:id="19" w:name="_Toc28359091"/>
      <w:bookmarkStart w:id="20" w:name="_Toc35393800"/>
      <w:bookmarkStart w:id="21" w:name="_Toc35393631"/>
      <w:bookmarkStart w:id="22" w:name="_Toc28359014"/>
      <w:r>
        <w:rPr>
          <w:rFonts w:hint="eastAsia" w:ascii="仿宋" w:hAnsi="仿宋" w:eastAsia="仿宋" w:cs="仿宋"/>
          <w:color w:val="auto"/>
          <w:sz w:val="24"/>
          <w:highlight w:val="none"/>
        </w:rPr>
        <w:t>三、获取（下载）采购文件</w:t>
      </w:r>
      <w:bookmarkEnd w:id="19"/>
      <w:bookmarkEnd w:id="20"/>
      <w:bookmarkEnd w:id="21"/>
      <w:bookmarkEnd w:id="22"/>
    </w:p>
    <w:p w14:paraId="538C21EE">
      <w:pPr>
        <w:spacing w:line="360" w:lineRule="auto"/>
        <w:ind w:firstLine="54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7"/>
          <w:szCs w:val="27"/>
          <w:highlight w:val="none"/>
        </w:rPr>
        <w:t>/</w:t>
      </w:r>
      <w:r>
        <w:rPr>
          <w:rFonts w:hint="eastAsia" w:ascii="仿宋" w:hAnsi="仿宋" w:eastAsia="仿宋" w:cs="仿宋"/>
          <w:color w:val="auto"/>
          <w:sz w:val="24"/>
          <w:highlight w:val="none"/>
        </w:rPr>
        <w:t>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日，每天上午00:00至12:00 ，下午12:00至23:59（北京时间，线上获取法定节假日均可，线下获取文件法定节假日除外）；</w:t>
      </w:r>
    </w:p>
    <w:p w14:paraId="79AFEFD9">
      <w:pPr>
        <w:spacing w:line="360" w:lineRule="auto"/>
        <w:ind w:firstLine="540"/>
        <w:rPr>
          <w:rFonts w:ascii="仿宋" w:hAnsi="仿宋" w:eastAsia="仿宋" w:cs="仿宋"/>
          <w:color w:val="auto"/>
          <w:sz w:val="28"/>
          <w:szCs w:val="28"/>
          <w:highlight w:val="none"/>
          <w:u w:val="single"/>
        </w:rPr>
      </w:pPr>
      <w:r>
        <w:rPr>
          <w:rFonts w:hint="eastAsia" w:ascii="仿宋" w:hAnsi="仿宋" w:eastAsia="仿宋" w:cs="仿宋"/>
          <w:b/>
          <w:color w:val="auto"/>
          <w:sz w:val="24"/>
          <w:highlight w:val="none"/>
        </w:rPr>
        <w:t>地点（网址）：政采云平台（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ascii="仿宋" w:hAnsi="仿宋" w:eastAsia="仿宋" w:cs="仿宋"/>
          <w:b/>
          <w:color w:val="auto"/>
          <w:sz w:val="24"/>
          <w:highlight w:val="none"/>
        </w:rPr>
        <w:t>https://www.zcygov.cn/</w:t>
      </w:r>
      <w:r>
        <w:rPr>
          <w:rStyle w:val="69"/>
          <w:rFonts w:hint="eastAsia" w:ascii="仿宋" w:hAnsi="仿宋" w:eastAsia="仿宋" w:cs="仿宋"/>
          <w:b/>
          <w:color w:val="auto"/>
          <w:sz w:val="24"/>
          <w:highlight w:val="none"/>
        </w:rPr>
        <w:fldChar w:fldCharType="end"/>
      </w:r>
      <w:r>
        <w:rPr>
          <w:rFonts w:hint="eastAsia" w:ascii="仿宋" w:hAnsi="仿宋" w:eastAsia="仿宋" w:cs="仿宋"/>
          <w:b/>
          <w:color w:val="auto"/>
          <w:sz w:val="24"/>
          <w:highlight w:val="none"/>
        </w:rPr>
        <w:t>）</w:t>
      </w:r>
    </w:p>
    <w:p w14:paraId="58756FB0">
      <w:pPr>
        <w:spacing w:line="360" w:lineRule="auto"/>
        <w:ind w:firstLine="540"/>
        <w:rPr>
          <w:rFonts w:ascii="仿宋" w:hAnsi="仿宋" w:eastAsia="仿宋" w:cs="仿宋"/>
          <w:color w:val="auto"/>
          <w:sz w:val="24"/>
          <w:highlight w:val="none"/>
          <w:u w:val="singl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供应商登录政采云平台https://www.zcygov.cn/在线申请获取采购文件（进入“项目采购”应用，在获取采购文件菜单中选择项目，申请获取采购文件）。</w:t>
      </w:r>
    </w:p>
    <w:p w14:paraId="4F92D5E0">
      <w:pPr>
        <w:spacing w:line="360" w:lineRule="auto"/>
        <w:ind w:firstLine="540"/>
        <w:rPr>
          <w:rFonts w:ascii="仿宋" w:hAnsi="仿宋" w:eastAsia="仿宋" w:cs="仿宋"/>
          <w:color w:val="auto"/>
          <w:sz w:val="28"/>
          <w:szCs w:val="28"/>
          <w:highlight w:val="none"/>
        </w:rPr>
      </w:pPr>
      <w:r>
        <w:rPr>
          <w:rFonts w:hint="eastAsia" w:ascii="仿宋" w:hAnsi="仿宋" w:eastAsia="仿宋" w:cs="仿宋"/>
          <w:b/>
          <w:color w:val="auto"/>
          <w:sz w:val="24"/>
          <w:highlight w:val="none"/>
        </w:rPr>
        <w:t>售价：</w:t>
      </w:r>
      <w:r>
        <w:rPr>
          <w:rFonts w:hint="eastAsia" w:ascii="仿宋" w:hAnsi="仿宋" w:eastAsia="仿宋" w:cs="仿宋"/>
          <w:color w:val="auto"/>
          <w:sz w:val="24"/>
          <w:highlight w:val="none"/>
        </w:rPr>
        <w:t>免费。</w:t>
      </w:r>
    </w:p>
    <w:p w14:paraId="101D9F89">
      <w:pPr>
        <w:pStyle w:val="3"/>
        <w:numPr>
          <w:ilvl w:val="0"/>
          <w:numId w:val="0"/>
        </w:numPr>
        <w:ind w:left="432" w:hanging="432"/>
        <w:rPr>
          <w:rFonts w:ascii="仿宋" w:eastAsia="仿宋" w:cs="仿宋"/>
          <w:color w:val="auto"/>
          <w:sz w:val="24"/>
          <w:szCs w:val="24"/>
          <w:highlight w:val="none"/>
        </w:rPr>
      </w:pPr>
      <w:bookmarkStart w:id="23" w:name="_Toc35393801"/>
      <w:bookmarkStart w:id="24" w:name="_Toc28359015"/>
      <w:bookmarkStart w:id="25" w:name="_Toc35393632"/>
      <w:bookmarkStart w:id="26" w:name="_Toc28359092"/>
      <w:r>
        <w:rPr>
          <w:rFonts w:hint="eastAsia" w:ascii="仿宋" w:eastAsia="仿宋" w:cs="仿宋"/>
          <w:color w:val="auto"/>
          <w:sz w:val="24"/>
          <w:szCs w:val="24"/>
          <w:highlight w:val="none"/>
        </w:rPr>
        <w:t>四、响应文件提交</w:t>
      </w:r>
      <w:bookmarkEnd w:id="23"/>
      <w:bookmarkEnd w:id="24"/>
      <w:bookmarkEnd w:id="25"/>
      <w:bookmarkEnd w:id="26"/>
      <w:r>
        <w:rPr>
          <w:rFonts w:hint="eastAsia" w:ascii="仿宋" w:eastAsia="仿宋" w:cs="仿宋"/>
          <w:color w:val="auto"/>
          <w:sz w:val="24"/>
          <w:szCs w:val="24"/>
          <w:highlight w:val="none"/>
        </w:rPr>
        <w:t>（上传）</w:t>
      </w:r>
    </w:p>
    <w:p w14:paraId="0AA07576">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15</w:t>
      </w:r>
      <w:r>
        <w:rPr>
          <w:rFonts w:hint="eastAsia" w:ascii="仿宋" w:hAnsi="仿宋" w:eastAsia="仿宋" w:cs="仿宋"/>
          <w:bCs/>
          <w:color w:val="auto"/>
          <w:sz w:val="24"/>
          <w:highlight w:val="none"/>
          <w:u w:val="single"/>
        </w:rPr>
        <w:t>日09点00分00秒</w:t>
      </w:r>
      <w:r>
        <w:rPr>
          <w:rFonts w:hint="eastAsia" w:ascii="仿宋" w:hAnsi="仿宋" w:eastAsia="仿宋" w:cs="仿宋"/>
          <w:bCs/>
          <w:color w:val="auto"/>
          <w:sz w:val="24"/>
          <w:highlight w:val="none"/>
        </w:rPr>
        <w:t>（北京时间）</w:t>
      </w:r>
    </w:p>
    <w:p w14:paraId="523C1033">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地点：</w:t>
      </w:r>
      <w:r>
        <w:rPr>
          <w:rFonts w:hint="eastAsia" w:ascii="仿宋" w:hAnsi="仿宋" w:eastAsia="仿宋" w:cs="仿宋"/>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ascii="仿宋" w:hAnsi="仿宋" w:eastAsia="仿宋" w:cs="仿宋"/>
          <w:b/>
          <w:color w:val="auto"/>
          <w:kern w:val="2"/>
          <w:sz w:val="24"/>
          <w:szCs w:val="24"/>
          <w:highlight w:val="none"/>
        </w:rPr>
        <w:t>https://www.zcygov.cn/</w:t>
      </w:r>
      <w:r>
        <w:rPr>
          <w:rStyle w:val="69"/>
          <w:rFonts w:hint="eastAsia" w:ascii="仿宋" w:hAnsi="仿宋" w:eastAsia="仿宋" w:cs="仿宋"/>
          <w:b/>
          <w:color w:val="auto"/>
          <w:kern w:val="2"/>
          <w:sz w:val="24"/>
          <w:szCs w:val="24"/>
          <w:highlight w:val="none"/>
        </w:rPr>
        <w:fldChar w:fldCharType="end"/>
      </w:r>
      <w:r>
        <w:rPr>
          <w:rFonts w:hint="eastAsia" w:ascii="仿宋" w:hAnsi="仿宋" w:eastAsia="仿宋" w:cs="仿宋"/>
          <w:b/>
          <w:color w:val="auto"/>
          <w:sz w:val="24"/>
          <w:highlight w:val="none"/>
        </w:rPr>
        <w:t>）。</w:t>
      </w:r>
    </w:p>
    <w:p w14:paraId="6F01B3F8">
      <w:pPr>
        <w:pStyle w:val="3"/>
        <w:numPr>
          <w:ilvl w:val="0"/>
          <w:numId w:val="0"/>
        </w:numPr>
        <w:ind w:left="432" w:hanging="432"/>
        <w:rPr>
          <w:rFonts w:ascii="仿宋" w:eastAsia="仿宋" w:cs="仿宋"/>
          <w:color w:val="auto"/>
          <w:sz w:val="24"/>
          <w:szCs w:val="24"/>
          <w:highlight w:val="none"/>
        </w:rPr>
      </w:pPr>
      <w:bookmarkStart w:id="27" w:name="_Toc35393633"/>
      <w:bookmarkStart w:id="28" w:name="_Toc28359093"/>
      <w:bookmarkStart w:id="29" w:name="_Toc35393802"/>
      <w:bookmarkStart w:id="30" w:name="_Toc28359016"/>
      <w:r>
        <w:rPr>
          <w:rFonts w:hint="eastAsia" w:ascii="仿宋" w:eastAsia="仿宋" w:cs="仿宋"/>
          <w:color w:val="auto"/>
          <w:sz w:val="24"/>
          <w:szCs w:val="24"/>
          <w:highlight w:val="none"/>
        </w:rPr>
        <w:t>五、响应文件开启</w:t>
      </w:r>
      <w:bookmarkEnd w:id="27"/>
      <w:bookmarkEnd w:id="28"/>
      <w:bookmarkEnd w:id="29"/>
      <w:bookmarkEnd w:id="30"/>
    </w:p>
    <w:p w14:paraId="394AC3E1">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15</w:t>
      </w:r>
      <w:r>
        <w:rPr>
          <w:rFonts w:hint="eastAsia" w:ascii="仿宋" w:hAnsi="仿宋" w:eastAsia="仿宋" w:cs="仿宋"/>
          <w:bCs/>
          <w:color w:val="auto"/>
          <w:sz w:val="24"/>
          <w:highlight w:val="none"/>
          <w:u w:val="single"/>
        </w:rPr>
        <w:t>日09点00分00秒</w:t>
      </w:r>
      <w:r>
        <w:rPr>
          <w:rFonts w:hint="eastAsia" w:ascii="仿宋" w:hAnsi="仿宋" w:eastAsia="仿宋" w:cs="仿宋"/>
          <w:bCs/>
          <w:color w:val="auto"/>
          <w:sz w:val="24"/>
          <w:highlight w:val="none"/>
        </w:rPr>
        <w:t>（北京时间）</w:t>
      </w:r>
    </w:p>
    <w:p w14:paraId="3F4D97BC">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地点：公安局滨江区分局老大楼-1楼（泰安路与丹枫路路口往东20米纪律检查委员会-1楼），政采云平台（https://www.zcygov.cn/）。</w:t>
      </w:r>
    </w:p>
    <w:p w14:paraId="4892776D">
      <w:pPr>
        <w:pStyle w:val="3"/>
        <w:numPr>
          <w:ilvl w:val="0"/>
          <w:numId w:val="0"/>
        </w:numPr>
        <w:ind w:left="432" w:hanging="432"/>
        <w:rPr>
          <w:rFonts w:ascii="仿宋" w:eastAsia="仿宋" w:cs="仿宋"/>
          <w:color w:val="auto"/>
          <w:sz w:val="24"/>
          <w:szCs w:val="24"/>
          <w:highlight w:val="none"/>
        </w:rPr>
      </w:pPr>
      <w:bookmarkStart w:id="31" w:name="_Toc35393634"/>
      <w:bookmarkStart w:id="32" w:name="_Toc28359094"/>
      <w:bookmarkStart w:id="33" w:name="_Toc35393803"/>
      <w:bookmarkStart w:id="34" w:name="_Toc28359017"/>
      <w:r>
        <w:rPr>
          <w:rFonts w:hint="eastAsia" w:ascii="仿宋" w:eastAsia="仿宋" w:cs="仿宋"/>
          <w:color w:val="auto"/>
          <w:sz w:val="24"/>
          <w:szCs w:val="24"/>
          <w:highlight w:val="none"/>
        </w:rPr>
        <w:t>六、公告期限</w:t>
      </w:r>
      <w:bookmarkEnd w:id="31"/>
      <w:bookmarkEnd w:id="32"/>
      <w:bookmarkEnd w:id="33"/>
      <w:bookmarkEnd w:id="34"/>
    </w:p>
    <w:p w14:paraId="2213C797">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自本公告发布之日起3个工作日。</w:t>
      </w:r>
    </w:p>
    <w:p w14:paraId="1B63E691">
      <w:pPr>
        <w:pStyle w:val="3"/>
        <w:numPr>
          <w:ilvl w:val="0"/>
          <w:numId w:val="0"/>
        </w:numPr>
        <w:ind w:left="432" w:hanging="432"/>
        <w:rPr>
          <w:rFonts w:ascii="仿宋" w:eastAsia="仿宋" w:cs="仿宋"/>
          <w:color w:val="auto"/>
          <w:sz w:val="24"/>
          <w:szCs w:val="24"/>
          <w:highlight w:val="none"/>
        </w:rPr>
      </w:pPr>
      <w:bookmarkStart w:id="35" w:name="_Toc35393804"/>
      <w:bookmarkStart w:id="36" w:name="_Toc35393635"/>
      <w:r>
        <w:rPr>
          <w:rFonts w:hint="eastAsia" w:ascii="仿宋" w:eastAsia="仿宋" w:cs="仿宋"/>
          <w:color w:val="auto"/>
          <w:sz w:val="24"/>
          <w:szCs w:val="24"/>
          <w:highlight w:val="none"/>
        </w:rPr>
        <w:t>七、其他补充事宜</w:t>
      </w:r>
      <w:bookmarkEnd w:id="35"/>
      <w:bookmarkEnd w:id="36"/>
    </w:p>
    <w:p w14:paraId="594AE40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BED647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EB152A8">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281F466">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rPr>
        <w:t>4. 其他事项：（1）需要落实的政府采购政策：</w:t>
      </w:r>
      <w:r>
        <w:rPr>
          <w:rFonts w:hint="eastAsia" w:ascii="仿宋" w:hAnsi="仿宋" w:eastAsia="仿宋" w:cs="仿宋"/>
          <w:color w:val="auto"/>
          <w:kern w:val="0"/>
          <w:sz w:val="24"/>
          <w:highlight w:val="none"/>
        </w:rPr>
        <w:t>包括节约资源、保护环境、</w:t>
      </w:r>
      <w:r>
        <w:rPr>
          <w:rFonts w:hint="eastAsia" w:ascii="仿宋" w:hAnsi="仿宋" w:eastAsia="仿宋" w:cs="仿宋"/>
          <w:color w:val="auto"/>
          <w:sz w:val="24"/>
          <w:highlight w:val="none"/>
        </w:rPr>
        <w:t>支持创新、</w:t>
      </w:r>
      <w:r>
        <w:rPr>
          <w:rFonts w:hint="eastAsia" w:ascii="仿宋" w:hAnsi="仿宋" w:eastAsia="仿宋" w:cs="仿宋"/>
          <w:color w:val="auto"/>
          <w:kern w:val="0"/>
          <w:sz w:val="24"/>
          <w:highlight w:val="none"/>
        </w:rPr>
        <w:t>促进中小企业发展等，详见磋商文件第二部分。</w:t>
      </w:r>
      <w:r>
        <w:rPr>
          <w:rFonts w:hint="eastAsia" w:ascii="仿宋" w:hAnsi="仿宋" w:eastAsia="仿宋" w:cs="仿宋"/>
          <w:b/>
          <w:color w:val="auto"/>
          <w:kern w:val="0"/>
          <w:sz w:val="24"/>
          <w:szCs w:val="20"/>
          <w:highlight w:val="none"/>
        </w:rPr>
        <w:t>（2）</w:t>
      </w:r>
      <w:r>
        <w:rPr>
          <w:rFonts w:hint="eastAsia" w:ascii="仿宋" w:hAnsi="仿宋" w:eastAsia="仿宋" w:cs="仿宋"/>
          <w:b/>
          <w:color w:val="auto"/>
          <w:sz w:val="24"/>
          <w:highlight w:val="none"/>
        </w:rPr>
        <w:t>电子交易的说明: 1）电子交易：</w:t>
      </w:r>
      <w:r>
        <w:rPr>
          <w:rFonts w:hint="eastAsia" w:ascii="仿宋" w:hAnsi="仿宋" w:eastAsia="仿宋" w:cs="仿宋"/>
          <w:color w:val="auto"/>
          <w:sz w:val="24"/>
          <w:highlight w:val="none"/>
        </w:rPr>
        <w:t>本项目以数据电文形式，依托“政府采购云平台（www.zcygov.cn）”进行采购活动，不接受纸质响应文件。</w:t>
      </w:r>
      <w:r>
        <w:rPr>
          <w:rFonts w:hint="eastAsia" w:ascii="仿宋" w:hAnsi="仿宋" w:eastAsia="仿宋" w:cs="仿宋"/>
          <w:b/>
          <w:color w:val="auto"/>
          <w:sz w:val="24"/>
          <w:highlight w:val="none"/>
        </w:rPr>
        <w:t>2）响应准备：</w:t>
      </w:r>
      <w:r>
        <w:rPr>
          <w:rFonts w:hint="eastAsia" w:ascii="仿宋" w:hAnsi="仿宋" w:eastAsia="仿宋" w:cs="仿宋"/>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4"/>
          <w:highlight w:val="none"/>
        </w:rPr>
        <w:t>3）磋商文件的获取：</w:t>
      </w:r>
      <w:r>
        <w:rPr>
          <w:rFonts w:hint="eastAsia" w:ascii="仿宋" w:hAnsi="仿宋" w:eastAsia="仿宋" w:cs="仿宋"/>
          <w:color w:val="auto"/>
          <w:sz w:val="24"/>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4"/>
          <w:highlight w:val="none"/>
        </w:rPr>
        <w:t>4）响应文件的制作：</w:t>
      </w:r>
      <w:r>
        <w:rPr>
          <w:rFonts w:hint="eastAsia" w:ascii="仿宋" w:hAnsi="仿宋" w:eastAsia="仿宋" w:cs="仿宋"/>
          <w:color w:val="auto"/>
          <w:sz w:val="24"/>
          <w:highlight w:val="none"/>
        </w:rPr>
        <w:t>在“政采云电子交易客户端”中完成“填写基本信息”、“导入投标文件”、“标书关联”、“标书检查”、“电子签名”、“生成电子标书”等操作。</w:t>
      </w:r>
      <w:r>
        <w:rPr>
          <w:rFonts w:hint="eastAsia" w:ascii="仿宋" w:hAnsi="仿宋" w:eastAsia="仿宋" w:cs="仿宋"/>
          <w:b/>
          <w:color w:val="auto"/>
          <w:sz w:val="24"/>
          <w:highlight w:val="none"/>
        </w:rPr>
        <w:t>5）</w:t>
      </w:r>
      <w:r>
        <w:rPr>
          <w:rFonts w:hint="eastAsia" w:ascii="仿宋" w:hAnsi="仿宋" w:eastAsia="仿宋" w:cs="仿宋"/>
          <w:color w:val="auto"/>
          <w:sz w:val="24"/>
          <w:highlight w:val="none"/>
        </w:rPr>
        <w:t>采购人、采购代理机构将依托政采云平台完成本项目的电子交易活动，平台不接受未按本公告约定方式获取磋商文件的供应商进行响应活动；</w:t>
      </w:r>
      <w:r>
        <w:rPr>
          <w:rFonts w:hint="eastAsia" w:ascii="仿宋" w:hAnsi="仿宋" w:eastAsia="仿宋" w:cs="仿宋"/>
          <w:b/>
          <w:color w:val="auto"/>
          <w:sz w:val="24"/>
          <w:highlight w:val="none"/>
        </w:rPr>
        <w:t>6）</w:t>
      </w:r>
      <w:r>
        <w:rPr>
          <w:rFonts w:hint="eastAsia" w:ascii="仿宋" w:hAnsi="仿宋" w:eastAsia="仿宋" w:cs="仿宋"/>
          <w:color w:val="auto"/>
          <w:sz w:val="24"/>
          <w:highlight w:val="none"/>
        </w:rPr>
        <w:t>对未按上述方式获取磋商文件的供应商对该文件提出的质疑，采购人或采购代理机构将不予处理</w:t>
      </w:r>
      <w:r>
        <w:rPr>
          <w:rFonts w:hint="eastAsia" w:ascii="仿宋" w:hAnsi="仿宋" w:eastAsia="仿宋" w:cs="仿宋"/>
          <w:b/>
          <w:color w:val="auto"/>
          <w:sz w:val="24"/>
          <w:highlight w:val="none"/>
        </w:rPr>
        <w:t>；7）</w:t>
      </w:r>
      <w:r>
        <w:rPr>
          <w:rFonts w:hint="eastAsia" w:ascii="仿宋" w:hAnsi="仿宋" w:eastAsia="仿宋" w:cs="仿宋"/>
          <w:color w:val="auto"/>
          <w:sz w:val="24"/>
          <w:highlight w:val="none"/>
        </w:rPr>
        <w:t>不提供磋商文件纸质版；</w:t>
      </w:r>
      <w:r>
        <w:rPr>
          <w:rFonts w:hint="eastAsia" w:ascii="仿宋" w:hAnsi="仿宋" w:eastAsia="仿宋" w:cs="仿宋"/>
          <w:b/>
          <w:color w:val="auto"/>
          <w:sz w:val="24"/>
          <w:highlight w:val="none"/>
        </w:rPr>
        <w:t>8）响应文件的传输提交：</w:t>
      </w:r>
      <w:r>
        <w:rPr>
          <w:rFonts w:hint="eastAsia" w:ascii="仿宋" w:hAnsi="仿宋" w:eastAsia="仿宋" w:cs="仿宋"/>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二部分 “备份响应文件”；</w:t>
      </w:r>
      <w:r>
        <w:rPr>
          <w:rFonts w:hint="eastAsia" w:ascii="仿宋" w:hAnsi="仿宋" w:eastAsia="仿宋" w:cs="仿宋"/>
          <w:b/>
          <w:color w:val="auto"/>
          <w:sz w:val="24"/>
          <w:highlight w:val="none"/>
        </w:rPr>
        <w:t>9）响应文件的解密：</w:t>
      </w:r>
      <w:r>
        <w:rPr>
          <w:rFonts w:hint="eastAsia" w:ascii="仿宋" w:hAnsi="仿宋" w:eastAsia="仿宋" w:cs="仿宋"/>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auto"/>
          <w:sz w:val="24"/>
          <w:highlight w:val="none"/>
        </w:rPr>
        <w:t>）具体操作指南</w:t>
      </w:r>
      <w:r>
        <w:rPr>
          <w:rFonts w:hint="eastAsia" w:ascii="仿宋" w:hAnsi="仿宋" w:eastAsia="仿宋" w:cs="仿宋"/>
          <w:color w:val="auto"/>
          <w:sz w:val="24"/>
          <w:highlight w:val="none"/>
        </w:rPr>
        <w:t>：详见政采云平台“服务中心-帮助文档-项目采购-操作流程-电子招投标-政府采购项目电子交易管理操作指南-供应商”。（3磋商文件公告期限与磋商公告的公告期限一致。</w:t>
      </w:r>
    </w:p>
    <w:p w14:paraId="4FDB05ED">
      <w:pPr>
        <w:pStyle w:val="3"/>
        <w:numPr>
          <w:ilvl w:val="0"/>
          <w:numId w:val="0"/>
        </w:numPr>
        <w:ind w:left="432" w:hanging="432"/>
        <w:rPr>
          <w:rFonts w:ascii="仿宋" w:eastAsia="仿宋" w:cs="仿宋"/>
          <w:color w:val="auto"/>
          <w:sz w:val="24"/>
          <w:szCs w:val="24"/>
          <w:highlight w:val="none"/>
        </w:rPr>
      </w:pPr>
      <w:bookmarkStart w:id="37" w:name="_Toc35393805"/>
      <w:bookmarkStart w:id="38" w:name="_Toc28359018"/>
      <w:bookmarkStart w:id="39" w:name="_Toc35393636"/>
      <w:bookmarkStart w:id="40" w:name="_Toc28359095"/>
      <w:r>
        <w:rPr>
          <w:rFonts w:hint="eastAsia" w:ascii="仿宋" w:eastAsia="仿宋" w:cs="仿宋"/>
          <w:color w:val="auto"/>
          <w:sz w:val="24"/>
          <w:szCs w:val="24"/>
          <w:highlight w:val="none"/>
        </w:rPr>
        <w:t>八、凡对本次采购提出询问</w:t>
      </w:r>
      <w:r>
        <w:rPr>
          <w:rFonts w:hint="eastAsia" w:ascii="仿宋" w:eastAsia="仿宋" w:cs="仿宋"/>
          <w:bCs w:val="0"/>
          <w:color w:val="auto"/>
          <w:sz w:val="24"/>
          <w:szCs w:val="24"/>
          <w:highlight w:val="none"/>
        </w:rPr>
        <w:t>、质疑、投诉</w:t>
      </w:r>
      <w:r>
        <w:rPr>
          <w:rFonts w:hint="eastAsia" w:ascii="仿宋" w:eastAsia="仿宋" w:cs="仿宋"/>
          <w:color w:val="auto"/>
          <w:sz w:val="24"/>
          <w:szCs w:val="24"/>
          <w:highlight w:val="none"/>
        </w:rPr>
        <w:t>，请按以下方式联系</w:t>
      </w:r>
      <w:bookmarkEnd w:id="37"/>
      <w:bookmarkEnd w:id="38"/>
      <w:bookmarkEnd w:id="39"/>
      <w:bookmarkEnd w:id="40"/>
    </w:p>
    <w:p w14:paraId="447CA429">
      <w:pPr>
        <w:pStyle w:val="3"/>
        <w:numPr>
          <w:ilvl w:val="0"/>
          <w:numId w:val="0"/>
        </w:numPr>
        <w:ind w:left="432" w:hanging="432"/>
        <w:rPr>
          <w:rFonts w:ascii="仿宋" w:eastAsia="仿宋" w:cs="仿宋"/>
          <w:color w:val="auto"/>
          <w:sz w:val="24"/>
          <w:szCs w:val="24"/>
          <w:highlight w:val="none"/>
        </w:rPr>
      </w:pPr>
      <w:bookmarkStart w:id="41" w:name="_Toc28359019"/>
      <w:bookmarkStart w:id="42" w:name="_Toc28359096"/>
      <w:bookmarkStart w:id="43" w:name="_Toc35393806"/>
      <w:bookmarkStart w:id="44" w:name="_Toc35393637"/>
      <w:r>
        <w:rPr>
          <w:rFonts w:hint="eastAsia" w:ascii="仿宋" w:eastAsia="仿宋" w:cs="仿宋"/>
          <w:color w:val="auto"/>
          <w:sz w:val="24"/>
          <w:szCs w:val="24"/>
          <w:highlight w:val="none"/>
        </w:rPr>
        <w:t>1.采购人信息</w:t>
      </w:r>
      <w:bookmarkEnd w:id="41"/>
      <w:bookmarkEnd w:id="42"/>
      <w:bookmarkEnd w:id="43"/>
      <w:bookmarkEnd w:id="44"/>
      <w:r>
        <w:rPr>
          <w:rFonts w:hint="eastAsia" w:ascii="仿宋" w:eastAsia="仿宋" w:cs="仿宋"/>
          <w:color w:val="auto"/>
          <w:sz w:val="24"/>
          <w:szCs w:val="24"/>
          <w:highlight w:val="none"/>
        </w:rPr>
        <w:t>：</w:t>
      </w:r>
    </w:p>
    <w:p w14:paraId="5C7A2F5C">
      <w:pPr>
        <w:spacing w:line="360" w:lineRule="auto"/>
        <w:ind w:firstLine="465"/>
        <w:rPr>
          <w:rFonts w:ascii="仿宋" w:hAnsi="仿宋" w:eastAsia="仿宋" w:cs="仿宋"/>
          <w:snapToGrid w:val="0"/>
          <w:color w:val="auto"/>
          <w:sz w:val="24"/>
          <w:highlight w:val="none"/>
        </w:rPr>
      </w:pPr>
      <w:bookmarkStart w:id="45" w:name="_Toc35393807"/>
      <w:bookmarkStart w:id="46" w:name="_Toc35393638"/>
      <w:bookmarkStart w:id="47" w:name="_Toc28359097"/>
      <w:bookmarkStart w:id="48" w:name="_Toc28359020"/>
      <w:r>
        <w:rPr>
          <w:rFonts w:hint="eastAsia" w:ascii="仿宋" w:hAnsi="仿宋" w:eastAsia="仿宋" w:cs="仿宋"/>
          <w:snapToGrid w:val="0"/>
          <w:color w:val="auto"/>
          <w:sz w:val="24"/>
          <w:highlight w:val="none"/>
        </w:rPr>
        <w:t>名    称：杭州市公安局滨江区分局</w:t>
      </w:r>
    </w:p>
    <w:p w14:paraId="1B68ED49">
      <w:pPr>
        <w:spacing w:line="360" w:lineRule="auto"/>
        <w:ind w:firstLine="465"/>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地    址：杭州市滨江区通和路71号</w:t>
      </w:r>
    </w:p>
    <w:p w14:paraId="5490BA19">
      <w:pPr>
        <w:spacing w:line="360" w:lineRule="auto"/>
        <w:ind w:firstLine="48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项目联系人（询问）：汤警官</w:t>
      </w:r>
    </w:p>
    <w:p w14:paraId="1BDBA159">
      <w:pPr>
        <w:spacing w:line="360" w:lineRule="auto"/>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 xml:space="preserve">    项目联系方式（询问）：</w:t>
      </w:r>
      <w:r>
        <w:rPr>
          <w:rFonts w:hint="eastAsia" w:ascii="仿宋" w:hAnsi="仿宋" w:eastAsia="仿宋" w:cs="仿宋"/>
          <w:bCs/>
          <w:color w:val="auto"/>
          <w:sz w:val="24"/>
          <w:highlight w:val="none"/>
        </w:rPr>
        <w:t>0571-89520692</w:t>
      </w:r>
    </w:p>
    <w:p w14:paraId="00A2F448">
      <w:pPr>
        <w:spacing w:line="360" w:lineRule="auto"/>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 xml:space="preserve">    质疑联系人：魏警官</w:t>
      </w:r>
    </w:p>
    <w:p w14:paraId="45B34877">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snapToGrid w:val="0"/>
          <w:color w:val="auto"/>
          <w:sz w:val="24"/>
          <w:highlight w:val="none"/>
        </w:rPr>
        <w:t xml:space="preserve">    质疑联系方式：</w:t>
      </w:r>
      <w:r>
        <w:rPr>
          <w:rFonts w:hint="eastAsia" w:ascii="仿宋" w:hAnsi="仿宋" w:eastAsia="仿宋" w:cs="仿宋"/>
          <w:bCs/>
          <w:color w:val="auto"/>
          <w:sz w:val="24"/>
          <w:highlight w:val="none"/>
        </w:rPr>
        <w:t>0571-8952069</w:t>
      </w:r>
      <w:r>
        <w:rPr>
          <w:rFonts w:hint="eastAsia" w:ascii="仿宋" w:hAnsi="仿宋" w:eastAsia="仿宋" w:cs="仿宋"/>
          <w:bCs/>
          <w:color w:val="auto"/>
          <w:sz w:val="24"/>
          <w:highlight w:val="none"/>
          <w:lang w:val="en-US" w:eastAsia="zh-CN"/>
        </w:rPr>
        <w:t>0</w:t>
      </w:r>
      <w:bookmarkStart w:id="92" w:name="_GoBack"/>
      <w:bookmarkEnd w:id="92"/>
    </w:p>
    <w:p w14:paraId="1AF2ADC4">
      <w:pPr>
        <w:pStyle w:val="3"/>
        <w:numPr>
          <w:ilvl w:val="0"/>
          <w:numId w:val="0"/>
        </w:numPr>
        <w:ind w:left="432" w:hanging="432"/>
        <w:rPr>
          <w:rFonts w:ascii="仿宋" w:eastAsia="仿宋" w:cs="仿宋"/>
          <w:color w:val="auto"/>
          <w:sz w:val="24"/>
          <w:highlight w:val="none"/>
        </w:rPr>
      </w:pPr>
      <w:r>
        <w:rPr>
          <w:rFonts w:hint="eastAsia" w:ascii="仿宋" w:eastAsia="仿宋" w:cs="仿宋"/>
          <w:color w:val="auto"/>
          <w:sz w:val="24"/>
          <w:szCs w:val="24"/>
          <w:highlight w:val="none"/>
        </w:rPr>
        <w:t>2.采购代理机构信息</w:t>
      </w:r>
      <w:bookmarkEnd w:id="45"/>
      <w:bookmarkEnd w:id="46"/>
      <w:bookmarkEnd w:id="47"/>
      <w:bookmarkEnd w:id="48"/>
      <w:r>
        <w:rPr>
          <w:rFonts w:hint="eastAsia" w:ascii="仿宋" w:eastAsia="仿宋" w:cs="仿宋"/>
          <w:color w:val="auto"/>
          <w:sz w:val="24"/>
          <w:szCs w:val="24"/>
          <w:highlight w:val="none"/>
        </w:rPr>
        <w:t>：</w:t>
      </w:r>
    </w:p>
    <w:p w14:paraId="7AA721A6">
      <w:pPr>
        <w:spacing w:line="360" w:lineRule="auto"/>
        <w:ind w:firstLine="480"/>
        <w:rPr>
          <w:rFonts w:ascii="仿宋" w:hAnsi="仿宋" w:eastAsia="仿宋" w:cs="仿宋"/>
          <w:snapToGrid w:val="0"/>
          <w:color w:val="auto"/>
          <w:sz w:val="24"/>
          <w:highlight w:val="none"/>
        </w:rPr>
      </w:pPr>
      <w:bookmarkStart w:id="49" w:name="_Toc28359021"/>
      <w:bookmarkStart w:id="50" w:name="_Toc35393808"/>
      <w:bookmarkStart w:id="51" w:name="_Toc35393639"/>
      <w:bookmarkStart w:id="52" w:name="_Toc28359098"/>
      <w:r>
        <w:rPr>
          <w:rFonts w:hint="eastAsia" w:ascii="仿宋" w:hAnsi="仿宋" w:eastAsia="仿宋" w:cs="仿宋"/>
          <w:snapToGrid w:val="0"/>
          <w:color w:val="auto"/>
          <w:sz w:val="24"/>
          <w:highlight w:val="none"/>
        </w:rPr>
        <w:t>名    称：浙江信达咨询监理有限公司</w:t>
      </w:r>
    </w:p>
    <w:p w14:paraId="79565D45">
      <w:pPr>
        <w:spacing w:line="360" w:lineRule="auto"/>
        <w:ind w:firstLine="48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地    址：杭州市拱墅区德胜路289号松泰文创园2号楼60</w:t>
      </w:r>
      <w:r>
        <w:rPr>
          <w:rFonts w:hint="eastAsia" w:ascii="仿宋" w:hAnsi="仿宋" w:eastAsia="仿宋" w:cs="仿宋"/>
          <w:snapToGrid w:val="0"/>
          <w:color w:val="auto"/>
          <w:sz w:val="24"/>
          <w:highlight w:val="none"/>
          <w:lang w:val="en-US" w:eastAsia="zh-CN"/>
        </w:rPr>
        <w:t>2</w:t>
      </w:r>
      <w:r>
        <w:rPr>
          <w:rFonts w:hint="eastAsia" w:ascii="仿宋" w:hAnsi="仿宋" w:eastAsia="仿宋" w:cs="仿宋"/>
          <w:snapToGrid w:val="0"/>
          <w:color w:val="auto"/>
          <w:sz w:val="24"/>
          <w:highlight w:val="none"/>
        </w:rPr>
        <w:t>室</w:t>
      </w:r>
    </w:p>
    <w:p w14:paraId="30F89425">
      <w:pPr>
        <w:spacing w:line="360" w:lineRule="auto"/>
        <w:ind w:firstLine="48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项目联系人（询问）：朱祺</w:t>
      </w:r>
    </w:p>
    <w:p w14:paraId="1C1C66F4">
      <w:pPr>
        <w:spacing w:line="360" w:lineRule="auto"/>
        <w:ind w:firstLine="48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项目联系方式（询问）：18057188023、0571-85116015</w:t>
      </w:r>
    </w:p>
    <w:p w14:paraId="6C0239D3">
      <w:pPr>
        <w:spacing w:line="360" w:lineRule="auto"/>
        <w:ind w:firstLine="48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质疑联系人：吴秀琴</w:t>
      </w:r>
    </w:p>
    <w:p w14:paraId="4F3F6F42">
      <w:pPr>
        <w:spacing w:line="360" w:lineRule="auto"/>
        <w:ind w:firstLine="48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质疑联系方式：13588007576</w:t>
      </w:r>
    </w:p>
    <w:p w14:paraId="399D371F">
      <w:pPr>
        <w:spacing w:before="156" w:beforeLines="50" w:line="3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3.同级政府采购监督管理部门</w:t>
      </w:r>
    </w:p>
    <w:bookmarkEnd w:id="49"/>
    <w:bookmarkEnd w:id="50"/>
    <w:bookmarkEnd w:id="51"/>
    <w:bookmarkEnd w:id="52"/>
    <w:p w14:paraId="0227A5D5">
      <w:pPr>
        <w:spacing w:line="360" w:lineRule="auto"/>
        <w:ind w:firstLine="480" w:firstLineChars="200"/>
        <w:rPr>
          <w:rFonts w:hint="eastAsia" w:ascii="仿宋" w:hAnsi="仿宋" w:eastAsia="仿宋" w:cs="宋体"/>
          <w:color w:val="auto"/>
          <w:sz w:val="24"/>
          <w:highlight w:val="none"/>
        </w:rPr>
      </w:pPr>
      <w:r>
        <w:rPr>
          <w:rFonts w:hint="eastAsia" w:ascii="仿宋" w:hAnsi="仿宋" w:eastAsia="仿宋" w:cs="宋体"/>
          <w:color w:val="auto"/>
          <w:sz w:val="24"/>
          <w:highlight w:val="none"/>
        </w:rPr>
        <w:t>名   称：杭州市滨江区财政局、浙江省政府采购行政裁决服务中心（杭州）。</w:t>
      </w:r>
    </w:p>
    <w:p w14:paraId="24B2750D">
      <w:pPr>
        <w:spacing w:line="360" w:lineRule="auto"/>
        <w:ind w:firstLine="480" w:firstLineChars="200"/>
        <w:rPr>
          <w:rFonts w:hint="eastAsia" w:ascii="仿宋" w:hAnsi="仿宋" w:eastAsia="仿宋" w:cs="宋体"/>
          <w:color w:val="auto"/>
          <w:sz w:val="24"/>
          <w:highlight w:val="none"/>
        </w:rPr>
      </w:pPr>
      <w:r>
        <w:rPr>
          <w:rFonts w:hint="eastAsia" w:ascii="仿宋" w:hAnsi="仿宋" w:eastAsia="仿宋" w:cs="宋体"/>
          <w:color w:val="auto"/>
          <w:sz w:val="24"/>
          <w:highlight w:val="none"/>
        </w:rPr>
        <w:t>地   址：杭州市上城区清泰街549号城建综合大楼11楼（快递仅限ems或顺丰）。</w:t>
      </w:r>
    </w:p>
    <w:p w14:paraId="707758CE">
      <w:pPr>
        <w:spacing w:line="360" w:lineRule="auto"/>
        <w:ind w:firstLine="480" w:firstLineChars="200"/>
        <w:rPr>
          <w:rFonts w:hint="eastAsia" w:ascii="仿宋" w:hAnsi="仿宋" w:eastAsia="仿宋" w:cs="宋体"/>
          <w:color w:val="auto"/>
          <w:sz w:val="24"/>
          <w:highlight w:val="none"/>
        </w:rPr>
      </w:pPr>
      <w:r>
        <w:rPr>
          <w:rFonts w:hint="eastAsia" w:ascii="仿宋" w:hAnsi="仿宋" w:eastAsia="仿宋" w:cs="宋体"/>
          <w:color w:val="auto"/>
          <w:sz w:val="24"/>
          <w:highlight w:val="none"/>
        </w:rPr>
        <w:t>传   真：/。</w:t>
      </w:r>
    </w:p>
    <w:p w14:paraId="25F73A05">
      <w:pPr>
        <w:spacing w:line="360" w:lineRule="auto"/>
        <w:ind w:firstLine="480" w:firstLineChars="200"/>
        <w:rPr>
          <w:rFonts w:hint="eastAsia" w:ascii="仿宋" w:hAnsi="仿宋" w:eastAsia="仿宋" w:cs="宋体"/>
          <w:color w:val="auto"/>
          <w:sz w:val="24"/>
          <w:highlight w:val="none"/>
        </w:rPr>
      </w:pPr>
      <w:r>
        <w:rPr>
          <w:rFonts w:hint="eastAsia" w:ascii="仿宋" w:hAnsi="仿宋" w:eastAsia="仿宋" w:cs="宋体"/>
          <w:color w:val="auto"/>
          <w:sz w:val="24"/>
          <w:highlight w:val="none"/>
        </w:rPr>
        <w:t>联 系 人：朱女士、王女士。</w:t>
      </w:r>
    </w:p>
    <w:p w14:paraId="2129312C">
      <w:pPr>
        <w:spacing w:line="360" w:lineRule="auto"/>
        <w:ind w:firstLine="480" w:firstLineChars="200"/>
        <w:rPr>
          <w:rFonts w:hint="eastAsia" w:ascii="仿宋" w:hAnsi="仿宋" w:eastAsia="仿宋" w:cs="宋体"/>
          <w:color w:val="auto"/>
          <w:sz w:val="24"/>
          <w:highlight w:val="none"/>
        </w:rPr>
      </w:pPr>
      <w:r>
        <w:rPr>
          <w:rFonts w:hint="eastAsia" w:ascii="仿宋" w:hAnsi="仿宋" w:eastAsia="仿宋" w:cs="宋体"/>
          <w:color w:val="auto"/>
          <w:sz w:val="24"/>
          <w:highlight w:val="none"/>
        </w:rPr>
        <w:t>监督投诉电话：0571-87227671,0571-87800218。</w:t>
      </w:r>
    </w:p>
    <w:p w14:paraId="150A1D55">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政策咨询：祝先生，0571-89521210。</w:t>
      </w:r>
    </w:p>
    <w:p w14:paraId="79ED6C72">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99DC0F6">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CA问题联系电话（人工）：汇信CA 400-888-4636；天谷CA 400-087-8198。</w:t>
      </w:r>
    </w:p>
    <w:p w14:paraId="5EC47BC6">
      <w:pPr>
        <w:spacing w:line="360" w:lineRule="auto"/>
        <w:ind w:firstLine="480"/>
        <w:rPr>
          <w:rFonts w:ascii="仿宋" w:hAnsi="仿宋" w:eastAsia="仿宋" w:cs="宋体"/>
          <w:color w:val="auto"/>
          <w:sz w:val="24"/>
          <w:highlight w:val="none"/>
        </w:rPr>
      </w:pPr>
    </w:p>
    <w:p w14:paraId="4E731855">
      <w:pPr>
        <w:pStyle w:val="34"/>
        <w:spacing w:line="360" w:lineRule="auto"/>
        <w:ind w:firstLine="480" w:firstLineChars="200"/>
        <w:jc w:val="right"/>
        <w:rPr>
          <w:rFonts w:ascii="仿宋" w:hAnsi="仿宋" w:eastAsia="仿宋" w:cs="仿宋"/>
          <w:color w:val="auto"/>
          <w:sz w:val="24"/>
          <w:szCs w:val="24"/>
          <w:highlight w:val="none"/>
        </w:rPr>
      </w:pPr>
    </w:p>
    <w:p w14:paraId="04F2EF80">
      <w:pPr>
        <w:adjustRightInd/>
        <w:spacing w:line="360" w:lineRule="auto"/>
        <w:jc w:val="center"/>
        <w:outlineLvl w:val="0"/>
        <w:rPr>
          <w:rFonts w:hint="eastAsia" w:ascii="仿宋" w:hAnsi="仿宋" w:eastAsia="仿宋" w:cs="仿宋"/>
          <w:b/>
          <w:color w:val="auto"/>
          <w:sz w:val="36"/>
          <w:szCs w:val="20"/>
          <w:highlight w:val="none"/>
        </w:rPr>
      </w:pPr>
    </w:p>
    <w:p w14:paraId="7BE7DCFF">
      <w:pPr>
        <w:adjustRightInd/>
        <w:spacing w:line="360" w:lineRule="auto"/>
        <w:jc w:val="center"/>
        <w:outlineLvl w:val="0"/>
        <w:rPr>
          <w:rFonts w:hint="eastAsia" w:ascii="仿宋" w:hAnsi="仿宋" w:eastAsia="仿宋" w:cs="仿宋"/>
          <w:b/>
          <w:color w:val="auto"/>
          <w:sz w:val="36"/>
          <w:szCs w:val="20"/>
          <w:highlight w:val="none"/>
        </w:rPr>
      </w:pPr>
    </w:p>
    <w:p w14:paraId="406D3872">
      <w:pPr>
        <w:adjustRightInd/>
        <w:spacing w:line="360" w:lineRule="auto"/>
        <w:jc w:val="center"/>
        <w:outlineLvl w:val="0"/>
        <w:rPr>
          <w:rFonts w:hint="eastAsia" w:ascii="仿宋" w:hAnsi="仿宋" w:eastAsia="仿宋" w:cs="仿宋"/>
          <w:b/>
          <w:color w:val="auto"/>
          <w:sz w:val="36"/>
          <w:szCs w:val="20"/>
          <w:highlight w:val="none"/>
        </w:rPr>
      </w:pPr>
    </w:p>
    <w:p w14:paraId="24B1B205">
      <w:pPr>
        <w:adjustRightInd/>
        <w:spacing w:line="360" w:lineRule="auto"/>
        <w:jc w:val="center"/>
        <w:outlineLvl w:val="0"/>
        <w:rPr>
          <w:rFonts w:hint="eastAsia" w:ascii="仿宋" w:hAnsi="仿宋" w:eastAsia="仿宋" w:cs="仿宋"/>
          <w:b/>
          <w:color w:val="auto"/>
          <w:sz w:val="36"/>
          <w:szCs w:val="20"/>
          <w:highlight w:val="none"/>
        </w:rPr>
      </w:pPr>
    </w:p>
    <w:p w14:paraId="7F6F07C6">
      <w:pPr>
        <w:adjustRightInd/>
        <w:spacing w:line="360" w:lineRule="auto"/>
        <w:jc w:val="center"/>
        <w:outlineLvl w:val="0"/>
        <w:rPr>
          <w:rFonts w:hint="eastAsia" w:ascii="仿宋" w:hAnsi="仿宋" w:eastAsia="仿宋" w:cs="仿宋"/>
          <w:b/>
          <w:color w:val="auto"/>
          <w:sz w:val="36"/>
          <w:szCs w:val="20"/>
          <w:highlight w:val="none"/>
        </w:rPr>
      </w:pPr>
    </w:p>
    <w:p w14:paraId="24FCB6D4">
      <w:pPr>
        <w:adjustRightInd/>
        <w:spacing w:line="360" w:lineRule="auto"/>
        <w:jc w:val="center"/>
        <w:outlineLvl w:val="0"/>
        <w:rPr>
          <w:rFonts w:hint="eastAsia" w:ascii="仿宋" w:hAnsi="仿宋" w:eastAsia="仿宋" w:cs="仿宋"/>
          <w:b/>
          <w:color w:val="auto"/>
          <w:sz w:val="36"/>
          <w:szCs w:val="20"/>
          <w:highlight w:val="none"/>
        </w:rPr>
      </w:pPr>
    </w:p>
    <w:p w14:paraId="7B889909">
      <w:pPr>
        <w:adjustRightInd/>
        <w:spacing w:line="360" w:lineRule="auto"/>
        <w:jc w:val="center"/>
        <w:outlineLvl w:val="0"/>
        <w:rPr>
          <w:rFonts w:hint="eastAsia" w:ascii="仿宋" w:hAnsi="仿宋" w:eastAsia="仿宋" w:cs="仿宋"/>
          <w:b/>
          <w:color w:val="auto"/>
          <w:sz w:val="36"/>
          <w:szCs w:val="20"/>
          <w:highlight w:val="none"/>
        </w:rPr>
      </w:pPr>
    </w:p>
    <w:p w14:paraId="2E76C953">
      <w:pPr>
        <w:adjustRightInd/>
        <w:spacing w:line="360" w:lineRule="auto"/>
        <w:jc w:val="center"/>
        <w:outlineLvl w:val="0"/>
        <w:rPr>
          <w:rFonts w:hint="eastAsia" w:ascii="仿宋" w:hAnsi="仿宋" w:eastAsia="仿宋" w:cs="仿宋"/>
          <w:b/>
          <w:color w:val="auto"/>
          <w:sz w:val="36"/>
          <w:szCs w:val="20"/>
          <w:highlight w:val="none"/>
        </w:rPr>
      </w:pPr>
    </w:p>
    <w:p w14:paraId="5D60C59F">
      <w:pPr>
        <w:adjustRightInd/>
        <w:spacing w:line="360" w:lineRule="auto"/>
        <w:jc w:val="center"/>
        <w:outlineLvl w:val="0"/>
        <w:rPr>
          <w:rFonts w:hint="eastAsia" w:ascii="仿宋" w:hAnsi="仿宋" w:eastAsia="仿宋" w:cs="仿宋"/>
          <w:b/>
          <w:color w:val="auto"/>
          <w:sz w:val="36"/>
          <w:szCs w:val="20"/>
          <w:highlight w:val="none"/>
        </w:rPr>
      </w:pPr>
    </w:p>
    <w:p w14:paraId="7450DFE9">
      <w:pPr>
        <w:adjustRightInd/>
        <w:spacing w:line="360" w:lineRule="auto"/>
        <w:jc w:val="center"/>
        <w:outlineLvl w:val="0"/>
        <w:rPr>
          <w:rFonts w:hint="eastAsia" w:ascii="仿宋" w:hAnsi="仿宋" w:eastAsia="仿宋" w:cs="仿宋"/>
          <w:b/>
          <w:color w:val="auto"/>
          <w:sz w:val="36"/>
          <w:szCs w:val="20"/>
          <w:highlight w:val="none"/>
        </w:rPr>
      </w:pPr>
    </w:p>
    <w:p w14:paraId="1DFAF939">
      <w:pPr>
        <w:adjustRightInd/>
        <w:spacing w:line="360" w:lineRule="auto"/>
        <w:jc w:val="center"/>
        <w:outlineLvl w:val="0"/>
        <w:rPr>
          <w:rFonts w:hint="eastAsia" w:ascii="仿宋" w:hAnsi="仿宋" w:eastAsia="仿宋" w:cs="仿宋"/>
          <w:b/>
          <w:color w:val="auto"/>
          <w:sz w:val="36"/>
          <w:szCs w:val="20"/>
          <w:highlight w:val="none"/>
        </w:rPr>
      </w:pPr>
    </w:p>
    <w:p w14:paraId="3AB72105">
      <w:pPr>
        <w:adjustRightInd/>
        <w:spacing w:line="360" w:lineRule="auto"/>
        <w:jc w:val="center"/>
        <w:outlineLvl w:val="0"/>
        <w:rPr>
          <w:rFonts w:hint="eastAsia" w:ascii="仿宋" w:hAnsi="仿宋" w:eastAsia="仿宋" w:cs="仿宋"/>
          <w:b/>
          <w:color w:val="auto"/>
          <w:sz w:val="36"/>
          <w:szCs w:val="20"/>
          <w:highlight w:val="none"/>
        </w:rPr>
      </w:pPr>
    </w:p>
    <w:p w14:paraId="7E969F43">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供应商须知</w:t>
      </w:r>
      <w:bookmarkEnd w:id="9"/>
    </w:p>
    <w:p w14:paraId="3EB30D5E">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一、前附表</w:t>
      </w:r>
    </w:p>
    <w:tbl>
      <w:tblPr>
        <w:tblStyle w:val="61"/>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1C83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0856A49">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6716FDA">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B4EB591">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46A6FE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773A6E">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9D99482">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50244A2">
            <w:pPr>
              <w:spacing w:line="360" w:lineRule="auto"/>
              <w:rPr>
                <w:rFonts w:ascii="仿宋" w:hAnsi="仿宋" w:eastAsia="仿宋" w:cs="仿宋"/>
                <w:color w:val="auto"/>
                <w:sz w:val="24"/>
                <w:highlight w:val="none"/>
              </w:rPr>
            </w:pPr>
            <w:r>
              <w:rPr>
                <w:rFonts w:hint="eastAsia" w:cs="宋体" w:asciiTheme="minorEastAsia" w:hAnsiTheme="minorEastAsia" w:eastAsiaTheme="minorEastAsia"/>
                <w:color w:val="auto"/>
                <w:sz w:val="24"/>
                <w:highlight w:val="none"/>
              </w:rPr>
              <w:t>服务类。</w:t>
            </w:r>
          </w:p>
        </w:tc>
      </w:tr>
      <w:tr w14:paraId="64BFB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1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3310BEB">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A05BDA4">
            <w:pPr>
              <w:snapToGrid w:val="0"/>
              <w:spacing w:line="360" w:lineRule="auto"/>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EFE1140">
            <w:pPr>
              <w:numPr>
                <w:ilvl w:val="0"/>
                <w:numId w:val="7"/>
              </w:numPr>
              <w:snapToGrid w:val="0"/>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标的：</w:t>
            </w:r>
            <w:r>
              <w:rPr>
                <w:rFonts w:hint="eastAsia" w:ascii="仿宋" w:hAnsi="仿宋" w:eastAsia="仿宋" w:cs="仿宋"/>
                <w:color w:val="auto"/>
                <w:sz w:val="24"/>
                <w:highlight w:val="none"/>
                <w:u w:val="single"/>
                <w:lang w:eastAsia="zh-CN"/>
              </w:rPr>
              <w:t>采购人型机器人服务项目</w:t>
            </w:r>
            <w:r>
              <w:rPr>
                <w:rFonts w:hint="eastAsia" w:ascii="仿宋" w:hAnsi="仿宋" w:eastAsia="仿宋" w:cs="仿宋"/>
                <w:color w:val="auto"/>
                <w:sz w:val="24"/>
                <w:highlight w:val="none"/>
              </w:rPr>
              <w:t>。属于行业：</w:t>
            </w:r>
            <w:r>
              <w:rPr>
                <w:rFonts w:hint="eastAsia" w:ascii="仿宋" w:hAnsi="仿宋" w:eastAsia="仿宋" w:cs="仿宋"/>
                <w:color w:val="auto"/>
                <w:sz w:val="24"/>
                <w:highlight w:val="none"/>
                <w:u w:val="single"/>
                <w:lang w:eastAsia="zh-CN"/>
              </w:rPr>
              <w:t>租赁和商务服务业。</w:t>
            </w:r>
          </w:p>
          <w:p w14:paraId="7DBAD6D1">
            <w:pPr>
              <w:spacing w:line="360" w:lineRule="auto"/>
              <w:rPr>
                <w:rFonts w:ascii="仿宋" w:eastAsia="仿宋" w:cs="仿宋"/>
                <w:b w:val="0"/>
                <w:bCs w:val="0"/>
                <w:color w:val="auto"/>
                <w:kern w:val="0"/>
                <w:sz w:val="24"/>
                <w:szCs w:val="24"/>
                <w:highlight w:val="none"/>
                <w:lang w:val="en-US"/>
              </w:rPr>
            </w:pPr>
            <w:r>
              <w:rPr>
                <w:rFonts w:hint="eastAsia" w:ascii="仿宋" w:hAnsi="仿宋" w:eastAsia="仿宋" w:cs="仿宋"/>
                <w:color w:val="auto"/>
                <w:kern w:val="0"/>
                <w:sz w:val="24"/>
                <w:highlight w:val="none"/>
                <w:lang w:val="en-US" w:eastAsia="zh-CN"/>
              </w:rPr>
              <w:t>根据《关于印发中小企业划型标准规定的通知》（工信部联企业〔2011〕300号）第四条规定：租赁和商务服务业行业。从业人员</w:t>
            </w:r>
            <w:r>
              <w:rPr>
                <w:rFonts w:ascii="宋体" w:hAnsi="宋体" w:cs="宋体"/>
                <w:color w:val="auto"/>
                <w:kern w:val="0"/>
                <w:sz w:val="24"/>
                <w:highlight w:val="none"/>
                <w:lang w:bidi="ar"/>
              </w:rPr>
              <w:t>300</w:t>
            </w:r>
            <w:r>
              <w:rPr>
                <w:rFonts w:hint="eastAsia" w:ascii="仿宋" w:hAnsi="仿宋" w:eastAsia="仿宋" w:cs="仿宋"/>
                <w:color w:val="auto"/>
                <w:kern w:val="0"/>
                <w:sz w:val="24"/>
                <w:highlight w:val="none"/>
                <w:lang w:val="en-US" w:eastAsia="zh-CN"/>
              </w:rPr>
              <w:t>人以下或资产总额</w:t>
            </w:r>
            <w:r>
              <w:rPr>
                <w:rFonts w:ascii="宋体" w:hAnsi="宋体" w:cs="宋体"/>
                <w:color w:val="auto"/>
                <w:kern w:val="0"/>
                <w:sz w:val="24"/>
                <w:highlight w:val="none"/>
                <w:lang w:bidi="ar"/>
              </w:rPr>
              <w:t>120000</w:t>
            </w:r>
            <w:r>
              <w:rPr>
                <w:rFonts w:hint="eastAsia" w:ascii="仿宋" w:hAnsi="仿宋" w:eastAsia="仿宋" w:cs="仿宋"/>
                <w:color w:val="auto"/>
                <w:kern w:val="0"/>
                <w:sz w:val="24"/>
                <w:highlight w:val="none"/>
                <w:lang w:val="en-US" w:eastAsia="zh-CN"/>
              </w:rPr>
              <w:t>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5B9E2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A1B5F6F">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7DC1A3D">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4FD7D06">
            <w:pPr>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sym w:font="Wingdings 2" w:char="0052"/>
            </w:r>
            <w:r>
              <w:rPr>
                <w:rFonts w:hint="eastAsia" w:ascii="仿宋" w:hAnsi="仿宋" w:eastAsia="仿宋" w:cs="仿宋"/>
                <w:color w:val="auto"/>
                <w:kern w:val="0"/>
                <w:sz w:val="24"/>
                <w:highlight w:val="none"/>
              </w:rPr>
              <w:t>本项目不允许采购进口产品。</w:t>
            </w:r>
          </w:p>
          <w:p w14:paraId="62472868">
            <w:pPr>
              <w:spacing w:line="360" w:lineRule="auto"/>
              <w:rPr>
                <w:rFonts w:ascii="仿宋" w:hAnsi="仿宋" w:eastAsia="仿宋" w:cs="仿宋"/>
                <w:color w:val="auto"/>
                <w:highlight w:val="none"/>
              </w:rPr>
            </w:pPr>
            <w:sdt>
              <w:sdtPr>
                <w:rPr>
                  <w:rFonts w:hint="eastAsia" w:ascii="仿宋" w:hAnsi="仿宋" w:eastAsia="仿宋" w:cs="仿宋"/>
                  <w:color w:val="auto"/>
                  <w:kern w:val="0"/>
                  <w:sz w:val="24"/>
                  <w:highlight w:val="none"/>
                </w:rPr>
                <w:id w:val="-52852824"/>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可以就采购进口产品。</w:t>
            </w:r>
          </w:p>
        </w:tc>
      </w:tr>
      <w:tr w14:paraId="462862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02C17EB">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B739919">
            <w:pPr>
              <w:snapToGrid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9860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sym w:font="Wingdings 2" w:char="0052"/>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同意将非主体、非关键性的工作分包。</w:t>
            </w:r>
          </w:p>
          <w:p w14:paraId="2036251A">
            <w:pPr>
              <w:spacing w:line="360" w:lineRule="auto"/>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276331357"/>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545A04A6">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073D15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31D4602">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2AB50B5">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88EC0E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sym w:font="Wingdings 2" w:char="0052"/>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583B0C09">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sz w:val="24"/>
                  <w:highlight w:val="none"/>
                </w:rPr>
                <w:id w:val="-999802974"/>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t>☐</w:t>
                </w:r>
              </w:sdtContent>
            </w:sdt>
            <w:r>
              <w:rPr>
                <w:rFonts w:hint="eastAsia" w:ascii="仿宋" w:hAnsi="仿宋" w:eastAsia="仿宋" w:cs="仿宋"/>
                <w:color w:val="auto"/>
                <w:sz w:val="24"/>
                <w:highlight w:val="none"/>
              </w:rPr>
              <w:t>B组织，时间：,地点：，联系人：，联系方式：。</w:t>
            </w:r>
          </w:p>
          <w:p w14:paraId="0CC0BE56">
            <w:pPr>
              <w:spacing w:line="360" w:lineRule="auto"/>
              <w:rPr>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C不统一组织，供应商在获取采购文件后，自行至项目现场考察。地点： ，联系人： ，联系方式： 。</w:t>
            </w:r>
          </w:p>
        </w:tc>
      </w:tr>
      <w:tr w14:paraId="06BE6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90C9494">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47DDC9E">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F8CE856">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sym w:font="Wingdings 2" w:char="0052"/>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tc>
      </w:tr>
      <w:tr w14:paraId="5EE8D7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4410701">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054B835">
            <w:pPr>
              <w:snapToGrid w:val="0"/>
              <w:spacing w:line="360" w:lineRule="auto"/>
              <w:jc w:val="center"/>
              <w:rPr>
                <w:rFonts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71E24AF">
            <w:pPr>
              <w:spacing w:line="360" w:lineRule="auto"/>
              <w:rPr>
                <w:rFonts w:hint="eastAsia" w:ascii="仿宋" w:hAnsi="仿宋" w:eastAsia="仿宋" w:cs="仿宋"/>
                <w:color w:val="auto"/>
                <w:sz w:val="24"/>
                <w:highlight w:val="none"/>
                <w:lang w:val="en-US" w:eastAsia="zh-CN"/>
              </w:rPr>
            </w:pPr>
            <w:sdt>
              <w:sdtPr>
                <w:rPr>
                  <w:rFonts w:hint="eastAsia" w:cs="宋体" w:asciiTheme="minorEastAsia" w:hAnsiTheme="minorEastAsia" w:eastAsiaTheme="minorEastAsia"/>
                  <w:color w:val="auto"/>
                  <w:kern w:val="0"/>
                  <w:sz w:val="24"/>
                  <w:highlight w:val="none"/>
                </w:rPr>
                <w:id w:val="823477992"/>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仿宋" w:hAnsi="仿宋" w:eastAsia="仿宋" w:cs="仿宋"/>
                    <w:color w:val="auto"/>
                    <w:sz w:val="24"/>
                    <w:highlight w:val="none"/>
                    <w:lang w:val="en-US" w:eastAsia="zh-CN"/>
                  </w:rPr>
                  <w:t>☐</w:t>
                </w:r>
              </w:sdtContent>
            </w:sdt>
            <w:r>
              <w:rPr>
                <w:rFonts w:hint="eastAsia" w:ascii="仿宋" w:hAnsi="仿宋" w:eastAsia="仿宋" w:cs="仿宋"/>
                <w:color w:val="auto"/>
                <w:sz w:val="24"/>
                <w:highlight w:val="none"/>
                <w:lang w:val="en-US" w:eastAsia="zh-CN"/>
              </w:rPr>
              <w:t>A不组织。</w:t>
            </w:r>
          </w:p>
          <w:p w14:paraId="35E9162D">
            <w:pPr>
              <w:spacing w:line="360" w:lineRule="auto"/>
              <w:rPr>
                <w:rFonts w:hint="eastAsia" w:ascii="仿宋" w:hAnsi="仿宋" w:eastAsia="仿宋" w:cs="仿宋"/>
                <w:color w:val="auto"/>
                <w:sz w:val="24"/>
                <w:highlight w:val="none"/>
                <w:lang w:val="en-US" w:eastAsia="zh-CN"/>
              </w:rPr>
            </w:pPr>
            <w:sdt>
              <w:sdtPr>
                <w:rPr>
                  <w:rFonts w:hint="eastAsia" w:ascii="仿宋" w:hAnsi="仿宋" w:eastAsia="仿宋" w:cs="仿宋"/>
                  <w:color w:val="auto"/>
                  <w:sz w:val="24"/>
                  <w:highlight w:val="none"/>
                  <w:lang w:val="en-US" w:eastAsia="zh-CN"/>
                </w:rPr>
                <w:id w:val="1174071719"/>
                <w14:checkbox>
                  <w14:checked w14:val="1"/>
                  <w14:checkedState w14:val="00FE" w14:font="Wingdings"/>
                  <w14:uncheckedState w14:val="2610" w14:font="MS Gothic"/>
                </w14:checkbox>
              </w:sdtPr>
              <w:sdtEndPr>
                <w:rPr>
                  <w:rFonts w:hint="eastAsia" w:ascii="仿宋" w:hAnsi="仿宋" w:eastAsia="仿宋" w:cs="仿宋"/>
                  <w:color w:val="auto"/>
                  <w:sz w:val="24"/>
                  <w:highlight w:val="none"/>
                  <w:lang w:val="en-US" w:eastAsia="zh-CN"/>
                </w:rPr>
              </w:sdtEndPr>
              <w:sdtContent>
                <w:r>
                  <w:rPr>
                    <w:rFonts w:hint="eastAsia" w:ascii="Wingdings" w:hAnsi="Wingdings" w:eastAsia="仿宋" w:cs="仿宋"/>
                    <w:color w:val="auto"/>
                    <w:kern w:val="2"/>
                    <w:sz w:val="24"/>
                    <w:szCs w:val="24"/>
                    <w:highlight w:val="none"/>
                    <w:lang w:val="en-US" w:eastAsia="zh-CN" w:bidi="ar-SA"/>
                  </w:rPr>
                  <w:t>þ</w:t>
                </w:r>
              </w:sdtContent>
            </w:sdt>
            <w:r>
              <w:rPr>
                <w:rFonts w:hint="eastAsia" w:ascii="仿宋" w:hAnsi="仿宋" w:eastAsia="仿宋" w:cs="仿宋"/>
                <w:color w:val="auto"/>
                <w:sz w:val="24"/>
                <w:highlight w:val="none"/>
                <w:lang w:val="en-US" w:eastAsia="zh-CN"/>
              </w:rPr>
              <w:t>B组织。</w:t>
            </w:r>
          </w:p>
          <w:p w14:paraId="37594F87">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（1）在评审时安排每个供应商进行方案讲解演示。每个供应商时间不超过10分钟，讲解次序以响应文件解密时间先后次序为准，讲解演示人员不超过1人。讲解演示结束后按要求解答评标委员会提问。</w:t>
            </w:r>
          </w:p>
          <w:p w14:paraId="08FF1050">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（2）方案讲解演示选择以下方式：</w:t>
            </w:r>
          </w:p>
          <w:p w14:paraId="7B06B3DC">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现场讲解演示。现场讲解地点为</w:t>
            </w:r>
            <w:r>
              <w:rPr>
                <w:rFonts w:hint="eastAsia" w:ascii="仿宋" w:hAnsi="仿宋" w:eastAsia="仿宋" w:cs="仿宋"/>
                <w:color w:val="auto"/>
                <w:sz w:val="24"/>
                <w:highlight w:val="none"/>
                <w:u w:val="single"/>
              </w:rPr>
              <w:t>公安局滨江区分局老大楼-1楼（泰安路与丹枫路路口往东20米纪律检查委员会-1楼）</w:t>
            </w:r>
            <w:r>
              <w:rPr>
                <w:rFonts w:hint="eastAsia" w:ascii="仿宋" w:hAnsi="仿宋" w:eastAsia="仿宋" w:cs="仿宋"/>
                <w:color w:val="auto"/>
                <w:sz w:val="24"/>
                <w:highlight w:val="none"/>
                <w:lang w:val="en-US" w:eastAsia="zh-CN"/>
              </w:rPr>
              <w:t>，讲解演示所用电脑等设备由供应商自备。现场讲解演示人员进场时提供讲解人员名单（加盖公章或授权代表签名）及身份证明，否则不得讲解演示。</w:t>
            </w:r>
          </w:p>
          <w:p w14:paraId="290C9683">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C04B5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5" w:hRule="atLeast"/>
          <w:tblHeader/>
        </w:trPr>
        <w:tc>
          <w:tcPr>
            <w:tcW w:w="629" w:type="dxa"/>
            <w:vMerge w:val="restart"/>
            <w:tcBorders>
              <w:top w:val="single" w:color="auto" w:sz="4" w:space="0"/>
              <w:left w:val="single" w:color="auto" w:sz="4" w:space="0"/>
              <w:right w:val="single" w:color="auto" w:sz="4" w:space="0"/>
            </w:tcBorders>
            <w:vAlign w:val="center"/>
          </w:tcPr>
          <w:p w14:paraId="35947800">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946A428">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78E9EF3">
            <w:pPr>
              <w:adjustRightInd/>
              <w:spacing w:line="360" w:lineRule="auto"/>
              <w:jc w:val="center"/>
              <w:outlineLvl w:val="0"/>
              <w:rPr>
                <w:rFonts w:ascii="仿宋" w:hAnsi="仿宋" w:eastAsia="仿宋" w:cs="仿宋"/>
                <w:snapToGrid w:val="0"/>
                <w:color w:val="auto"/>
                <w:kern w:val="0"/>
                <w:szCs w:val="21"/>
                <w:highlight w:val="none"/>
              </w:rPr>
            </w:pPr>
            <w:r>
              <w:rPr>
                <w:rFonts w:hint="eastAsia" w:ascii="仿宋" w:hAnsi="仿宋" w:eastAsia="仿宋" w:cs="仿宋"/>
                <w:color w:val="auto"/>
                <w:sz w:val="24"/>
                <w:highlight w:val="none"/>
              </w:rPr>
              <w:t>（1）资格证明文件：</w:t>
            </w:r>
            <w:r>
              <w:rPr>
                <w:rFonts w:hint="eastAsia" w:ascii="仿宋" w:hAnsi="仿宋" w:eastAsia="仿宋" w:cs="仿宋"/>
                <w:color w:val="auto"/>
                <w:kern w:val="0"/>
                <w:sz w:val="24"/>
                <w:highlight w:val="none"/>
                <w:lang w:val="zh-CN"/>
              </w:rPr>
              <w:t>见招标文件第二部分“六、响应文件的编制</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供应商未提供有效的资格证明文件的，视为供应商不具备磋商文件中规定的资格要求，响应无效。</w:t>
            </w:r>
          </w:p>
        </w:tc>
      </w:tr>
      <w:tr w14:paraId="478E39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326AB278">
            <w:pPr>
              <w:snapToGrid w:val="0"/>
              <w:spacing w:line="360" w:lineRule="auto"/>
              <w:jc w:val="center"/>
              <w:rPr>
                <w:rFonts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DFB2321">
            <w:pPr>
              <w:snapToGrid w:val="0"/>
              <w:spacing w:line="360" w:lineRule="auto"/>
              <w:jc w:val="center"/>
              <w:rPr>
                <w:rFonts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EABDFB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（2）资信证明文件：根据磋商文件第四部分评审标准提供。</w:t>
            </w:r>
          </w:p>
        </w:tc>
      </w:tr>
      <w:tr w14:paraId="37194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94A0552">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F4AF62A">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0C9EDB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2"/>
              <w:ind w:firstLine="0" w:firstLineChars="0"/>
              <w:rPr>
                <w:rFonts w:hint="eastAsia" w:ascii="仿宋" w:hAnsi="仿宋" w:eastAsia="仿宋" w:cs="仿宋"/>
                <w:color w:val="auto"/>
                <w:kern w:val="0"/>
                <w:sz w:val="24"/>
                <w:szCs w:val="24"/>
                <w:highlight w:val="none"/>
                <w:lang w:val="en-US" w:eastAsia="zh-CN" w:bidi="ar-SA"/>
              </w:rPr>
            </w:pPr>
            <w:sdt>
              <w:sdtPr>
                <w:rPr>
                  <w:rFonts w:hint="eastAsia" w:ascii="宋体" w:hAnsi="宋体" w:cs="宋体"/>
                  <w:color w:val="auto"/>
                  <w:kern w:val="0"/>
                  <w:sz w:val="24"/>
                  <w:highlight w:val="none"/>
                </w:rPr>
                <w:id w:val="14746184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lang w:val="en-US" w:eastAsia="zh-CN" w:bidi="ar-SA"/>
              </w:rPr>
              <w:t xml:space="preserve">强制采购节能产品。产品：    </w:t>
            </w:r>
          </w:p>
          <w:p w14:paraId="3002CF9E">
            <w:pPr>
              <w:pStyle w:val="72"/>
              <w:ind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□优先采购节能产品。产品：   </w:t>
            </w:r>
          </w:p>
          <w:p w14:paraId="76782679">
            <w:pPr>
              <w:pStyle w:val="72"/>
              <w:ind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□优先采购环保产品。产品：    </w:t>
            </w:r>
          </w:p>
          <w:p w14:paraId="6A9BF24B">
            <w:pPr>
              <w:pStyle w:val="72"/>
              <w:ind w:left="0" w:leftChars="0" w:firstLine="0" w:firstLineChars="0"/>
              <w:rPr>
                <w:color w:val="auto"/>
                <w:highlight w:val="none"/>
              </w:rPr>
            </w:pPr>
            <w:r>
              <w:rPr>
                <w:rFonts w:hint="eastAsia" w:ascii="仿宋" w:hAnsi="仿宋" w:eastAsia="仿宋" w:cs="仿宋"/>
                <w:color w:val="auto"/>
                <w:kern w:val="0"/>
                <w:sz w:val="24"/>
                <w:szCs w:val="24"/>
                <w:highlight w:val="none"/>
                <w:lang w:val="en-US" w:eastAsia="zh-CN" w:bidi="ar-SA"/>
              </w:rPr>
              <w:t>☑无</w:t>
            </w:r>
          </w:p>
        </w:tc>
      </w:tr>
      <w:tr w14:paraId="31218E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3A4F85">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6EB86E5">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8C218D5">
            <w:pPr>
              <w:snapToGrid w:val="0"/>
              <w:spacing w:line="360" w:lineRule="auto"/>
              <w:jc w:val="left"/>
              <w:rPr>
                <w:rFonts w:ascii="仿宋" w:hAnsi="仿宋" w:eastAsia="仿宋" w:cs="仿宋"/>
                <w:b/>
                <w:color w:val="auto"/>
                <w:kern w:val="0"/>
                <w:sz w:val="24"/>
                <w:highlight w:val="none"/>
                <w:lang w:val="zh-CN"/>
              </w:rPr>
            </w:pPr>
            <w:r>
              <w:rPr>
                <w:rFonts w:hint="eastAsia" w:ascii="仿宋" w:hAnsi="仿宋" w:eastAsia="仿宋" w:cs="仿宋"/>
                <w:color w:val="auto"/>
                <w:kern w:val="0"/>
                <w:sz w:val="24"/>
                <w:szCs w:val="24"/>
                <w:highlight w:val="none"/>
                <w:lang w:val="zh-CN" w:eastAsia="zh-CN" w:bidi="ar-SA"/>
              </w:rPr>
              <w:t>有关本项目实施所需的所有费用（含税费）均计入最后报价。《最后报价</w:t>
            </w:r>
            <w:r>
              <w:rPr>
                <w:rFonts w:hint="eastAsia" w:ascii="仿宋" w:hAnsi="仿宋" w:eastAsia="仿宋" w:cs="仿宋"/>
                <w:color w:val="auto"/>
                <w:kern w:val="0"/>
                <w:sz w:val="24"/>
                <w:szCs w:val="24"/>
                <w:highlight w:val="none"/>
                <w:lang w:val="en-US" w:eastAsia="zh-CN" w:bidi="ar-SA"/>
              </w:rPr>
              <w:t>一览表（报价表）</w:t>
            </w:r>
            <w:r>
              <w:rPr>
                <w:rFonts w:hint="eastAsia" w:ascii="仿宋" w:hAnsi="仿宋" w:eastAsia="仿宋" w:cs="仿宋"/>
                <w:color w:val="auto"/>
                <w:kern w:val="0"/>
                <w:sz w:val="24"/>
                <w:szCs w:val="24"/>
                <w:highlight w:val="none"/>
                <w:lang w:val="zh-CN" w:eastAsia="zh-CN" w:bidi="ar-SA"/>
              </w:rPr>
              <w:t>》</w:t>
            </w:r>
            <w:r>
              <w:rPr>
                <w:rFonts w:hint="eastAsia" w:ascii="仿宋" w:hAnsi="仿宋" w:eastAsia="仿宋" w:cs="仿宋"/>
                <w:color w:val="auto"/>
                <w:kern w:val="0"/>
                <w:sz w:val="24"/>
                <w:szCs w:val="24"/>
                <w:highlight w:val="none"/>
                <w:lang w:val="en-US" w:eastAsia="zh-CN" w:bidi="ar-SA"/>
              </w:rPr>
              <w:t>是最后报价的唯一载体</w:t>
            </w:r>
            <w:r>
              <w:rPr>
                <w:rFonts w:hint="eastAsia" w:ascii="仿宋" w:hAnsi="仿宋" w:eastAsia="仿宋" w:cs="仿宋"/>
                <w:color w:val="auto"/>
                <w:kern w:val="0"/>
                <w:sz w:val="24"/>
                <w:szCs w:val="24"/>
                <w:highlight w:val="none"/>
                <w:lang w:val="zh-CN" w:eastAsia="zh-CN" w:bidi="ar-SA"/>
              </w:rPr>
              <w:t>。磋商文件中价格全部采用人民币报价。磋商文件未列明，而供应商认为必需的费用也需列入报价。</w:t>
            </w:r>
            <w:r>
              <w:rPr>
                <w:rFonts w:hint="eastAsia" w:ascii="仿宋" w:hAnsi="仿宋" w:eastAsia="仿宋" w:cs="仿宋"/>
                <w:b/>
                <w:color w:val="auto"/>
                <w:kern w:val="0"/>
                <w:sz w:val="24"/>
                <w:highlight w:val="none"/>
                <w:lang w:val="zh-CN"/>
              </w:rPr>
              <w:t>提醒：验收时检测费用由采购人承担，不包含在最后报价中。</w:t>
            </w:r>
          </w:p>
          <w:p w14:paraId="36535CA1">
            <w:pPr>
              <w:snapToGrid w:val="0"/>
              <w:spacing w:line="360" w:lineRule="auto"/>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最后报价出现下列情形的，响应无效：</w:t>
            </w:r>
          </w:p>
          <w:p w14:paraId="67E68323">
            <w:pPr>
              <w:snapToGrid w:val="0"/>
              <w:spacing w:line="360" w:lineRule="auto"/>
              <w:ind w:firstLine="241" w:firstLineChars="10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响应文件出现不是唯一的、有选择性的最后报价的；</w:t>
            </w:r>
          </w:p>
          <w:p w14:paraId="16DF296D">
            <w:pPr>
              <w:snapToGrid w:val="0"/>
              <w:spacing w:line="360" w:lineRule="auto"/>
              <w:ind w:firstLine="241" w:firstLineChars="100"/>
              <w:jc w:val="left"/>
              <w:rPr>
                <w:rFonts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最后报价超过磋商文件中规定的预算金额或者最高限价的;</w:t>
            </w:r>
          </w:p>
          <w:p w14:paraId="7FF62835">
            <w:pPr>
              <w:spacing w:line="360" w:lineRule="auto"/>
              <w:ind w:firstLine="241" w:firstLineChars="100"/>
              <w:rPr>
                <w:rFonts w:ascii="仿宋" w:hAnsi="仿宋" w:eastAsia="仿宋" w:cs="仿宋"/>
                <w:b/>
                <w:color w:val="auto"/>
                <w:sz w:val="24"/>
                <w:highlight w:val="none"/>
              </w:rPr>
            </w:pPr>
            <w:r>
              <w:rPr>
                <w:rFonts w:hint="eastAsia" w:ascii="仿宋" w:hAnsi="仿宋" w:eastAsia="仿宋" w:cs="仿宋"/>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5613A5A8">
            <w:pPr>
              <w:spacing w:line="360" w:lineRule="auto"/>
              <w:ind w:firstLine="241" w:firstLineChars="100"/>
              <w:rPr>
                <w:rFonts w:ascii="仿宋" w:hAnsi="仿宋" w:eastAsia="仿宋" w:cs="仿宋"/>
                <w:color w:val="auto"/>
                <w:sz w:val="24"/>
                <w:highlight w:val="none"/>
              </w:rPr>
            </w:pPr>
            <w:r>
              <w:rPr>
                <w:rFonts w:hint="eastAsia" w:ascii="仿宋" w:hAnsi="仿宋" w:eastAsia="仿宋" w:cs="仿宋"/>
                <w:b/>
                <w:color w:val="auto"/>
                <w:kern w:val="0"/>
                <w:sz w:val="24"/>
                <w:highlight w:val="none"/>
              </w:rPr>
              <w:t>供应商对根据修正原则修正后的报价不确认的</w:t>
            </w:r>
            <w:r>
              <w:rPr>
                <w:rFonts w:hint="eastAsia" w:ascii="仿宋" w:hAnsi="仿宋" w:eastAsia="仿宋" w:cs="仿宋"/>
                <w:b/>
                <w:color w:val="auto"/>
                <w:sz w:val="24"/>
                <w:highlight w:val="none"/>
              </w:rPr>
              <w:t>。</w:t>
            </w:r>
          </w:p>
        </w:tc>
      </w:tr>
      <w:tr w14:paraId="08287E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43" w:hRule="atLeast"/>
          <w:tblHeader/>
        </w:trPr>
        <w:tc>
          <w:tcPr>
            <w:tcW w:w="629" w:type="dxa"/>
            <w:tcBorders>
              <w:top w:val="single" w:color="auto" w:sz="4" w:space="0"/>
              <w:left w:val="single" w:color="000000" w:sz="8" w:space="0"/>
              <w:right w:val="single" w:color="000000" w:sz="2" w:space="0"/>
            </w:tcBorders>
            <w:vAlign w:val="center"/>
          </w:tcPr>
          <w:p w14:paraId="4E18FCCC">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72A6FA26">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0EA87E04">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F328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540D90C">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0D6459D">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CA2B8AC">
            <w:pPr>
              <w:pStyle w:val="34"/>
              <w:spacing w:line="360" w:lineRule="auto"/>
              <w:rPr>
                <w:rFonts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备份响应文件送达地点：</w:t>
            </w:r>
            <w:r>
              <w:rPr>
                <w:rFonts w:hint="eastAsia" w:ascii="仿宋" w:hAnsi="仿宋" w:eastAsia="仿宋" w:cs="仿宋"/>
                <w:color w:val="auto"/>
                <w:sz w:val="24"/>
                <w:highlight w:val="none"/>
                <w:u w:val="single"/>
              </w:rPr>
              <w:t>公安局滨江区分局老大楼-1楼（泰安路与丹枫路路口往东20米纪律检查委员会-1楼）</w:t>
            </w:r>
            <w:r>
              <w:rPr>
                <w:rFonts w:hint="eastAsia" w:ascii="仿宋" w:hAnsi="仿宋" w:eastAsia="仿宋" w:cs="仿宋"/>
                <w:color w:val="auto"/>
                <w:kern w:val="28"/>
                <w:sz w:val="24"/>
                <w:szCs w:val="24"/>
                <w:highlight w:val="none"/>
              </w:rPr>
              <w:t>；备份响应文件签收人员联系电话：</w:t>
            </w:r>
            <w:r>
              <w:rPr>
                <w:rFonts w:hint="eastAsia" w:ascii="仿宋" w:hAnsi="仿宋" w:eastAsia="仿宋" w:cs="仿宋"/>
                <w:color w:val="auto"/>
                <w:kern w:val="28"/>
                <w:sz w:val="24"/>
                <w:szCs w:val="24"/>
                <w:highlight w:val="none"/>
                <w:lang w:val="en-US" w:eastAsia="zh-CN"/>
              </w:rPr>
              <w:t>朱祺，18057188023</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采购人、采购代理机构不强制或变相强制供应商提交备份响应文件。</w:t>
            </w:r>
          </w:p>
        </w:tc>
      </w:tr>
      <w:tr w14:paraId="1C5D10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829126A">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p>
        </w:tc>
        <w:tc>
          <w:tcPr>
            <w:tcW w:w="1843" w:type="dxa"/>
            <w:vMerge w:val="restart"/>
            <w:tcBorders>
              <w:top w:val="single" w:color="000000" w:sz="8" w:space="0"/>
              <w:left w:val="single" w:color="000000" w:sz="2" w:space="0"/>
              <w:right w:val="single" w:color="000000" w:sz="8" w:space="0"/>
            </w:tcBorders>
            <w:vAlign w:val="center"/>
          </w:tcPr>
          <w:p w14:paraId="27AEF8D5">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C7A9CDB">
            <w:pPr>
              <w:spacing w:line="360" w:lineRule="auto"/>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7C1BAF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53D5D4F6">
            <w:pPr>
              <w:snapToGrid w:val="0"/>
              <w:spacing w:line="360" w:lineRule="auto"/>
              <w:jc w:val="center"/>
              <w:rPr>
                <w:rFonts w:ascii="仿宋" w:hAnsi="仿宋" w:eastAsia="仿宋" w:cs="仿宋"/>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17DCE95E">
            <w:pPr>
              <w:snapToGrid w:val="0"/>
              <w:spacing w:line="360" w:lineRule="auto"/>
              <w:jc w:val="center"/>
              <w:rPr>
                <w:rFonts w:ascii="仿宋" w:hAnsi="仿宋" w:eastAsia="仿宋" w:cs="仿宋"/>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36561BE4">
            <w:pPr>
              <w:spacing w:line="360" w:lineRule="auto"/>
              <w:rPr>
                <w:rFonts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816336663"/>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联合体响应的，联合体各方均需按磋商文件第四部分评审标准要求提供资信证明文件，否则视为不符合相关要求。</w:t>
            </w:r>
          </w:p>
          <w:p w14:paraId="4FF694F3">
            <w:pPr>
              <w:spacing w:line="360" w:lineRule="auto"/>
              <w:rPr>
                <w:rFonts w:ascii="仿宋" w:hAnsi="仿宋" w:eastAsia="仿宋" w:cs="仿宋"/>
                <w:snapToGrid w:val="0"/>
                <w:color w:val="auto"/>
                <w:kern w:val="28"/>
                <w:sz w:val="24"/>
                <w:highlight w:val="none"/>
              </w:rPr>
            </w:pPr>
            <w:r>
              <w:rPr>
                <w:rFonts w:hint="eastAsia" w:ascii="仿宋" w:hAnsi="仿宋" w:eastAsia="仿宋" w:cs="仿宋"/>
                <w:color w:val="auto"/>
                <w:sz w:val="24"/>
                <w:highlight w:val="none"/>
              </w:rPr>
              <w:sym w:font="Wingdings 2" w:char="0052"/>
            </w:r>
            <w:r>
              <w:rPr>
                <w:rFonts w:hint="eastAsia" w:ascii="仿宋" w:hAnsi="仿宋" w:eastAsia="仿宋" w:cs="仿宋"/>
                <w:snapToGrid w:val="0"/>
                <w:color w:val="auto"/>
                <w:kern w:val="28"/>
                <w:sz w:val="24"/>
                <w:highlight w:val="none"/>
              </w:rPr>
              <w:t>联合体响应的，联合体中有一方或者联合体成员根据分工按磋商文件第四部分评审标准要求提供资信证明文件的，视为符合了相关要求。</w:t>
            </w:r>
          </w:p>
        </w:tc>
      </w:tr>
      <w:tr w14:paraId="785538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911FC8F">
            <w:pPr>
              <w:snapToGrid w:val="0"/>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val="0"/>
                <w:bCs/>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38420944">
            <w:pPr>
              <w:snapToGrid w:val="0"/>
              <w:spacing w:line="360" w:lineRule="auto"/>
              <w:jc w:val="center"/>
              <w:rPr>
                <w:rFonts w:hint="eastAsia" w:cs="仿宋_GB2312" w:asciiTheme="minorEastAsia" w:hAnsiTheme="minorEastAsia" w:eastAsiaTheme="minorEastAsia"/>
                <w:b/>
                <w:color w:val="auto"/>
                <w:kern w:val="2"/>
                <w:sz w:val="24"/>
                <w:szCs w:val="24"/>
                <w:highlight w:val="none"/>
                <w:lang w:val="en-US" w:eastAsia="zh-CN" w:bidi="ar-SA"/>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55741F82">
            <w:pPr>
              <w:spacing w:line="360" w:lineRule="auto"/>
              <w:rPr>
                <w:rFonts w:hint="eastAsia" w:ascii="宋体" w:hAnsi="宋体" w:eastAsia="宋体" w:cs="宋体"/>
                <w:color w:val="auto"/>
                <w:kern w:val="0"/>
                <w:sz w:val="24"/>
                <w:szCs w:val="24"/>
                <w:highlight w:val="none"/>
                <w:lang w:val="en" w:eastAsia="zh-CN" w:bidi="ar-SA"/>
              </w:rPr>
            </w:pPr>
            <w:r>
              <w:rPr>
                <w:rFonts w:hint="eastAsia" w:ascii="仿宋" w:hAnsi="仿宋" w:eastAsia="仿宋" w:cs="仿宋"/>
                <w:snapToGrid w:val="0"/>
                <w:color w:val="auto"/>
                <w:kern w:val="28"/>
                <w:sz w:val="24"/>
                <w:highlight w:val="none"/>
                <w:lang w:val="en" w:eastAsia="zh-CN"/>
              </w:rPr>
              <w:t>本项目推荐的成交候选人数量</w:t>
            </w:r>
            <w:r>
              <w:rPr>
                <w:rFonts w:hint="eastAsia" w:ascii="宋体" w:hAnsi="宋体" w:cs="宋体"/>
                <w:color w:val="auto"/>
                <w:kern w:val="0"/>
                <w:sz w:val="24"/>
                <w:highlight w:val="none"/>
                <w:lang w:val="en" w:eastAsia="zh-CN"/>
              </w:rPr>
              <w:t>：</w:t>
            </w:r>
            <w:r>
              <w:rPr>
                <w:rFonts w:hint="eastAsia" w:ascii="宋体" w:hAnsi="宋体" w:cs="宋体"/>
                <w:color w:val="auto"/>
                <w:kern w:val="0"/>
                <w:sz w:val="24"/>
                <w:highlight w:val="none"/>
                <w:u w:val="single"/>
                <w:lang w:val="en-US" w:eastAsia="zh-CN"/>
              </w:rPr>
              <w:t xml:space="preserve"> 2-3名 </w:t>
            </w:r>
            <w:r>
              <w:rPr>
                <w:rFonts w:hint="eastAsia" w:ascii="宋体" w:hAnsi="宋体" w:cs="宋体"/>
                <w:color w:val="auto"/>
                <w:kern w:val="0"/>
                <w:sz w:val="24"/>
                <w:highlight w:val="none"/>
                <w:lang w:val="en" w:eastAsia="zh-CN"/>
              </w:rPr>
              <w:t>。</w:t>
            </w:r>
          </w:p>
        </w:tc>
      </w:tr>
      <w:tr w14:paraId="0A89EE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625" w:hRule="atLeast"/>
          <w:tblHeader/>
        </w:trPr>
        <w:tc>
          <w:tcPr>
            <w:tcW w:w="629" w:type="dxa"/>
            <w:tcBorders>
              <w:top w:val="single" w:color="auto" w:sz="4" w:space="0"/>
              <w:left w:val="single" w:color="auto" w:sz="4" w:space="0"/>
              <w:bottom w:val="single" w:color="auto" w:sz="4" w:space="0"/>
              <w:right w:val="single" w:color="auto" w:sz="4" w:space="0"/>
            </w:tcBorders>
            <w:shd w:val="clear" w:color="auto" w:fill="auto"/>
            <w:vAlign w:val="center"/>
          </w:tcPr>
          <w:p w14:paraId="75E2CD14">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1843" w:type="dxa"/>
            <w:tcBorders>
              <w:top w:val="single" w:color="auto" w:sz="4" w:space="0"/>
              <w:left w:val="single" w:color="auto" w:sz="4" w:space="0"/>
              <w:bottom w:val="single" w:color="auto" w:sz="4" w:space="0"/>
              <w:right w:val="single" w:color="auto" w:sz="4" w:space="0"/>
            </w:tcBorders>
            <w:shd w:val="clear" w:color="auto" w:fill="auto"/>
            <w:vAlign w:val="center"/>
          </w:tcPr>
          <w:p w14:paraId="12293390">
            <w:pPr>
              <w:pStyle w:val="34"/>
              <w:spacing w:line="360" w:lineRule="auto"/>
              <w:jc w:val="center"/>
              <w:rPr>
                <w:rFonts w:ascii="仿宋" w:hAnsi="仿宋" w:eastAsia="仿宋" w:cs="仿宋"/>
                <w:color w:val="auto"/>
                <w:kern w:val="28"/>
                <w:sz w:val="24"/>
                <w:szCs w:val="24"/>
                <w:highlight w:val="none"/>
                <w:lang w:val="en-US" w:eastAsia="zh-CN" w:bidi="ar-SA"/>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auto" w:sz="4" w:space="0"/>
              <w:left w:val="single" w:color="auto" w:sz="4" w:space="0"/>
              <w:bottom w:val="single" w:color="auto" w:sz="4" w:space="0"/>
              <w:right w:val="single" w:color="auto" w:sz="4" w:space="0"/>
            </w:tcBorders>
            <w:shd w:val="clear" w:color="auto" w:fill="auto"/>
            <w:vAlign w:val="center"/>
          </w:tcPr>
          <w:p w14:paraId="2772A867">
            <w:pPr>
              <w:pStyle w:val="34"/>
              <w:spacing w:line="360" w:lineRule="auto"/>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采购代理服务费金额：以中标金额为计算基数，按照国家发改委“计价格【2002】1980号”、“发改办价格【2003】857号”等相关文件，向中标人收取代理服务费。采购代理费用由中标人领取中标通知书时向采购代理机构支付。</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6"/>
              <w:gridCol w:w="1506"/>
              <w:gridCol w:w="1506"/>
              <w:gridCol w:w="1506"/>
            </w:tblGrid>
            <w:tr w14:paraId="722E9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06" w:type="dxa"/>
                </w:tcPr>
                <w:p w14:paraId="79AF49C7">
                  <w:pPr>
                    <w:widowControl/>
                    <w:spacing w:before="100" w:beforeAutospacing="1" w:after="100" w:afterAutospacing="1"/>
                    <w:jc w:val="left"/>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中标金额（万元）</w:t>
                  </w:r>
                </w:p>
              </w:tc>
              <w:tc>
                <w:tcPr>
                  <w:tcW w:w="1506" w:type="dxa"/>
                  <w:vAlign w:val="center"/>
                </w:tcPr>
                <w:p w14:paraId="5AD2A95D">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货物招标</w:t>
                  </w:r>
                </w:p>
              </w:tc>
              <w:tc>
                <w:tcPr>
                  <w:tcW w:w="1506" w:type="dxa"/>
                  <w:vAlign w:val="center"/>
                </w:tcPr>
                <w:p w14:paraId="4CA7AAB9">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服务招标</w:t>
                  </w:r>
                </w:p>
              </w:tc>
              <w:tc>
                <w:tcPr>
                  <w:tcW w:w="1506" w:type="dxa"/>
                  <w:vAlign w:val="center"/>
                </w:tcPr>
                <w:p w14:paraId="0211D1D9">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工程招标</w:t>
                  </w:r>
                </w:p>
              </w:tc>
            </w:tr>
            <w:tr w14:paraId="1CB20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6" w:type="dxa"/>
                </w:tcPr>
                <w:p w14:paraId="6F4FF188">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100以下</w:t>
                  </w:r>
                </w:p>
              </w:tc>
              <w:tc>
                <w:tcPr>
                  <w:tcW w:w="1506" w:type="dxa"/>
                </w:tcPr>
                <w:p w14:paraId="328ADD61">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1.5%</w:t>
                  </w:r>
                </w:p>
              </w:tc>
              <w:tc>
                <w:tcPr>
                  <w:tcW w:w="1506" w:type="dxa"/>
                </w:tcPr>
                <w:p w14:paraId="615FC410">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1.5%</w:t>
                  </w:r>
                </w:p>
              </w:tc>
              <w:tc>
                <w:tcPr>
                  <w:tcW w:w="1506" w:type="dxa"/>
                </w:tcPr>
                <w:p w14:paraId="13D8AEA1">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1.0%</w:t>
                  </w:r>
                </w:p>
              </w:tc>
            </w:tr>
            <w:tr w14:paraId="20E2F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6" w:type="dxa"/>
                </w:tcPr>
                <w:p w14:paraId="76B82E0A">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100-500</w:t>
                  </w:r>
                </w:p>
              </w:tc>
              <w:tc>
                <w:tcPr>
                  <w:tcW w:w="1506" w:type="dxa"/>
                </w:tcPr>
                <w:p w14:paraId="5262C0FC">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1.1%</w:t>
                  </w:r>
                </w:p>
              </w:tc>
              <w:tc>
                <w:tcPr>
                  <w:tcW w:w="1506" w:type="dxa"/>
                </w:tcPr>
                <w:p w14:paraId="205F3128">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0.8%</w:t>
                  </w:r>
                </w:p>
              </w:tc>
              <w:tc>
                <w:tcPr>
                  <w:tcW w:w="1506" w:type="dxa"/>
                </w:tcPr>
                <w:p w14:paraId="0F1151C3">
                  <w:pPr>
                    <w:widowControl/>
                    <w:spacing w:before="100" w:beforeAutospacing="1" w:after="100" w:afterAutospacing="1"/>
                    <w:jc w:val="center"/>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0.7%</w:t>
                  </w:r>
                </w:p>
              </w:tc>
            </w:tr>
          </w:tbl>
          <w:p w14:paraId="2B5D943E">
            <w:pPr>
              <w:pStyle w:val="34"/>
              <w:spacing w:line="360" w:lineRule="auto"/>
              <w:rPr>
                <w:rFonts w:hint="eastAsia" w:ascii="仿宋" w:hAnsi="仿宋" w:eastAsia="仿宋" w:cs="仿宋"/>
                <w:color w:val="auto"/>
                <w:kern w:val="28"/>
                <w:sz w:val="24"/>
                <w:szCs w:val="24"/>
                <w:highlight w:val="none"/>
                <w:lang w:val="en-US" w:eastAsia="zh-CN" w:bidi="ar-SA"/>
              </w:rPr>
            </w:pPr>
          </w:p>
        </w:tc>
      </w:tr>
    </w:tbl>
    <w:p w14:paraId="31AD29F5">
      <w:pPr>
        <w:snapToGrid w:val="0"/>
        <w:jc w:val="center"/>
        <w:rPr>
          <w:rFonts w:ascii="仿宋" w:hAnsi="仿宋" w:eastAsia="仿宋" w:cs="仿宋"/>
          <w:b/>
          <w:color w:val="auto"/>
          <w:sz w:val="32"/>
          <w:szCs w:val="20"/>
          <w:highlight w:val="none"/>
        </w:rPr>
      </w:pPr>
    </w:p>
    <w:p w14:paraId="5D763674">
      <w:pPr>
        <w:adjustRightInd/>
        <w:spacing w:line="360" w:lineRule="auto"/>
        <w:ind w:firstLine="3845" w:firstLineChars="1197"/>
        <w:outlineLvl w:val="0"/>
        <w:rPr>
          <w:rFonts w:ascii="仿宋" w:hAnsi="仿宋" w:eastAsia="仿宋" w:cs="仿宋"/>
          <w:b/>
          <w:color w:val="auto"/>
          <w:sz w:val="32"/>
          <w:szCs w:val="20"/>
          <w:highlight w:val="none"/>
        </w:rPr>
      </w:pPr>
    </w:p>
    <w:p w14:paraId="3BB49685">
      <w:pPr>
        <w:adjustRightInd/>
        <w:spacing w:line="360" w:lineRule="auto"/>
        <w:ind w:firstLine="3845" w:firstLineChars="1197"/>
        <w:outlineLvl w:val="0"/>
        <w:rPr>
          <w:rFonts w:ascii="仿宋" w:hAnsi="仿宋" w:eastAsia="仿宋" w:cs="仿宋"/>
          <w:b/>
          <w:color w:val="auto"/>
          <w:sz w:val="32"/>
          <w:szCs w:val="20"/>
          <w:highlight w:val="none"/>
        </w:rPr>
      </w:pPr>
    </w:p>
    <w:p w14:paraId="50438EBE">
      <w:pPr>
        <w:adjustRightInd/>
        <w:spacing w:line="360" w:lineRule="auto"/>
        <w:ind w:firstLine="3845" w:firstLineChars="1197"/>
        <w:outlineLvl w:val="0"/>
        <w:rPr>
          <w:rFonts w:hint="eastAsia" w:ascii="仿宋" w:hAnsi="仿宋" w:eastAsia="仿宋" w:cs="仿宋"/>
          <w:b/>
          <w:color w:val="auto"/>
          <w:sz w:val="32"/>
          <w:szCs w:val="20"/>
          <w:highlight w:val="none"/>
        </w:rPr>
      </w:pPr>
    </w:p>
    <w:p w14:paraId="50BEC5EA">
      <w:pPr>
        <w:adjustRightInd/>
        <w:spacing w:line="360" w:lineRule="auto"/>
        <w:ind w:firstLine="3845" w:firstLineChars="1197"/>
        <w:outlineLvl w:val="0"/>
        <w:rPr>
          <w:rFonts w:hint="eastAsia" w:ascii="仿宋" w:hAnsi="仿宋" w:eastAsia="仿宋" w:cs="仿宋"/>
          <w:b/>
          <w:color w:val="auto"/>
          <w:sz w:val="32"/>
          <w:szCs w:val="20"/>
          <w:highlight w:val="none"/>
        </w:rPr>
      </w:pPr>
    </w:p>
    <w:p w14:paraId="09F3CFE2">
      <w:pPr>
        <w:adjustRightInd/>
        <w:spacing w:line="360" w:lineRule="auto"/>
        <w:ind w:firstLine="3845" w:firstLineChars="1197"/>
        <w:outlineLvl w:val="0"/>
        <w:rPr>
          <w:rFonts w:hint="eastAsia" w:ascii="仿宋" w:hAnsi="仿宋" w:eastAsia="仿宋" w:cs="仿宋"/>
          <w:b/>
          <w:color w:val="auto"/>
          <w:sz w:val="32"/>
          <w:szCs w:val="20"/>
          <w:highlight w:val="none"/>
        </w:rPr>
      </w:pPr>
    </w:p>
    <w:p w14:paraId="77D25A4C">
      <w:pPr>
        <w:adjustRightInd/>
        <w:spacing w:line="360" w:lineRule="auto"/>
        <w:ind w:firstLine="3845" w:firstLineChars="1197"/>
        <w:outlineLvl w:val="0"/>
        <w:rPr>
          <w:rFonts w:hint="eastAsia" w:ascii="仿宋" w:hAnsi="仿宋" w:eastAsia="仿宋" w:cs="仿宋"/>
          <w:b/>
          <w:color w:val="auto"/>
          <w:sz w:val="32"/>
          <w:szCs w:val="20"/>
          <w:highlight w:val="none"/>
        </w:rPr>
      </w:pPr>
    </w:p>
    <w:p w14:paraId="716D422B">
      <w:pPr>
        <w:adjustRightInd/>
        <w:spacing w:line="360" w:lineRule="auto"/>
        <w:ind w:firstLine="3845" w:firstLineChars="1197"/>
        <w:outlineLvl w:val="0"/>
        <w:rPr>
          <w:rFonts w:hint="eastAsia" w:ascii="仿宋" w:hAnsi="仿宋" w:eastAsia="仿宋" w:cs="仿宋"/>
          <w:b/>
          <w:color w:val="auto"/>
          <w:sz w:val="32"/>
          <w:szCs w:val="20"/>
          <w:highlight w:val="none"/>
        </w:rPr>
      </w:pPr>
    </w:p>
    <w:p w14:paraId="2E397AF9">
      <w:pPr>
        <w:adjustRightInd/>
        <w:spacing w:line="360" w:lineRule="auto"/>
        <w:ind w:firstLine="3845" w:firstLineChars="1197"/>
        <w:outlineLvl w:val="0"/>
        <w:rPr>
          <w:rFonts w:hint="eastAsia" w:ascii="仿宋" w:hAnsi="仿宋" w:eastAsia="仿宋" w:cs="仿宋"/>
          <w:b/>
          <w:color w:val="auto"/>
          <w:sz w:val="32"/>
          <w:szCs w:val="20"/>
          <w:highlight w:val="none"/>
        </w:rPr>
      </w:pPr>
    </w:p>
    <w:p w14:paraId="5A6711C6">
      <w:pPr>
        <w:adjustRightInd/>
        <w:spacing w:line="360" w:lineRule="auto"/>
        <w:ind w:firstLine="3845" w:firstLineChars="1197"/>
        <w:outlineLvl w:val="0"/>
        <w:rPr>
          <w:rFonts w:hint="eastAsia" w:ascii="仿宋" w:hAnsi="仿宋" w:eastAsia="仿宋" w:cs="仿宋"/>
          <w:b/>
          <w:color w:val="auto"/>
          <w:sz w:val="32"/>
          <w:szCs w:val="20"/>
          <w:highlight w:val="none"/>
        </w:rPr>
      </w:pPr>
    </w:p>
    <w:p w14:paraId="07D34C5F">
      <w:pPr>
        <w:adjustRightInd/>
        <w:spacing w:line="360" w:lineRule="auto"/>
        <w:ind w:firstLine="3845" w:firstLineChars="1197"/>
        <w:outlineLvl w:val="0"/>
        <w:rPr>
          <w:rFonts w:hint="eastAsia" w:ascii="仿宋" w:hAnsi="仿宋" w:eastAsia="仿宋" w:cs="仿宋"/>
          <w:b/>
          <w:color w:val="auto"/>
          <w:sz w:val="32"/>
          <w:szCs w:val="20"/>
          <w:highlight w:val="none"/>
        </w:rPr>
      </w:pPr>
    </w:p>
    <w:p w14:paraId="0D26FB72">
      <w:pPr>
        <w:adjustRightInd/>
        <w:spacing w:line="360" w:lineRule="auto"/>
        <w:ind w:firstLine="3845" w:firstLineChars="1197"/>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二、总则</w:t>
      </w:r>
    </w:p>
    <w:p w14:paraId="1B7983A9">
      <w:pPr>
        <w:snapToGrid w:val="0"/>
        <w:spacing w:line="360" w:lineRule="auto"/>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68B5CB72">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本磋商文件适用于该项目的邀请、响应、开启响应文件、信用信息查询、资格性审查、评审、成交、合同、验收等行为（法律、法规另有规定的，从其规定）。</w:t>
      </w:r>
    </w:p>
    <w:p w14:paraId="7182013D">
      <w:pPr>
        <w:adjustRightInd/>
        <w:spacing w:line="360" w:lineRule="auto"/>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3F7CFA6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“采购人”系指磋商邀请公告中载明的本项目的采购人。</w:t>
      </w:r>
    </w:p>
    <w:p w14:paraId="5F286FF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“采购代理机构”系指磋商邀请公告中载明的本项目的采购代理机构。</w:t>
      </w:r>
    </w:p>
    <w:p w14:paraId="48C9FE4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“供应商”系指响应磋商、参加本次竞争的法人、其他组织或自然人。</w:t>
      </w:r>
    </w:p>
    <w:p w14:paraId="3993CDE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5E8541D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”系指经评审确定的成交供应商。</w:t>
      </w:r>
    </w:p>
    <w:p w14:paraId="36E9F79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2.6“响应文件”系指供应商提交的商务技术文件。供应商提交最后报价后，最后报价是供应商响应文件的有效组成部分。</w:t>
      </w:r>
    </w:p>
    <w:p w14:paraId="12019D7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2.7“电子交易平台”系指本项目政府采购活动所依托的政府采购云平台（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ascii="仿宋" w:hAnsi="仿宋" w:eastAsia="仿宋" w:cs="仿宋"/>
          <w:snapToGrid/>
          <w:color w:val="auto"/>
          <w:kern w:val="2"/>
          <w:sz w:val="24"/>
          <w:szCs w:val="24"/>
          <w:highlight w:val="none"/>
        </w:rPr>
        <w:t>https://www.zcygov.cn/</w:t>
      </w:r>
      <w:r>
        <w:rPr>
          <w:rStyle w:val="69"/>
          <w:rFonts w:hint="eastAsia" w:ascii="仿宋" w:hAnsi="仿宋" w:eastAsia="仿宋" w:cs="仿宋"/>
          <w:snapToGrid/>
          <w:color w:val="auto"/>
          <w:kern w:val="2"/>
          <w:sz w:val="24"/>
          <w:szCs w:val="24"/>
          <w:highlight w:val="none"/>
        </w:rPr>
        <w:fldChar w:fldCharType="end"/>
      </w:r>
      <w:r>
        <w:rPr>
          <w:rFonts w:hint="eastAsia" w:ascii="仿宋" w:hAnsi="仿宋" w:eastAsia="仿宋" w:cs="仿宋"/>
          <w:color w:val="auto"/>
          <w:sz w:val="24"/>
          <w:highlight w:val="none"/>
        </w:rPr>
        <w:t>）。</w:t>
      </w:r>
    </w:p>
    <w:p w14:paraId="5D4CF25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06C98EA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2.9 </w:t>
      </w:r>
      <w:r>
        <w:rPr>
          <w:rFonts w:hint="eastAsia" w:ascii="仿宋" w:hAnsi="仿宋" w:eastAsia="仿宋" w:cs="仿宋"/>
          <w:color w:val="auto"/>
          <w:sz w:val="24"/>
          <w:highlight w:val="none"/>
          <w:u w:val="single"/>
        </w:rPr>
        <w:t>“书面形式”包括数据电文形式与纸质形式。数据电文形式与纸质形式的采购活动具有同等法律效力。</w:t>
      </w:r>
    </w:p>
    <w:p w14:paraId="422C4F14">
      <w:pPr>
        <w:snapToGrid w:val="0"/>
        <w:spacing w:line="360" w:lineRule="auto"/>
        <w:ind w:firstLine="480" w:firstLineChars="200"/>
        <w:jc w:val="left"/>
        <w:rPr>
          <w:rFonts w:ascii="仿宋" w:hAnsi="仿宋" w:eastAsia="仿宋" w:cs="仿宋"/>
          <w:b/>
          <w:color w:val="auto"/>
          <w:sz w:val="24"/>
          <w:highlight w:val="none"/>
        </w:rPr>
      </w:pPr>
      <w:r>
        <w:rPr>
          <w:rFonts w:hint="eastAsia" w:ascii="仿宋" w:hAnsi="仿宋" w:eastAsia="仿宋" w:cs="仿宋"/>
          <w:color w:val="auto"/>
          <w:sz w:val="24"/>
          <w:highlight w:val="none"/>
        </w:rPr>
        <w:t>2.10 “▲” 系指实质性要求条款，“</w:t>
      </w:r>
      <w:r>
        <w:rPr>
          <w:rFonts w:hint="eastAsia" w:ascii="仿宋" w:hAnsi="仿宋" w:eastAsia="仿宋" w:cs="仿宋"/>
          <w:color w:val="auto"/>
          <w:sz w:val="24"/>
          <w:highlight w:val="none"/>
        </w:rPr>
        <w:sym w:font="Wingdings 2" w:char="0052"/>
      </w:r>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52E14A36">
      <w:pPr>
        <w:adjustRightInd/>
        <w:spacing w:line="360" w:lineRule="auto"/>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3. 响应有效期</w:t>
      </w:r>
    </w:p>
    <w:p w14:paraId="763F1D65">
      <w:pPr>
        <w:spacing w:line="360" w:lineRule="auto"/>
        <w:ind w:firstLine="480" w:firstLineChars="200"/>
        <w:rPr>
          <w:rFonts w:ascii="仿宋" w:hAnsi="仿宋" w:eastAsia="仿宋" w:cs="仿宋"/>
          <w:b/>
          <w:color w:val="auto"/>
          <w:sz w:val="24"/>
          <w:szCs w:val="21"/>
          <w:highlight w:val="none"/>
        </w:rPr>
      </w:pPr>
      <w:r>
        <w:rPr>
          <w:rFonts w:hint="eastAsia" w:ascii="仿宋" w:hAnsi="仿宋" w:eastAsia="仿宋" w:cs="仿宋"/>
          <w:color w:val="auto"/>
          <w:sz w:val="24"/>
          <w:szCs w:val="20"/>
          <w:highlight w:val="none"/>
        </w:rPr>
        <w:t>▲3.1</w:t>
      </w:r>
      <w:r>
        <w:rPr>
          <w:rFonts w:hint="eastAsia" w:ascii="仿宋" w:hAnsi="仿宋" w:eastAsia="仿宋" w:cs="仿宋"/>
          <w:b/>
          <w:color w:val="auto"/>
          <w:sz w:val="24"/>
          <w:szCs w:val="20"/>
          <w:highlight w:val="none"/>
        </w:rPr>
        <w:t>响应有效期为从提交响应文件的截止之日起90天。供应商的响应文件中承</w:t>
      </w:r>
      <w:r>
        <w:rPr>
          <w:rFonts w:hint="eastAsia" w:ascii="仿宋" w:hAnsi="仿宋" w:eastAsia="仿宋" w:cs="仿宋"/>
          <w:b/>
          <w:color w:val="auto"/>
          <w:sz w:val="24"/>
          <w:szCs w:val="21"/>
          <w:highlight w:val="none"/>
        </w:rPr>
        <w:t>诺的响应有效期少于磋商文件中载明的磋商有效期的，响应无效。</w:t>
      </w:r>
    </w:p>
    <w:p w14:paraId="05D10540">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3.2响应文件合格提交后，自响应截止日期起，在响应有效期内有效。</w:t>
      </w:r>
    </w:p>
    <w:p w14:paraId="7E1BAA51">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仿宋" w:hAnsi="仿宋" w:eastAsia="仿宋" w:cs="仿宋"/>
          <w:color w:val="auto"/>
          <w:szCs w:val="24"/>
          <w:highlight w:val="none"/>
        </w:rPr>
        <w:t>拒绝延长磋商有效期的供应商不得再参与该项目后续采购活动。</w:t>
      </w:r>
    </w:p>
    <w:p w14:paraId="612699EF">
      <w:pPr>
        <w:tabs>
          <w:tab w:val="left" w:pos="3780"/>
        </w:tabs>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4．响应费用</w:t>
      </w:r>
    </w:p>
    <w:p w14:paraId="299F4BD6">
      <w:pPr>
        <w:pStyle w:val="34"/>
        <w:spacing w:line="360" w:lineRule="auto"/>
        <w:ind w:firstLine="360" w:firstLineChars="150"/>
        <w:rPr>
          <w:rFonts w:ascii="仿宋" w:hAnsi="仿宋" w:eastAsia="仿宋" w:cs="仿宋"/>
          <w:color w:val="auto"/>
          <w:sz w:val="24"/>
          <w:highlight w:val="none"/>
          <w:lang w:val="zh-CN"/>
        </w:rPr>
      </w:pPr>
      <w:r>
        <w:rPr>
          <w:rFonts w:hint="eastAsia" w:ascii="仿宋" w:hAnsi="仿宋" w:eastAsia="仿宋" w:cs="仿宋"/>
          <w:color w:val="auto"/>
          <w:sz w:val="24"/>
          <w:highlight w:val="none"/>
        </w:rPr>
        <w:t>供应商需自行承担涉及响应的一切费用</w:t>
      </w:r>
      <w:r>
        <w:rPr>
          <w:rFonts w:hint="eastAsia" w:ascii="仿宋" w:hAnsi="仿宋" w:eastAsia="仿宋" w:cs="仿宋"/>
          <w:color w:val="auto"/>
          <w:sz w:val="24"/>
          <w:highlight w:val="none"/>
          <w:lang w:val="zh-CN"/>
        </w:rPr>
        <w:t>。</w:t>
      </w:r>
    </w:p>
    <w:p w14:paraId="3D1F2312">
      <w:pPr>
        <w:spacing w:line="360" w:lineRule="auto"/>
        <w:jc w:val="center"/>
        <w:rPr>
          <w:rFonts w:ascii="仿宋" w:hAnsi="仿宋" w:eastAsia="仿宋" w:cs="仿宋"/>
          <w:b/>
          <w:color w:val="auto"/>
          <w:sz w:val="24"/>
          <w:highlight w:val="none"/>
        </w:rPr>
      </w:pPr>
    </w:p>
    <w:p w14:paraId="76431266">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三、需要落实的政府采购政策</w:t>
      </w:r>
    </w:p>
    <w:p w14:paraId="1857A756">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1.是否允许采购进口产品要求</w:t>
      </w:r>
    </w:p>
    <w:p w14:paraId="5894BD97">
      <w:pPr>
        <w:pStyle w:val="34"/>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087E4EC1">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2.支持绿色发展</w:t>
      </w:r>
    </w:p>
    <w:p w14:paraId="7B7FF5E4">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7437389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55D48B1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FE7DF3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5E8479C">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3.支持中小企业发展。</w:t>
      </w:r>
    </w:p>
    <w:p w14:paraId="4EB3351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188A5B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10A4FE14">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bCs/>
          <w:color w:val="auto"/>
          <w:sz w:val="24"/>
          <w:highlight w:val="none"/>
        </w:rPr>
        <w:t>3.2</w:t>
      </w:r>
      <w:r>
        <w:rPr>
          <w:rFonts w:hint="eastAsia" w:ascii="仿宋" w:hAnsi="仿宋" w:eastAsia="仿宋" w:cs="仿宋"/>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5702FE1B">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2019BC8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14:paraId="6E48870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3.4符合《关于促进残疾人就业政府采购政策的通知》（财库〔2017〕141号）规定的条件并提供《残疾人福利性单位声明函》（附件3）的残疾人福利性单位视同小型、微型企业；</w:t>
      </w:r>
    </w:p>
    <w:p w14:paraId="086DE41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463FC6E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2901E57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3.7中小企业享受扶持政策获得政府采购合同的，小微企业不得将合同分包给大中型企业，中型企业不得将合同分包给大型企业。</w:t>
      </w:r>
    </w:p>
    <w:p w14:paraId="10F769CA">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bCs/>
          <w:color w:val="auto"/>
          <w:sz w:val="24"/>
          <w:highlight w:val="none"/>
        </w:rPr>
        <w:t>支持创新发展</w:t>
      </w:r>
    </w:p>
    <w:p w14:paraId="533131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4CA3E18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4.</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rPr>
        <w:t xml:space="preserve"> </w:t>
      </w:r>
      <w:r>
        <w:rPr>
          <w:rFonts w:hint="eastAsia" w:ascii="仿宋" w:hAnsi="仿宋" w:eastAsia="仿宋" w:cs="仿宋"/>
          <w:color w:val="auto"/>
          <w:sz w:val="24"/>
          <w:highlight w:val="none"/>
          <w:lang w:val="en-US" w:eastAsia="zh-CN"/>
        </w:rPr>
        <w:t>采购人应当贯彻落实知识产权保护相关法律法规，</w:t>
      </w:r>
      <w:r>
        <w:rPr>
          <w:rFonts w:hint="eastAsia" w:ascii="仿宋" w:hAnsi="仿宋" w:eastAsia="仿宋" w:cs="仿宋"/>
          <w:color w:val="auto"/>
          <w:sz w:val="24"/>
          <w:highlight w:val="none"/>
          <w:lang w:val="en-US"/>
        </w:rPr>
        <w:t>应当采购使用正版软件。</w:t>
      </w:r>
    </w:p>
    <w:p w14:paraId="56E8D798">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5.平等对待内外资企业和符合条件的破产重整企业</w:t>
      </w:r>
    </w:p>
    <w:p w14:paraId="7BDF91E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B796BC3">
      <w:pPr>
        <w:spacing w:line="360" w:lineRule="auto"/>
        <w:ind w:firstLine="480" w:firstLineChars="200"/>
        <w:rPr>
          <w:rFonts w:ascii="仿宋" w:hAnsi="仿宋" w:eastAsia="仿宋" w:cs="仿宋"/>
          <w:color w:val="auto"/>
          <w:sz w:val="24"/>
          <w:highlight w:val="none"/>
        </w:rPr>
      </w:pPr>
    </w:p>
    <w:p w14:paraId="0C1DE122">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四、询问、质疑与投诉</w:t>
      </w:r>
    </w:p>
    <w:p w14:paraId="1F5E5C5F">
      <w:pPr>
        <w:pStyle w:val="34"/>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1.在线询问、质疑、投诉</w:t>
      </w:r>
    </w:p>
    <w:p w14:paraId="52CE98E4">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60851AD">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 供应商询问</w:t>
      </w:r>
    </w:p>
    <w:p w14:paraId="518DD4BF">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9134D4E">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3. 供应商质疑</w:t>
      </w:r>
    </w:p>
    <w:p w14:paraId="7A16DD37">
      <w:pPr>
        <w:pStyle w:val="34"/>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sz w:val="24"/>
          <w:highlight w:val="none"/>
        </w:rPr>
        <w:t>.1质疑提出时效</w:t>
      </w:r>
    </w:p>
    <w:p w14:paraId="444A424F">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3.1.1提出质疑的供应商应当是参与所质疑项目采购活动的供应商。潜在供应商已依法获取其可质疑的采购文件的，可以对该文件提出质疑。</w:t>
      </w:r>
    </w:p>
    <w:p w14:paraId="0C9B3B28">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05C0FA0D">
      <w:pPr>
        <w:pStyle w:val="15"/>
        <w:spacing w:line="360" w:lineRule="auto"/>
        <w:ind w:firstLine="434" w:firstLineChars="181"/>
        <w:rPr>
          <w:rFonts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6619FFA2">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3.1.2.2对采购过程提出质疑的，质疑期限为各采购程序环节结束之日起计算。</w:t>
      </w:r>
    </w:p>
    <w:p w14:paraId="2C29D285">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3.1.2.3对采购结果提出质疑的，质疑期限自采购结果公告期限届满之日起计算。</w:t>
      </w:r>
    </w:p>
    <w:p w14:paraId="57BDBFCC">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3.1.2.4对同一采购程序环节的质疑，供应商须一次性提出。</w:t>
      </w:r>
    </w:p>
    <w:p w14:paraId="0A5726CA">
      <w:pPr>
        <w:pStyle w:val="34"/>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3.2质疑答复</w:t>
      </w:r>
    </w:p>
    <w:p w14:paraId="309E1B86">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3.2.1根据采购人与采购代理机构签订的《杭州市集中采购委托协议》的规定，质疑答复责任主体如下：</w:t>
      </w:r>
    </w:p>
    <w:p w14:paraId="5F6F0105">
      <w:pPr>
        <w:widowControl/>
        <w:adjustRightInd/>
        <w:jc w:val="cente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质疑答复责任主体一览表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A77D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6A0396BE">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质疑内容</w:t>
            </w:r>
          </w:p>
        </w:tc>
        <w:tc>
          <w:tcPr>
            <w:tcW w:w="2232" w:type="dxa"/>
            <w:vAlign w:val="center"/>
          </w:tcPr>
          <w:p w14:paraId="16F6D18E">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质疑答复责任主体</w:t>
            </w:r>
          </w:p>
        </w:tc>
      </w:tr>
      <w:tr w14:paraId="2EB42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4957CC7A">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对采购文件提出质疑</w:t>
            </w:r>
          </w:p>
        </w:tc>
        <w:tc>
          <w:tcPr>
            <w:tcW w:w="4536" w:type="dxa"/>
            <w:vAlign w:val="center"/>
          </w:tcPr>
          <w:p w14:paraId="72D87ACA">
            <w:pPr>
              <w:pStyle w:val="34"/>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对采购文件中特定资格条件、采购需求、评审办法、评审标准提出的质疑</w:t>
            </w:r>
          </w:p>
        </w:tc>
        <w:tc>
          <w:tcPr>
            <w:tcW w:w="2232" w:type="dxa"/>
            <w:vAlign w:val="center"/>
          </w:tcPr>
          <w:p w14:paraId="4088CA09">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w:t>
            </w:r>
          </w:p>
        </w:tc>
      </w:tr>
      <w:tr w14:paraId="069AF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6A3A38F9">
            <w:pPr>
              <w:pStyle w:val="34"/>
              <w:spacing w:line="360" w:lineRule="auto"/>
              <w:jc w:val="center"/>
              <w:rPr>
                <w:rFonts w:ascii="仿宋" w:hAnsi="仿宋" w:eastAsia="仿宋" w:cs="仿宋"/>
                <w:color w:val="auto"/>
                <w:sz w:val="24"/>
                <w:highlight w:val="none"/>
              </w:rPr>
            </w:pPr>
          </w:p>
        </w:tc>
        <w:tc>
          <w:tcPr>
            <w:tcW w:w="4536" w:type="dxa"/>
            <w:vAlign w:val="center"/>
          </w:tcPr>
          <w:p w14:paraId="0C29F1A0">
            <w:pPr>
              <w:pStyle w:val="34"/>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对采购文件中其他内容提出的质疑</w:t>
            </w:r>
          </w:p>
        </w:tc>
        <w:tc>
          <w:tcPr>
            <w:tcW w:w="2232" w:type="dxa"/>
            <w:vAlign w:val="center"/>
          </w:tcPr>
          <w:p w14:paraId="298FA790">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采购代理机构</w:t>
            </w:r>
          </w:p>
        </w:tc>
      </w:tr>
      <w:tr w14:paraId="0606D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044FA63A">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对采购过程提出质疑</w:t>
            </w:r>
          </w:p>
        </w:tc>
        <w:tc>
          <w:tcPr>
            <w:tcW w:w="4536" w:type="dxa"/>
            <w:vAlign w:val="center"/>
          </w:tcPr>
          <w:p w14:paraId="134A0E7E">
            <w:pPr>
              <w:pStyle w:val="34"/>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有关现场考察或开启响应文件前答疑会事项提出的质疑</w:t>
            </w:r>
          </w:p>
        </w:tc>
        <w:tc>
          <w:tcPr>
            <w:tcW w:w="2232" w:type="dxa"/>
            <w:vAlign w:val="center"/>
          </w:tcPr>
          <w:p w14:paraId="1C1373B1">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w:t>
            </w:r>
          </w:p>
        </w:tc>
      </w:tr>
      <w:tr w14:paraId="07619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33215EA">
            <w:pPr>
              <w:pStyle w:val="34"/>
              <w:spacing w:line="360" w:lineRule="auto"/>
              <w:jc w:val="center"/>
              <w:rPr>
                <w:rFonts w:ascii="仿宋" w:hAnsi="仿宋" w:eastAsia="仿宋" w:cs="仿宋"/>
                <w:color w:val="auto"/>
                <w:sz w:val="24"/>
                <w:highlight w:val="none"/>
              </w:rPr>
            </w:pPr>
          </w:p>
        </w:tc>
        <w:tc>
          <w:tcPr>
            <w:tcW w:w="4536" w:type="dxa"/>
            <w:vAlign w:val="center"/>
          </w:tcPr>
          <w:p w14:paraId="7CE1FFE7">
            <w:pPr>
              <w:pStyle w:val="34"/>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对采购过程中其它事项提出的质疑</w:t>
            </w:r>
          </w:p>
        </w:tc>
        <w:tc>
          <w:tcPr>
            <w:tcW w:w="2232" w:type="dxa"/>
            <w:vAlign w:val="center"/>
          </w:tcPr>
          <w:p w14:paraId="5D0705FF">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采购代理机构</w:t>
            </w:r>
          </w:p>
        </w:tc>
      </w:tr>
      <w:tr w14:paraId="7B472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71125785">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对采购结果提出质疑</w:t>
            </w:r>
          </w:p>
        </w:tc>
        <w:tc>
          <w:tcPr>
            <w:tcW w:w="4536" w:type="dxa"/>
            <w:vAlign w:val="center"/>
          </w:tcPr>
          <w:p w14:paraId="732A081B">
            <w:pPr>
              <w:pStyle w:val="34"/>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对采购结果提出的质疑</w:t>
            </w:r>
          </w:p>
        </w:tc>
        <w:tc>
          <w:tcPr>
            <w:tcW w:w="2232" w:type="dxa"/>
            <w:vAlign w:val="center"/>
          </w:tcPr>
          <w:p w14:paraId="01BFD3D5">
            <w:pPr>
              <w:pStyle w:val="34"/>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采购代理机构</w:t>
            </w:r>
          </w:p>
        </w:tc>
      </w:tr>
    </w:tbl>
    <w:p w14:paraId="3C8B53C9">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25C7D45">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 2.3询问或者质疑事项可能影响采购结果的，采购人应当暂停签订合同，已经签订合同的，应当中止履行合同。</w:t>
      </w:r>
    </w:p>
    <w:p w14:paraId="52C9712E">
      <w:pPr>
        <w:pStyle w:val="34"/>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lang w:val="zh-CN"/>
        </w:rPr>
        <w:t>3.3质疑函</w:t>
      </w:r>
    </w:p>
    <w:p w14:paraId="0EE8B376">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3.3.1供应商提出质疑应当提交质疑函和必要的证明材料。质疑函应当包括下列内容：</w:t>
      </w:r>
    </w:p>
    <w:p w14:paraId="3962BB37">
      <w:pPr>
        <w:pStyle w:val="34"/>
        <w:numPr>
          <w:ilvl w:val="0"/>
          <w:numId w:val="4"/>
        </w:numPr>
        <w:tabs>
          <w:tab w:val="left" w:pos="426"/>
          <w:tab w:val="clear" w:pos="840"/>
        </w:tabs>
        <w:spacing w:line="360" w:lineRule="auto"/>
        <w:ind w:left="284"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59169180">
      <w:pPr>
        <w:pStyle w:val="34"/>
        <w:numPr>
          <w:ilvl w:val="0"/>
          <w:numId w:val="4"/>
        </w:numPr>
        <w:tabs>
          <w:tab w:val="left" w:pos="426"/>
          <w:tab w:val="clear" w:pos="840"/>
        </w:tabs>
        <w:spacing w:line="360" w:lineRule="auto"/>
        <w:ind w:left="284"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3F15C38A">
      <w:pPr>
        <w:pStyle w:val="34"/>
        <w:numPr>
          <w:ilvl w:val="0"/>
          <w:numId w:val="4"/>
        </w:numPr>
        <w:tabs>
          <w:tab w:val="left" w:pos="426"/>
          <w:tab w:val="clear" w:pos="840"/>
        </w:tabs>
        <w:spacing w:line="360" w:lineRule="auto"/>
        <w:ind w:left="284"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7FA237CA">
      <w:pPr>
        <w:pStyle w:val="34"/>
        <w:numPr>
          <w:ilvl w:val="0"/>
          <w:numId w:val="4"/>
        </w:numPr>
        <w:tabs>
          <w:tab w:val="left" w:pos="426"/>
          <w:tab w:val="clear" w:pos="840"/>
        </w:tabs>
        <w:spacing w:line="360" w:lineRule="auto"/>
        <w:ind w:left="284"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5B218813">
      <w:pPr>
        <w:pStyle w:val="34"/>
        <w:numPr>
          <w:ilvl w:val="0"/>
          <w:numId w:val="4"/>
        </w:numPr>
        <w:tabs>
          <w:tab w:val="left" w:pos="426"/>
          <w:tab w:val="clear" w:pos="840"/>
        </w:tabs>
        <w:spacing w:line="360" w:lineRule="auto"/>
        <w:ind w:left="284"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22A8FB9D">
      <w:pPr>
        <w:pStyle w:val="34"/>
        <w:numPr>
          <w:ilvl w:val="0"/>
          <w:numId w:val="4"/>
        </w:numPr>
        <w:tabs>
          <w:tab w:val="left" w:pos="426"/>
          <w:tab w:val="clear" w:pos="840"/>
        </w:tabs>
        <w:spacing w:line="360" w:lineRule="auto"/>
        <w:ind w:left="284"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0502BC9D">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71EBE037">
      <w:pPr>
        <w:pStyle w:val="34"/>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质疑函范本及制作说明详见附件1。</w:t>
      </w:r>
    </w:p>
    <w:p w14:paraId="6EC8B653">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4.供应商投诉</w:t>
      </w:r>
    </w:p>
    <w:p w14:paraId="40829B53">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4.1质疑供应商对采购人、采购代理机构的答复不满意或者采购人、采购代理机构未在规定的时间内作出答复的，可以在答复期满后十五个工作日内向同级政府采购监督管理部门提出投诉。</w:t>
      </w:r>
    </w:p>
    <w:p w14:paraId="098CF5D0">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4.2供应商投诉的事项不得超出已质疑事项的范围，基于质疑答复内容提出的投诉事项除外。</w:t>
      </w:r>
    </w:p>
    <w:p w14:paraId="3C8688FD">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4.3供应商投诉应当有明确的请求和必要的证明材料。</w:t>
      </w:r>
    </w:p>
    <w:p w14:paraId="275D1B47">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4.4以联合体形式参加政府采购活动的，其投诉应当由组成联合体的所有供应商共同提出。</w:t>
      </w:r>
    </w:p>
    <w:p w14:paraId="7B221347">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4.5根据政府采购行政裁决省市区三级联动试点工作安排，杭州市本级</w:t>
      </w:r>
      <w:r>
        <w:rPr>
          <w:rFonts w:hint="eastAsia" w:ascii="仿宋" w:hAnsi="仿宋" w:eastAsia="仿宋" w:cs="仿宋"/>
          <w:color w:val="auto"/>
          <w:sz w:val="24"/>
          <w:highlight w:val="none"/>
          <w:lang w:eastAsia="zh-CN"/>
        </w:rPr>
        <w:t>及各区、县（市）</w:t>
      </w:r>
      <w:r>
        <w:rPr>
          <w:rFonts w:hint="eastAsia" w:ascii="仿宋" w:hAnsi="仿宋" w:eastAsia="仿宋" w:cs="仿宋"/>
          <w:color w:val="auto"/>
          <w:sz w:val="24"/>
          <w:highlight w:val="none"/>
        </w:rPr>
        <w:t>政府采购项目投诉材料可寄送至浙江省政府采购行政裁决服务中心（杭州），地址：</w:t>
      </w:r>
      <w:r>
        <w:rPr>
          <w:rFonts w:hint="eastAsia" w:ascii="仿宋" w:hAnsi="仿宋" w:eastAsia="仿宋" w:cs="仿宋"/>
          <w:color w:val="auto"/>
          <w:sz w:val="24"/>
          <w:highlight w:val="none"/>
          <w:lang w:eastAsia="zh-CN"/>
        </w:rPr>
        <w:t>杭州市上城区清泰街549号城建综合大楼11楼</w:t>
      </w:r>
      <w:r>
        <w:rPr>
          <w:rFonts w:hint="eastAsia" w:ascii="仿宋" w:hAnsi="仿宋" w:eastAsia="仿宋" w:cs="仿宋"/>
          <w:color w:val="auto"/>
          <w:sz w:val="24"/>
          <w:highlight w:val="none"/>
        </w:rPr>
        <w:t>（快递仅限ems或顺丰）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收件人：朱女士、王女士，电话：0571-8</w:t>
      </w:r>
      <w:r>
        <w:rPr>
          <w:rFonts w:hint="eastAsia" w:ascii="仿宋" w:hAnsi="仿宋" w:eastAsia="仿宋" w:cs="仿宋"/>
          <w:color w:val="auto"/>
          <w:sz w:val="24"/>
          <w:highlight w:val="none"/>
          <w:lang w:val="en-US" w:eastAsia="zh-CN"/>
        </w:rPr>
        <w:t>7227671,0571-87800218</w:t>
      </w:r>
      <w:r>
        <w:rPr>
          <w:rFonts w:hint="eastAsia" w:ascii="仿宋" w:hAnsi="仿宋" w:eastAsia="仿宋" w:cs="仿宋"/>
          <w:color w:val="auto"/>
          <w:sz w:val="24"/>
          <w:highlight w:val="none"/>
        </w:rPr>
        <w:t>。</w:t>
      </w:r>
    </w:p>
    <w:p w14:paraId="5A6BCAE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补偿救济</w:t>
      </w:r>
    </w:p>
    <w:p w14:paraId="0893CF06">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4E8999FA">
      <w:pPr>
        <w:pStyle w:val="34"/>
        <w:spacing w:line="360" w:lineRule="auto"/>
        <w:ind w:firstLine="480" w:firstLineChars="200"/>
        <w:rPr>
          <w:rFonts w:hint="eastAsia" w:ascii="仿宋" w:hAnsi="仿宋" w:eastAsia="仿宋" w:cs="仿宋"/>
          <w:color w:val="auto"/>
          <w:sz w:val="24"/>
          <w:highlight w:val="none"/>
        </w:rPr>
      </w:pPr>
    </w:p>
    <w:p w14:paraId="489ED142">
      <w:pPr>
        <w:pStyle w:val="34"/>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投诉书范本及制作说明详见附件2。</w:t>
      </w:r>
    </w:p>
    <w:p w14:paraId="6B0E9F09">
      <w:pPr>
        <w:adjustRightInd/>
        <w:spacing w:line="360" w:lineRule="auto"/>
        <w:jc w:val="center"/>
        <w:outlineLvl w:val="0"/>
        <w:rPr>
          <w:rFonts w:ascii="仿宋" w:hAnsi="仿宋" w:eastAsia="仿宋" w:cs="仿宋"/>
          <w:b/>
          <w:color w:val="auto"/>
          <w:sz w:val="32"/>
          <w:szCs w:val="20"/>
          <w:highlight w:val="none"/>
        </w:rPr>
      </w:pPr>
    </w:p>
    <w:p w14:paraId="7AA883B2">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五、磋商文件构成、修改、解释</w:t>
      </w:r>
    </w:p>
    <w:p w14:paraId="4953C3BF">
      <w:pP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1．磋商文件的构成</w:t>
      </w:r>
    </w:p>
    <w:p w14:paraId="487CF038">
      <w:pPr>
        <w:pStyle w:val="34"/>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 磋商文件包括下列文件及附件</w:t>
      </w:r>
    </w:p>
    <w:p w14:paraId="03B4FA26">
      <w:pPr>
        <w:pStyle w:val="34"/>
        <w:numPr>
          <w:ilvl w:val="0"/>
          <w:numId w:val="4"/>
        </w:numPr>
        <w:spacing w:line="360" w:lineRule="auto"/>
        <w:ind w:left="839"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第一部分  竞争性磋商公告</w:t>
      </w:r>
    </w:p>
    <w:p w14:paraId="6CBC5A48">
      <w:pPr>
        <w:pStyle w:val="34"/>
        <w:numPr>
          <w:ilvl w:val="0"/>
          <w:numId w:val="4"/>
        </w:numPr>
        <w:spacing w:line="360" w:lineRule="auto"/>
        <w:ind w:left="839"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第二部分  供应商须知</w:t>
      </w:r>
    </w:p>
    <w:p w14:paraId="322D9138">
      <w:pPr>
        <w:pStyle w:val="34"/>
        <w:numPr>
          <w:ilvl w:val="0"/>
          <w:numId w:val="4"/>
        </w:numPr>
        <w:spacing w:line="360" w:lineRule="auto"/>
        <w:ind w:left="839"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第三部分  采购需求</w:t>
      </w:r>
    </w:p>
    <w:p w14:paraId="4AF4CACF">
      <w:pPr>
        <w:pStyle w:val="34"/>
        <w:numPr>
          <w:ilvl w:val="0"/>
          <w:numId w:val="4"/>
        </w:numPr>
        <w:spacing w:line="360" w:lineRule="auto"/>
        <w:ind w:left="839"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第四部分  评标方法</w:t>
      </w:r>
    </w:p>
    <w:p w14:paraId="6B71F050">
      <w:pPr>
        <w:pStyle w:val="34"/>
        <w:numPr>
          <w:ilvl w:val="0"/>
          <w:numId w:val="4"/>
        </w:numPr>
        <w:spacing w:line="360" w:lineRule="auto"/>
        <w:ind w:left="839"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第五部分  拟签订的合同文本</w:t>
      </w:r>
    </w:p>
    <w:p w14:paraId="75E88AA7">
      <w:pPr>
        <w:pStyle w:val="34"/>
        <w:numPr>
          <w:ilvl w:val="0"/>
          <w:numId w:val="4"/>
        </w:numPr>
        <w:spacing w:line="360" w:lineRule="auto"/>
        <w:ind w:left="839"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第六部分  应提交的有关格式范例</w:t>
      </w:r>
    </w:p>
    <w:p w14:paraId="7D95ED05">
      <w:pPr>
        <w:pStyle w:val="34"/>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1.2 </w:t>
      </w:r>
      <w:r>
        <w:rPr>
          <w:rFonts w:hint="eastAsia" w:ascii="仿宋" w:hAnsi="仿宋" w:eastAsia="仿宋" w:cs="仿宋"/>
          <w:color w:val="auto"/>
          <w:sz w:val="24"/>
          <w:highlight w:val="none"/>
        </w:rPr>
        <w:t>与本项目有关的</w:t>
      </w:r>
      <w:r>
        <w:rPr>
          <w:rFonts w:hint="eastAsia" w:ascii="仿宋" w:hAnsi="仿宋" w:eastAsia="仿宋" w:cs="仿宋"/>
          <w:bCs/>
          <w:color w:val="auto"/>
          <w:sz w:val="24"/>
          <w:highlight w:val="none"/>
        </w:rPr>
        <w:t>澄清或者修改的内容为磋商文件的组成部分</w:t>
      </w:r>
      <w:r>
        <w:rPr>
          <w:rFonts w:hint="eastAsia" w:ascii="仿宋" w:hAnsi="仿宋" w:eastAsia="仿宋" w:cs="仿宋"/>
          <w:color w:val="auto"/>
          <w:sz w:val="24"/>
          <w:highlight w:val="none"/>
        </w:rPr>
        <w:t>。</w:t>
      </w:r>
    </w:p>
    <w:p w14:paraId="7341CF36">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 磋商文件的澄清、修改</w:t>
      </w:r>
    </w:p>
    <w:p w14:paraId="30EA1D14">
      <w:pPr>
        <w:pStyle w:val="395"/>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2.1已获取磋商文件的潜在供应商，若有问题需要澄清，应于提交首次响应文件截止时间前，以书面形式向采购代理机构提出。</w:t>
      </w:r>
    </w:p>
    <w:p w14:paraId="26CD99BF">
      <w:pPr>
        <w:pStyle w:val="395"/>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2.2采购代理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32971D38">
      <w:pPr>
        <w:pStyle w:val="395"/>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2.3澄清或者修改的内容可能影响响应文件编制的，采购人、采购代理机构应当在提交首次响应文件截止时间至少5日前，通过电子交易平台通知所有获取磋商文件的供应商；不足5日的，采购人、采购代理机构应当顺延提交首次响应文件截止时间。</w:t>
      </w:r>
    </w:p>
    <w:p w14:paraId="54D65F0C">
      <w:pPr>
        <w:pStyle w:val="395"/>
        <w:snapToGrid w:val="0"/>
        <w:spacing w:before="0"/>
        <w:ind w:firstLine="482"/>
        <w:rPr>
          <w:rFonts w:ascii="仿宋" w:hAnsi="仿宋" w:eastAsia="仿宋" w:cs="仿宋"/>
          <w:color w:val="auto"/>
          <w:highlight w:val="none"/>
        </w:rPr>
      </w:pPr>
      <w:r>
        <w:rPr>
          <w:rFonts w:hint="eastAsia" w:ascii="仿宋" w:hAnsi="仿宋" w:eastAsia="仿宋" w:cs="仿宋"/>
          <w:b/>
          <w:color w:val="auto"/>
          <w:highlight w:val="none"/>
        </w:rPr>
        <w:t>▲</w:t>
      </w:r>
      <w:r>
        <w:rPr>
          <w:rFonts w:hint="eastAsia" w:ascii="仿宋" w:hAnsi="仿宋" w:eastAsia="仿宋" w:cs="仿宋"/>
          <w:b/>
          <w:color w:val="auto"/>
          <w:szCs w:val="21"/>
          <w:highlight w:val="none"/>
        </w:rPr>
        <w:t>响应文件未按磋商文件的澄清、修改的内容编制，又不符合实质性要求的，响应无效。</w:t>
      </w:r>
    </w:p>
    <w:p w14:paraId="27CA89AF">
      <w:pPr>
        <w:pStyle w:val="22"/>
        <w:rPr>
          <w:rFonts w:ascii="仿宋" w:hAnsi="仿宋" w:eastAsia="仿宋" w:cs="仿宋"/>
          <w:color w:val="auto"/>
          <w:sz w:val="18"/>
          <w:szCs w:val="18"/>
          <w:highlight w:val="none"/>
          <w:lang w:val="en-US"/>
        </w:rPr>
      </w:pPr>
    </w:p>
    <w:p w14:paraId="1B56AA0F">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六、响应文件的编制</w:t>
      </w:r>
    </w:p>
    <w:p w14:paraId="68412B85">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highlight w:val="none"/>
        </w:rPr>
        <w:t>1. 响应文件的语言</w:t>
      </w:r>
    </w:p>
    <w:p w14:paraId="1BF64019">
      <w:pPr>
        <w:pStyle w:val="34"/>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highlight w:val="none"/>
        </w:rPr>
        <w:t>响应文件及供应商与采购有关的来往通知、函件和文件均应使用中文。</w:t>
      </w:r>
    </w:p>
    <w:p w14:paraId="5685FB77">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highlight w:val="none"/>
        </w:rPr>
        <w:t>2. 响应文件的组成</w:t>
      </w:r>
    </w:p>
    <w:p w14:paraId="16785E12">
      <w:pPr>
        <w:pStyle w:val="34"/>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highlight w:val="none"/>
        </w:rPr>
        <w:t>响应文件应当包括以下主要内容：</w:t>
      </w:r>
    </w:p>
    <w:p w14:paraId="1CA198C6">
      <w:pPr>
        <w:pStyle w:val="34"/>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2.1资格文件</w:t>
      </w:r>
    </w:p>
    <w:p w14:paraId="1A55C16A">
      <w:pPr>
        <w:pStyle w:val="34"/>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highlight w:val="none"/>
        </w:rPr>
        <w:t>2.1.1符合参加政府采购活动应当具备的一般条件的承诺函（如以联合体形式参加政府采购活动的，联合体各方均应提交该承诺函）；</w:t>
      </w:r>
    </w:p>
    <w:p w14:paraId="66F13D66">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14F3CC16">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w:t>
      </w:r>
      <w:r>
        <w:rPr>
          <w:rFonts w:hint="eastAsia" w:ascii="仿宋" w:hAnsi="仿宋" w:eastAsia="仿宋" w:cs="仿宋"/>
          <w:snapToGrid w:val="0"/>
          <w:color w:val="auto"/>
          <w:kern w:val="28"/>
          <w:sz w:val="24"/>
          <w:highlight w:val="none"/>
        </w:rPr>
        <w:t>（如果有)；</w:t>
      </w:r>
    </w:p>
    <w:p w14:paraId="7FFD30FC">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2.1.4符合特定资格条件的有关证明材料（如果有）。</w:t>
      </w:r>
      <w:r>
        <w:rPr>
          <w:rFonts w:hint="eastAsia" w:ascii="仿宋" w:hAnsi="仿宋" w:eastAsia="仿宋" w:cs="仿宋"/>
          <w:color w:val="auto"/>
          <w:sz w:val="24"/>
          <w:highlight w:val="none"/>
        </w:rPr>
        <w:tab/>
      </w:r>
    </w:p>
    <w:p w14:paraId="239FD92B">
      <w:pPr>
        <w:pStyle w:val="34"/>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2.2商务技术文件</w:t>
      </w:r>
    </w:p>
    <w:p w14:paraId="63D396A4">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szCs w:val="24"/>
          <w:highlight w:val="none"/>
        </w:rPr>
        <w:t>响应函</w:t>
      </w:r>
    </w:p>
    <w:p w14:paraId="6A82017D">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2.2.2授权委托书或法定代表人（单位负责人、自然人本人）身份证明；</w:t>
      </w:r>
    </w:p>
    <w:p w14:paraId="575D42D9">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2.2.3联合协议；（联合体参与磋商提供）</w:t>
      </w:r>
    </w:p>
    <w:p w14:paraId="47C42809">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2.2.4分包意向协议；（如有分包提供）</w:t>
      </w:r>
    </w:p>
    <w:p w14:paraId="4E4AA8AE">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2.2.5符合性审查资料；</w:t>
      </w:r>
    </w:p>
    <w:p w14:paraId="139091FD">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2.2.6评审标准相应的商务技术资料；</w:t>
      </w:r>
    </w:p>
    <w:p w14:paraId="35E1A136">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2.2.7标的清单</w:t>
      </w:r>
    </w:p>
    <w:p w14:paraId="690AB336">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2.2.8商务技术偏离表；</w:t>
      </w:r>
    </w:p>
    <w:p w14:paraId="5B2BE813">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2.2.9政府采购供应商廉洁自律承诺书；</w:t>
      </w:r>
    </w:p>
    <w:p w14:paraId="41DE5BAE">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2.3报价文件：</w:t>
      </w:r>
    </w:p>
    <w:p w14:paraId="7788C0E4">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2.3.1初始报价表（报价表）；</w:t>
      </w:r>
    </w:p>
    <w:p w14:paraId="452D4206">
      <w:pPr>
        <w:pStyle w:val="34"/>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3. 响应文件的编制和签署</w:t>
      </w:r>
    </w:p>
    <w:p w14:paraId="10570ACF">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lang w:val="zh-CN"/>
        </w:rPr>
        <w:t>3.1各供应商在编制响应文件时请按照磋商文件第</w:t>
      </w:r>
      <w:r>
        <w:rPr>
          <w:rFonts w:hint="eastAsia" w:ascii="仿宋" w:hAnsi="仿宋" w:eastAsia="仿宋" w:cs="仿宋"/>
          <w:color w:val="auto"/>
          <w:kern w:val="0"/>
          <w:sz w:val="24"/>
          <w:highlight w:val="none"/>
        </w:rPr>
        <w:t>六</w:t>
      </w:r>
      <w:r>
        <w:rPr>
          <w:rFonts w:hint="eastAsia" w:ascii="仿宋" w:hAnsi="仿宋" w:eastAsia="仿宋" w:cs="仿宋"/>
          <w:color w:val="auto"/>
          <w:kern w:val="0"/>
          <w:sz w:val="24"/>
          <w:highlight w:val="none"/>
          <w:lang w:val="zh-CN"/>
        </w:rPr>
        <w:t>部分规定的格式进行，混乱的编排导致响应文件被误读或磋商小组查找不到有效文件是供应商的风险。</w:t>
      </w:r>
    </w:p>
    <w:p w14:paraId="5B5D6BDD">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7A3B1EDC">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10356A1F">
      <w:pPr>
        <w:pStyle w:val="395"/>
        <w:snapToGrid w:val="0"/>
        <w:spacing w:before="0"/>
        <w:ind w:firstLine="480"/>
        <w:rPr>
          <w:rFonts w:ascii="仿宋" w:hAnsi="仿宋" w:eastAsia="仿宋" w:cs="仿宋"/>
          <w:b/>
          <w:color w:val="auto"/>
          <w:highlight w:val="none"/>
        </w:rPr>
      </w:pPr>
      <w:r>
        <w:rPr>
          <w:rFonts w:hint="eastAsia" w:ascii="仿宋" w:hAnsi="仿宋" w:eastAsia="仿宋" w:cs="仿宋"/>
          <w:color w:val="auto"/>
          <w:szCs w:val="24"/>
          <w:highlight w:val="none"/>
        </w:rPr>
        <w:t>3.4响应文件按照磋商文件第六部分格式要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▲供应商的响应文件未按照磋商文件要求签署、盖章的，其响应无效</w:t>
      </w:r>
      <w:r>
        <w:rPr>
          <w:rFonts w:hint="eastAsia" w:ascii="仿宋" w:hAnsi="仿宋" w:eastAsia="仿宋" w:cs="仿宋"/>
          <w:color w:val="auto"/>
          <w:szCs w:val="24"/>
          <w:highlight w:val="none"/>
        </w:rPr>
        <w:t>。</w:t>
      </w:r>
    </w:p>
    <w:p w14:paraId="48F6675E">
      <w:pPr>
        <w:pStyle w:val="395"/>
        <w:snapToGrid w:val="0"/>
        <w:spacing w:before="0"/>
        <w:ind w:firstLine="480"/>
        <w:rPr>
          <w:rFonts w:ascii="仿宋" w:hAnsi="仿宋" w:eastAsia="仿宋" w:cs="仿宋"/>
          <w:color w:val="auto"/>
          <w:highlight w:val="none"/>
        </w:rPr>
      </w:pPr>
      <w:r>
        <w:rPr>
          <w:rFonts w:hint="eastAsia" w:ascii="仿宋" w:hAnsi="仿宋" w:eastAsia="仿宋" w:cs="仿宋"/>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7E7E1E96">
      <w:pPr>
        <w:pStyle w:val="395"/>
        <w:snapToGrid w:val="0"/>
        <w:spacing w:before="0"/>
        <w:ind w:firstLine="480"/>
        <w:rPr>
          <w:rFonts w:ascii="仿宋" w:hAnsi="仿宋" w:eastAsia="仿宋" w:cs="仿宋"/>
          <w:color w:val="auto"/>
          <w:szCs w:val="24"/>
          <w:highlight w:val="none"/>
        </w:rPr>
      </w:pPr>
      <w:r>
        <w:rPr>
          <w:rFonts w:hint="eastAsia" w:ascii="仿宋" w:hAnsi="仿宋" w:eastAsia="仿宋" w:cs="仿宋"/>
          <w:color w:val="auto"/>
          <w:highlight w:val="none"/>
        </w:rPr>
        <w:t>3.6磋商文件对响应文件签署、盖章的要求适用于电子签名。</w:t>
      </w:r>
    </w:p>
    <w:p w14:paraId="2B1FE8F9">
      <w:pPr>
        <w:pStyle w:val="34"/>
        <w:spacing w:line="360" w:lineRule="auto"/>
        <w:ind w:firstLine="480" w:firstLineChars="200"/>
        <w:rPr>
          <w:rFonts w:ascii="仿宋" w:hAnsi="仿宋" w:eastAsia="仿宋" w:cs="仿宋"/>
          <w:color w:val="auto"/>
          <w:sz w:val="24"/>
          <w:szCs w:val="24"/>
          <w:highlight w:val="none"/>
        </w:rPr>
      </w:pPr>
    </w:p>
    <w:p w14:paraId="0C9C0B56">
      <w:pPr>
        <w:adjustRightInd/>
        <w:spacing w:line="360" w:lineRule="auto"/>
        <w:jc w:val="center"/>
        <w:outlineLvl w:val="0"/>
        <w:rPr>
          <w:rFonts w:ascii="仿宋" w:hAnsi="仿宋" w:eastAsia="仿宋" w:cs="仿宋"/>
          <w:b/>
          <w:color w:val="auto"/>
          <w:sz w:val="32"/>
          <w:szCs w:val="20"/>
          <w:highlight w:val="none"/>
        </w:rPr>
      </w:pPr>
    </w:p>
    <w:p w14:paraId="0A0D2E0D">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w:t>
      </w:r>
      <w:r>
        <w:rPr>
          <w:rFonts w:hint="eastAsia" w:ascii="仿宋" w:hAnsi="仿宋" w:eastAsia="仿宋" w:cs="仿宋"/>
          <w:b/>
          <w:color w:val="auto"/>
          <w:sz w:val="32"/>
          <w:szCs w:val="32"/>
          <w:highlight w:val="none"/>
        </w:rPr>
        <w:t>响应</w:t>
      </w:r>
      <w:r>
        <w:rPr>
          <w:rFonts w:hint="eastAsia" w:ascii="仿宋" w:hAnsi="仿宋" w:eastAsia="仿宋" w:cs="仿宋"/>
          <w:b/>
          <w:color w:val="auto"/>
          <w:sz w:val="32"/>
          <w:szCs w:val="20"/>
          <w:highlight w:val="none"/>
        </w:rPr>
        <w:t>文件的提交和备份</w:t>
      </w:r>
    </w:p>
    <w:p w14:paraId="76C072C1">
      <w:pPr>
        <w:pStyle w:val="395"/>
        <w:spacing w:before="0"/>
        <w:ind w:firstLine="0" w:firstLineChars="0"/>
        <w:rPr>
          <w:rFonts w:ascii="仿宋" w:hAnsi="仿宋" w:eastAsia="仿宋" w:cs="仿宋"/>
          <w:b/>
          <w:color w:val="auto"/>
          <w:szCs w:val="24"/>
          <w:highlight w:val="none"/>
        </w:rPr>
      </w:pPr>
    </w:p>
    <w:p w14:paraId="151553CF">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1.响应文件的提交、补充、修改、撤回</w:t>
      </w:r>
    </w:p>
    <w:p w14:paraId="1DCAAE6A">
      <w:pPr>
        <w:pStyle w:val="395"/>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7E6BFBC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 在响应截止时间以后，不能补充、修改响应文件。</w:t>
      </w:r>
    </w:p>
    <w:p w14:paraId="30C56D1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 在提交“最后报价”后，供应商不能退出磋商。</w:t>
      </w:r>
    </w:p>
    <w:p w14:paraId="7054869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321CC24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5FA07C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1.6 供应商可事先在公开官网查询、核对相关证书和报告内容，确保投标（响应）文件资料准确无误。供应商应对响应文件中材料的真实性、合法性负责。</w:t>
      </w:r>
    </w:p>
    <w:p w14:paraId="2880668E">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2.备份响应文件</w:t>
      </w:r>
    </w:p>
    <w:p w14:paraId="39E05E61">
      <w:pPr>
        <w:pStyle w:val="34"/>
        <w:spacing w:line="360" w:lineRule="auto"/>
        <w:ind w:firstLine="360" w:firstLineChars="15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2.1 供应商在电子交易平台传输提交响应文件后，还可以在响应截止时间前直接提交或者以邮政快递方式递交备份响应文件1份，</w:t>
      </w:r>
      <w:r>
        <w:rPr>
          <w:rFonts w:hint="eastAsia" w:ascii="仿宋" w:hAnsi="仿宋" w:eastAsia="仿宋" w:cs="仿宋"/>
          <w:b/>
          <w:color w:val="auto"/>
          <w:sz w:val="24"/>
          <w:szCs w:val="24"/>
          <w:highlight w:val="none"/>
        </w:rPr>
        <w:t>但采购人、采购代理机构不强制或变相强制供应商提交备份响应文件。</w:t>
      </w:r>
    </w:p>
    <w:p w14:paraId="161DAEB8">
      <w:pPr>
        <w:pStyle w:val="34"/>
        <w:spacing w:line="360" w:lineRule="auto"/>
        <w:ind w:firstLine="360" w:firstLineChars="15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2.2 备份响应文件须在“政采云投标客户端”制作生成，并储存在不可修改的</w:t>
      </w:r>
      <w:r>
        <w:rPr>
          <w:rFonts w:hint="eastAsia" w:ascii="仿宋" w:hAnsi="仿宋" w:eastAsia="仿宋" w:cs="仿宋"/>
          <w:b/>
          <w:color w:val="auto"/>
          <w:sz w:val="24"/>
          <w:highlight w:val="none"/>
          <w:u w:val="single"/>
        </w:rPr>
        <w:t>电子光盘等存储介质</w:t>
      </w:r>
      <w:r>
        <w:rPr>
          <w:rFonts w:hint="eastAsia" w:ascii="仿宋" w:hAnsi="仿宋" w:eastAsia="仿宋" w:cs="仿宋"/>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存储、密封规定的备份响应文件将被视为无效或者被拒绝接收。</w:t>
      </w:r>
    </w:p>
    <w:p w14:paraId="600191C1">
      <w:pPr>
        <w:pStyle w:val="34"/>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470EE555">
      <w:pPr>
        <w:pStyle w:val="34"/>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二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14:paraId="2D906E66">
      <w:pPr>
        <w:pStyle w:val="34"/>
        <w:spacing w:line="360" w:lineRule="auto"/>
        <w:ind w:firstLine="361" w:firstLineChars="150"/>
        <w:rPr>
          <w:rFonts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2.5 </w:t>
      </w:r>
      <w:r>
        <w:rPr>
          <w:rFonts w:hint="eastAsia" w:ascii="仿宋" w:hAnsi="仿宋" w:eastAsia="仿宋" w:cs="仿宋"/>
          <w:b/>
          <w:color w:val="auto"/>
          <w:sz w:val="24"/>
          <w:highlight w:val="none"/>
        </w:rPr>
        <w:t>▲</w:t>
      </w:r>
      <w:r>
        <w:rPr>
          <w:rFonts w:hint="eastAsia" w:ascii="仿宋" w:hAnsi="仿宋" w:eastAsia="仿宋" w:cs="仿宋"/>
          <w:b/>
          <w:color w:val="auto"/>
          <w:sz w:val="24"/>
          <w:szCs w:val="24"/>
          <w:highlight w:val="none"/>
        </w:rPr>
        <w:t>供应商仅提交备份响应文件，未在电子交易平台传输提交响应文件的，响应无效。</w:t>
      </w:r>
    </w:p>
    <w:p w14:paraId="3F884590">
      <w:pPr>
        <w:adjustRightInd/>
        <w:spacing w:line="360" w:lineRule="auto"/>
        <w:jc w:val="center"/>
        <w:outlineLvl w:val="0"/>
        <w:rPr>
          <w:rFonts w:ascii="仿宋" w:hAnsi="仿宋" w:eastAsia="仿宋" w:cs="仿宋"/>
          <w:b/>
          <w:color w:val="auto"/>
          <w:sz w:val="32"/>
          <w:szCs w:val="20"/>
          <w:highlight w:val="none"/>
        </w:rPr>
      </w:pPr>
    </w:p>
    <w:p w14:paraId="6AC87C0B">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w:t>
      </w:r>
      <w:r>
        <w:rPr>
          <w:rFonts w:hint="eastAsia" w:ascii="仿宋" w:hAnsi="仿宋" w:eastAsia="仿宋" w:cs="仿宋"/>
          <w:b/>
          <w:color w:val="auto"/>
          <w:sz w:val="32"/>
          <w:szCs w:val="32"/>
          <w:highlight w:val="none"/>
        </w:rPr>
        <w:t>开启响应文件与信用信息查询</w:t>
      </w:r>
    </w:p>
    <w:p w14:paraId="2DCABE79">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 开启响应文件</w:t>
      </w:r>
    </w:p>
    <w:p w14:paraId="384831AD">
      <w:pPr>
        <w:pStyle w:val="34"/>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 采购代理机构按照磋商文件规定的时间通过电子交易平台组织响应文件开启，所有供应商均应当准时在线参加。</w:t>
      </w:r>
      <w:r>
        <w:rPr>
          <w:rFonts w:hint="eastAsia" w:ascii="仿宋" w:hAnsi="仿宋" w:eastAsia="仿宋" w:cs="仿宋"/>
          <w:b/>
          <w:color w:val="auto"/>
          <w:sz w:val="24"/>
          <w:szCs w:val="24"/>
          <w:highlight w:val="none"/>
        </w:rPr>
        <w:t>供应商数量不符合规定的，不得开启响应文件。</w:t>
      </w:r>
    </w:p>
    <w:p w14:paraId="70FD19D0">
      <w:pPr>
        <w:pStyle w:val="34"/>
        <w:spacing w:line="360" w:lineRule="auto"/>
        <w:ind w:firstLine="360" w:firstLineChars="1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144DE286">
      <w:pPr>
        <w:pStyle w:val="34"/>
        <w:spacing w:line="360" w:lineRule="auto"/>
        <w:ind w:firstLine="361" w:firstLineChars="15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7010B3A0">
      <w:pPr>
        <w:pStyle w:val="34"/>
        <w:spacing w:line="360" w:lineRule="auto"/>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val="en-US" w:eastAsia="zh-CN"/>
        </w:rPr>
        <w:t>2.</w:t>
      </w:r>
      <w:r>
        <w:rPr>
          <w:rFonts w:hint="eastAsia" w:ascii="仿宋" w:hAnsi="仿宋" w:eastAsia="仿宋" w:cs="仿宋"/>
          <w:b w:val="0"/>
          <w:color w:val="auto"/>
          <w:sz w:val="24"/>
          <w:szCs w:val="24"/>
          <w:highlight w:val="none"/>
        </w:rPr>
        <w:t>资格审查</w:t>
      </w:r>
    </w:p>
    <w:p w14:paraId="2E7C88A7">
      <w:pPr>
        <w:pStyle w:val="34"/>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2.1</w:t>
      </w:r>
      <w:r>
        <w:rPr>
          <w:rFonts w:hint="eastAsia" w:ascii="仿宋" w:hAnsi="仿宋" w:eastAsia="仿宋" w:cs="仿宋"/>
          <w:color w:val="auto"/>
          <w:sz w:val="24"/>
          <w:szCs w:val="24"/>
          <w:highlight w:val="none"/>
        </w:rPr>
        <w:t>采购代理机构依据法律法规和</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文件的规定，对</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的资格进行审查。</w:t>
      </w:r>
    </w:p>
    <w:p w14:paraId="0C2DA4DA">
      <w:pPr>
        <w:pStyle w:val="34"/>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2</w:t>
      </w:r>
      <w:r>
        <w:rPr>
          <w:rFonts w:hint="eastAsia" w:ascii="仿宋" w:hAnsi="仿宋" w:eastAsia="仿宋" w:cs="仿宋"/>
          <w:color w:val="auto"/>
          <w:kern w:val="2"/>
          <w:sz w:val="24"/>
          <w:szCs w:val="24"/>
          <w:highlight w:val="none"/>
        </w:rPr>
        <w:t>.2</w:t>
      </w:r>
      <w:r>
        <w:rPr>
          <w:rFonts w:hint="eastAsia" w:ascii="仿宋" w:hAnsi="仿宋" w:eastAsia="仿宋" w:cs="仿宋"/>
          <w:color w:val="auto"/>
          <w:kern w:val="2"/>
          <w:sz w:val="24"/>
          <w:szCs w:val="24"/>
          <w:highlight w:val="none"/>
          <w:lang w:val="en-US" w:eastAsia="zh-CN"/>
        </w:rPr>
        <w:t>供应商</w:t>
      </w:r>
      <w:r>
        <w:rPr>
          <w:rFonts w:hint="eastAsia" w:ascii="仿宋" w:hAnsi="仿宋" w:eastAsia="仿宋" w:cs="仿宋"/>
          <w:color w:val="auto"/>
          <w:kern w:val="2"/>
          <w:sz w:val="24"/>
          <w:szCs w:val="24"/>
          <w:highlight w:val="none"/>
        </w:rPr>
        <w:t>未按照</w:t>
      </w:r>
      <w:r>
        <w:rPr>
          <w:rFonts w:hint="eastAsia" w:ascii="仿宋" w:hAnsi="仿宋" w:eastAsia="仿宋" w:cs="仿宋"/>
          <w:color w:val="auto"/>
          <w:kern w:val="2"/>
          <w:sz w:val="24"/>
          <w:szCs w:val="24"/>
          <w:highlight w:val="none"/>
          <w:lang w:val="en-US" w:eastAsia="zh-CN"/>
        </w:rPr>
        <w:t>磋商</w:t>
      </w:r>
      <w:r>
        <w:rPr>
          <w:rFonts w:hint="eastAsia" w:ascii="仿宋" w:hAnsi="仿宋" w:eastAsia="仿宋" w:cs="仿宋"/>
          <w:color w:val="auto"/>
          <w:kern w:val="2"/>
          <w:sz w:val="24"/>
          <w:szCs w:val="24"/>
          <w:highlight w:val="none"/>
        </w:rPr>
        <w:t>文件要求提供与</w:t>
      </w:r>
      <w:r>
        <w:rPr>
          <w:rFonts w:hint="eastAsia" w:ascii="仿宋" w:hAnsi="仿宋" w:eastAsia="仿宋" w:cs="仿宋"/>
          <w:color w:val="auto"/>
          <w:sz w:val="24"/>
          <w:szCs w:val="24"/>
          <w:highlight w:val="none"/>
        </w:rPr>
        <w:t>资格条件相应的</w:t>
      </w:r>
      <w:r>
        <w:rPr>
          <w:rFonts w:hint="eastAsia" w:ascii="仿宋" w:hAnsi="仿宋" w:eastAsia="仿宋" w:cs="仿宋"/>
          <w:color w:val="auto"/>
          <w:kern w:val="2"/>
          <w:sz w:val="24"/>
          <w:szCs w:val="24"/>
          <w:highlight w:val="none"/>
        </w:rPr>
        <w:t>有效资格证明材料的，视为</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不具备</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文件中规定的资格要求，其投标无效。</w:t>
      </w:r>
    </w:p>
    <w:p w14:paraId="66B9C7E6">
      <w:pPr>
        <w:pStyle w:val="34"/>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2.3</w:t>
      </w:r>
      <w:r>
        <w:rPr>
          <w:rFonts w:hint="eastAsia" w:ascii="仿宋" w:hAnsi="仿宋" w:eastAsia="仿宋" w:cs="仿宋"/>
          <w:color w:val="auto"/>
          <w:sz w:val="24"/>
          <w:szCs w:val="24"/>
          <w:highlight w:val="none"/>
        </w:rPr>
        <w:t>对未通过资格审查的</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，采购代理机构告知其未通过的原因。</w:t>
      </w:r>
    </w:p>
    <w:p w14:paraId="19FBF335">
      <w:pPr>
        <w:pStyle w:val="34"/>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2.4</w:t>
      </w:r>
      <w:r>
        <w:rPr>
          <w:rFonts w:hint="eastAsia" w:ascii="仿宋" w:hAnsi="仿宋" w:eastAsia="仿宋" w:cs="仿宋"/>
          <w:color w:val="auto"/>
          <w:sz w:val="24"/>
          <w:szCs w:val="24"/>
          <w:highlight w:val="none"/>
        </w:rPr>
        <w:t>合格</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不足3家的</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1"/>
          <w:highlight w:val="none"/>
        </w:rPr>
        <w:t>符合财政部门规定情形的，</w:t>
      </w:r>
      <w:r>
        <w:rPr>
          <w:rFonts w:hint="eastAsia" w:ascii="仿宋" w:hAnsi="仿宋" w:eastAsia="仿宋" w:cs="仿宋"/>
          <w:color w:val="auto"/>
          <w:sz w:val="24"/>
          <w:szCs w:val="21"/>
          <w:highlight w:val="none"/>
          <w:lang w:val="en-US" w:eastAsia="zh-CN"/>
        </w:rPr>
        <w:t>不足</w:t>
      </w:r>
      <w:r>
        <w:rPr>
          <w:rFonts w:hint="eastAsia" w:ascii="仿宋" w:hAnsi="仿宋" w:eastAsia="仿宋" w:cs="仿宋"/>
          <w:color w:val="auto"/>
          <w:sz w:val="24"/>
          <w:szCs w:val="21"/>
          <w:highlight w:val="none"/>
        </w:rPr>
        <w:t>2家</w:t>
      </w:r>
      <w:r>
        <w:rPr>
          <w:rFonts w:hint="eastAsia" w:ascii="仿宋" w:hAnsi="仿宋" w:eastAsia="仿宋" w:cs="仿宋"/>
          <w:color w:val="auto"/>
          <w:sz w:val="24"/>
          <w:szCs w:val="21"/>
          <w:highlight w:val="none"/>
          <w:lang w:val="en-US" w:eastAsia="zh-CN"/>
        </w:rPr>
        <w:t>的</w:t>
      </w:r>
      <w:r>
        <w:rPr>
          <w:rFonts w:hint="eastAsia" w:ascii="仿宋" w:hAnsi="仿宋" w:eastAsia="仿宋" w:cs="仿宋"/>
          <w:color w:val="auto"/>
          <w:sz w:val="24"/>
          <w:szCs w:val="24"/>
          <w:highlight w:val="none"/>
        </w:rPr>
        <w:t>，不再评标。</w:t>
      </w:r>
    </w:p>
    <w:p w14:paraId="5D8E7F94">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3</w:t>
      </w:r>
      <w:r>
        <w:rPr>
          <w:rFonts w:hint="eastAsia" w:ascii="仿宋" w:hAnsi="仿宋" w:eastAsia="仿宋" w:cs="仿宋"/>
          <w:b/>
          <w:color w:val="auto"/>
          <w:szCs w:val="24"/>
          <w:highlight w:val="none"/>
        </w:rPr>
        <w:t>.信用信息查询</w:t>
      </w:r>
    </w:p>
    <w:p w14:paraId="3AD78A67">
      <w:pPr>
        <w:pStyle w:val="395"/>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eastAsia="zh-CN"/>
        </w:rPr>
        <w:t>3</w:t>
      </w:r>
      <w:r>
        <w:rPr>
          <w:rFonts w:hint="eastAsia" w:ascii="仿宋" w:hAnsi="仿宋" w:eastAsia="仿宋" w:cs="仿宋"/>
          <w:color w:val="auto"/>
          <w:kern w:val="0"/>
          <w:szCs w:val="24"/>
          <w:highlight w:val="none"/>
        </w:rPr>
        <w:t>.1信用信息查询渠道及截止时间：采购代理机构将通过“信用中国”网站(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仿宋" w:hAnsi="仿宋" w:eastAsia="仿宋" w:cs="仿宋"/>
          <w:snapToGrid/>
          <w:color w:val="auto"/>
          <w:sz w:val="24"/>
          <w:szCs w:val="24"/>
          <w:highlight w:val="none"/>
        </w:rPr>
        <w:t>www.creditchina.gov.cn</w:t>
      </w:r>
      <w:r>
        <w:rPr>
          <w:rStyle w:val="69"/>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)、中国政府采购网(www.ccgp.gov.cn)渠道查询供应商响应截止时间前的信用记录。</w:t>
      </w:r>
    </w:p>
    <w:p w14:paraId="4842383D">
      <w:pPr>
        <w:pStyle w:val="395"/>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eastAsia="zh-CN"/>
        </w:rPr>
        <w:t>3</w:t>
      </w:r>
      <w:r>
        <w:rPr>
          <w:rFonts w:hint="eastAsia" w:ascii="仿宋" w:hAnsi="仿宋" w:eastAsia="仿宋" w:cs="仿宋"/>
          <w:color w:val="auto"/>
          <w:kern w:val="0"/>
          <w:szCs w:val="24"/>
          <w:highlight w:val="none"/>
        </w:rPr>
        <w:t>.2信用信息查询记录和证据留存的具体方式：现场查询的供应商的信用记录、查询结果经确认后存档。</w:t>
      </w:r>
    </w:p>
    <w:p w14:paraId="12618201">
      <w:pPr>
        <w:pStyle w:val="395"/>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eastAsia="zh-CN"/>
        </w:rPr>
        <w:t>3</w:t>
      </w:r>
      <w:r>
        <w:rPr>
          <w:rFonts w:hint="eastAsia" w:ascii="仿宋" w:hAnsi="仿宋" w:eastAsia="仿宋" w:cs="仿宋"/>
          <w:color w:val="auto"/>
          <w:kern w:val="0"/>
          <w:szCs w:val="24"/>
          <w:highlight w:val="none"/>
        </w:rPr>
        <w:t>.3信用信息的使用规则：经查询列入失信被执行人名单、重大税收违法案件当事人名单、政府采购严重违法失信行为记录名单的供应商将被拒绝参与政府采购活动。</w:t>
      </w:r>
    </w:p>
    <w:p w14:paraId="57D35C32">
      <w:pPr>
        <w:pStyle w:val="395"/>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eastAsia="zh-CN"/>
        </w:rPr>
        <w:t>3</w:t>
      </w:r>
      <w:r>
        <w:rPr>
          <w:rFonts w:hint="eastAsia" w:ascii="仿宋" w:hAnsi="仿宋" w:eastAsia="仿宋" w:cs="仿宋"/>
          <w:color w:val="auto"/>
          <w:kern w:val="0"/>
          <w:szCs w:val="24"/>
          <w:highlight w:val="none"/>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97B1F37">
      <w:pPr>
        <w:adjustRightInd/>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highlight w:val="none"/>
        </w:rPr>
        <w:t>九</w:t>
      </w:r>
      <w:r>
        <w:rPr>
          <w:rFonts w:hint="eastAsia" w:ascii="仿宋" w:hAnsi="仿宋" w:eastAsia="仿宋" w:cs="仿宋"/>
          <w:b/>
          <w:color w:val="auto"/>
          <w:sz w:val="32"/>
          <w:szCs w:val="20"/>
          <w:highlight w:val="none"/>
        </w:rPr>
        <w:t>、提交</w:t>
      </w:r>
      <w:r>
        <w:rPr>
          <w:rFonts w:hint="eastAsia" w:ascii="仿宋" w:hAnsi="仿宋" w:eastAsia="仿宋" w:cs="仿宋"/>
          <w:b/>
          <w:color w:val="auto"/>
          <w:sz w:val="32"/>
          <w:szCs w:val="32"/>
          <w:highlight w:val="none"/>
        </w:rPr>
        <w:t>最后报价</w:t>
      </w:r>
    </w:p>
    <w:p w14:paraId="60B92810">
      <w:pPr>
        <w:snapToGrid w:val="0"/>
        <w:spacing w:line="360" w:lineRule="auto"/>
        <w:rPr>
          <w:rFonts w:ascii="仿宋" w:hAnsi="仿宋" w:eastAsia="仿宋" w:cs="仿宋"/>
          <w:color w:val="auto"/>
          <w:sz w:val="24"/>
          <w:highlight w:val="none"/>
          <w:u w:val="single"/>
          <w:lang w:val="zh-CN"/>
        </w:rPr>
      </w:pPr>
      <w:r>
        <w:rPr>
          <w:rFonts w:hint="eastAsia" w:ascii="仿宋" w:hAnsi="仿宋" w:eastAsia="仿宋" w:cs="仿宋"/>
          <w:b/>
          <w:color w:val="auto"/>
          <w:sz w:val="24"/>
          <w:highlight w:val="none"/>
        </w:rPr>
        <w:t>1.</w:t>
      </w:r>
      <w:r>
        <w:rPr>
          <w:rFonts w:hint="eastAsia" w:ascii="仿宋" w:hAnsi="仿宋" w:eastAsia="仿宋" w:cs="仿宋"/>
          <w:color w:val="auto"/>
          <w:sz w:val="24"/>
          <w:highlight w:val="none"/>
        </w:rPr>
        <w:t>供应商的</w:t>
      </w:r>
      <w:r>
        <w:rPr>
          <w:rFonts w:hint="eastAsia" w:ascii="仿宋" w:hAnsi="仿宋" w:eastAsia="仿宋" w:cs="仿宋"/>
          <w:b/>
          <w:color w:val="auto"/>
          <w:sz w:val="24"/>
          <w:highlight w:val="none"/>
        </w:rPr>
        <w:t>最后报价文件</w:t>
      </w:r>
      <w:r>
        <w:rPr>
          <w:rFonts w:hint="eastAsia" w:ascii="仿宋" w:hAnsi="仿宋" w:eastAsia="仿宋" w:cs="仿宋"/>
          <w:color w:val="auto"/>
          <w:sz w:val="24"/>
          <w:highlight w:val="none"/>
        </w:rPr>
        <w:t>应包括以下内容（均需使用电子签名）：</w:t>
      </w:r>
    </w:p>
    <w:p w14:paraId="2976051A">
      <w:pPr>
        <w:pStyle w:val="34"/>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1.1最后报价一览表；</w:t>
      </w:r>
    </w:p>
    <w:p w14:paraId="5789EB37">
      <w:pPr>
        <w:adjustRightInd/>
        <w:spacing w:line="360" w:lineRule="auto"/>
        <w:jc w:val="center"/>
        <w:outlineLvl w:val="0"/>
        <w:rPr>
          <w:rFonts w:ascii="仿宋" w:hAnsi="仿宋" w:eastAsia="仿宋" w:cs="仿宋"/>
          <w:b/>
          <w:color w:val="auto"/>
          <w:sz w:val="32"/>
          <w:szCs w:val="20"/>
          <w:highlight w:val="none"/>
        </w:rPr>
      </w:pPr>
    </w:p>
    <w:p w14:paraId="6AEE963F">
      <w:pPr>
        <w:adjustRightInd/>
        <w:spacing w:line="360" w:lineRule="auto"/>
        <w:jc w:val="center"/>
        <w:outlineLvl w:val="0"/>
        <w:rPr>
          <w:rFonts w:ascii="仿宋" w:hAnsi="仿宋" w:eastAsia="仿宋" w:cs="仿宋"/>
          <w:b/>
          <w:color w:val="auto"/>
          <w:sz w:val="32"/>
          <w:highlight w:val="none"/>
        </w:rPr>
      </w:pPr>
      <w:r>
        <w:rPr>
          <w:rFonts w:hint="eastAsia" w:ascii="仿宋" w:hAnsi="仿宋" w:eastAsia="仿宋" w:cs="仿宋"/>
          <w:b/>
          <w:color w:val="auto"/>
          <w:sz w:val="32"/>
          <w:szCs w:val="20"/>
          <w:highlight w:val="none"/>
        </w:rPr>
        <w:t>十、</w:t>
      </w:r>
      <w:r>
        <w:rPr>
          <w:rFonts w:hint="eastAsia" w:ascii="仿宋" w:hAnsi="仿宋" w:eastAsia="仿宋" w:cs="仿宋"/>
          <w:b/>
          <w:color w:val="auto"/>
          <w:sz w:val="32"/>
          <w:szCs w:val="32"/>
          <w:highlight w:val="none"/>
        </w:rPr>
        <w:t>评审</w:t>
      </w:r>
    </w:p>
    <w:p w14:paraId="7740B412">
      <w:pPr>
        <w:pStyle w:val="395"/>
        <w:spacing w:before="0"/>
        <w:ind w:firstLine="0" w:firstLineChars="0"/>
        <w:rPr>
          <w:rFonts w:ascii="仿宋" w:hAnsi="仿宋" w:eastAsia="仿宋" w:cs="仿宋"/>
          <w:b/>
          <w:color w:val="auto"/>
          <w:highlight w:val="none"/>
        </w:rPr>
      </w:pPr>
      <w:r>
        <w:rPr>
          <w:rFonts w:hint="eastAsia" w:ascii="仿宋" w:hAnsi="仿宋" w:eastAsia="仿宋" w:cs="仿宋"/>
          <w:b/>
          <w:color w:val="auto"/>
          <w:szCs w:val="24"/>
          <w:highlight w:val="none"/>
        </w:rPr>
        <w:t>1.</w:t>
      </w:r>
      <w:r>
        <w:rPr>
          <w:rFonts w:hint="eastAsia" w:ascii="仿宋" w:hAnsi="仿宋" w:eastAsia="仿宋" w:cs="仿宋"/>
          <w:b/>
          <w:color w:val="auto"/>
          <w:highlight w:val="none"/>
        </w:rPr>
        <w:t xml:space="preserve"> 评审方法：</w:t>
      </w:r>
      <w:r>
        <w:rPr>
          <w:rFonts w:hint="eastAsia" w:ascii="仿宋" w:hAnsi="仿宋" w:eastAsia="仿宋" w:cs="仿宋"/>
          <w:color w:val="auto"/>
          <w:highlight w:val="none"/>
        </w:rPr>
        <w:t>综合评分法。</w:t>
      </w:r>
    </w:p>
    <w:p w14:paraId="01134B7D">
      <w:pPr>
        <w:pStyle w:val="395"/>
        <w:spacing w:before="0"/>
        <w:ind w:firstLine="0" w:firstLineChars="0"/>
        <w:rPr>
          <w:rFonts w:ascii="仿宋" w:hAnsi="仿宋" w:eastAsia="仿宋" w:cs="仿宋"/>
          <w:b/>
          <w:color w:val="auto"/>
          <w:highlight w:val="none"/>
        </w:rPr>
      </w:pPr>
      <w:r>
        <w:rPr>
          <w:rFonts w:hint="eastAsia" w:ascii="仿宋" w:hAnsi="仿宋" w:eastAsia="仿宋" w:cs="仿宋"/>
          <w:b/>
          <w:color w:val="auto"/>
          <w:highlight w:val="none"/>
        </w:rPr>
        <w:t>2. 价格分计算方法：</w:t>
      </w:r>
      <w:r>
        <w:rPr>
          <w:rFonts w:hint="eastAsia" w:ascii="仿宋" w:hAnsi="仿宋" w:eastAsia="仿宋" w:cs="仿宋"/>
          <w:color w:val="auto"/>
          <w:highlight w:val="none"/>
        </w:rPr>
        <w:t>低价优先法。</w:t>
      </w:r>
    </w:p>
    <w:p w14:paraId="529844E0">
      <w:pPr>
        <w:pStyle w:val="395"/>
        <w:spacing w:before="0"/>
        <w:ind w:firstLine="0" w:firstLineChars="0"/>
        <w:rPr>
          <w:rFonts w:ascii="仿宋" w:hAnsi="仿宋" w:eastAsia="仿宋" w:cs="仿宋"/>
          <w:color w:val="auto"/>
          <w:szCs w:val="24"/>
          <w:highlight w:val="none"/>
        </w:rPr>
      </w:pPr>
      <w:r>
        <w:rPr>
          <w:rFonts w:hint="eastAsia" w:ascii="仿宋" w:hAnsi="仿宋" w:eastAsia="仿宋" w:cs="仿宋"/>
          <w:b/>
          <w:color w:val="auto"/>
          <w:highlight w:val="none"/>
        </w:rPr>
        <w:t>3. 评审要求：</w:t>
      </w:r>
      <w:r>
        <w:rPr>
          <w:rFonts w:hint="eastAsia" w:ascii="仿宋" w:hAnsi="仿宋" w:eastAsia="仿宋" w:cs="仿宋"/>
          <w:color w:val="auto"/>
          <w:highlight w:val="none"/>
        </w:rPr>
        <w:t>详见磋商文件第四部分。</w:t>
      </w:r>
    </w:p>
    <w:p w14:paraId="6EB8D09F">
      <w:pPr>
        <w:adjustRightInd/>
        <w:spacing w:line="360" w:lineRule="auto"/>
        <w:jc w:val="center"/>
        <w:outlineLvl w:val="0"/>
        <w:rPr>
          <w:rFonts w:ascii="仿宋" w:hAnsi="仿宋" w:eastAsia="仿宋" w:cs="仿宋"/>
          <w:color w:val="auto"/>
          <w:sz w:val="24"/>
          <w:highlight w:val="none"/>
        </w:rPr>
      </w:pPr>
    </w:p>
    <w:p w14:paraId="081D187A">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十一、</w:t>
      </w:r>
      <w:r>
        <w:rPr>
          <w:rFonts w:hint="eastAsia" w:ascii="仿宋" w:hAnsi="仿宋" w:eastAsia="仿宋" w:cs="仿宋"/>
          <w:b/>
          <w:color w:val="auto"/>
          <w:sz w:val="32"/>
          <w:szCs w:val="32"/>
          <w:highlight w:val="none"/>
        </w:rPr>
        <w:t>成交</w:t>
      </w:r>
    </w:p>
    <w:p w14:paraId="1BEC96B8">
      <w:pPr>
        <w:pStyle w:val="34"/>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highlight w:val="none"/>
        </w:rPr>
        <w:t>1. 推荐成交候选供应商</w:t>
      </w:r>
    </w:p>
    <w:p w14:paraId="41CD99F6">
      <w:pPr>
        <w:spacing w:line="360" w:lineRule="auto"/>
        <w:ind w:firstLine="465" w:firstLineChars="194"/>
        <w:rPr>
          <w:rFonts w:asciiTheme="minorEastAsia" w:hAnsiTheme="minorEastAsia" w:eastAsiaTheme="minorEastAsia"/>
          <w:color w:val="auto"/>
          <w:sz w:val="24"/>
          <w:szCs w:val="21"/>
          <w:highlight w:val="none"/>
        </w:rPr>
      </w:pPr>
      <w:r>
        <w:rPr>
          <w:rFonts w:hint="eastAsia" w:ascii="仿宋" w:hAnsi="仿宋" w:eastAsia="仿宋" w:cs="仿宋"/>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仿宋" w:hAnsi="仿宋" w:eastAsia="仿宋" w:cs="仿宋"/>
          <w:color w:val="auto"/>
          <w:sz w:val="24"/>
          <w:szCs w:val="21"/>
          <w:highlight w:val="none"/>
          <w:lang w:val="en" w:eastAsia="zh-CN"/>
        </w:rPr>
        <w:t>本项目推荐的成交候选人数量：</w:t>
      </w:r>
      <w:r>
        <w:rPr>
          <w:rFonts w:hint="eastAsia" w:ascii="仿宋" w:hAnsi="仿宋" w:eastAsia="仿宋" w:cs="仿宋"/>
          <w:color w:val="auto"/>
          <w:sz w:val="24"/>
          <w:szCs w:val="21"/>
          <w:highlight w:val="none"/>
          <w:u w:val="single"/>
          <w:lang w:val="en-US" w:eastAsia="zh-CN"/>
        </w:rPr>
        <w:t xml:space="preserve"> 2-3名  </w:t>
      </w:r>
      <w:r>
        <w:rPr>
          <w:rFonts w:hint="eastAsia" w:ascii="仿宋" w:hAnsi="仿宋" w:eastAsia="仿宋" w:cs="仿宋"/>
          <w:color w:val="auto"/>
          <w:sz w:val="24"/>
          <w:szCs w:val="21"/>
          <w:highlight w:val="none"/>
          <w:lang w:val="en-US" w:eastAsia="zh-CN"/>
        </w:rPr>
        <w:t>。</w:t>
      </w:r>
    </w:p>
    <w:p w14:paraId="65F29DED">
      <w:pPr>
        <w:pStyle w:val="34"/>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 确定成交供应商</w:t>
      </w:r>
    </w:p>
    <w:p w14:paraId="252907DA">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ascii="仿宋" w:hAnsi="仿宋" w:eastAsia="仿宋" w:cs="仿宋"/>
          <w:color w:val="auto"/>
          <w:sz w:val="24"/>
          <w:highlight w:val="none"/>
          <w:lang w:val="en-US" w:eastAsia="zh-CN"/>
        </w:rPr>
        <w:t>鼓励</w:t>
      </w:r>
      <w:r>
        <w:rPr>
          <w:rFonts w:hint="eastAsia" w:ascii="仿宋" w:hAnsi="仿宋" w:eastAsia="仿宋" w:cs="仿宋"/>
          <w:color w:val="auto"/>
          <w:sz w:val="24"/>
          <w:highlight w:val="none"/>
        </w:rPr>
        <w:t>在收到评审报告当天</w:t>
      </w:r>
      <w:r>
        <w:rPr>
          <w:rFonts w:hint="eastAsia" w:ascii="仿宋" w:hAnsi="仿宋" w:eastAsia="仿宋" w:cs="仿宋"/>
          <w:color w:val="auto"/>
          <w:sz w:val="24"/>
          <w:highlight w:val="none"/>
          <w:lang w:val="en-US" w:eastAsia="zh-CN"/>
        </w:rPr>
        <w:t>在线</w:t>
      </w:r>
      <w:r>
        <w:rPr>
          <w:rFonts w:hint="eastAsia" w:ascii="仿宋" w:hAnsi="仿宋" w:eastAsia="仿宋" w:cs="仿宋"/>
          <w:color w:val="auto"/>
          <w:sz w:val="24"/>
          <w:highlight w:val="none"/>
        </w:rPr>
        <w:t>确定中标或者成交供应商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成交通知书和成交结果公告应当在规定时间内同时发出。</w:t>
      </w:r>
    </w:p>
    <w:p w14:paraId="76B26E8A">
      <w:pPr>
        <w:tabs>
          <w:tab w:val="left" w:pos="0"/>
        </w:tabs>
        <w:spacing w:line="360" w:lineRule="auto"/>
        <w:rPr>
          <w:rFonts w:ascii="仿宋" w:hAnsi="仿宋" w:eastAsia="仿宋" w:cs="仿宋"/>
          <w:color w:val="auto"/>
          <w:kern w:val="0"/>
          <w:sz w:val="24"/>
          <w:highlight w:val="none"/>
        </w:rPr>
      </w:pPr>
      <w:r>
        <w:rPr>
          <w:rFonts w:hint="eastAsia" w:ascii="仿宋" w:hAnsi="仿宋" w:eastAsia="仿宋" w:cs="仿宋"/>
          <w:b/>
          <w:color w:val="auto"/>
          <w:sz w:val="24"/>
          <w:highlight w:val="none"/>
        </w:rPr>
        <w:t>3．成交通知及成交结果公告</w:t>
      </w:r>
    </w:p>
    <w:p w14:paraId="7266F377">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szCs w:val="21"/>
          <w:highlight w:val="none"/>
        </w:rPr>
        <w:t>3.1自</w:t>
      </w:r>
      <w:r>
        <w:rPr>
          <w:rFonts w:hint="eastAsia" w:ascii="仿宋" w:hAnsi="仿宋" w:eastAsia="仿宋" w:cs="仿宋"/>
          <w:color w:val="auto"/>
          <w:sz w:val="24"/>
          <w:szCs w:val="21"/>
          <w:highlight w:val="none"/>
          <w:lang w:eastAsia="zh-CN"/>
        </w:rPr>
        <w:t>投标人</w:t>
      </w:r>
      <w:r>
        <w:rPr>
          <w:rFonts w:hint="eastAsia" w:ascii="仿宋" w:hAnsi="仿宋" w:eastAsia="仿宋" w:cs="仿宋"/>
          <w:color w:val="auto"/>
          <w:sz w:val="24"/>
          <w:szCs w:val="21"/>
          <w:highlight w:val="none"/>
        </w:rPr>
        <w:t>确定之日起2个工作日内，采购代理机构通过电子交易平台向</w:t>
      </w:r>
      <w:r>
        <w:rPr>
          <w:rFonts w:hint="eastAsia" w:ascii="仿宋" w:hAnsi="仿宋" w:eastAsia="仿宋" w:cs="仿宋"/>
          <w:color w:val="auto"/>
          <w:sz w:val="24"/>
          <w:szCs w:val="21"/>
          <w:highlight w:val="none"/>
          <w:lang w:eastAsia="zh-CN"/>
        </w:rPr>
        <w:t>投标人</w:t>
      </w:r>
      <w:r>
        <w:rPr>
          <w:rFonts w:hint="eastAsia" w:ascii="仿宋" w:hAnsi="仿宋" w:eastAsia="仿宋" w:cs="仿宋"/>
          <w:color w:val="auto"/>
          <w:sz w:val="24"/>
          <w:szCs w:val="21"/>
          <w:highlight w:val="none"/>
        </w:rPr>
        <w:t>发出成交通知书，</w:t>
      </w:r>
      <w:r>
        <w:rPr>
          <w:rFonts w:hint="eastAsia" w:ascii="仿宋" w:hAnsi="仿宋" w:eastAsia="仿宋" w:cs="仿宋"/>
          <w:color w:val="auto"/>
          <w:sz w:val="24"/>
          <w:highlight w:val="none"/>
        </w:rPr>
        <w:t>同时编制发布采购</w:t>
      </w:r>
      <w:r>
        <w:rPr>
          <w:rFonts w:hint="eastAsia" w:ascii="仿宋" w:hAnsi="仿宋" w:eastAsia="仿宋" w:cs="仿宋"/>
          <w:color w:val="auto"/>
          <w:sz w:val="24"/>
          <w:szCs w:val="21"/>
          <w:highlight w:val="none"/>
        </w:rPr>
        <w:t>成交结果公告。</w:t>
      </w:r>
      <w:r>
        <w:rPr>
          <w:rFonts w:hint="eastAsia" w:ascii="仿宋" w:hAnsi="仿宋" w:eastAsia="仿宋" w:cs="仿宋"/>
          <w:color w:val="auto"/>
          <w:sz w:val="24"/>
          <w:highlight w:val="none"/>
        </w:rPr>
        <w:t>采购代理机构也可以以纸质形式进行成交通知。</w:t>
      </w:r>
    </w:p>
    <w:p w14:paraId="1B3233DD">
      <w:pPr>
        <w:spacing w:line="360" w:lineRule="auto"/>
        <w:ind w:firstLine="360" w:firstLineChars="150"/>
        <w:rPr>
          <w:rFonts w:ascii="仿宋" w:hAnsi="仿宋" w:eastAsia="仿宋" w:cs="仿宋"/>
          <w:color w:val="auto"/>
          <w:sz w:val="24"/>
          <w:szCs w:val="21"/>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szCs w:val="21"/>
          <w:highlight w:val="none"/>
        </w:rPr>
        <w:t>成交</w:t>
      </w:r>
      <w:r>
        <w:rPr>
          <w:rFonts w:hint="eastAsia" w:ascii="仿宋" w:hAnsi="仿宋" w:eastAsia="仿宋" w:cs="仿宋"/>
          <w:color w:val="auto"/>
          <w:sz w:val="24"/>
          <w:highlight w:val="none"/>
        </w:rPr>
        <w:t>结果公告内容包括采购人及其委托的采购代理机构的名称、地址、联系方式，项目名称和项目编号，</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名称、地址和成交金额，主要中标标的的名称、规格型号、数量、单价、服务要求，开标记录、</w:t>
      </w:r>
      <w:bookmarkStart w:id="53" w:name="_Hlk101184471"/>
      <w:r>
        <w:rPr>
          <w:rFonts w:hint="eastAsia" w:ascii="仿宋" w:hAnsi="仿宋" w:eastAsia="仿宋" w:cs="仿宋"/>
          <w:color w:val="auto"/>
          <w:sz w:val="24"/>
          <w:highlight w:val="none"/>
        </w:rPr>
        <w:t>资格审查情况、评审专家抽取规则、符合性审查情况、</w:t>
      </w:r>
      <w:bookmarkEnd w:id="53"/>
      <w:r>
        <w:rPr>
          <w:rFonts w:hint="eastAsia" w:ascii="仿宋" w:hAnsi="仿宋" w:eastAsia="仿宋" w:cs="仿宋"/>
          <w:color w:val="auto"/>
          <w:sz w:val="24"/>
          <w:highlight w:val="none"/>
        </w:rPr>
        <w:t>未成交情况说明、成交公告期限以及评审专家名单、评分汇总及明细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中小企业声明函</w:t>
      </w:r>
      <w:r>
        <w:rPr>
          <w:rFonts w:hint="eastAsia" w:ascii="仿宋" w:hAnsi="仿宋" w:eastAsia="仿宋" w:cs="仿宋"/>
          <w:color w:val="auto"/>
          <w:sz w:val="24"/>
          <w:highlight w:val="none"/>
        </w:rPr>
        <w:t>。</w:t>
      </w:r>
    </w:p>
    <w:p w14:paraId="3A0B4883">
      <w:pPr>
        <w:spacing w:line="360" w:lineRule="auto"/>
        <w:ind w:firstLine="360" w:firstLineChars="15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3.3公告期限为1个工作日。</w:t>
      </w:r>
    </w:p>
    <w:p w14:paraId="0C6459E0">
      <w:pPr>
        <w:spacing w:line="360" w:lineRule="auto"/>
        <w:ind w:firstLine="360" w:firstLineChars="15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3.4 </w:t>
      </w:r>
      <w:r>
        <w:rPr>
          <w:rFonts w:hint="eastAsia" w:ascii="仿宋" w:hAnsi="仿宋" w:eastAsia="仿宋" w:cs="仿宋"/>
          <w:color w:val="auto"/>
          <w:sz w:val="24"/>
          <w:highlight w:val="none"/>
        </w:rPr>
        <w:t>由于成交供应商原因导致重新采购的，应当承担支付代理费和专家评审费等费用在内的赔偿责任。</w:t>
      </w:r>
    </w:p>
    <w:p w14:paraId="53C2EC9D">
      <w:pPr>
        <w:snapToGrid w:val="0"/>
        <w:spacing w:line="360" w:lineRule="auto"/>
        <w:jc w:val="center"/>
        <w:outlineLvl w:val="0"/>
        <w:rPr>
          <w:rFonts w:ascii="仿宋" w:hAnsi="仿宋" w:eastAsia="仿宋" w:cs="仿宋"/>
          <w:b/>
          <w:color w:val="auto"/>
          <w:sz w:val="36"/>
          <w:szCs w:val="36"/>
          <w:highlight w:val="none"/>
        </w:rPr>
      </w:pPr>
    </w:p>
    <w:p w14:paraId="6B1B43A2">
      <w:pPr>
        <w:snapToGrid w:val="0"/>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十二、合同</w:t>
      </w:r>
    </w:p>
    <w:p w14:paraId="6D89F646">
      <w:pPr>
        <w:tabs>
          <w:tab w:val="left" w:pos="0"/>
        </w:tabs>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1.合同主要条款：</w:t>
      </w:r>
      <w:r>
        <w:rPr>
          <w:rFonts w:hint="eastAsia" w:ascii="仿宋" w:hAnsi="仿宋" w:eastAsia="仿宋" w:cs="仿宋"/>
          <w:color w:val="auto"/>
          <w:sz w:val="24"/>
          <w:highlight w:val="none"/>
        </w:rPr>
        <w:t>详见“第五部分拟签订的合同文本”。</w:t>
      </w:r>
    </w:p>
    <w:p w14:paraId="2294D6FC">
      <w:pPr>
        <w:tabs>
          <w:tab w:val="left" w:pos="0"/>
        </w:tabs>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2.合同的签订</w:t>
      </w:r>
    </w:p>
    <w:p w14:paraId="65721D58">
      <w:pPr>
        <w:widowControl/>
        <w:shd w:val="clear" w:color="auto" w:fill="FFFFFF"/>
        <w:spacing w:line="360" w:lineRule="auto"/>
        <w:ind w:firstLine="480"/>
        <w:jc w:val="left"/>
        <w:rPr>
          <w:rFonts w:ascii="仿宋" w:hAnsi="仿宋" w:eastAsia="仿宋" w:cs="仿宋"/>
          <w:color w:val="auto"/>
          <w:kern w:val="0"/>
          <w:sz w:val="24"/>
          <w:highlight w:val="none"/>
        </w:rPr>
      </w:pPr>
      <w:r>
        <w:rPr>
          <w:rFonts w:hint="eastAsia" w:ascii="仿宋" w:hAnsi="仿宋" w:eastAsia="仿宋" w:cs="仿宋"/>
          <w:color w:val="auto"/>
          <w:szCs w:val="21"/>
          <w:highlight w:val="none"/>
        </w:rPr>
        <w:t>2.1</w:t>
      </w:r>
      <w:r>
        <w:rPr>
          <w:rFonts w:hint="eastAsia" w:ascii="仿宋" w:hAnsi="仿宋" w:eastAsia="仿宋" w:cs="仿宋"/>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E3B1C8C">
      <w:pPr>
        <w:pStyle w:val="395"/>
        <w:snapToGrid w:val="0"/>
        <w:spacing w:before="0"/>
        <w:ind w:firstLine="480"/>
        <w:rPr>
          <w:rFonts w:ascii="仿宋" w:hAnsi="仿宋" w:eastAsia="仿宋" w:cs="仿宋"/>
          <w:color w:val="auto"/>
          <w:kern w:val="0"/>
          <w:highlight w:val="none"/>
        </w:rPr>
      </w:pPr>
      <w:r>
        <w:rPr>
          <w:rFonts w:hint="eastAsia" w:ascii="仿宋" w:hAnsi="仿宋" w:eastAsia="仿宋" w:cs="仿宋"/>
          <w:color w:val="auto"/>
          <w:kern w:val="0"/>
          <w:highlight w:val="none"/>
          <w:lang w:val="zh-CN"/>
        </w:rPr>
        <w:t>2.2投标人按规定的日期、时间、地点，由法定代表人或其授权代表与采购人代表签订合同。如投标人为联合体的，由联合体成员各方法定代表人或其授权代表与采购人代表签订合同。</w:t>
      </w:r>
    </w:p>
    <w:p w14:paraId="37E1982E">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2D2AD03">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653CAB8">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2.5如签订合同并生效后，供应商无故拒绝或延期，除按照合同条款处理外，列入不良行为记录一次，并给予通报。</w:t>
      </w:r>
    </w:p>
    <w:p w14:paraId="0457D87C">
      <w:pPr>
        <w:pStyle w:val="395"/>
        <w:snapToGrid w:val="0"/>
        <w:spacing w:before="0" w:after="120"/>
        <w:ind w:firstLine="480"/>
        <w:rPr>
          <w:rFonts w:ascii="仿宋" w:hAnsi="仿宋" w:eastAsia="仿宋" w:cs="仿宋"/>
          <w:color w:val="auto"/>
          <w:highlight w:val="none"/>
        </w:rPr>
      </w:pPr>
      <w:r>
        <w:rPr>
          <w:rFonts w:hint="eastAsia" w:ascii="仿宋" w:hAnsi="仿宋" w:eastAsia="仿宋" w:cs="仿宋"/>
          <w:color w:val="auto"/>
          <w:highlight w:val="none"/>
        </w:rPr>
        <w:t>2.6采购合同由采购人与成交供应商根据磋商文件、响应文件等内容通过政府采购电子交易平台在线签订，自动备案。</w:t>
      </w:r>
    </w:p>
    <w:p w14:paraId="0C1AFED1">
      <w:pPr>
        <w:tabs>
          <w:tab w:val="left" w:pos="0"/>
        </w:tabs>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3．履约保证金</w:t>
      </w:r>
    </w:p>
    <w:p w14:paraId="7209A82F">
      <w:pPr>
        <w:tabs>
          <w:tab w:val="left" w:pos="0"/>
        </w:tabs>
        <w:spacing w:line="360" w:lineRule="auto"/>
        <w:ind w:firstLine="482"/>
        <w:rPr>
          <w:rFonts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B4AE884">
      <w:pPr>
        <w:tabs>
          <w:tab w:val="left" w:pos="0"/>
        </w:tabs>
        <w:spacing w:line="360" w:lineRule="auto"/>
        <w:ind w:firstLine="482"/>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snapToGrid w:val="0"/>
          <w:color w:val="auto"/>
          <w:kern w:val="28"/>
          <w:sz w:val="24"/>
          <w:highlight w:val="none"/>
          <w:lang w:val="en-US" w:eastAsia="zh-CN"/>
        </w:rPr>
        <w:t>95763</w:t>
      </w:r>
      <w:r>
        <w:rPr>
          <w:rFonts w:hint="eastAsia" w:ascii="仿宋" w:hAnsi="仿宋" w:eastAsia="仿宋" w:cs="仿宋"/>
          <w:snapToGrid w:val="0"/>
          <w:color w:val="auto"/>
          <w:kern w:val="28"/>
          <w:sz w:val="24"/>
          <w:highlight w:val="none"/>
        </w:rPr>
        <w:t>。</w:t>
      </w:r>
    </w:p>
    <w:p w14:paraId="71C0805E">
      <w:pPr>
        <w:pStyle w:val="3"/>
        <w:numPr>
          <w:ilvl w:val="255"/>
          <w:numId w:val="0"/>
        </w:numPr>
        <w:rPr>
          <w:rFonts w:ascii="仿宋" w:eastAsia="仿宋" w:cs="仿宋"/>
          <w:color w:val="auto"/>
          <w:highlight w:val="none"/>
        </w:rPr>
      </w:pPr>
      <w:r>
        <w:rPr>
          <w:rFonts w:hint="eastAsia" w:ascii="仿宋" w:eastAsia="仿宋" w:cs="仿宋"/>
          <w:color w:val="auto"/>
          <w:sz w:val="24"/>
          <w:highlight w:val="none"/>
          <w:lang w:val="en-US"/>
        </w:rPr>
        <w:t>4.预付款</w:t>
      </w:r>
    </w:p>
    <w:p w14:paraId="6058900E">
      <w:pPr>
        <w:adjustRightInd/>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snapToGrid w:val="0"/>
          <w:color w:val="auto"/>
          <w:kern w:val="28"/>
          <w:sz w:val="24"/>
          <w:highlight w:val="none"/>
          <w:lang w:val="en-US" w:eastAsia="zh-CN"/>
        </w:rPr>
        <w:t>95763</w:t>
      </w:r>
      <w:r>
        <w:rPr>
          <w:rFonts w:hint="eastAsia" w:ascii="仿宋" w:hAnsi="仿宋" w:eastAsia="仿宋" w:cs="仿宋"/>
          <w:color w:val="auto"/>
          <w:sz w:val="24"/>
          <w:highlight w:val="none"/>
        </w:rPr>
        <w:t>。</w:t>
      </w:r>
    </w:p>
    <w:p w14:paraId="25976D7B">
      <w:pPr>
        <w:tabs>
          <w:tab w:val="left" w:pos="0"/>
        </w:tabs>
        <w:spacing w:line="360" w:lineRule="auto"/>
        <w:rPr>
          <w:rFonts w:ascii="仿宋" w:hAnsi="仿宋" w:eastAsia="仿宋" w:cs="仿宋"/>
          <w:snapToGrid w:val="0"/>
          <w:color w:val="auto"/>
          <w:kern w:val="28"/>
          <w:sz w:val="24"/>
          <w:highlight w:val="none"/>
        </w:rPr>
      </w:pPr>
    </w:p>
    <w:p w14:paraId="49541CBF">
      <w:pPr>
        <w:snapToGrid w:val="0"/>
        <w:spacing w:line="360" w:lineRule="auto"/>
        <w:jc w:val="center"/>
        <w:rPr>
          <w:rFonts w:ascii="仿宋" w:hAnsi="仿宋" w:eastAsia="仿宋" w:cs="仿宋"/>
          <w:b/>
          <w:color w:val="auto"/>
          <w:sz w:val="36"/>
          <w:szCs w:val="36"/>
          <w:highlight w:val="none"/>
        </w:rPr>
      </w:pPr>
    </w:p>
    <w:p w14:paraId="1955468C">
      <w:pPr>
        <w:snapToGrid w:val="0"/>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十三、验收</w:t>
      </w:r>
    </w:p>
    <w:p w14:paraId="1C3731F2">
      <w:pPr>
        <w:pStyle w:val="25"/>
        <w:spacing w:line="360" w:lineRule="auto"/>
        <w:ind w:firstLine="0" w:firstLineChars="0"/>
        <w:rPr>
          <w:rFonts w:ascii="仿宋" w:hAnsi="仿宋" w:eastAsia="仿宋" w:cs="仿宋"/>
          <w:b/>
          <w:color w:val="auto"/>
          <w:highlight w:val="none"/>
        </w:rPr>
      </w:pPr>
      <w:r>
        <w:rPr>
          <w:rFonts w:hint="eastAsia" w:ascii="仿宋" w:hAnsi="仿宋" w:eastAsia="仿宋" w:cs="仿宋"/>
          <w:b/>
          <w:color w:val="auto"/>
          <w:highlight w:val="none"/>
        </w:rPr>
        <w:t>1.验收</w:t>
      </w:r>
    </w:p>
    <w:p w14:paraId="0809A273">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7F0A0F0">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1.2采购人可以邀请参加本项目的其他供应商或者第三方机构参与验收。参与验收的供应商或者第三方机构的意见作为验收书的参考资料一并存档。</w:t>
      </w:r>
    </w:p>
    <w:p w14:paraId="7E0DB973">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F3D44A9">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755D911">
      <w:pPr>
        <w:tabs>
          <w:tab w:val="left" w:pos="0"/>
        </w:tabs>
        <w:spacing w:line="360" w:lineRule="auto"/>
        <w:ind w:firstLine="480"/>
        <w:rPr>
          <w:rFonts w:hint="eastAsia" w:ascii="仿宋" w:hAnsi="仿宋" w:eastAsia="仿宋" w:cs="仿宋"/>
          <w:color w:val="auto"/>
          <w:kern w:val="0"/>
          <w:sz w:val="24"/>
          <w:highlight w:val="none"/>
          <w:lang w:val="en-US"/>
        </w:rPr>
      </w:pP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lang w:val="en-US"/>
        </w:rPr>
        <w:t>.5 对于满足合同约定的采购资金支付条件的，供应商可通过政采云平台提起在线支付申请、查询支付结果，路径为政采云-我的工作台-</w:t>
      </w:r>
      <w:r>
        <w:rPr>
          <w:rFonts w:hint="eastAsia" w:ascii="仿宋" w:hAnsi="仿宋" w:eastAsia="仿宋" w:cs="仿宋"/>
          <w:color w:val="auto"/>
          <w:kern w:val="0"/>
          <w:sz w:val="24"/>
          <w:highlight w:val="none"/>
          <w:lang w:val="en-US" w:eastAsia="zh-CN"/>
        </w:rPr>
        <w:t>合同管理</w:t>
      </w:r>
      <w:r>
        <w:rPr>
          <w:rFonts w:hint="eastAsia" w:ascii="仿宋" w:hAnsi="仿宋" w:eastAsia="仿宋" w:cs="仿宋"/>
          <w:color w:val="auto"/>
          <w:kern w:val="0"/>
          <w:sz w:val="24"/>
          <w:highlight w:val="none"/>
          <w:lang w:val="en-US"/>
        </w:rPr>
        <w:t>-支付管理。对于供应商提起在线支付申请的，采购</w:t>
      </w:r>
      <w:r>
        <w:rPr>
          <w:rFonts w:hint="eastAsia" w:ascii="仿宋" w:hAnsi="仿宋" w:eastAsia="仿宋" w:cs="仿宋"/>
          <w:color w:val="auto"/>
          <w:kern w:val="0"/>
          <w:sz w:val="24"/>
          <w:highlight w:val="none"/>
          <w:lang w:val="en-US" w:eastAsia="zh-CN"/>
        </w:rPr>
        <w:t>人</w:t>
      </w:r>
      <w:r>
        <w:rPr>
          <w:rFonts w:hint="eastAsia" w:ascii="仿宋" w:hAnsi="仿宋" w:eastAsia="仿宋" w:cs="仿宋"/>
          <w:color w:val="auto"/>
          <w:kern w:val="0"/>
          <w:sz w:val="24"/>
          <w:highlight w:val="none"/>
          <w:lang w:val="en-US"/>
        </w:rPr>
        <w:t>应当</w:t>
      </w:r>
      <w:r>
        <w:rPr>
          <w:rFonts w:hint="eastAsia" w:ascii="仿宋" w:hAnsi="仿宋" w:eastAsia="仿宋" w:cs="仿宋"/>
          <w:color w:val="auto"/>
          <w:kern w:val="0"/>
          <w:sz w:val="24"/>
          <w:highlight w:val="none"/>
          <w:lang w:val="en-US" w:eastAsia="zh-CN"/>
        </w:rPr>
        <w:t>按规定</w:t>
      </w:r>
      <w:r>
        <w:rPr>
          <w:rFonts w:hint="eastAsia" w:ascii="仿宋" w:hAnsi="仿宋" w:eastAsia="仿宋" w:cs="仿宋"/>
          <w:color w:val="auto"/>
          <w:kern w:val="0"/>
          <w:sz w:val="24"/>
          <w:highlight w:val="none"/>
          <w:lang w:val="en-US"/>
        </w:rPr>
        <w:t>做好审核并完成支付。</w:t>
      </w:r>
    </w:p>
    <w:p w14:paraId="36C669D2">
      <w:pPr>
        <w:snapToGrid w:val="0"/>
        <w:spacing w:line="360" w:lineRule="auto"/>
        <w:jc w:val="center"/>
        <w:rPr>
          <w:rFonts w:ascii="仿宋" w:hAnsi="仿宋" w:eastAsia="仿宋" w:cs="仿宋"/>
          <w:b/>
          <w:color w:val="auto"/>
          <w:sz w:val="36"/>
          <w:szCs w:val="36"/>
          <w:highlight w:val="none"/>
        </w:rPr>
      </w:pPr>
    </w:p>
    <w:p w14:paraId="754047CC">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36"/>
          <w:szCs w:val="36"/>
          <w:highlight w:val="none"/>
        </w:rPr>
        <w:t>十四、电子交易活动的中止</w:t>
      </w:r>
    </w:p>
    <w:p w14:paraId="0295019D">
      <w:pPr>
        <w:tabs>
          <w:tab w:val="left" w:pos="0"/>
        </w:tabs>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 电子交易活动的中止</w:t>
      </w:r>
    </w:p>
    <w:p w14:paraId="6974A286">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采购过程中出现以下情形，导致电子交易平台无法正常运行，或者无法保证电子交易的公平、公正和安全时，采购代理机构可中止电子交易活动：</w:t>
      </w:r>
    </w:p>
    <w:p w14:paraId="7DDC0FDA">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1.1电子交易平台发生故障而无法登录访问的； </w:t>
      </w:r>
    </w:p>
    <w:p w14:paraId="3E3B752E">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1.2电子交易平台应用或数据库出现错误，不能进行正常操作的；</w:t>
      </w:r>
    </w:p>
    <w:p w14:paraId="4BBD5B3A">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1.3电子交易平台发现严重安全漏洞，有潜在泄密危险的；</w:t>
      </w:r>
    </w:p>
    <w:p w14:paraId="41E21EDF">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1.4病毒发作导致不能进行正常操作的； </w:t>
      </w:r>
    </w:p>
    <w:p w14:paraId="5B1D0A69">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1.5其他无法保证电子交易的公平、公正和安全的情况。</w:t>
      </w:r>
    </w:p>
    <w:p w14:paraId="66C652C0">
      <w:pPr>
        <w:tabs>
          <w:tab w:val="left" w:pos="0"/>
        </w:tabs>
        <w:spacing w:line="360" w:lineRule="auto"/>
        <w:rPr>
          <w:rFonts w:ascii="仿宋" w:hAnsi="仿宋" w:eastAsia="仿宋" w:cs="仿宋"/>
          <w:b/>
          <w:color w:val="auto"/>
          <w:sz w:val="36"/>
          <w:szCs w:val="36"/>
          <w:highlight w:val="none"/>
        </w:rPr>
      </w:pPr>
      <w:r>
        <w:rPr>
          <w:rFonts w:hint="eastAsia" w:ascii="仿宋" w:hAnsi="仿宋" w:eastAsia="仿宋" w:cs="仿宋"/>
          <w:b/>
          <w:color w:val="auto"/>
          <w:kern w:val="0"/>
          <w:sz w:val="24"/>
          <w:highlight w:val="none"/>
        </w:rPr>
        <w:t>2.</w:t>
      </w:r>
      <w:r>
        <w:rPr>
          <w:rFonts w:hint="eastAsia" w:ascii="仿宋" w:hAnsi="仿宋" w:eastAsia="仿宋" w:cs="仿宋"/>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07468"/>
      <w:bookmarkEnd w:id="54"/>
      <w:bookmarkStart w:id="55" w:name="_Hlt75236101"/>
      <w:bookmarkEnd w:id="55"/>
      <w:bookmarkStart w:id="56" w:name="_Hlt75236011"/>
      <w:bookmarkEnd w:id="56"/>
      <w:bookmarkStart w:id="57" w:name="_Hlt74729768"/>
      <w:bookmarkEnd w:id="57"/>
      <w:bookmarkStart w:id="58" w:name="_Hlt75236290"/>
      <w:bookmarkEnd w:id="58"/>
      <w:bookmarkStart w:id="59" w:name="_Hlt68072990"/>
      <w:bookmarkEnd w:id="59"/>
      <w:bookmarkStart w:id="60" w:name="_Hlt74730295"/>
      <w:bookmarkEnd w:id="60"/>
      <w:bookmarkStart w:id="61" w:name="_Hlt68057669"/>
      <w:bookmarkEnd w:id="61"/>
      <w:bookmarkStart w:id="62" w:name="_Hlt74714665"/>
      <w:bookmarkEnd w:id="62"/>
      <w:bookmarkStart w:id="63" w:name="第三部分"/>
      <w:bookmarkStart w:id="64" w:name="_Toc164416483"/>
      <w:r>
        <w:rPr>
          <w:rFonts w:hint="eastAsia" w:ascii="仿宋" w:hAnsi="仿宋" w:eastAsia="仿宋" w:cs="仿宋"/>
          <w:b/>
          <w:color w:val="auto"/>
          <w:sz w:val="36"/>
          <w:szCs w:val="36"/>
          <w:highlight w:val="none"/>
        </w:rPr>
        <w:br w:type="page"/>
      </w:r>
    </w:p>
    <w:p w14:paraId="73D33B25">
      <w:pPr>
        <w:adjustRightInd/>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14:paraId="7F81629E">
      <w:pPr>
        <w:widowControl/>
        <w:shd w:val="clear" w:color="auto" w:fill="auto"/>
        <w:spacing w:line="360" w:lineRule="auto"/>
        <w:ind w:left="0" w:leftChars="0" w:firstLine="420" w:firstLineChars="0"/>
        <w:outlineLvl w:val="9"/>
        <w:rPr>
          <w:rFonts w:hint="eastAsia" w:ascii="仿宋" w:hAnsi="仿宋" w:eastAsia="仿宋" w:cs="仿宋_GB2312"/>
          <w:b/>
          <w:bCs/>
          <w:color w:val="auto"/>
          <w:sz w:val="24"/>
          <w:szCs w:val="24"/>
          <w:highlight w:val="none"/>
          <w:lang w:eastAsia="zh-CN"/>
        </w:rPr>
      </w:pPr>
      <w:bookmarkStart w:id="65" w:name="_Toc19217"/>
      <w:bookmarkStart w:id="66" w:name="_Toc211745569"/>
      <w:bookmarkStart w:id="67" w:name="_Toc82338245"/>
      <w:bookmarkStart w:id="68" w:name="_Toc82873328"/>
      <w:r>
        <w:rPr>
          <w:rFonts w:hint="eastAsia" w:ascii="仿宋" w:hAnsi="仿宋" w:eastAsia="仿宋" w:cs="仿宋_GB2312"/>
          <w:b/>
          <w:bCs/>
          <w:color w:val="auto"/>
          <w:sz w:val="24"/>
          <w:szCs w:val="24"/>
          <w:highlight w:val="none"/>
          <w:lang w:val="en-US" w:eastAsia="zh-CN"/>
        </w:rPr>
        <w:t>一</w:t>
      </w:r>
      <w:r>
        <w:rPr>
          <w:rFonts w:hint="eastAsia" w:ascii="仿宋" w:hAnsi="仿宋" w:eastAsia="仿宋" w:cs="仿宋_GB2312"/>
          <w:b/>
          <w:bCs/>
          <w:color w:val="auto"/>
          <w:sz w:val="24"/>
          <w:szCs w:val="24"/>
          <w:highlight w:val="none"/>
        </w:rPr>
        <w:t>、项目</w:t>
      </w:r>
      <w:r>
        <w:rPr>
          <w:rFonts w:hint="eastAsia" w:ascii="仿宋" w:hAnsi="仿宋" w:eastAsia="仿宋" w:cs="仿宋_GB2312"/>
          <w:b/>
          <w:bCs/>
          <w:color w:val="auto"/>
          <w:sz w:val="24"/>
          <w:szCs w:val="24"/>
          <w:highlight w:val="none"/>
          <w:lang w:val="en-US" w:eastAsia="zh-CN"/>
        </w:rPr>
        <w:t>概况</w:t>
      </w:r>
    </w:p>
    <w:p w14:paraId="11F53689">
      <w:pPr>
        <w:spacing w:line="360" w:lineRule="auto"/>
        <w:ind w:firstLine="420"/>
        <w:rPr>
          <w:rFonts w:ascii="仿宋" w:hAnsi="仿宋" w:eastAsia="仿宋" w:cs="仿宋"/>
          <w:color w:val="auto"/>
          <w:sz w:val="24"/>
          <w:highlight w:val="none"/>
        </w:rPr>
      </w:pPr>
      <w:r>
        <w:rPr>
          <w:rFonts w:hint="eastAsia" w:ascii="仿宋" w:hAnsi="仿宋" w:eastAsia="仿宋" w:cs="宋体"/>
          <w:bCs/>
          <w:snapToGrid/>
          <w:color w:val="auto"/>
          <w:kern w:val="2"/>
          <w:sz w:val="24"/>
          <w:szCs w:val="24"/>
          <w:highlight w:val="none"/>
          <w:lang w:val="en-US" w:eastAsia="zh-CN"/>
        </w:rPr>
        <w:t>杭州市公安局滨江公安分局为进一步丰富警务场景下智能无人装备的种类，加快推进人形机器人装备与分区警务工作。在功能匹配、挂载适配、人机互动等方面的应用落地，拟采购三套人型机器人定制服务，服务包含根据公安业务需求配合提供巡逻防控、人机肢体动作交互、</w:t>
      </w:r>
      <w:r>
        <w:rPr>
          <w:rFonts w:hint="eastAsia" w:ascii="仿宋" w:hAnsi="仿宋" w:eastAsia="仿宋" w:cs="仿宋_GB2312"/>
          <w:color w:val="auto"/>
          <w:sz w:val="24"/>
          <w:szCs w:val="24"/>
          <w:highlight w:val="none"/>
          <w:lang w:val="en-US" w:eastAsia="zh-CN"/>
        </w:rPr>
        <w:t>语音交互,</w:t>
      </w:r>
      <w:r>
        <w:rPr>
          <w:rFonts w:hint="eastAsia" w:ascii="仿宋" w:hAnsi="仿宋" w:eastAsia="仿宋" w:cs="宋体"/>
          <w:bCs/>
          <w:snapToGrid/>
          <w:color w:val="auto"/>
          <w:kern w:val="2"/>
          <w:sz w:val="24"/>
          <w:szCs w:val="24"/>
          <w:highlight w:val="none"/>
          <w:lang w:val="en-US" w:eastAsia="zh-CN"/>
        </w:rPr>
        <w:t>配合接入特定场景地图建模、音视频传输等软件系统模块服务。</w:t>
      </w:r>
    </w:p>
    <w:p w14:paraId="5D755C4B">
      <w:pPr>
        <w:widowControl/>
        <w:numPr>
          <w:ilvl w:val="-1"/>
          <w:numId w:val="0"/>
        </w:numPr>
        <w:shd w:val="clear" w:color="auto" w:fill="auto"/>
        <w:spacing w:line="360" w:lineRule="auto"/>
        <w:ind w:left="0" w:leftChars="0" w:firstLine="420" w:firstLineChars="0"/>
        <w:outlineLvl w:val="9"/>
        <w:rPr>
          <w:rFonts w:hint="eastAsia" w:ascii="仿宋" w:hAnsi="仿宋" w:eastAsia="仿宋" w:cs="仿宋_GB2312"/>
          <w:b w:val="0"/>
          <w:bCs w:val="0"/>
          <w:color w:val="auto"/>
          <w:sz w:val="24"/>
          <w:szCs w:val="24"/>
          <w:highlight w:val="none"/>
          <w:lang w:val="en-US" w:eastAsia="zh-CN"/>
        </w:rPr>
      </w:pPr>
    </w:p>
    <w:p w14:paraId="17F011A3">
      <w:pPr>
        <w:widowControl/>
        <w:numPr>
          <w:ilvl w:val="-1"/>
          <w:numId w:val="0"/>
        </w:numPr>
        <w:shd w:val="clear" w:color="auto" w:fill="auto"/>
        <w:spacing w:line="360" w:lineRule="auto"/>
        <w:ind w:left="0" w:leftChars="0" w:firstLine="420" w:firstLineChars="0"/>
        <w:outlineLvl w:val="9"/>
        <w:rPr>
          <w:rFonts w:hint="eastAsia" w:ascii="仿宋" w:hAnsi="仿宋" w:eastAsia="仿宋" w:cs="仿宋_GB2312"/>
          <w:b/>
          <w:bCs/>
          <w:color w:val="auto"/>
          <w:sz w:val="24"/>
          <w:szCs w:val="24"/>
          <w:highlight w:val="none"/>
          <w:lang w:val="en-US" w:eastAsia="zh-CN"/>
        </w:rPr>
      </w:pPr>
      <w:r>
        <w:rPr>
          <w:rFonts w:hint="eastAsia" w:ascii="仿宋" w:hAnsi="仿宋" w:eastAsia="仿宋" w:cs="仿宋_GB2312"/>
          <w:b/>
          <w:bCs/>
          <w:color w:val="auto"/>
          <w:sz w:val="24"/>
          <w:szCs w:val="24"/>
          <w:highlight w:val="none"/>
          <w:lang w:val="en-US" w:eastAsia="zh-CN"/>
        </w:rPr>
        <w:t>二、需求一览表：</w:t>
      </w:r>
    </w:p>
    <w:tbl>
      <w:tblPr>
        <w:tblStyle w:val="61"/>
        <w:tblW w:w="4671" w:type="pct"/>
        <w:tblInd w:w="94"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61"/>
        <w:gridCol w:w="2895"/>
        <w:gridCol w:w="1527"/>
        <w:gridCol w:w="3492"/>
      </w:tblGrid>
      <w:tr w14:paraId="6CC81C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8" w:hRule="atLeast"/>
        </w:trPr>
        <w:tc>
          <w:tcPr>
            <w:tcW w:w="439" w:type="pct"/>
            <w:vAlign w:val="center"/>
          </w:tcPr>
          <w:p w14:paraId="1AC6663E">
            <w:pPr>
              <w:snapToGrid w:val="0"/>
              <w:spacing w:before="48" w:beforeLines="20" w:line="300" w:lineRule="auto"/>
              <w:jc w:val="center"/>
              <w:rPr>
                <w:rFonts w:ascii="仿宋" w:hAnsi="仿宋" w:eastAsia="仿宋"/>
                <w:b/>
                <w:color w:val="auto"/>
                <w:sz w:val="20"/>
                <w:szCs w:val="20"/>
                <w:highlight w:val="none"/>
              </w:rPr>
            </w:pPr>
            <w:r>
              <w:rPr>
                <w:rFonts w:hint="eastAsia" w:ascii="仿宋" w:hAnsi="仿宋" w:eastAsia="仿宋"/>
                <w:b/>
                <w:color w:val="auto"/>
                <w:sz w:val="20"/>
                <w:szCs w:val="20"/>
                <w:highlight w:val="none"/>
              </w:rPr>
              <w:t>序号</w:t>
            </w:r>
          </w:p>
        </w:tc>
        <w:tc>
          <w:tcPr>
            <w:tcW w:w="1668" w:type="pct"/>
            <w:vAlign w:val="center"/>
          </w:tcPr>
          <w:p w14:paraId="42E7D6F9">
            <w:pPr>
              <w:snapToGrid w:val="0"/>
              <w:jc w:val="center"/>
              <w:rPr>
                <w:rFonts w:ascii="仿宋" w:hAnsi="仿宋" w:eastAsia="仿宋"/>
                <w:b/>
                <w:color w:val="auto"/>
                <w:sz w:val="20"/>
                <w:szCs w:val="20"/>
                <w:highlight w:val="none"/>
              </w:rPr>
            </w:pPr>
            <w:r>
              <w:rPr>
                <w:rFonts w:hint="eastAsia" w:ascii="仿宋" w:hAnsi="仿宋" w:eastAsia="仿宋"/>
                <w:b/>
                <w:color w:val="auto"/>
                <w:sz w:val="20"/>
                <w:szCs w:val="20"/>
                <w:highlight w:val="none"/>
              </w:rPr>
              <w:t>采购内容</w:t>
            </w:r>
          </w:p>
        </w:tc>
        <w:tc>
          <w:tcPr>
            <w:tcW w:w="880" w:type="pct"/>
            <w:tcBorders>
              <w:right w:val="single" w:color="auto" w:sz="2" w:space="0"/>
            </w:tcBorders>
            <w:vAlign w:val="center"/>
          </w:tcPr>
          <w:p w14:paraId="6CC24A28">
            <w:pPr>
              <w:snapToGrid w:val="0"/>
              <w:jc w:val="center"/>
              <w:rPr>
                <w:rFonts w:ascii="仿宋" w:hAnsi="仿宋" w:eastAsia="仿宋"/>
                <w:b/>
                <w:color w:val="auto"/>
                <w:sz w:val="20"/>
                <w:szCs w:val="20"/>
                <w:highlight w:val="none"/>
              </w:rPr>
            </w:pPr>
            <w:r>
              <w:rPr>
                <w:rFonts w:hint="eastAsia" w:ascii="仿宋" w:hAnsi="仿宋" w:eastAsia="仿宋"/>
                <w:b/>
                <w:color w:val="auto"/>
                <w:sz w:val="20"/>
                <w:szCs w:val="20"/>
                <w:highlight w:val="none"/>
              </w:rPr>
              <w:t>数量</w:t>
            </w:r>
          </w:p>
        </w:tc>
        <w:tc>
          <w:tcPr>
            <w:tcW w:w="2012" w:type="pct"/>
            <w:tcBorders>
              <w:right w:val="single" w:color="auto" w:sz="2" w:space="0"/>
            </w:tcBorders>
            <w:vAlign w:val="center"/>
          </w:tcPr>
          <w:p w14:paraId="3FD8A129">
            <w:pPr>
              <w:snapToGrid w:val="0"/>
              <w:jc w:val="center"/>
              <w:rPr>
                <w:rFonts w:ascii="仿宋" w:hAnsi="仿宋" w:eastAsia="仿宋"/>
                <w:b/>
                <w:color w:val="auto"/>
                <w:sz w:val="20"/>
                <w:szCs w:val="20"/>
                <w:highlight w:val="none"/>
              </w:rPr>
            </w:pPr>
            <w:r>
              <w:rPr>
                <w:rFonts w:hint="eastAsia" w:ascii="仿宋" w:hAnsi="仿宋" w:eastAsia="仿宋"/>
                <w:b/>
                <w:bCs/>
                <w:color w:val="auto"/>
                <w:kern w:val="0"/>
                <w:szCs w:val="21"/>
                <w:highlight w:val="none"/>
                <w:lang w:val="en-US" w:eastAsia="zh-CN"/>
              </w:rPr>
              <w:t>功能要求</w:t>
            </w:r>
          </w:p>
        </w:tc>
      </w:tr>
      <w:tr w14:paraId="10D139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trPr>
        <w:tc>
          <w:tcPr>
            <w:tcW w:w="439" w:type="pct"/>
            <w:vAlign w:val="center"/>
          </w:tcPr>
          <w:p w14:paraId="15D1A108">
            <w:pPr>
              <w:snapToGrid w:val="0"/>
              <w:jc w:val="center"/>
              <w:rPr>
                <w:rFonts w:ascii="仿宋" w:hAnsi="仿宋" w:eastAsia="仿宋"/>
                <w:bCs/>
                <w:color w:val="auto"/>
                <w:sz w:val="20"/>
                <w:szCs w:val="20"/>
                <w:highlight w:val="none"/>
              </w:rPr>
            </w:pPr>
            <w:r>
              <w:rPr>
                <w:rFonts w:hint="eastAsia" w:ascii="仿宋" w:hAnsi="仿宋" w:eastAsia="仿宋"/>
                <w:bCs/>
                <w:color w:val="auto"/>
                <w:sz w:val="20"/>
                <w:szCs w:val="20"/>
                <w:highlight w:val="none"/>
              </w:rPr>
              <w:t>1</w:t>
            </w:r>
          </w:p>
        </w:tc>
        <w:tc>
          <w:tcPr>
            <w:tcW w:w="1668" w:type="pct"/>
            <w:vAlign w:val="center"/>
          </w:tcPr>
          <w:p w14:paraId="11896827">
            <w:pPr>
              <w:rPr>
                <w:rFonts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人形机器人1</w:t>
            </w:r>
          </w:p>
        </w:tc>
        <w:tc>
          <w:tcPr>
            <w:tcW w:w="880" w:type="pct"/>
            <w:tcBorders>
              <w:right w:val="single" w:color="auto" w:sz="2" w:space="0"/>
            </w:tcBorders>
            <w:vAlign w:val="center"/>
          </w:tcPr>
          <w:p w14:paraId="4A6EAED5">
            <w:pPr>
              <w:snapToGrid w:val="0"/>
              <w:jc w:val="center"/>
              <w:rPr>
                <w:rFonts w:hint="default"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2套</w:t>
            </w:r>
          </w:p>
        </w:tc>
        <w:tc>
          <w:tcPr>
            <w:tcW w:w="2012" w:type="pct"/>
            <w:tcBorders>
              <w:right w:val="single" w:color="auto" w:sz="2" w:space="0"/>
            </w:tcBorders>
            <w:vAlign w:val="center"/>
          </w:tcPr>
          <w:p w14:paraId="3EC024AC">
            <w:pPr>
              <w:snapToGrid w:val="0"/>
              <w:jc w:val="center"/>
              <w:rPr>
                <w:rFonts w:hint="default"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详见技术、功能要求</w:t>
            </w:r>
          </w:p>
        </w:tc>
      </w:tr>
      <w:tr w14:paraId="697523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trPr>
        <w:tc>
          <w:tcPr>
            <w:tcW w:w="439" w:type="pct"/>
            <w:vAlign w:val="center"/>
          </w:tcPr>
          <w:p w14:paraId="35E9EC85">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2</w:t>
            </w:r>
          </w:p>
        </w:tc>
        <w:tc>
          <w:tcPr>
            <w:tcW w:w="1668" w:type="pct"/>
            <w:vAlign w:val="center"/>
          </w:tcPr>
          <w:p w14:paraId="7B639A07">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人形机器人2</w:t>
            </w:r>
          </w:p>
        </w:tc>
        <w:tc>
          <w:tcPr>
            <w:tcW w:w="880" w:type="pct"/>
            <w:tcBorders>
              <w:right w:val="single" w:color="auto" w:sz="2" w:space="0"/>
            </w:tcBorders>
            <w:vAlign w:val="center"/>
          </w:tcPr>
          <w:p w14:paraId="1732204F">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1套</w:t>
            </w:r>
          </w:p>
        </w:tc>
        <w:tc>
          <w:tcPr>
            <w:tcW w:w="2012" w:type="pct"/>
            <w:tcBorders>
              <w:right w:val="single" w:color="auto" w:sz="2" w:space="0"/>
            </w:tcBorders>
            <w:vAlign w:val="center"/>
          </w:tcPr>
          <w:p w14:paraId="1E152F84">
            <w:pPr>
              <w:snapToGrid w:val="0"/>
              <w:jc w:val="center"/>
              <w:rPr>
                <w:rFonts w:hint="eastAsia" w:ascii="仿宋" w:hAnsi="仿宋" w:eastAsia="仿宋"/>
                <w:bCs/>
                <w:color w:val="auto"/>
                <w:sz w:val="20"/>
                <w:szCs w:val="20"/>
                <w:highlight w:val="none"/>
              </w:rPr>
            </w:pPr>
            <w:r>
              <w:rPr>
                <w:rFonts w:hint="eastAsia" w:ascii="仿宋" w:hAnsi="仿宋" w:eastAsia="仿宋"/>
                <w:bCs/>
                <w:color w:val="auto"/>
                <w:sz w:val="20"/>
                <w:szCs w:val="20"/>
                <w:highlight w:val="none"/>
                <w:lang w:val="en-US" w:eastAsia="zh-CN"/>
              </w:rPr>
              <w:t>详见技术、功能要求</w:t>
            </w:r>
          </w:p>
        </w:tc>
      </w:tr>
      <w:tr w14:paraId="368026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trPr>
        <w:tc>
          <w:tcPr>
            <w:tcW w:w="439" w:type="pct"/>
            <w:vAlign w:val="center"/>
          </w:tcPr>
          <w:p w14:paraId="464385A7">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3</w:t>
            </w:r>
          </w:p>
        </w:tc>
        <w:tc>
          <w:tcPr>
            <w:tcW w:w="1668" w:type="pct"/>
            <w:vAlign w:val="center"/>
          </w:tcPr>
          <w:p w14:paraId="04B7D173">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机械手臂</w:t>
            </w:r>
          </w:p>
        </w:tc>
        <w:tc>
          <w:tcPr>
            <w:tcW w:w="880" w:type="pct"/>
            <w:tcBorders>
              <w:right w:val="single" w:color="auto" w:sz="2" w:space="0"/>
            </w:tcBorders>
            <w:vAlign w:val="center"/>
          </w:tcPr>
          <w:p w14:paraId="1F586644">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1套</w:t>
            </w:r>
          </w:p>
        </w:tc>
        <w:tc>
          <w:tcPr>
            <w:tcW w:w="2012" w:type="pct"/>
            <w:tcBorders>
              <w:right w:val="single" w:color="auto" w:sz="2" w:space="0"/>
            </w:tcBorders>
            <w:vAlign w:val="center"/>
          </w:tcPr>
          <w:p w14:paraId="1914CFBA">
            <w:pPr>
              <w:snapToGrid w:val="0"/>
              <w:jc w:val="center"/>
              <w:rPr>
                <w:rFonts w:hint="eastAsia" w:ascii="仿宋" w:hAnsi="仿宋" w:eastAsia="仿宋"/>
                <w:bCs/>
                <w:color w:val="auto"/>
                <w:sz w:val="20"/>
                <w:szCs w:val="20"/>
                <w:highlight w:val="none"/>
              </w:rPr>
            </w:pPr>
            <w:r>
              <w:rPr>
                <w:rFonts w:hint="eastAsia" w:ascii="仿宋" w:hAnsi="仿宋" w:eastAsia="仿宋"/>
                <w:bCs/>
                <w:color w:val="auto"/>
                <w:sz w:val="20"/>
                <w:szCs w:val="20"/>
                <w:highlight w:val="none"/>
                <w:lang w:val="en-US" w:eastAsia="zh-CN"/>
              </w:rPr>
              <w:t>详见技术、功能要求</w:t>
            </w:r>
          </w:p>
        </w:tc>
      </w:tr>
      <w:tr w14:paraId="05122F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trPr>
        <w:tc>
          <w:tcPr>
            <w:tcW w:w="439" w:type="pct"/>
            <w:vAlign w:val="center"/>
          </w:tcPr>
          <w:p w14:paraId="6FCB96C4">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4</w:t>
            </w:r>
          </w:p>
        </w:tc>
        <w:tc>
          <w:tcPr>
            <w:tcW w:w="1668" w:type="pct"/>
            <w:vAlign w:val="center"/>
          </w:tcPr>
          <w:p w14:paraId="67102117">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现场服务</w:t>
            </w:r>
          </w:p>
        </w:tc>
        <w:tc>
          <w:tcPr>
            <w:tcW w:w="880" w:type="pct"/>
            <w:tcBorders>
              <w:right w:val="single" w:color="auto" w:sz="2" w:space="0"/>
            </w:tcBorders>
            <w:vAlign w:val="center"/>
          </w:tcPr>
          <w:p w14:paraId="0C3A054E">
            <w:pPr>
              <w:snapToGrid w:val="0"/>
              <w:jc w:val="cente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每月不少于1次现场服务（包含技术支撑、巡检等）</w:t>
            </w:r>
          </w:p>
        </w:tc>
        <w:tc>
          <w:tcPr>
            <w:tcW w:w="3492" w:type="dxa"/>
            <w:tcBorders>
              <w:right w:val="single" w:color="auto" w:sz="2" w:space="0"/>
            </w:tcBorders>
            <w:vAlign w:val="center"/>
          </w:tcPr>
          <w:p w14:paraId="0F379C52">
            <w:pP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根据警务需求，机器人配配合巡逻、肢体互动、问答、引导服务。</w:t>
            </w:r>
          </w:p>
        </w:tc>
      </w:tr>
      <w:tr w14:paraId="3E7DD0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trPr>
        <w:tc>
          <w:tcPr>
            <w:tcW w:w="439" w:type="pct"/>
            <w:vAlign w:val="center"/>
          </w:tcPr>
          <w:p w14:paraId="40F8678E">
            <w:pPr>
              <w:snapToGrid w:val="0"/>
              <w:jc w:val="center"/>
              <w:rPr>
                <w:rFonts w:hint="default"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5</w:t>
            </w:r>
          </w:p>
        </w:tc>
        <w:tc>
          <w:tcPr>
            <w:tcW w:w="1668" w:type="pct"/>
            <w:vAlign w:val="center"/>
          </w:tcPr>
          <w:p w14:paraId="7E3721B9">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机器人1、2的设备配合接入服务</w:t>
            </w:r>
          </w:p>
        </w:tc>
        <w:tc>
          <w:tcPr>
            <w:tcW w:w="880" w:type="pct"/>
            <w:tcBorders>
              <w:right w:val="single" w:color="auto" w:sz="2" w:space="0"/>
            </w:tcBorders>
            <w:vAlign w:val="center"/>
          </w:tcPr>
          <w:p w14:paraId="2DBDF703">
            <w:pPr>
              <w:snapToGrid w:val="0"/>
              <w:jc w:val="cente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按需</w:t>
            </w:r>
          </w:p>
        </w:tc>
        <w:tc>
          <w:tcPr>
            <w:tcW w:w="3492" w:type="dxa"/>
            <w:tcBorders>
              <w:right w:val="single" w:color="auto" w:sz="2" w:space="0"/>
            </w:tcBorders>
            <w:vAlign w:val="center"/>
          </w:tcPr>
          <w:p w14:paraId="1A867E83">
            <w:pP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详见设备接入服务要求</w:t>
            </w:r>
          </w:p>
        </w:tc>
      </w:tr>
    </w:tbl>
    <w:p w14:paraId="0D30C1F6">
      <w:pPr>
        <w:widowControl/>
        <w:numPr>
          <w:ilvl w:val="-1"/>
          <w:numId w:val="0"/>
        </w:numPr>
        <w:shd w:val="clear" w:color="auto" w:fill="auto"/>
        <w:spacing w:line="360" w:lineRule="auto"/>
        <w:ind w:left="0" w:leftChars="0" w:firstLine="420" w:firstLineChars="0"/>
        <w:outlineLvl w:val="9"/>
        <w:rPr>
          <w:rFonts w:hint="eastAsia" w:ascii="仿宋" w:hAnsi="仿宋" w:eastAsia="仿宋" w:cs="仿宋_GB2312"/>
          <w:b w:val="0"/>
          <w:bCs w:val="0"/>
          <w:color w:val="auto"/>
          <w:sz w:val="24"/>
          <w:szCs w:val="24"/>
          <w:highlight w:val="none"/>
          <w:lang w:val="en-US" w:eastAsia="zh-CN"/>
        </w:rPr>
      </w:pPr>
    </w:p>
    <w:p w14:paraId="12CCC337">
      <w:pPr>
        <w:widowControl/>
        <w:numPr>
          <w:ilvl w:val="-1"/>
          <w:numId w:val="0"/>
        </w:numPr>
        <w:shd w:val="clear" w:color="auto" w:fill="auto"/>
        <w:spacing w:line="360" w:lineRule="auto"/>
        <w:ind w:left="0" w:leftChars="0" w:firstLine="420" w:firstLineChars="0"/>
        <w:outlineLvl w:val="9"/>
        <w:rPr>
          <w:rFonts w:hint="eastAsia" w:ascii="仿宋" w:hAnsi="仿宋" w:eastAsia="仿宋" w:cs="仿宋_GB2312"/>
          <w:b/>
          <w:bCs/>
          <w:color w:val="auto"/>
          <w:sz w:val="24"/>
          <w:szCs w:val="24"/>
          <w:highlight w:val="none"/>
          <w:lang w:val="en-US" w:eastAsia="zh-CN"/>
        </w:rPr>
      </w:pPr>
      <w:r>
        <w:rPr>
          <w:rFonts w:hint="eastAsia" w:ascii="仿宋" w:hAnsi="仿宋" w:eastAsia="仿宋" w:cs="仿宋_GB2312"/>
          <w:b/>
          <w:bCs/>
          <w:color w:val="auto"/>
          <w:sz w:val="24"/>
          <w:szCs w:val="24"/>
          <w:highlight w:val="none"/>
          <w:lang w:val="en-US" w:eastAsia="zh-CN"/>
        </w:rPr>
        <w:t>三、技术要求（</w:t>
      </w:r>
      <w:r>
        <w:rPr>
          <w:rFonts w:hint="eastAsia" w:ascii="宋体" w:hAnsi="宋体" w:eastAsia="宋体" w:cs="宋体"/>
          <w:b/>
          <w:bCs/>
          <w:color w:val="auto"/>
          <w:sz w:val="24"/>
          <w:szCs w:val="24"/>
          <w:highlight w:val="none"/>
          <w:lang w:val="en-US" w:eastAsia="zh-CN"/>
        </w:rPr>
        <w:t>★</w:t>
      </w:r>
      <w:r>
        <w:rPr>
          <w:rFonts w:hint="eastAsia" w:ascii="仿宋" w:hAnsi="仿宋" w:eastAsia="仿宋" w:cs="仿宋"/>
          <w:b/>
          <w:bCs/>
          <w:color w:val="auto"/>
          <w:sz w:val="24"/>
          <w:szCs w:val="24"/>
          <w:highlight w:val="none"/>
          <w:lang w:val="en-US" w:eastAsia="zh-CN"/>
        </w:rPr>
        <w:t>为产品的重要技术参数</w:t>
      </w:r>
      <w:r>
        <w:rPr>
          <w:rFonts w:hint="eastAsia" w:ascii="仿宋" w:hAnsi="仿宋" w:eastAsia="仿宋" w:cs="仿宋_GB2312"/>
          <w:b/>
          <w:bCs/>
          <w:color w:val="auto"/>
          <w:sz w:val="24"/>
          <w:szCs w:val="24"/>
          <w:highlight w:val="none"/>
          <w:lang w:val="en-US" w:eastAsia="zh-CN"/>
        </w:rPr>
        <w:t>）</w:t>
      </w:r>
    </w:p>
    <w:tbl>
      <w:tblPr>
        <w:tblStyle w:val="61"/>
        <w:tblW w:w="9121"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012"/>
        <w:gridCol w:w="4938"/>
        <w:gridCol w:w="709"/>
        <w:gridCol w:w="762"/>
      </w:tblGrid>
      <w:tr w14:paraId="15411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0" w:type="dxa"/>
            <w:vAlign w:val="center"/>
          </w:tcPr>
          <w:p w14:paraId="78842F21">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12" w:type="dxa"/>
            <w:vAlign w:val="center"/>
          </w:tcPr>
          <w:p w14:paraId="73F8731E">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4938" w:type="dxa"/>
            <w:vAlign w:val="center"/>
          </w:tcPr>
          <w:p w14:paraId="2584F67B">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w:t>
            </w:r>
          </w:p>
        </w:tc>
        <w:tc>
          <w:tcPr>
            <w:tcW w:w="709" w:type="dxa"/>
            <w:vAlign w:val="center"/>
          </w:tcPr>
          <w:p w14:paraId="31F3A343">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762" w:type="dxa"/>
            <w:vAlign w:val="center"/>
          </w:tcPr>
          <w:p w14:paraId="78B11651">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p>
        </w:tc>
      </w:tr>
      <w:tr w14:paraId="2FE7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00" w:type="dxa"/>
            <w:vAlign w:val="center"/>
          </w:tcPr>
          <w:p w14:paraId="0F18DF3C">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p>
        </w:tc>
        <w:tc>
          <w:tcPr>
            <w:tcW w:w="2012" w:type="dxa"/>
            <w:vAlign w:val="center"/>
          </w:tcPr>
          <w:p w14:paraId="69AE8ACA">
            <w:pPr>
              <w:rPr>
                <w:rFonts w:hint="eastAsia" w:ascii="仿宋" w:hAnsi="仿宋" w:eastAsia="仿宋" w:cs="Times New Roman"/>
                <w:color w:val="auto"/>
                <w:kern w:val="0"/>
                <w:szCs w:val="21"/>
                <w:highlight w:val="none"/>
                <w:lang w:val="en-US" w:eastAsia="zh-CN"/>
              </w:rPr>
            </w:pPr>
            <w:r>
              <w:rPr>
                <w:rFonts w:hint="eastAsia" w:ascii="仿宋" w:hAnsi="仿宋" w:eastAsia="仿宋" w:cs="Times New Roman"/>
                <w:color w:val="auto"/>
                <w:kern w:val="0"/>
                <w:szCs w:val="21"/>
                <w:highlight w:val="none"/>
                <w:lang w:val="en-US" w:eastAsia="zh-CN"/>
              </w:rPr>
              <w:t>人形机器人1</w:t>
            </w:r>
          </w:p>
        </w:tc>
        <w:tc>
          <w:tcPr>
            <w:tcW w:w="4938" w:type="dxa"/>
            <w:vAlign w:val="center"/>
          </w:tcPr>
          <w:p w14:paraId="70CEF4DD">
            <w:pPr>
              <w:numPr>
                <w:ilvl w:val="0"/>
                <w:numId w:val="8"/>
              </w:numPr>
              <w:rPr>
                <w:rFonts w:hint="eastAsia" w:ascii="仿宋" w:hAnsi="仿宋" w:eastAsia="仿宋" w:cs="宋体"/>
                <w:color w:val="auto"/>
                <w:kern w:val="0"/>
                <w:sz w:val="21"/>
                <w:szCs w:val="21"/>
                <w:highlight w:val="none"/>
                <w:lang w:val="en-US" w:eastAsia="zh-CN" w:bidi="ar-SA"/>
              </w:rPr>
            </w:pPr>
            <w:r>
              <w:rPr>
                <w:rFonts w:hint="eastAsia" w:ascii="仿宋" w:hAnsi="仿宋" w:eastAsia="仿宋" w:cs="宋体"/>
                <w:color w:val="auto"/>
                <w:kern w:val="0"/>
                <w:szCs w:val="21"/>
                <w:highlight w:val="none"/>
                <w:lang w:val="en-US" w:eastAsia="zh-CN"/>
              </w:rPr>
              <w:t>站立尺寸</w:t>
            </w:r>
            <w:r>
              <w:rPr>
                <w:rFonts w:hint="eastAsia" w:ascii="Arial" w:hAnsi="Arial" w:eastAsia="仿宋" w:cs="Arial"/>
                <w:color w:val="auto"/>
                <w:kern w:val="0"/>
                <w:sz w:val="21"/>
                <w:szCs w:val="21"/>
                <w:highlight w:val="none"/>
                <w:lang w:val="en-US" w:eastAsia="zh-CN" w:bidi="ar-SA"/>
              </w:rPr>
              <w:t>高宽厚</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1250x450x200mm；</w:t>
            </w:r>
          </w:p>
          <w:p w14:paraId="59BE1886">
            <w:pPr>
              <w:numPr>
                <w:ilvl w:val="0"/>
                <w:numId w:val="8"/>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折叠尺寸</w:t>
            </w:r>
            <w:r>
              <w:rPr>
                <w:rFonts w:hint="eastAsia" w:ascii="Arial" w:hAnsi="Arial" w:eastAsia="仿宋" w:cs="Arial"/>
                <w:color w:val="auto"/>
                <w:kern w:val="0"/>
                <w:sz w:val="21"/>
                <w:szCs w:val="21"/>
                <w:highlight w:val="none"/>
                <w:lang w:val="en-US" w:eastAsia="zh-CN" w:bidi="ar-SA"/>
              </w:rPr>
              <w:t>高宽厚</w:t>
            </w:r>
            <w:r>
              <w:rPr>
                <w:rFonts w:hint="default" w:ascii="Arial" w:hAnsi="Arial" w:eastAsia="宋体"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690x450x300mm</w:t>
            </w:r>
          </w:p>
          <w:p w14:paraId="4B482D2F">
            <w:pPr>
              <w:numPr>
                <w:ilvl w:val="0"/>
                <w:numId w:val="8"/>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带电池重量</w:t>
            </w:r>
            <w:r>
              <w:rPr>
                <w:rFonts w:hint="default" w:ascii="Arial" w:hAnsi="Arial" w:eastAsia="宋体"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35kg</w:t>
            </w:r>
          </w:p>
          <w:p w14:paraId="55AEB1BD">
            <w:pPr>
              <w:numPr>
                <w:ilvl w:val="0"/>
                <w:numId w:val="8"/>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总自由度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41</w:t>
            </w:r>
          </w:p>
          <w:p w14:paraId="5A21F1A6">
            <w:pPr>
              <w:numPr>
                <w:ilvl w:val="0"/>
                <w:numId w:val="8"/>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单腿自由度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6</w:t>
            </w:r>
          </w:p>
          <w:p w14:paraId="44F0E617">
            <w:pPr>
              <w:numPr>
                <w:ilvl w:val="0"/>
                <w:numId w:val="8"/>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腰部自由度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w:t>
            </w:r>
          </w:p>
          <w:p w14:paraId="6B13FEB8">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单手臂自由度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5</w:t>
            </w:r>
          </w:p>
          <w:p w14:paraId="2E2FA4F9">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 xml:space="preserve">单手自由度 </w:t>
            </w:r>
            <w:r>
              <w:rPr>
                <w:rFonts w:hint="eastAsia" w:ascii="仿宋" w:hAnsi="仿宋" w:eastAsia="仿宋" w:cs="宋体"/>
                <w:color w:val="auto"/>
                <w:kern w:val="0"/>
                <w:sz w:val="21"/>
                <w:szCs w:val="21"/>
                <w:highlight w:val="none"/>
                <w:lang w:val="en-US" w:eastAsia="zh-CN" w:bidi="ar-SA"/>
              </w:rPr>
              <w:t>可选配灵巧手和二自由度手腕</w:t>
            </w:r>
          </w:p>
          <w:p w14:paraId="3C04B370">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 xml:space="preserve">膝关节最大扭矩 </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120N.m</w:t>
            </w:r>
          </w:p>
          <w:p w14:paraId="0F5E7F20">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 xml:space="preserve">手臂最大负载 </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3kg</w:t>
            </w:r>
          </w:p>
          <w:p w14:paraId="59113D42">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小腿+大腿</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0.6m</w:t>
            </w:r>
          </w:p>
          <w:p w14:paraId="5C8CD6D2">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手臂臂展</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约0.45m</w:t>
            </w:r>
          </w:p>
          <w:p w14:paraId="404854AD">
            <w:pPr>
              <w:numPr>
                <w:ilvl w:val="0"/>
                <w:numId w:val="8"/>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关节运动空间：</w:t>
            </w:r>
            <w:r>
              <w:rPr>
                <w:rFonts w:hint="eastAsia" w:ascii="仿宋" w:hAnsi="仿宋" w:eastAsia="仿宋" w:cs="宋体"/>
                <w:color w:val="auto"/>
                <w:kern w:val="0"/>
                <w:sz w:val="21"/>
                <w:szCs w:val="21"/>
                <w:highlight w:val="none"/>
                <w:lang w:val="en-US" w:eastAsia="zh-CN" w:bidi="ar-SA"/>
              </w:rPr>
              <w:t>腰部Z轴关节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：±155°，膝关节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：0~165°，髋关节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：P±154°、R-30~+170°、Y±158°"</w:t>
            </w:r>
          </w:p>
          <w:p w14:paraId="25FC9327">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走线、关键编码器、散热配备：</w:t>
            </w:r>
            <w:r>
              <w:rPr>
                <w:rFonts w:hint="eastAsia" w:ascii="仿宋" w:hAnsi="仿宋" w:eastAsia="仿宋" w:cs="宋体"/>
                <w:color w:val="auto"/>
                <w:kern w:val="0"/>
                <w:sz w:val="21"/>
                <w:szCs w:val="21"/>
                <w:highlight w:val="none"/>
                <w:lang w:val="en-US" w:eastAsia="zh-CN" w:bidi="ar-SA"/>
              </w:rPr>
              <w:t>配备全关节中空内走线、配置双关节编码器、配备局部散热系统</w:t>
            </w:r>
          </w:p>
          <w:p w14:paraId="03366B35">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算力：配备8核高性能CPU基础算力，内置≥100Tops算力的拓展坞，支持高层和低层的二次开发</w:t>
            </w:r>
          </w:p>
          <w:p w14:paraId="6F5F2C84">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供电方式：13串电池</w:t>
            </w:r>
          </w:p>
          <w:p w14:paraId="134ADD3F">
            <w:pPr>
              <w:numPr>
                <w:ilvl w:val="0"/>
                <w:numId w:val="8"/>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感知传感器：配置深度相机+3D激光雷达</w:t>
            </w:r>
          </w:p>
          <w:p w14:paraId="420A71E9">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通信具备WiFi 6 、蓝牙 5.2功能</w:t>
            </w:r>
          </w:p>
          <w:p w14:paraId="57505617">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语音模块标配立体声扬声器和麦克风阵列</w:t>
            </w:r>
          </w:p>
          <w:p w14:paraId="7F94F9FF">
            <w:pPr>
              <w:numPr>
                <w:ilvl w:val="0"/>
                <w:numId w:val="8"/>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充电配置充电器1台，智能电池（快拆）1块</w:t>
            </w:r>
          </w:p>
          <w:p w14:paraId="1114C57B">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遥控器配置手持式遥控器1台</w:t>
            </w:r>
          </w:p>
          <w:p w14:paraId="45875932">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续航时间≥2h</w:t>
            </w:r>
          </w:p>
          <w:p w14:paraId="36CB7201">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OTA升级支持智能OTA升级</w:t>
            </w:r>
          </w:p>
          <w:p w14:paraId="2F69AC79">
            <w:pPr>
              <w:numPr>
                <w:ilvl w:val="0"/>
                <w:numId w:val="8"/>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技术支持能提供良好的技术支持服务，完善的开发手册及生态支持</w:t>
            </w:r>
          </w:p>
          <w:p w14:paraId="691359BD">
            <w:pPr>
              <w:numPr>
                <w:ilvl w:val="0"/>
                <w:numId w:val="8"/>
              </w:numPr>
              <w:rPr>
                <w:rFonts w:hint="default"/>
                <w:color w:val="auto"/>
                <w:highlight w:val="none"/>
                <w:lang w:val="en-US" w:eastAsia="zh-CN"/>
              </w:rPr>
            </w:pPr>
            <w:r>
              <w:rPr>
                <w:rFonts w:hint="eastAsia" w:ascii="仿宋" w:hAnsi="仿宋" w:eastAsia="仿宋" w:cs="宋体"/>
                <w:color w:val="auto"/>
                <w:kern w:val="0"/>
                <w:szCs w:val="21"/>
                <w:highlight w:val="none"/>
                <w:lang w:val="en-US" w:eastAsia="zh-CN"/>
              </w:rPr>
              <w:t>保护支架配置保护支架</w:t>
            </w:r>
          </w:p>
        </w:tc>
        <w:tc>
          <w:tcPr>
            <w:tcW w:w="709" w:type="dxa"/>
            <w:vAlign w:val="center"/>
          </w:tcPr>
          <w:p w14:paraId="7EFC69CA">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2</w:t>
            </w:r>
          </w:p>
        </w:tc>
        <w:tc>
          <w:tcPr>
            <w:tcW w:w="762" w:type="dxa"/>
            <w:vAlign w:val="center"/>
          </w:tcPr>
          <w:p w14:paraId="7EC4FEE7">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套</w:t>
            </w:r>
          </w:p>
        </w:tc>
      </w:tr>
      <w:tr w14:paraId="27700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00" w:type="dxa"/>
            <w:vAlign w:val="center"/>
          </w:tcPr>
          <w:p w14:paraId="0CE12325">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p>
        </w:tc>
        <w:tc>
          <w:tcPr>
            <w:tcW w:w="2012" w:type="dxa"/>
            <w:vAlign w:val="center"/>
          </w:tcPr>
          <w:p w14:paraId="5FB360D3">
            <w:pPr>
              <w:rPr>
                <w:rFonts w:hint="eastAsia" w:ascii="仿宋" w:hAnsi="仿宋" w:eastAsia="仿宋" w:cs="Times New Roman"/>
                <w:color w:val="auto"/>
                <w:kern w:val="0"/>
                <w:szCs w:val="21"/>
                <w:highlight w:val="none"/>
                <w:lang w:val="en-US" w:eastAsia="zh-CN"/>
              </w:rPr>
            </w:pPr>
            <w:r>
              <w:rPr>
                <w:rFonts w:hint="eastAsia" w:ascii="仿宋" w:hAnsi="仿宋" w:eastAsia="仿宋" w:cs="Times New Roman"/>
                <w:color w:val="auto"/>
                <w:kern w:val="0"/>
                <w:szCs w:val="21"/>
                <w:highlight w:val="none"/>
                <w:lang w:val="en-US" w:eastAsia="zh-CN"/>
              </w:rPr>
              <w:t>人形机器人2</w:t>
            </w:r>
          </w:p>
        </w:tc>
        <w:tc>
          <w:tcPr>
            <w:tcW w:w="4938" w:type="dxa"/>
            <w:vAlign w:val="center"/>
          </w:tcPr>
          <w:p w14:paraId="671E4489">
            <w:pPr>
              <w:numPr>
                <w:ilvl w:val="0"/>
                <w:numId w:val="9"/>
              </w:numPr>
              <w:rPr>
                <w:rFonts w:hint="eastAsia" w:ascii="仿宋" w:hAnsi="仿宋" w:eastAsia="仿宋" w:cs="宋体"/>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站立尺寸</w:t>
            </w:r>
            <w:r>
              <w:rPr>
                <w:rFonts w:hint="eastAsia" w:ascii="Arial" w:hAnsi="Arial" w:eastAsia="仿宋" w:cs="Arial"/>
                <w:color w:val="auto"/>
                <w:kern w:val="0"/>
                <w:sz w:val="21"/>
                <w:szCs w:val="21"/>
                <w:highlight w:val="none"/>
                <w:lang w:val="en-US" w:eastAsia="zh-CN" w:bidi="ar-SA"/>
              </w:rPr>
              <w:t>高宽厚</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（1560+285）mm*570mm*220mm</w:t>
            </w:r>
          </w:p>
          <w:p w14:paraId="7F7E8B4A">
            <w:pPr>
              <w:numPr>
                <w:ilvl w:val="0"/>
                <w:numId w:val="9"/>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大腿长度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400mm；小腿长度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400mm</w:t>
            </w:r>
          </w:p>
          <w:p w14:paraId="1A996618">
            <w:pPr>
              <w:numPr>
                <w:ilvl w:val="0"/>
                <w:numId w:val="9"/>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大臂长度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338mm；小臂长度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338mm</w:t>
            </w:r>
          </w:p>
          <w:p w14:paraId="30914E46">
            <w:pPr>
              <w:numPr>
                <w:ilvl w:val="0"/>
                <w:numId w:val="9"/>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单腿自由度：髋关节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1+踝关节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2，总体</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6</w:t>
            </w:r>
          </w:p>
          <w:p w14:paraId="1AEF8D1D">
            <w:pPr>
              <w:numPr>
                <w:ilvl w:val="0"/>
                <w:numId w:val="9"/>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单手臂自由度</w:t>
            </w:r>
            <w:r>
              <w:rPr>
                <w:rFonts w:hint="default" w:ascii="Arial" w:hAnsi="Arial" w:eastAsia="仿宋" w:cs="Arial"/>
                <w:color w:val="auto"/>
                <w:kern w:val="0"/>
                <w:sz w:val="21"/>
                <w:szCs w:val="21"/>
                <w:highlight w:val="none"/>
                <w:lang w:val="en-US" w:eastAsia="zh-CN" w:bidi="ar-SA"/>
              </w:rPr>
              <w:t>≥</w:t>
            </w:r>
            <w:r>
              <w:rPr>
                <w:rFonts w:hint="eastAsia" w:ascii="Arial" w:hAnsi="Arial" w:eastAsia="仿宋" w:cs="Arial"/>
                <w:color w:val="auto"/>
                <w:kern w:val="0"/>
                <w:sz w:val="21"/>
                <w:szCs w:val="21"/>
                <w:highlight w:val="none"/>
                <w:lang w:val="en-US" w:eastAsia="zh-CN" w:bidi="ar-SA"/>
              </w:rPr>
              <w:t>7</w:t>
            </w:r>
          </w:p>
          <w:p w14:paraId="2731B78B">
            <w:pPr>
              <w:numPr>
                <w:ilvl w:val="0"/>
                <w:numId w:val="9"/>
              </w:numPr>
              <w:rPr>
                <w:rFonts w:hint="eastAsia"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整机重量</w:t>
            </w:r>
            <w:r>
              <w:rPr>
                <w:rFonts w:hint="default" w:ascii="Arial" w:hAnsi="Arial" w:eastAsia="宋体"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60kg</w:t>
            </w:r>
          </w:p>
          <w:p w14:paraId="2DE3A368">
            <w:pPr>
              <w:numPr>
                <w:ilvl w:val="0"/>
                <w:numId w:val="9"/>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关节单元极限扭矩膝关节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360N.m，髋关节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220N.m，踝关节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45N.m，手臂关节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75N.m；</w:t>
            </w:r>
          </w:p>
          <w:p w14:paraId="7BCFA03A">
            <w:pPr>
              <w:numPr>
                <w:ilvl w:val="0"/>
                <w:numId w:val="9"/>
              </w:numPr>
              <w:rPr>
                <w:rFonts w:hint="eastAsia"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行走速度&gt;2.8  m/s（潜在运动能力&gt;5m/s）</w:t>
            </w:r>
          </w:p>
          <w:p w14:paraId="44874984">
            <w:pPr>
              <w:numPr>
                <w:ilvl w:val="0"/>
                <w:numId w:val="9"/>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电池容量</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15Ah (0.864KWh)，最大电压67.2V；</w:t>
            </w:r>
          </w:p>
          <w:p w14:paraId="40DB4BA3">
            <w:pPr>
              <w:numPr>
                <w:ilvl w:val="0"/>
                <w:numId w:val="9"/>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控制和感知算力：配备高性能CPU</w:t>
            </w:r>
          </w:p>
          <w:p w14:paraId="3AFE735E">
            <w:pPr>
              <w:numPr>
                <w:ilvl w:val="0"/>
                <w:numId w:val="9"/>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感知传感器配置：配置3D激光雷达+深度相机；</w:t>
            </w:r>
          </w:p>
          <w:p w14:paraId="525FCC1A">
            <w:pPr>
              <w:numPr>
                <w:ilvl w:val="0"/>
                <w:numId w:val="9"/>
              </w:numPr>
              <w:rPr>
                <w:rFonts w:ascii="仿宋" w:hAnsi="仿宋" w:eastAsia="仿宋" w:cs="仿宋"/>
                <w:bCs/>
                <w:color w:val="auto"/>
                <w:sz w:val="24"/>
                <w:szCs w:val="24"/>
                <w:highlight w:val="none"/>
              </w:rPr>
            </w:pPr>
            <w:r>
              <w:rPr>
                <w:rFonts w:hint="eastAsia" w:ascii="仿宋" w:hAnsi="仿宋" w:eastAsia="仿宋" w:cs="宋体"/>
                <w:color w:val="auto"/>
                <w:kern w:val="0"/>
                <w:szCs w:val="21"/>
                <w:highlight w:val="none"/>
                <w:lang w:val="en-US" w:eastAsia="zh-CN"/>
              </w:rPr>
              <w:t xml:space="preserve">配置双电池 </w:t>
            </w:r>
          </w:p>
        </w:tc>
        <w:tc>
          <w:tcPr>
            <w:tcW w:w="709" w:type="dxa"/>
            <w:vAlign w:val="center"/>
          </w:tcPr>
          <w:p w14:paraId="62AD4334">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p>
        </w:tc>
        <w:tc>
          <w:tcPr>
            <w:tcW w:w="762" w:type="dxa"/>
            <w:vAlign w:val="center"/>
          </w:tcPr>
          <w:p w14:paraId="1E104AEE">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套</w:t>
            </w:r>
          </w:p>
        </w:tc>
      </w:tr>
      <w:tr w14:paraId="59833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00" w:type="dxa"/>
            <w:noWrap/>
            <w:vAlign w:val="center"/>
          </w:tcPr>
          <w:p w14:paraId="2B13DF32">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w:t>
            </w:r>
          </w:p>
        </w:tc>
        <w:tc>
          <w:tcPr>
            <w:tcW w:w="2012" w:type="dxa"/>
            <w:vAlign w:val="center"/>
          </w:tcPr>
          <w:p w14:paraId="297412EF">
            <w:pPr>
              <w:rPr>
                <w:rFonts w:hint="eastAsia" w:ascii="仿宋" w:hAnsi="仿宋" w:eastAsia="仿宋" w:cs="Times New Roman"/>
                <w:color w:val="auto"/>
                <w:kern w:val="0"/>
                <w:szCs w:val="21"/>
                <w:highlight w:val="none"/>
                <w:lang w:val="en-US" w:eastAsia="zh-CN"/>
              </w:rPr>
            </w:pPr>
            <w:r>
              <w:rPr>
                <w:rFonts w:hint="eastAsia" w:ascii="仿宋" w:hAnsi="仿宋" w:eastAsia="仿宋" w:cs="Times New Roman"/>
                <w:color w:val="auto"/>
                <w:kern w:val="0"/>
                <w:szCs w:val="21"/>
                <w:highlight w:val="none"/>
                <w:lang w:val="en-US" w:eastAsia="zh-CN"/>
              </w:rPr>
              <w:t>机械手臂</w:t>
            </w:r>
          </w:p>
        </w:tc>
        <w:tc>
          <w:tcPr>
            <w:tcW w:w="4938" w:type="dxa"/>
            <w:noWrap/>
            <w:vAlign w:val="center"/>
          </w:tcPr>
          <w:p w14:paraId="74B04C74">
            <w:pPr>
              <w:numPr>
                <w:ilvl w:val="-1"/>
                <w:numId w:val="0"/>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1.自由度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6；关节数</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12</w:t>
            </w:r>
          </w:p>
          <w:p w14:paraId="7DA4CC73">
            <w:pPr>
              <w:numPr>
                <w:ilvl w:val="-1"/>
                <w:numId w:val="0"/>
              </w:numPr>
              <w:rPr>
                <w:rFonts w:hint="default" w:ascii="仿宋" w:hAnsi="仿宋" w:eastAsia="仿宋" w:cs="宋体"/>
                <w:color w:val="auto"/>
                <w:kern w:val="0"/>
                <w:szCs w:val="21"/>
                <w:highlight w:val="none"/>
                <w:lang w:val="en-US" w:eastAsia="zh-CN"/>
              </w:rPr>
            </w:pPr>
            <w:r>
              <w:rPr>
                <w:rFonts w:hint="eastAsia" w:ascii="仿宋" w:hAnsi="仿宋" w:eastAsia="仿宋" w:cs="宋体"/>
                <w:b w:val="0"/>
                <w:bCs w:val="0"/>
                <w:color w:val="auto"/>
                <w:kern w:val="0"/>
                <w:sz w:val="21"/>
                <w:szCs w:val="21"/>
                <w:highlight w:val="none"/>
                <w:lang w:val="en-US" w:eastAsia="zh-CN"/>
              </w:rPr>
              <w:t>2.★</w:t>
            </w:r>
            <w:r>
              <w:rPr>
                <w:rFonts w:hint="eastAsia" w:ascii="仿宋" w:hAnsi="仿宋" w:eastAsia="仿宋" w:cs="宋体"/>
                <w:color w:val="auto"/>
                <w:kern w:val="0"/>
                <w:szCs w:val="21"/>
                <w:highlight w:val="none"/>
                <w:lang w:val="en-US" w:eastAsia="zh-CN"/>
              </w:rPr>
              <w:t>重复定位精度：±0.20mm之间</w:t>
            </w:r>
          </w:p>
          <w:p w14:paraId="6FA23EE5">
            <w:pPr>
              <w:numPr>
                <w:ilvl w:val="-1"/>
                <w:numId w:val="0"/>
              </w:numPr>
              <w:rPr>
                <w:rFonts w:hint="eastAsia" w:ascii="仿宋" w:hAnsi="仿宋" w:eastAsia="仿宋" w:cs="宋体"/>
                <w:color w:val="auto"/>
                <w:kern w:val="0"/>
                <w:szCs w:val="21"/>
                <w:highlight w:val="none"/>
                <w:lang w:val="en-US" w:eastAsia="zh-CN"/>
              </w:rPr>
            </w:pPr>
            <w:r>
              <w:rPr>
                <w:rFonts w:hint="eastAsia" w:ascii="仿宋" w:hAnsi="仿宋" w:eastAsia="仿宋" w:cs="宋体"/>
                <w:b w:val="0"/>
                <w:bCs w:val="0"/>
                <w:color w:val="auto"/>
                <w:kern w:val="0"/>
                <w:sz w:val="21"/>
                <w:szCs w:val="21"/>
                <w:highlight w:val="none"/>
                <w:lang w:val="en-US" w:eastAsia="zh-CN"/>
              </w:rPr>
              <w:t>3.</w:t>
            </w:r>
            <w:r>
              <w:rPr>
                <w:rFonts w:hint="eastAsia" w:ascii="仿宋" w:hAnsi="仿宋" w:eastAsia="仿宋" w:cs="宋体"/>
                <w:b w:val="0"/>
                <w:bCs w:val="0"/>
                <w:color w:val="auto"/>
                <w:kern w:val="0"/>
                <w:sz w:val="21"/>
                <w:szCs w:val="21"/>
                <w:highlight w:val="none"/>
                <w:lang w:val="en-US" w:eastAsia="zh-CN"/>
              </w:rPr>
              <w:t>★</w:t>
            </w:r>
            <w:r>
              <w:rPr>
                <w:rFonts w:hint="eastAsia" w:ascii="仿宋" w:hAnsi="仿宋" w:eastAsia="仿宋" w:cs="宋体"/>
                <w:color w:val="auto"/>
                <w:kern w:val="0"/>
                <w:szCs w:val="21"/>
                <w:highlight w:val="none"/>
                <w:lang w:val="en-US" w:eastAsia="zh-CN"/>
              </w:rPr>
              <w:t>拇指最大抓握力6N；四指最大抓握力4N；</w:t>
            </w:r>
          </w:p>
          <w:p w14:paraId="40B991FC">
            <w:pPr>
              <w:numPr>
                <w:ilvl w:val="-1"/>
                <w:numId w:val="0"/>
              </w:numPr>
              <w:rPr>
                <w:rFonts w:hint="eastAsia" w:ascii="仿宋" w:hAnsi="仿宋" w:eastAsia="仿宋" w:cs="宋体"/>
                <w:color w:val="auto"/>
                <w:kern w:val="0"/>
                <w:szCs w:val="21"/>
                <w:highlight w:val="none"/>
                <w:lang w:val="en-US" w:eastAsia="zh-CN"/>
              </w:rPr>
            </w:pPr>
            <w:r>
              <w:rPr>
                <w:rFonts w:hint="eastAsia" w:ascii="仿宋" w:hAnsi="仿宋" w:eastAsia="仿宋" w:cs="宋体"/>
                <w:b w:val="0"/>
                <w:bCs w:val="0"/>
                <w:color w:val="auto"/>
                <w:kern w:val="0"/>
                <w:sz w:val="21"/>
                <w:szCs w:val="21"/>
                <w:highlight w:val="none"/>
                <w:lang w:val="en-US" w:eastAsia="zh-CN"/>
              </w:rPr>
              <w:t>4.</w:t>
            </w:r>
            <w:r>
              <w:rPr>
                <w:rFonts w:hint="eastAsia" w:ascii="仿宋" w:hAnsi="仿宋" w:eastAsia="仿宋" w:cs="宋体"/>
                <w:b w:val="0"/>
                <w:bCs w:val="0"/>
                <w:color w:val="auto"/>
                <w:kern w:val="0"/>
                <w:sz w:val="21"/>
                <w:szCs w:val="21"/>
                <w:highlight w:val="none"/>
                <w:lang w:val="en-US" w:eastAsia="zh-CN"/>
              </w:rPr>
              <w:t>★</w:t>
            </w:r>
            <w:r>
              <w:rPr>
                <w:rFonts w:hint="eastAsia" w:ascii="仿宋" w:hAnsi="仿宋" w:eastAsia="仿宋" w:cs="宋体"/>
                <w:color w:val="auto"/>
                <w:kern w:val="0"/>
                <w:szCs w:val="21"/>
                <w:highlight w:val="none"/>
                <w:lang w:val="en-US" w:eastAsia="zh-CN"/>
              </w:rPr>
              <w:t>抓握力分辨率</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0.50N</w:t>
            </w:r>
          </w:p>
          <w:p w14:paraId="47468EBA">
            <w:pPr>
              <w:numPr>
                <w:ilvl w:val="-1"/>
                <w:numId w:val="10"/>
              </w:numPr>
              <w:tabs>
                <w:tab w:val="left" w:pos="312"/>
              </w:tabs>
              <w:rPr>
                <w:rFonts w:ascii="仿宋" w:hAnsi="仿宋" w:eastAsia="仿宋" w:cs="仿宋"/>
                <w:bCs/>
                <w:color w:val="auto"/>
                <w:sz w:val="24"/>
                <w:szCs w:val="24"/>
                <w:highlight w:val="none"/>
              </w:rPr>
            </w:pPr>
            <w:r>
              <w:rPr>
                <w:rFonts w:hint="eastAsia" w:ascii="仿宋" w:hAnsi="仿宋" w:eastAsia="仿宋" w:cs="宋体"/>
                <w:color w:val="auto"/>
                <w:kern w:val="0"/>
                <w:szCs w:val="21"/>
                <w:highlight w:val="none"/>
                <w:lang w:val="en-US" w:eastAsia="zh-CN"/>
              </w:rPr>
              <w:t>5.拇指横向旋转范围＞65°；拇指侧摆速度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235°/s；拇指弯曲速度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150°/s；四指弯曲速度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570°/s</w:t>
            </w:r>
          </w:p>
        </w:tc>
        <w:tc>
          <w:tcPr>
            <w:tcW w:w="709" w:type="dxa"/>
            <w:vAlign w:val="center"/>
          </w:tcPr>
          <w:p w14:paraId="3047CDDA">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p>
        </w:tc>
        <w:tc>
          <w:tcPr>
            <w:tcW w:w="762" w:type="dxa"/>
            <w:vAlign w:val="center"/>
          </w:tcPr>
          <w:p w14:paraId="17DBBF74">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套</w:t>
            </w:r>
          </w:p>
        </w:tc>
      </w:tr>
    </w:tbl>
    <w:p w14:paraId="54DD3965">
      <w:pPr>
        <w:spacing w:line="360" w:lineRule="auto"/>
        <w:ind w:firstLine="440" w:firstLineChars="200"/>
        <w:rPr>
          <w:rFonts w:ascii="仿宋" w:eastAsia="仿宋" w:cs="仿宋"/>
          <w:bCs/>
          <w:color w:val="auto"/>
          <w:kern w:val="0"/>
          <w:sz w:val="22"/>
          <w:szCs w:val="22"/>
          <w:highlight w:val="none"/>
        </w:rPr>
      </w:pPr>
      <w:r>
        <w:rPr>
          <w:rFonts w:hint="eastAsia" w:ascii="仿宋" w:eastAsia="仿宋" w:cs="仿宋"/>
          <w:bCs/>
          <w:color w:val="auto"/>
          <w:kern w:val="0"/>
          <w:sz w:val="22"/>
          <w:szCs w:val="22"/>
          <w:highlight w:val="none"/>
        </w:rPr>
        <w:t>备注：</w:t>
      </w:r>
    </w:p>
    <w:p w14:paraId="22807D93">
      <w:pPr>
        <w:spacing w:line="360" w:lineRule="auto"/>
        <w:ind w:firstLine="440" w:firstLineChars="200"/>
        <w:rPr>
          <w:rFonts w:ascii="仿宋" w:eastAsia="仿宋" w:cs="仿宋"/>
          <w:bCs/>
          <w:color w:val="auto"/>
          <w:kern w:val="0"/>
          <w:sz w:val="22"/>
          <w:szCs w:val="22"/>
          <w:highlight w:val="none"/>
        </w:rPr>
      </w:pPr>
      <w:r>
        <w:rPr>
          <w:rFonts w:hint="eastAsia" w:ascii="仿宋" w:eastAsia="仿宋" w:cs="仿宋"/>
          <w:bCs/>
          <w:color w:val="auto"/>
          <w:kern w:val="0"/>
          <w:sz w:val="22"/>
          <w:szCs w:val="22"/>
          <w:highlight w:val="none"/>
        </w:rPr>
        <w:t>1.投标人所投产品的技术参数</w:t>
      </w:r>
      <w:r>
        <w:rPr>
          <w:rFonts w:hint="eastAsia" w:ascii="Arial" w:hAnsi="Arial" w:eastAsia="仿宋" w:cs="Arial"/>
          <w:color w:val="auto"/>
          <w:kern w:val="0"/>
          <w:sz w:val="21"/>
          <w:szCs w:val="21"/>
          <w:highlight w:val="none"/>
          <w:lang w:val="en-US" w:eastAsia="zh-CN" w:bidi="ar-SA"/>
        </w:rPr>
        <w:t>应满足</w:t>
      </w:r>
      <w:r>
        <w:rPr>
          <w:rFonts w:hint="eastAsia" w:ascii="仿宋" w:eastAsia="仿宋" w:cs="仿宋"/>
          <w:bCs/>
          <w:color w:val="auto"/>
          <w:kern w:val="0"/>
          <w:sz w:val="22"/>
          <w:szCs w:val="22"/>
          <w:highlight w:val="none"/>
        </w:rPr>
        <w:t>本项目的技术要求。</w:t>
      </w:r>
    </w:p>
    <w:p w14:paraId="0F9B1C17">
      <w:pPr>
        <w:spacing w:line="360" w:lineRule="auto"/>
        <w:ind w:firstLine="440" w:firstLineChars="200"/>
        <w:rPr>
          <w:rFonts w:ascii="仿宋" w:eastAsia="仿宋" w:cs="仿宋"/>
          <w:bCs/>
          <w:color w:val="auto"/>
          <w:kern w:val="0"/>
          <w:sz w:val="22"/>
          <w:szCs w:val="22"/>
          <w:highlight w:val="none"/>
        </w:rPr>
      </w:pPr>
      <w:r>
        <w:rPr>
          <w:rFonts w:hint="eastAsia" w:ascii="仿宋" w:eastAsia="仿宋" w:cs="仿宋"/>
          <w:bCs/>
          <w:color w:val="auto"/>
          <w:kern w:val="0"/>
          <w:sz w:val="22"/>
          <w:szCs w:val="22"/>
          <w:highlight w:val="none"/>
        </w:rPr>
        <w:t>2.供应商的响应文件应该真实、全面、完整。包括设备功能说明、性能指标及设备选型，明确设备、材料的具体品牌、型号和数量，符合采购文件的要求。</w:t>
      </w:r>
    </w:p>
    <w:p w14:paraId="416A13F7">
      <w:pPr>
        <w:spacing w:line="360" w:lineRule="auto"/>
        <w:ind w:firstLine="440" w:firstLineChars="200"/>
        <w:rPr>
          <w:rFonts w:hint="eastAsia" w:ascii="仿宋" w:eastAsia="仿宋" w:cs="仿宋"/>
          <w:bCs/>
          <w:color w:val="auto"/>
          <w:kern w:val="0"/>
          <w:sz w:val="22"/>
          <w:szCs w:val="22"/>
          <w:highlight w:val="none"/>
        </w:rPr>
      </w:pPr>
      <w:r>
        <w:rPr>
          <w:rFonts w:hint="eastAsia" w:ascii="仿宋" w:eastAsia="仿宋" w:cs="仿宋"/>
          <w:bCs/>
          <w:color w:val="auto"/>
          <w:kern w:val="0"/>
          <w:sz w:val="22"/>
          <w:szCs w:val="22"/>
          <w:highlight w:val="none"/>
        </w:rPr>
        <w:t>3.响应文件不仅应包括招标文件所要求提供的技术条款上所标明的材料，还应包括任何未明确标出的，但全套产品安装后保证正常安全运行所不可缺少的配件及附件。其中全部材料应说明名称、型号、数量、单价、总价、制造商等。投标人按要求应列入而未列入材料清单的货物及材料，均认为已含在其清单中。</w:t>
      </w:r>
    </w:p>
    <w:p w14:paraId="695EEDAD">
      <w:pPr>
        <w:pStyle w:val="25"/>
        <w:rPr>
          <w:color w:val="auto"/>
          <w:highlight w:val="none"/>
        </w:rPr>
      </w:pPr>
    </w:p>
    <w:p w14:paraId="11B143C2">
      <w:pPr>
        <w:widowControl/>
        <w:numPr>
          <w:ilvl w:val="-1"/>
          <w:numId w:val="0"/>
        </w:numPr>
        <w:shd w:val="clear" w:color="auto" w:fill="auto"/>
        <w:spacing w:line="360" w:lineRule="auto"/>
        <w:ind w:left="0" w:leftChars="0" w:firstLine="420" w:firstLineChars="0"/>
        <w:outlineLvl w:val="9"/>
        <w:rPr>
          <w:rFonts w:hint="eastAsia" w:ascii="仿宋" w:hAnsi="仿宋" w:eastAsia="仿宋" w:cs="仿宋_GB2312"/>
          <w:b/>
          <w:bCs/>
          <w:color w:val="auto"/>
          <w:sz w:val="24"/>
          <w:szCs w:val="24"/>
          <w:highlight w:val="none"/>
          <w:lang w:val="en-US" w:eastAsia="zh-CN"/>
        </w:rPr>
      </w:pPr>
      <w:r>
        <w:rPr>
          <w:rFonts w:hint="eastAsia" w:ascii="仿宋" w:hAnsi="仿宋" w:eastAsia="仿宋" w:cs="仿宋_GB2312"/>
          <w:b/>
          <w:bCs/>
          <w:color w:val="auto"/>
          <w:sz w:val="24"/>
          <w:szCs w:val="24"/>
          <w:highlight w:val="none"/>
          <w:lang w:val="en-US" w:eastAsia="zh-CN"/>
        </w:rPr>
        <w:t>四、人形机器人1、2的功能要求</w:t>
      </w:r>
    </w:p>
    <w:p w14:paraId="5EC1DA9C">
      <w:pPr>
        <w:widowControl/>
        <w:numPr>
          <w:ilvl w:val="0"/>
          <w:numId w:val="0"/>
        </w:numPr>
        <w:shd w:val="clear" w:color="auto" w:fill="FFFFFF"/>
        <w:spacing w:line="360" w:lineRule="auto"/>
        <w:ind w:left="420" w:leftChars="200" w:firstLine="0" w:firstLineChars="0"/>
        <w:outlineLvl w:val="0"/>
        <w:rPr>
          <w:rFonts w:hint="eastAsia" w:ascii="仿宋" w:hAnsi="仿宋" w:eastAsia="仿宋"/>
          <w:color w:val="auto"/>
          <w:sz w:val="22"/>
          <w:szCs w:val="22"/>
          <w:highlight w:val="none"/>
          <w:lang w:val="en-US" w:eastAsia="zh-CN"/>
        </w:rPr>
      </w:pPr>
      <w:r>
        <w:rPr>
          <w:rFonts w:hint="eastAsia" w:ascii="仿宋" w:hAnsi="仿宋" w:eastAsia="仿宋"/>
          <w:color w:val="auto"/>
          <w:sz w:val="22"/>
          <w:szCs w:val="22"/>
          <w:highlight w:val="none"/>
          <w:lang w:val="en-US" w:eastAsia="zh-CN"/>
        </w:rPr>
        <w:t>本项目机器人1、2需达到以下要求：</w:t>
      </w:r>
    </w:p>
    <w:p w14:paraId="2DBD31F6">
      <w:pPr>
        <w:widowControl/>
        <w:numPr>
          <w:ilvl w:val="0"/>
          <w:numId w:val="0"/>
        </w:numPr>
        <w:shd w:val="clear" w:color="auto" w:fill="FFFFFF"/>
        <w:spacing w:line="360" w:lineRule="auto"/>
        <w:ind w:left="420" w:leftChars="200" w:firstLine="0"/>
        <w:outlineLvl w:val="0"/>
        <w:rPr>
          <w:rFonts w:hint="eastAsia" w:ascii="仿宋" w:hAnsi="仿宋" w:eastAsia="仿宋"/>
          <w:color w:val="auto"/>
          <w:kern w:val="2"/>
          <w:sz w:val="22"/>
          <w:szCs w:val="22"/>
          <w:highlight w:val="none"/>
          <w:lang w:val="en-US" w:eastAsia="zh-CN"/>
        </w:rPr>
      </w:pPr>
      <w:r>
        <w:rPr>
          <w:rFonts w:hint="eastAsia" w:ascii="仿宋" w:hAnsi="仿宋" w:eastAsia="仿宋" w:cs="Times New Roman"/>
          <w:color w:val="auto"/>
          <w:sz w:val="22"/>
          <w:szCs w:val="22"/>
          <w:highlight w:val="none"/>
          <w:lang w:val="en-US" w:eastAsia="zh-CN"/>
        </w:rPr>
        <w:t>1、能够</w:t>
      </w:r>
      <w:r>
        <w:rPr>
          <w:rFonts w:hint="eastAsia" w:ascii="仿宋" w:hAnsi="仿宋" w:eastAsia="仿宋"/>
          <w:color w:val="auto"/>
          <w:kern w:val="2"/>
          <w:sz w:val="22"/>
          <w:szCs w:val="22"/>
          <w:highlight w:val="none"/>
          <w:lang w:val="en-US" w:eastAsia="zh-CN"/>
        </w:rPr>
        <w:t>根据要求，在特定道路配合警务人员实现巡逻防控，满电后，稳定行走；</w:t>
      </w:r>
    </w:p>
    <w:p w14:paraId="3AEB0DC5">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s="Times New Roman"/>
          <w:color w:val="auto"/>
          <w:sz w:val="22"/>
          <w:szCs w:val="22"/>
          <w:highlight w:val="none"/>
          <w:lang w:val="en-US" w:eastAsia="zh-CN"/>
        </w:rPr>
      </w:pPr>
      <w:r>
        <w:rPr>
          <w:rFonts w:hint="eastAsia" w:ascii="仿宋" w:hAnsi="仿宋" w:eastAsia="仿宋"/>
          <w:color w:val="auto"/>
          <w:kern w:val="2"/>
          <w:sz w:val="22"/>
          <w:szCs w:val="22"/>
          <w:highlight w:val="none"/>
          <w:lang w:val="en-US" w:eastAsia="zh-CN"/>
        </w:rPr>
        <w:t>2、能够实现握手、挥手、转身挥手、敬礼、引导等动作要求，根据要求与现场人员进行肢体动作互动</w:t>
      </w:r>
      <w:r>
        <w:rPr>
          <w:rFonts w:hint="eastAsia" w:ascii="仿宋" w:hAnsi="仿宋" w:eastAsia="仿宋" w:cs="Times New Roman"/>
          <w:color w:val="auto"/>
          <w:sz w:val="22"/>
          <w:szCs w:val="22"/>
          <w:highlight w:val="none"/>
          <w:lang w:val="en-US" w:eastAsia="zh-CN"/>
        </w:rPr>
        <w:t>。</w:t>
      </w:r>
    </w:p>
    <w:p w14:paraId="09AAA1E5">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3、能够与人沟通、交流特定问题，根据提示做出相关动作，现场巡逻时，能够根据预定需求，指引人员到相应位置。</w:t>
      </w:r>
    </w:p>
    <w:p w14:paraId="6DE9FBAE">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4、能够对相关政策进行讲解和问题回答。</w:t>
      </w:r>
    </w:p>
    <w:p w14:paraId="2D96B7B6">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5、机器人能够开放接口，配合接入公安相关的系统及平台，使其实现软件驱动的相关功能。</w:t>
      </w:r>
    </w:p>
    <w:p w14:paraId="68007FC5">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6、人形机器人需满足能够配合接入语音、控制、算法、导航、地图、音视频传输等模块功能的接口开放。</w:t>
      </w:r>
    </w:p>
    <w:p w14:paraId="3853AECD">
      <w:pPr>
        <w:widowControl/>
        <w:numPr>
          <w:ilvl w:val="0"/>
          <w:numId w:val="0"/>
        </w:numPr>
        <w:shd w:val="clear" w:color="auto" w:fill="FFFFFF"/>
        <w:spacing w:line="360" w:lineRule="auto"/>
        <w:ind w:left="420" w:leftChars="200" w:firstLine="0" w:firstLineChars="0"/>
        <w:outlineLvl w:val="0"/>
        <w:rPr>
          <w:rFonts w:hint="default" w:ascii="仿宋" w:hAnsi="仿宋" w:eastAsia="仿宋"/>
          <w:color w:val="auto"/>
          <w:sz w:val="22"/>
          <w:szCs w:val="22"/>
          <w:highlight w:val="none"/>
          <w:lang w:val="en-US" w:eastAsia="zh-CN"/>
        </w:rPr>
      </w:pPr>
    </w:p>
    <w:p w14:paraId="7D0E338D">
      <w:pPr>
        <w:widowControl/>
        <w:numPr>
          <w:ilvl w:val="-1"/>
          <w:numId w:val="0"/>
        </w:numPr>
        <w:shd w:val="clear" w:color="auto" w:fill="auto"/>
        <w:spacing w:line="360" w:lineRule="auto"/>
        <w:ind w:left="0" w:leftChars="0" w:firstLine="420" w:firstLineChars="0"/>
        <w:outlineLvl w:val="9"/>
        <w:rPr>
          <w:rFonts w:hint="eastAsia" w:ascii="仿宋" w:hAnsi="仿宋" w:eastAsia="仿宋" w:cs="仿宋_GB2312"/>
          <w:b/>
          <w:bCs/>
          <w:color w:val="auto"/>
          <w:sz w:val="24"/>
          <w:szCs w:val="24"/>
          <w:highlight w:val="none"/>
          <w:lang w:val="en-US" w:eastAsia="zh-CN"/>
        </w:rPr>
      </w:pPr>
      <w:r>
        <w:rPr>
          <w:rFonts w:hint="eastAsia" w:ascii="仿宋" w:hAnsi="仿宋" w:eastAsia="仿宋" w:cs="仿宋_GB2312"/>
          <w:b/>
          <w:bCs/>
          <w:color w:val="auto"/>
          <w:sz w:val="24"/>
          <w:szCs w:val="24"/>
          <w:highlight w:val="none"/>
          <w:lang w:val="en-US" w:eastAsia="zh-CN"/>
        </w:rPr>
        <w:t>五、服务要求</w:t>
      </w:r>
    </w:p>
    <w:p w14:paraId="3A48C5A9">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rPr>
        <w:t>1.投标人提供租赁的</w:t>
      </w:r>
      <w:r>
        <w:rPr>
          <w:rFonts w:hint="eastAsia" w:ascii="仿宋" w:hAnsi="仿宋" w:eastAsia="仿宋"/>
          <w:color w:val="auto"/>
          <w:sz w:val="22"/>
          <w:szCs w:val="22"/>
          <w:highlight w:val="none"/>
          <w:lang w:val="en-US" w:eastAsia="zh-CN"/>
        </w:rPr>
        <w:t>产品</w:t>
      </w:r>
      <w:r>
        <w:rPr>
          <w:rFonts w:hint="eastAsia" w:ascii="仿宋" w:hAnsi="仿宋" w:eastAsia="仿宋"/>
          <w:color w:val="auto"/>
          <w:sz w:val="22"/>
          <w:szCs w:val="22"/>
          <w:highlight w:val="none"/>
        </w:rPr>
        <w:t>由投标人负责维护，如在</w:t>
      </w:r>
      <w:r>
        <w:rPr>
          <w:rFonts w:hint="eastAsia" w:ascii="仿宋" w:hAnsi="仿宋" w:eastAsia="仿宋"/>
          <w:color w:val="auto"/>
          <w:sz w:val="22"/>
          <w:szCs w:val="22"/>
          <w:highlight w:val="none"/>
          <w:lang w:val="en-US" w:eastAsia="zh-CN"/>
        </w:rPr>
        <w:t>采购人需求清单</w:t>
      </w:r>
      <w:r>
        <w:rPr>
          <w:rFonts w:hint="eastAsia" w:ascii="仿宋" w:hAnsi="仿宋" w:eastAsia="仿宋"/>
          <w:color w:val="auto"/>
          <w:sz w:val="22"/>
          <w:szCs w:val="22"/>
          <w:highlight w:val="none"/>
        </w:rPr>
        <w:t>中未列明的，</w:t>
      </w:r>
      <w:r>
        <w:rPr>
          <w:rFonts w:hint="eastAsia" w:ascii="仿宋" w:hAnsi="仿宋" w:eastAsia="仿宋"/>
          <w:color w:val="auto"/>
          <w:sz w:val="22"/>
          <w:szCs w:val="22"/>
          <w:highlight w:val="none"/>
          <w:lang w:val="en-US" w:eastAsia="zh-CN"/>
        </w:rPr>
        <w:t>但项目实施过程中必须得，</w:t>
      </w:r>
      <w:r>
        <w:rPr>
          <w:rFonts w:hint="eastAsia" w:ascii="仿宋" w:hAnsi="仿宋" w:eastAsia="仿宋"/>
          <w:color w:val="auto"/>
          <w:sz w:val="22"/>
          <w:szCs w:val="22"/>
          <w:highlight w:val="none"/>
        </w:rPr>
        <w:t>由投标人自行补齐，所有费用由投标人承担。</w:t>
      </w:r>
    </w:p>
    <w:p w14:paraId="7AD1924B">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rPr>
        <w:t>2.在合同服务期内，投标人提供租赁的所有设备的维护、更新、质保服务均由投标人自行负责，投标人须确保</w:t>
      </w:r>
      <w:r>
        <w:rPr>
          <w:rFonts w:hint="eastAsia" w:ascii="仿宋" w:hAnsi="仿宋" w:eastAsia="仿宋"/>
          <w:color w:val="auto"/>
          <w:sz w:val="22"/>
          <w:szCs w:val="22"/>
          <w:highlight w:val="none"/>
          <w:lang w:val="en-US" w:eastAsia="zh-CN"/>
        </w:rPr>
        <w:t>产品</w:t>
      </w:r>
      <w:r>
        <w:rPr>
          <w:rFonts w:hint="eastAsia" w:ascii="仿宋" w:hAnsi="仿宋" w:eastAsia="仿宋"/>
          <w:color w:val="auto"/>
          <w:sz w:val="22"/>
          <w:szCs w:val="22"/>
          <w:highlight w:val="none"/>
        </w:rPr>
        <w:t>的正常运行。</w:t>
      </w:r>
    </w:p>
    <w:p w14:paraId="37EC3BC8">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olor w:val="auto"/>
          <w:sz w:val="22"/>
          <w:szCs w:val="22"/>
          <w:highlight w:val="none"/>
        </w:rPr>
        <w:t>3.</w:t>
      </w:r>
      <w:r>
        <w:rPr>
          <w:rFonts w:hint="eastAsia" w:ascii="仿宋" w:hAnsi="仿宋" w:eastAsia="仿宋" w:cs="Times New Roman"/>
          <w:color w:val="auto"/>
          <w:sz w:val="22"/>
          <w:szCs w:val="22"/>
          <w:highlight w:val="none"/>
        </w:rPr>
        <w:t>租赁期内，</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必须确保</w:t>
      </w:r>
      <w:r>
        <w:rPr>
          <w:rFonts w:hint="eastAsia" w:ascii="仿宋" w:hAnsi="仿宋" w:eastAsia="仿宋" w:cs="Times New Roman"/>
          <w:color w:val="auto"/>
          <w:sz w:val="22"/>
          <w:szCs w:val="22"/>
          <w:highlight w:val="none"/>
          <w:lang w:val="en-US" w:eastAsia="zh-CN"/>
        </w:rPr>
        <w:t>设备</w:t>
      </w:r>
      <w:r>
        <w:rPr>
          <w:rFonts w:hint="eastAsia" w:ascii="仿宋" w:hAnsi="仿宋" w:eastAsia="仿宋" w:cs="Times New Roman"/>
          <w:color w:val="auto"/>
          <w:sz w:val="22"/>
          <w:szCs w:val="22"/>
          <w:highlight w:val="none"/>
        </w:rPr>
        <w:t>的稳定运行，</w:t>
      </w:r>
      <w:r>
        <w:rPr>
          <w:rFonts w:hint="eastAsia" w:ascii="仿宋" w:hAnsi="仿宋" w:eastAsia="仿宋" w:cs="Times New Roman"/>
          <w:color w:val="auto"/>
          <w:sz w:val="22"/>
          <w:szCs w:val="22"/>
          <w:highlight w:val="none"/>
          <w:lang w:val="en-US" w:eastAsia="zh-CN"/>
        </w:rPr>
        <w:t>做好设备</w:t>
      </w:r>
      <w:r>
        <w:rPr>
          <w:rFonts w:hint="eastAsia" w:ascii="仿宋" w:hAnsi="仿宋" w:eastAsia="仿宋" w:cs="Times New Roman"/>
          <w:color w:val="auto"/>
          <w:sz w:val="22"/>
          <w:szCs w:val="22"/>
          <w:highlight w:val="none"/>
        </w:rPr>
        <w:t>软件升级</w:t>
      </w:r>
      <w:r>
        <w:rPr>
          <w:rFonts w:hint="eastAsia" w:ascii="仿宋" w:hAnsi="仿宋" w:eastAsia="仿宋" w:cs="Times New Roman"/>
          <w:color w:val="auto"/>
          <w:sz w:val="22"/>
          <w:szCs w:val="22"/>
          <w:highlight w:val="none"/>
          <w:lang w:val="en-US" w:eastAsia="zh-CN"/>
        </w:rPr>
        <w:t>和</w:t>
      </w:r>
      <w:r>
        <w:rPr>
          <w:rFonts w:hint="eastAsia" w:ascii="仿宋" w:hAnsi="仿宋" w:eastAsia="仿宋" w:cs="Times New Roman"/>
          <w:color w:val="auto"/>
          <w:sz w:val="22"/>
          <w:szCs w:val="22"/>
          <w:highlight w:val="none"/>
        </w:rPr>
        <w:t>硬件的维护工作。提供7*24上门维护、升级服务，对故障在</w:t>
      </w:r>
      <w:r>
        <w:rPr>
          <w:rFonts w:hint="eastAsia" w:ascii="仿宋" w:hAnsi="仿宋" w:eastAsia="仿宋" w:cs="Times New Roman"/>
          <w:color w:val="auto"/>
          <w:sz w:val="22"/>
          <w:szCs w:val="22"/>
          <w:highlight w:val="none"/>
          <w:lang w:val="en-US" w:eastAsia="zh-CN"/>
        </w:rPr>
        <w:t>30</w:t>
      </w:r>
      <w:r>
        <w:rPr>
          <w:rFonts w:hint="eastAsia" w:ascii="仿宋" w:hAnsi="仿宋" w:eastAsia="仿宋" w:cs="Times New Roman"/>
          <w:color w:val="auto"/>
          <w:sz w:val="22"/>
          <w:szCs w:val="22"/>
          <w:highlight w:val="none"/>
        </w:rPr>
        <w:t>分钟内响应，要求</w:t>
      </w:r>
      <w:r>
        <w:rPr>
          <w:rFonts w:hint="eastAsia" w:ascii="仿宋" w:hAnsi="仿宋" w:eastAsia="仿宋" w:cs="Times New Roman"/>
          <w:color w:val="auto"/>
          <w:sz w:val="22"/>
          <w:szCs w:val="22"/>
          <w:highlight w:val="none"/>
          <w:lang w:val="en-US" w:eastAsia="zh-CN"/>
        </w:rPr>
        <w:t>8</w:t>
      </w:r>
      <w:r>
        <w:rPr>
          <w:rFonts w:hint="eastAsia" w:ascii="仿宋" w:hAnsi="仿宋" w:eastAsia="仿宋" w:cs="Times New Roman"/>
          <w:color w:val="auto"/>
          <w:sz w:val="22"/>
          <w:szCs w:val="22"/>
          <w:highlight w:val="none"/>
        </w:rPr>
        <w:t>小时内排除故障或到达现场给予技术支持。逾期未作出响应，</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应承担由于故障所造成的全部损失。</w:t>
      </w:r>
    </w:p>
    <w:p w14:paraId="666811B2">
      <w:pPr>
        <w:spacing w:line="360" w:lineRule="auto"/>
        <w:ind w:firstLine="440" w:firstLineChars="200"/>
        <w:rPr>
          <w:rFonts w:hint="eastAsia"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4</w:t>
      </w:r>
      <w:r>
        <w:rPr>
          <w:rFonts w:hint="eastAsia" w:ascii="仿宋" w:hAnsi="仿宋" w:eastAsia="仿宋"/>
          <w:color w:val="auto"/>
          <w:sz w:val="22"/>
          <w:szCs w:val="22"/>
          <w:highlight w:val="none"/>
        </w:rPr>
        <w:t>.在合同服务期内，</w:t>
      </w:r>
      <w:r>
        <w:rPr>
          <w:rFonts w:hint="eastAsia" w:ascii="仿宋" w:hAnsi="仿宋" w:eastAsia="仿宋"/>
          <w:color w:val="auto"/>
          <w:kern w:val="2"/>
          <w:sz w:val="22"/>
          <w:szCs w:val="22"/>
          <w:highlight w:val="none"/>
          <w:lang w:val="en-US" w:eastAsia="zh-CN"/>
        </w:rPr>
        <w:t>每月不少于1次现场服务（包含技术支撑、巡检等）</w:t>
      </w:r>
      <w:r>
        <w:rPr>
          <w:rFonts w:hint="eastAsia" w:ascii="仿宋" w:hAnsi="仿宋" w:eastAsia="仿宋"/>
          <w:color w:val="auto"/>
          <w:sz w:val="22"/>
          <w:szCs w:val="22"/>
          <w:highlight w:val="none"/>
        </w:rPr>
        <w:t>，并建立相应台账。</w:t>
      </w:r>
    </w:p>
    <w:p w14:paraId="27DBB40E">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olor w:val="auto"/>
          <w:sz w:val="22"/>
          <w:szCs w:val="22"/>
          <w:highlight w:val="none"/>
          <w:lang w:val="en-US" w:eastAsia="zh-CN"/>
        </w:rPr>
        <w:t>5.</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应</w:t>
      </w:r>
      <w:r>
        <w:rPr>
          <w:rFonts w:hint="eastAsia" w:ascii="仿宋" w:hAnsi="仿宋" w:eastAsia="仿宋" w:cs="Times New Roman"/>
          <w:color w:val="auto"/>
          <w:sz w:val="22"/>
          <w:szCs w:val="22"/>
          <w:highlight w:val="none"/>
          <w:lang w:val="en-US" w:eastAsia="zh-CN"/>
        </w:rPr>
        <w:t>提供相应技术人员进行服务，</w:t>
      </w:r>
      <w:r>
        <w:rPr>
          <w:rFonts w:hint="eastAsia" w:ascii="仿宋" w:hAnsi="仿宋" w:eastAsia="仿宋" w:cs="Times New Roman"/>
          <w:color w:val="auto"/>
          <w:kern w:val="2"/>
          <w:sz w:val="22"/>
          <w:szCs w:val="22"/>
          <w:highlight w:val="none"/>
          <w:lang w:val="en-US" w:eastAsia="zh-CN"/>
        </w:rPr>
        <w:t>服务团队人员要求自动化、计算机、数控专业人员不少于3人，有相关服务经验，</w:t>
      </w:r>
      <w:r>
        <w:rPr>
          <w:rFonts w:hint="eastAsia" w:ascii="仿宋" w:hAnsi="仿宋" w:eastAsia="仿宋" w:cs="Times New Roman"/>
          <w:color w:val="auto"/>
          <w:sz w:val="22"/>
          <w:szCs w:val="22"/>
          <w:highlight w:val="none"/>
          <w:lang w:val="en-US" w:eastAsia="zh-CN"/>
        </w:rPr>
        <w:t>并确保其</w:t>
      </w:r>
      <w:r>
        <w:rPr>
          <w:rFonts w:hint="eastAsia" w:ascii="仿宋" w:hAnsi="仿宋" w:eastAsia="仿宋" w:cs="Times New Roman"/>
          <w:color w:val="auto"/>
          <w:sz w:val="22"/>
          <w:szCs w:val="22"/>
          <w:highlight w:val="none"/>
        </w:rPr>
        <w:t>技术建议以及所提供的服务及租赁产品的完整性、实用性，保证全部</w:t>
      </w:r>
      <w:r>
        <w:rPr>
          <w:rFonts w:hint="eastAsia" w:ascii="仿宋" w:hAnsi="仿宋" w:eastAsia="仿宋" w:cs="Times New Roman"/>
          <w:color w:val="auto"/>
          <w:sz w:val="22"/>
          <w:szCs w:val="22"/>
          <w:highlight w:val="none"/>
          <w:lang w:val="en-US" w:eastAsia="zh-CN"/>
        </w:rPr>
        <w:t>设备、</w:t>
      </w:r>
      <w:r>
        <w:rPr>
          <w:rFonts w:hint="eastAsia" w:ascii="仿宋" w:hAnsi="仿宋" w:eastAsia="仿宋" w:cs="Times New Roman"/>
          <w:color w:val="auto"/>
          <w:sz w:val="22"/>
          <w:szCs w:val="22"/>
          <w:highlight w:val="none"/>
        </w:rPr>
        <w:t>系统及时投入正常运行。否则若出现因</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提供的服务及租赁产品不满足要求、不合理，或者其所提供的技术支持和服务不全面，而导致系统无法实现或不能完全实现的状况，</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负全部责任。</w:t>
      </w:r>
    </w:p>
    <w:p w14:paraId="42BE5711">
      <w:pPr>
        <w:spacing w:line="360" w:lineRule="auto"/>
        <w:ind w:firstLine="440" w:firstLineChars="200"/>
        <w:rPr>
          <w:rFonts w:hint="eastAsia" w:ascii="仿宋" w:hAnsi="仿宋" w:eastAsia="仿宋"/>
          <w:color w:val="auto"/>
          <w:sz w:val="22"/>
          <w:szCs w:val="22"/>
          <w:highlight w:val="none"/>
        </w:rPr>
      </w:pPr>
      <w:r>
        <w:rPr>
          <w:rFonts w:hint="eastAsia" w:ascii="仿宋" w:hAnsi="仿宋" w:eastAsia="仿宋" w:cs="Times New Roman"/>
          <w:color w:val="auto"/>
          <w:sz w:val="22"/>
          <w:szCs w:val="22"/>
          <w:highlight w:val="none"/>
          <w:lang w:val="en-US" w:eastAsia="zh-CN"/>
        </w:rPr>
        <w:t>6</w:t>
      </w:r>
      <w:r>
        <w:rPr>
          <w:rFonts w:hint="eastAsia" w:ascii="仿宋" w:hAnsi="仿宋" w:eastAsia="仿宋"/>
          <w:color w:val="auto"/>
          <w:sz w:val="22"/>
          <w:szCs w:val="22"/>
          <w:highlight w:val="none"/>
        </w:rPr>
        <w:t>.保密要求：</w:t>
      </w:r>
    </w:p>
    <w:p w14:paraId="557DD497">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6</w:t>
      </w:r>
      <w:r>
        <w:rPr>
          <w:rFonts w:hint="eastAsia" w:ascii="仿宋" w:hAnsi="仿宋" w:eastAsia="仿宋" w:cs="Times New Roman"/>
          <w:color w:val="auto"/>
          <w:sz w:val="22"/>
          <w:szCs w:val="22"/>
          <w:highlight w:val="none"/>
        </w:rPr>
        <w:t>.1</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在参与本项目过程中，对于</w:t>
      </w:r>
      <w:r>
        <w:rPr>
          <w:rFonts w:hint="eastAsia" w:ascii="仿宋" w:hAnsi="仿宋" w:eastAsia="仿宋" w:cs="Times New Roman"/>
          <w:color w:val="auto"/>
          <w:sz w:val="22"/>
          <w:szCs w:val="22"/>
          <w:highlight w:val="none"/>
          <w:lang w:val="en-US" w:eastAsia="zh-CN"/>
        </w:rPr>
        <w:t>采购人</w:t>
      </w:r>
      <w:r>
        <w:rPr>
          <w:rFonts w:hint="eastAsia" w:ascii="仿宋" w:hAnsi="仿宋" w:eastAsia="仿宋" w:cs="Times New Roman"/>
          <w:color w:val="auto"/>
          <w:sz w:val="22"/>
          <w:szCs w:val="22"/>
          <w:highlight w:val="none"/>
        </w:rPr>
        <w:t>提供的任何形式的任何信息（包括技术信息和内容信息）均为警务信息，仅可用于完成本项目规定的工作任务，除此之外，</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不得出于任何目的、通过任何途径使用该信息。</w:t>
      </w:r>
    </w:p>
    <w:p w14:paraId="18C13ECF">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6</w:t>
      </w:r>
      <w:r>
        <w:rPr>
          <w:rFonts w:hint="eastAsia" w:ascii="仿宋" w:hAnsi="仿宋" w:eastAsia="仿宋" w:cs="Times New Roman"/>
          <w:color w:val="auto"/>
          <w:sz w:val="22"/>
          <w:szCs w:val="22"/>
          <w:highlight w:val="none"/>
        </w:rPr>
        <w:t>.2非经</w:t>
      </w:r>
      <w:r>
        <w:rPr>
          <w:rFonts w:hint="eastAsia" w:ascii="仿宋" w:hAnsi="仿宋" w:eastAsia="仿宋" w:cs="Times New Roman"/>
          <w:color w:val="auto"/>
          <w:sz w:val="22"/>
          <w:szCs w:val="22"/>
          <w:highlight w:val="none"/>
          <w:lang w:val="en-US" w:eastAsia="zh-CN"/>
        </w:rPr>
        <w:t>采购人</w:t>
      </w:r>
      <w:r>
        <w:rPr>
          <w:rFonts w:hint="eastAsia" w:ascii="仿宋" w:hAnsi="仿宋" w:eastAsia="仿宋" w:cs="Times New Roman"/>
          <w:color w:val="auto"/>
          <w:sz w:val="22"/>
          <w:szCs w:val="22"/>
          <w:highlight w:val="none"/>
        </w:rPr>
        <w:t>书面同意，</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不得就本项目涉及的警务信息在任何媒体上出版、发表声明、发布任何文件或其他书面或印刷资料。不得违规下载、留存、使用公安数据，篡改、毁损、出售数据等；非经</w:t>
      </w:r>
      <w:r>
        <w:rPr>
          <w:rFonts w:hint="eastAsia" w:ascii="仿宋" w:hAnsi="仿宋" w:eastAsia="仿宋" w:cs="Times New Roman"/>
          <w:color w:val="auto"/>
          <w:sz w:val="22"/>
          <w:szCs w:val="22"/>
          <w:highlight w:val="none"/>
          <w:lang w:val="en-US" w:eastAsia="zh-CN"/>
        </w:rPr>
        <w:t>采购人</w:t>
      </w:r>
      <w:r>
        <w:rPr>
          <w:rFonts w:hint="eastAsia" w:ascii="仿宋" w:hAnsi="仿宋" w:eastAsia="仿宋" w:cs="Times New Roman"/>
          <w:color w:val="auto"/>
          <w:sz w:val="22"/>
          <w:szCs w:val="22"/>
          <w:highlight w:val="none"/>
        </w:rPr>
        <w:t>书面同意，</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不得将信息透露或复制给任何第三方，否则</w:t>
      </w:r>
      <w:r>
        <w:rPr>
          <w:rFonts w:hint="eastAsia" w:ascii="仿宋" w:hAnsi="仿宋" w:eastAsia="仿宋" w:cs="Times New Roman"/>
          <w:color w:val="auto"/>
          <w:sz w:val="22"/>
          <w:szCs w:val="22"/>
          <w:highlight w:val="none"/>
          <w:lang w:val="en-US" w:eastAsia="zh-CN"/>
        </w:rPr>
        <w:t>采购人</w:t>
      </w:r>
      <w:r>
        <w:rPr>
          <w:rFonts w:hint="eastAsia" w:ascii="仿宋" w:hAnsi="仿宋" w:eastAsia="仿宋" w:cs="Times New Roman"/>
          <w:color w:val="auto"/>
          <w:sz w:val="22"/>
          <w:szCs w:val="22"/>
          <w:highlight w:val="none"/>
        </w:rPr>
        <w:t>有权追究</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由此产生的一切责任。</w:t>
      </w:r>
    </w:p>
    <w:p w14:paraId="51CAAAD9">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6</w:t>
      </w:r>
      <w:r>
        <w:rPr>
          <w:rFonts w:hint="eastAsia" w:ascii="仿宋" w:hAnsi="仿宋" w:eastAsia="仿宋" w:cs="Times New Roman"/>
          <w:color w:val="auto"/>
          <w:sz w:val="22"/>
          <w:szCs w:val="22"/>
          <w:highlight w:val="none"/>
        </w:rPr>
        <w:t>.3本项目终止或</w:t>
      </w:r>
      <w:r>
        <w:rPr>
          <w:rFonts w:hint="eastAsia" w:ascii="仿宋" w:hAnsi="仿宋" w:eastAsia="仿宋" w:cs="Times New Roman"/>
          <w:color w:val="auto"/>
          <w:sz w:val="22"/>
          <w:szCs w:val="22"/>
          <w:highlight w:val="none"/>
          <w:lang w:val="en-US" w:eastAsia="zh-CN"/>
        </w:rPr>
        <w:t>采购人</w:t>
      </w:r>
      <w:r>
        <w:rPr>
          <w:rFonts w:hint="eastAsia" w:ascii="仿宋" w:hAnsi="仿宋" w:eastAsia="仿宋" w:cs="Times New Roman"/>
          <w:color w:val="auto"/>
          <w:sz w:val="22"/>
          <w:szCs w:val="22"/>
          <w:highlight w:val="none"/>
        </w:rPr>
        <w:t>提出书面要求后，</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应立即销毁所有含警务信息的材料及介质，不得保留任何副本、摘录和其他部分或全部复制品，并销毁一切有关的电子文档信息。</w:t>
      </w:r>
    </w:p>
    <w:p w14:paraId="3C0CB0D2">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6</w:t>
      </w:r>
      <w:r>
        <w:rPr>
          <w:rFonts w:hint="eastAsia" w:ascii="仿宋" w:hAnsi="仿宋" w:eastAsia="仿宋" w:cs="Times New Roman"/>
          <w:color w:val="auto"/>
          <w:sz w:val="22"/>
          <w:szCs w:val="22"/>
          <w:highlight w:val="none"/>
        </w:rPr>
        <w:t>.4本项建设期间，</w:t>
      </w:r>
      <w:r>
        <w:rPr>
          <w:rFonts w:hint="eastAsia" w:ascii="仿宋" w:hAnsi="仿宋" w:eastAsia="仿宋" w:cs="Times New Roman"/>
          <w:color w:val="auto"/>
          <w:sz w:val="22"/>
          <w:szCs w:val="22"/>
          <w:highlight w:val="none"/>
          <w:lang w:val="en-US" w:eastAsia="zh-CN"/>
        </w:rPr>
        <w:t>投标人</w:t>
      </w:r>
      <w:r>
        <w:rPr>
          <w:rFonts w:hint="eastAsia" w:ascii="仿宋" w:hAnsi="仿宋" w:eastAsia="仿宋" w:cs="Times New Roman"/>
          <w:color w:val="auto"/>
          <w:sz w:val="22"/>
          <w:szCs w:val="22"/>
          <w:highlight w:val="none"/>
        </w:rPr>
        <w:t>不得擅自扩大与合作事项相关信息的知悉范围，参与人员离职、离岗应及时清除、收回相应文档资料、数据等。所有参与本项目的人员须签订保密协议，保密期限根据</w:t>
      </w:r>
      <w:r>
        <w:rPr>
          <w:rFonts w:hint="eastAsia" w:ascii="仿宋" w:hAnsi="仿宋" w:eastAsia="仿宋" w:cs="Times New Roman"/>
          <w:color w:val="auto"/>
          <w:sz w:val="22"/>
          <w:szCs w:val="22"/>
          <w:highlight w:val="none"/>
          <w:lang w:val="en-US" w:eastAsia="zh-CN"/>
        </w:rPr>
        <w:t>采购人</w:t>
      </w:r>
      <w:r>
        <w:rPr>
          <w:rFonts w:hint="eastAsia" w:ascii="仿宋" w:hAnsi="仿宋" w:eastAsia="仿宋" w:cs="Times New Roman"/>
          <w:color w:val="auto"/>
          <w:sz w:val="22"/>
          <w:szCs w:val="22"/>
          <w:highlight w:val="none"/>
        </w:rPr>
        <w:t>要求。以上保密义务不因合同的终止、无效、被撤销而免除。</w:t>
      </w:r>
    </w:p>
    <w:p w14:paraId="14224384">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7.</w:t>
      </w:r>
      <w:r>
        <w:rPr>
          <w:rFonts w:hint="eastAsia" w:ascii="仿宋" w:hAnsi="仿宋" w:eastAsia="仿宋"/>
          <w:color w:val="auto"/>
          <w:sz w:val="22"/>
          <w:szCs w:val="22"/>
          <w:highlight w:val="none"/>
        </w:rPr>
        <w:t>应急服务要求</w:t>
      </w:r>
    </w:p>
    <w:p w14:paraId="73037517">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rPr>
        <w:t>投标人应制定全面合理的应急服务响应方案，包括预防和预警机制、运维应急、应急处置、故障处理、善后处置、监督管理等内容。</w:t>
      </w:r>
    </w:p>
    <w:p w14:paraId="3FCD97FE">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8</w:t>
      </w:r>
      <w:r>
        <w:rPr>
          <w:rFonts w:hint="eastAsia" w:ascii="仿宋" w:hAnsi="仿宋" w:eastAsia="仿宋"/>
          <w:color w:val="auto"/>
          <w:sz w:val="22"/>
          <w:szCs w:val="22"/>
          <w:highlight w:val="none"/>
        </w:rPr>
        <w:t>.培训要求</w:t>
      </w:r>
    </w:p>
    <w:p w14:paraId="4588EF3A">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rPr>
        <w:t>投标人应制定全面合理的培训方案，包括培训目的、培训对象和形式、培训计划、培训内容等内容。</w:t>
      </w:r>
    </w:p>
    <w:p w14:paraId="6509DAAA">
      <w:pPr>
        <w:spacing w:line="360" w:lineRule="auto"/>
        <w:ind w:firstLine="440" w:firstLineChars="200"/>
        <w:rPr>
          <w:rFonts w:hint="eastAsia" w:ascii="仿宋" w:hAnsi="仿宋" w:eastAsia="仿宋" w:cs="Times New Roman"/>
          <w:b w:val="0"/>
          <w:color w:val="auto"/>
          <w:kern w:val="2"/>
          <w:sz w:val="22"/>
          <w:szCs w:val="22"/>
          <w:highlight w:val="none"/>
        </w:rPr>
      </w:pPr>
      <w:r>
        <w:rPr>
          <w:rFonts w:hint="eastAsia" w:ascii="仿宋" w:hAnsi="仿宋" w:eastAsia="仿宋" w:cs="Times New Roman"/>
          <w:color w:val="auto"/>
          <w:sz w:val="22"/>
          <w:szCs w:val="22"/>
          <w:highlight w:val="none"/>
        </w:rPr>
        <w:t>本项目培训对象主要为采购人</w:t>
      </w:r>
      <w:r>
        <w:rPr>
          <w:rFonts w:hint="eastAsia" w:ascii="仿宋" w:hAnsi="仿宋" w:eastAsia="仿宋" w:cs="Times New Roman"/>
          <w:color w:val="auto"/>
          <w:sz w:val="22"/>
          <w:szCs w:val="22"/>
          <w:highlight w:val="none"/>
          <w:lang w:val="en-US" w:eastAsia="zh-CN"/>
        </w:rPr>
        <w:t>机器人</w:t>
      </w:r>
      <w:r>
        <w:rPr>
          <w:rFonts w:hint="eastAsia" w:ascii="仿宋" w:hAnsi="仿宋" w:eastAsia="仿宋" w:cs="Times New Roman"/>
          <w:color w:val="auto"/>
          <w:sz w:val="22"/>
          <w:szCs w:val="22"/>
          <w:highlight w:val="none"/>
        </w:rPr>
        <w:t>操作业务人员。</w:t>
      </w:r>
    </w:p>
    <w:p w14:paraId="47425046">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培训时间：不少于3次，每次不少于1天。</w:t>
      </w:r>
    </w:p>
    <w:p w14:paraId="39187F38">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培训教材及老师资源，原则上由投标人提供，包含在投标报价内。</w:t>
      </w:r>
    </w:p>
    <w:p w14:paraId="1B3A3780">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项目培训场地，由采购人协调解决。</w:t>
      </w:r>
    </w:p>
    <w:p w14:paraId="363FBF20">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培训过程需保存培训记录。</w:t>
      </w:r>
    </w:p>
    <w:p w14:paraId="5636DED7">
      <w:pPr>
        <w:spacing w:line="360" w:lineRule="auto"/>
        <w:ind w:firstLine="440" w:firstLineChars="200"/>
        <w:rPr>
          <w:rFonts w:hint="eastAsia"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9</w:t>
      </w:r>
      <w:r>
        <w:rPr>
          <w:rFonts w:hint="eastAsia" w:ascii="仿宋" w:hAnsi="仿宋" w:eastAsia="仿宋"/>
          <w:color w:val="auto"/>
          <w:sz w:val="22"/>
          <w:szCs w:val="22"/>
          <w:highlight w:val="none"/>
        </w:rPr>
        <w:t>.其他服务要求</w:t>
      </w:r>
    </w:p>
    <w:p w14:paraId="6B0217F3">
      <w:pPr>
        <w:spacing w:line="360" w:lineRule="auto"/>
        <w:ind w:firstLine="440" w:firstLineChars="200"/>
        <w:rPr>
          <w:rFonts w:hint="eastAsia" w:ascii="仿宋" w:hAnsi="仿宋" w:eastAsia="仿宋"/>
          <w:color w:val="auto"/>
          <w:sz w:val="22"/>
          <w:szCs w:val="22"/>
          <w:highlight w:val="none"/>
          <w:lang w:val="en-US" w:eastAsia="zh-CN"/>
        </w:rPr>
      </w:pPr>
      <w:r>
        <w:rPr>
          <w:rFonts w:hint="eastAsia" w:ascii="仿宋" w:hAnsi="仿宋" w:eastAsia="仿宋"/>
          <w:color w:val="auto"/>
          <w:sz w:val="22"/>
          <w:szCs w:val="22"/>
          <w:highlight w:val="none"/>
          <w:lang w:val="en-US" w:eastAsia="zh-CN"/>
        </w:rPr>
        <w:t>9.1考核</w:t>
      </w:r>
    </w:p>
    <w:p w14:paraId="2577BE6D">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pacing w:val="0"/>
          <w:sz w:val="22"/>
          <w:szCs w:val="22"/>
          <w:highlight w:val="none"/>
          <w:lang w:val="en-US" w:eastAsia="zh-CN"/>
        </w:rPr>
        <w:t>采购人</w:t>
      </w:r>
      <w:r>
        <w:rPr>
          <w:rFonts w:hint="eastAsia" w:ascii="仿宋" w:hAnsi="仿宋" w:eastAsia="仿宋" w:cs="Times New Roman"/>
          <w:color w:val="auto"/>
          <w:sz w:val="22"/>
          <w:szCs w:val="22"/>
          <w:highlight w:val="none"/>
        </w:rPr>
        <w:t>根据</w:t>
      </w:r>
      <w:r>
        <w:rPr>
          <w:rFonts w:hint="eastAsia" w:ascii="仿宋" w:hAnsi="仿宋" w:eastAsia="仿宋" w:cs="Times New Roman"/>
          <w:color w:val="auto"/>
          <w:sz w:val="22"/>
          <w:szCs w:val="22"/>
          <w:highlight w:val="none"/>
          <w:lang w:val="en-US" w:eastAsia="zh-CN"/>
        </w:rPr>
        <w:t>中标人</w:t>
      </w:r>
      <w:r>
        <w:rPr>
          <w:rFonts w:hint="eastAsia" w:ascii="仿宋" w:hAnsi="仿宋" w:eastAsia="仿宋" w:cs="Times New Roman"/>
          <w:color w:val="auto"/>
          <w:sz w:val="22"/>
          <w:szCs w:val="22"/>
          <w:highlight w:val="none"/>
        </w:rPr>
        <w:t>在项目期内提供的服务情况进行考核。</w:t>
      </w:r>
    </w:p>
    <w:p w14:paraId="6599459C">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eastAsia="zh-CN"/>
        </w:rPr>
        <w:t>9</w:t>
      </w:r>
      <w:r>
        <w:rPr>
          <w:rFonts w:hint="eastAsia" w:ascii="仿宋" w:hAnsi="仿宋" w:eastAsia="仿宋" w:cs="Times New Roman"/>
          <w:color w:val="auto"/>
          <w:sz w:val="22"/>
          <w:szCs w:val="22"/>
          <w:highlight w:val="none"/>
          <w:lang w:val="en-US" w:eastAsia="zh-CN"/>
        </w:rPr>
        <w:t>.1.1</w:t>
      </w:r>
      <w:r>
        <w:rPr>
          <w:rFonts w:hint="eastAsia" w:ascii="仿宋" w:hAnsi="仿宋" w:eastAsia="仿宋" w:cs="Times New Roman"/>
          <w:color w:val="auto"/>
          <w:sz w:val="22"/>
          <w:szCs w:val="22"/>
          <w:highlight w:val="none"/>
        </w:rPr>
        <w:t>故障考核：因故障</w:t>
      </w:r>
      <w:r>
        <w:rPr>
          <w:rFonts w:hint="eastAsia" w:ascii="仿宋" w:hAnsi="仿宋" w:eastAsia="仿宋" w:cs="Times New Roman"/>
          <w:color w:val="auto"/>
          <w:sz w:val="22"/>
          <w:szCs w:val="22"/>
          <w:highlight w:val="none"/>
          <w:lang w:val="en-US" w:eastAsia="zh-CN"/>
        </w:rPr>
        <w:t>未能及时修复</w:t>
      </w:r>
      <w:r>
        <w:rPr>
          <w:rFonts w:hint="eastAsia" w:ascii="仿宋" w:hAnsi="仿宋" w:eastAsia="仿宋" w:cs="Times New Roman"/>
          <w:color w:val="auto"/>
          <w:sz w:val="22"/>
          <w:szCs w:val="22"/>
          <w:highlight w:val="none"/>
        </w:rPr>
        <w:t>造成</w:t>
      </w:r>
      <w:r>
        <w:rPr>
          <w:rFonts w:hint="eastAsia" w:ascii="仿宋" w:hAnsi="仿宋" w:eastAsia="仿宋" w:cs="Times New Roman"/>
          <w:color w:val="auto"/>
          <w:spacing w:val="0"/>
          <w:sz w:val="22"/>
          <w:szCs w:val="22"/>
          <w:highlight w:val="none"/>
          <w:lang w:val="en-US" w:eastAsia="zh-CN"/>
        </w:rPr>
        <w:t>采购人日常工作</w:t>
      </w:r>
      <w:r>
        <w:rPr>
          <w:rFonts w:hint="eastAsia" w:ascii="仿宋" w:hAnsi="仿宋" w:eastAsia="仿宋" w:cs="Times New Roman"/>
          <w:color w:val="auto"/>
          <w:spacing w:val="0"/>
          <w:sz w:val="22"/>
          <w:szCs w:val="22"/>
          <w:highlight w:val="none"/>
        </w:rPr>
        <w:t>受到影响的，每发生一起，扣除</w:t>
      </w:r>
      <w:r>
        <w:rPr>
          <w:rFonts w:hint="eastAsia" w:ascii="仿宋" w:hAnsi="仿宋" w:eastAsia="仿宋" w:cs="Times New Roman"/>
          <w:color w:val="auto"/>
          <w:spacing w:val="0"/>
          <w:sz w:val="22"/>
          <w:szCs w:val="22"/>
          <w:highlight w:val="none"/>
          <w:lang w:val="en-US" w:eastAsia="zh-CN"/>
        </w:rPr>
        <w:t>1000元</w:t>
      </w:r>
      <w:r>
        <w:rPr>
          <w:rFonts w:hint="eastAsia" w:ascii="仿宋" w:hAnsi="仿宋" w:eastAsia="仿宋" w:cs="Times New Roman"/>
          <w:color w:val="auto"/>
          <w:spacing w:val="0"/>
          <w:sz w:val="22"/>
          <w:szCs w:val="22"/>
          <w:highlight w:val="none"/>
        </w:rPr>
        <w:t>，</w:t>
      </w:r>
      <w:r>
        <w:rPr>
          <w:rFonts w:hint="eastAsia" w:ascii="仿宋" w:hAnsi="仿宋" w:eastAsia="仿宋" w:cs="Times New Roman"/>
          <w:color w:val="auto"/>
          <w:sz w:val="22"/>
          <w:szCs w:val="22"/>
          <w:highlight w:val="none"/>
        </w:rPr>
        <w:t>扣除金额应当从当年服务期费用中扣除。</w:t>
      </w:r>
    </w:p>
    <w:p w14:paraId="16E688FF">
      <w:pPr>
        <w:spacing w:line="360" w:lineRule="auto"/>
        <w:ind w:left="0" w:leftChars="0" w:right="0" w:rightChars="0" w:firstLine="440" w:firstLineChars="200"/>
        <w:rPr>
          <w:rFonts w:hint="eastAsia" w:ascii="仿宋" w:hAnsi="仿宋" w:eastAsia="仿宋" w:cs="Times New Roman"/>
          <w:color w:val="auto"/>
          <w:spacing w:val="0"/>
          <w:sz w:val="22"/>
          <w:szCs w:val="22"/>
          <w:highlight w:val="none"/>
        </w:rPr>
      </w:pPr>
      <w:r>
        <w:rPr>
          <w:rFonts w:hint="eastAsia" w:ascii="仿宋" w:hAnsi="仿宋" w:eastAsia="仿宋" w:cs="Times New Roman"/>
          <w:color w:val="auto"/>
          <w:spacing w:val="0"/>
          <w:sz w:val="22"/>
          <w:szCs w:val="22"/>
          <w:highlight w:val="none"/>
          <w:lang w:val="en-US" w:eastAsia="zh-CN"/>
        </w:rPr>
        <w:t>9.1.2</w:t>
      </w:r>
      <w:r>
        <w:rPr>
          <w:rFonts w:hint="eastAsia" w:ascii="仿宋" w:hAnsi="仿宋" w:eastAsia="仿宋" w:cs="Times New Roman"/>
          <w:color w:val="auto"/>
          <w:spacing w:val="0"/>
          <w:sz w:val="22"/>
          <w:szCs w:val="22"/>
          <w:highlight w:val="none"/>
        </w:rPr>
        <w:t>日常管理考核：</w:t>
      </w:r>
    </w:p>
    <w:p w14:paraId="32CF16E0">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需按要求按时按规产出并提交文档资料、工作台账、周期性报告等材料，未按规完成的每次扣除</w:t>
      </w:r>
      <w:r>
        <w:rPr>
          <w:rFonts w:hint="eastAsia" w:ascii="仿宋" w:hAnsi="仿宋" w:eastAsia="仿宋" w:cs="Times New Roman"/>
          <w:color w:val="auto"/>
          <w:sz w:val="22"/>
          <w:szCs w:val="22"/>
          <w:highlight w:val="none"/>
          <w:lang w:val="en-US" w:eastAsia="zh-CN"/>
        </w:rPr>
        <w:t>500元</w:t>
      </w:r>
      <w:r>
        <w:rPr>
          <w:rFonts w:hint="eastAsia" w:ascii="仿宋" w:hAnsi="仿宋" w:eastAsia="仿宋" w:cs="Times New Roman"/>
          <w:color w:val="auto"/>
          <w:sz w:val="22"/>
          <w:szCs w:val="22"/>
          <w:highlight w:val="none"/>
        </w:rPr>
        <w:t>。</w:t>
      </w:r>
    </w:p>
    <w:p w14:paraId="7EC5D93A">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因中标人</w:t>
      </w:r>
      <w:r>
        <w:rPr>
          <w:rFonts w:hint="eastAsia" w:ascii="仿宋" w:hAnsi="仿宋" w:eastAsia="仿宋" w:cs="Times New Roman"/>
          <w:color w:val="auto"/>
          <w:sz w:val="22"/>
          <w:szCs w:val="22"/>
          <w:highlight w:val="none"/>
        </w:rPr>
        <w:t>违规服务导致发生社会媒体曝光、收到多方投诉情况，出现1次，每次扣除</w:t>
      </w:r>
      <w:r>
        <w:rPr>
          <w:rFonts w:hint="eastAsia" w:ascii="仿宋" w:hAnsi="仿宋" w:eastAsia="仿宋" w:cs="Times New Roman"/>
          <w:color w:val="auto"/>
          <w:sz w:val="22"/>
          <w:szCs w:val="22"/>
          <w:highlight w:val="none"/>
          <w:lang w:eastAsia="zh-CN"/>
        </w:rPr>
        <w:t>5</w:t>
      </w:r>
      <w:r>
        <w:rPr>
          <w:rFonts w:hint="eastAsia" w:ascii="仿宋" w:hAnsi="仿宋" w:eastAsia="仿宋" w:cs="Times New Roman"/>
          <w:color w:val="auto"/>
          <w:sz w:val="22"/>
          <w:szCs w:val="22"/>
          <w:highlight w:val="none"/>
          <w:lang w:val="en-US" w:eastAsia="zh-CN"/>
        </w:rPr>
        <w:t>000元</w:t>
      </w:r>
      <w:r>
        <w:rPr>
          <w:rFonts w:hint="eastAsia" w:ascii="仿宋" w:hAnsi="仿宋" w:eastAsia="仿宋" w:cs="Times New Roman"/>
          <w:color w:val="auto"/>
          <w:sz w:val="22"/>
          <w:szCs w:val="22"/>
          <w:highlight w:val="none"/>
        </w:rPr>
        <w:t>。</w:t>
      </w:r>
    </w:p>
    <w:p w14:paraId="4812E40D">
      <w:pPr>
        <w:spacing w:line="360" w:lineRule="auto"/>
        <w:ind w:left="0" w:leftChars="0" w:right="0" w:rightChars="0" w:firstLine="440" w:firstLineChars="200"/>
        <w:rPr>
          <w:rFonts w:hint="eastAsia" w:ascii="仿宋" w:hAnsi="仿宋" w:eastAsia="仿宋" w:cs="Times New Roman"/>
          <w:color w:val="auto"/>
          <w:spacing w:val="0"/>
          <w:sz w:val="22"/>
          <w:szCs w:val="22"/>
          <w:highlight w:val="none"/>
        </w:rPr>
      </w:pPr>
      <w:r>
        <w:rPr>
          <w:rFonts w:hint="eastAsia" w:ascii="仿宋" w:hAnsi="仿宋" w:eastAsia="仿宋" w:cs="Times New Roman"/>
          <w:color w:val="auto"/>
          <w:spacing w:val="0"/>
          <w:sz w:val="22"/>
          <w:szCs w:val="22"/>
          <w:highlight w:val="none"/>
          <w:lang w:val="en-US" w:eastAsia="zh-CN"/>
        </w:rPr>
        <w:t>9.1.3</w:t>
      </w:r>
      <w:r>
        <w:rPr>
          <w:rFonts w:hint="eastAsia" w:ascii="仿宋" w:hAnsi="仿宋" w:eastAsia="仿宋" w:cs="Times New Roman"/>
          <w:color w:val="auto"/>
          <w:spacing w:val="0"/>
          <w:sz w:val="22"/>
          <w:szCs w:val="22"/>
          <w:highlight w:val="none"/>
        </w:rPr>
        <w:t>服务期内因项目实际需要需进行服务考核内容新增、补充及修改的，可通过签署考核服务方案进行补充。</w:t>
      </w:r>
    </w:p>
    <w:p w14:paraId="4CAC8983">
      <w:pPr>
        <w:numPr>
          <w:ilvl w:val="-1"/>
          <w:numId w:val="0"/>
        </w:numPr>
        <w:adjustRightInd/>
        <w:spacing w:line="360" w:lineRule="auto"/>
        <w:ind w:firstLine="440" w:firstLineChars="200"/>
        <w:rPr>
          <w:rFonts w:hint="eastAsia" w:ascii="仿宋" w:hAnsi="仿宋" w:eastAsia="仿宋" w:cs="Times New Roman"/>
          <w:b w:val="0"/>
          <w:bCs w:val="0"/>
          <w:color w:val="auto"/>
          <w:sz w:val="22"/>
          <w:szCs w:val="22"/>
          <w:highlight w:val="none"/>
          <w:lang w:val="en-US" w:eastAsia="zh-CN"/>
        </w:rPr>
      </w:pPr>
      <w:r>
        <w:rPr>
          <w:rFonts w:hint="eastAsia" w:ascii="仿宋" w:hAnsi="仿宋" w:eastAsia="仿宋" w:cs="Times New Roman"/>
          <w:color w:val="auto"/>
          <w:sz w:val="22"/>
          <w:szCs w:val="22"/>
          <w:highlight w:val="none"/>
          <w:lang w:val="en-US" w:eastAsia="zh-CN"/>
        </w:rPr>
        <w:t>9.2履约验收</w:t>
      </w:r>
    </w:p>
    <w:p w14:paraId="75E79F87">
      <w:pPr>
        <w:spacing w:line="360" w:lineRule="auto"/>
        <w:ind w:firstLine="440" w:firstLineChars="200"/>
        <w:rPr>
          <w:rFonts w:hint="eastAsia" w:ascii="仿宋" w:hAnsi="仿宋" w:eastAsia="仿宋" w:cs="宋体"/>
          <w:color w:val="auto"/>
          <w:sz w:val="24"/>
          <w:highlight w:val="none"/>
        </w:rPr>
      </w:pPr>
      <w:r>
        <w:rPr>
          <w:rFonts w:hint="eastAsia" w:ascii="仿宋" w:hAnsi="仿宋" w:eastAsia="仿宋" w:cs="Times New Roman"/>
          <w:bCs w:val="0"/>
          <w:color w:val="auto"/>
          <w:sz w:val="22"/>
          <w:szCs w:val="22"/>
          <w:highlight w:val="none"/>
        </w:rPr>
        <w:t>本项目验收分为两部分，初步验收和最终验收。验收由采购人组织，中标人应</w:t>
      </w:r>
      <w:r>
        <w:rPr>
          <w:rFonts w:hint="eastAsia" w:ascii="仿宋" w:hAnsi="仿宋" w:eastAsia="仿宋" w:cs="Times New Roman"/>
          <w:color w:val="auto"/>
          <w:sz w:val="22"/>
          <w:szCs w:val="22"/>
          <w:highlight w:val="none"/>
        </w:rPr>
        <w:t>当根据招标文件、投标文件技术要求和合同约定提供项目验收相关的生产、技术、服务、数量、质量、安全等资料；未进行相应约定的，应当符合国家强制性规定、政策要求、安全标准、行业或企业有关标准进行验收等。</w:t>
      </w:r>
      <w:r>
        <w:rPr>
          <w:rFonts w:hint="eastAsia" w:ascii="仿宋" w:hAnsi="仿宋" w:eastAsia="仿宋" w:cs="Times New Roman"/>
          <w:color w:val="auto"/>
          <w:sz w:val="22"/>
          <w:szCs w:val="22"/>
          <w:highlight w:val="none"/>
        </w:rPr>
        <w:t>验收费用由采购人承担，如验收不通过，需再次组织验收，费用由中标人承担。</w:t>
      </w:r>
    </w:p>
    <w:p w14:paraId="08E26DF4">
      <w:pPr>
        <w:spacing w:line="360" w:lineRule="auto"/>
        <w:ind w:firstLine="440" w:firstLineChars="200"/>
        <w:rPr>
          <w:rFonts w:hint="eastAsia" w:ascii="仿宋" w:hAnsi="仿宋" w:eastAsia="仿宋" w:cs="Times New Roman"/>
          <w:bCs w:val="0"/>
          <w:color w:val="auto"/>
          <w:sz w:val="22"/>
          <w:szCs w:val="22"/>
          <w:highlight w:val="none"/>
        </w:rPr>
      </w:pPr>
      <w:r>
        <w:rPr>
          <w:rFonts w:hint="eastAsia" w:ascii="仿宋" w:hAnsi="仿宋" w:eastAsia="仿宋" w:cs="Times New Roman"/>
          <w:bCs w:val="0"/>
          <w:color w:val="auto"/>
          <w:sz w:val="22"/>
          <w:szCs w:val="22"/>
          <w:highlight w:val="none"/>
        </w:rPr>
        <w:t>（1）初步验收标准和程序：设备到货安装</w:t>
      </w:r>
      <w:r>
        <w:rPr>
          <w:rFonts w:hint="eastAsia" w:ascii="仿宋" w:hAnsi="仿宋" w:eastAsia="仿宋" w:cs="Times New Roman"/>
          <w:bCs w:val="0"/>
          <w:color w:val="auto"/>
          <w:sz w:val="22"/>
          <w:szCs w:val="22"/>
          <w:highlight w:val="none"/>
          <w:lang w:eastAsia="zh-CN"/>
        </w:rPr>
        <w:t>，</w:t>
      </w:r>
      <w:r>
        <w:rPr>
          <w:rFonts w:hint="eastAsia" w:ascii="仿宋" w:hAnsi="仿宋" w:eastAsia="仿宋" w:cs="Times New Roman"/>
          <w:bCs w:val="0"/>
          <w:color w:val="auto"/>
          <w:sz w:val="22"/>
          <w:szCs w:val="22"/>
          <w:highlight w:val="none"/>
          <w:lang w:val="en-US" w:eastAsia="zh-CN"/>
        </w:rPr>
        <w:t>试运行15天内无异常</w:t>
      </w:r>
      <w:r>
        <w:rPr>
          <w:rFonts w:hint="eastAsia" w:ascii="仿宋" w:hAnsi="仿宋" w:eastAsia="仿宋" w:cs="Times New Roman"/>
          <w:bCs w:val="0"/>
          <w:color w:val="auto"/>
          <w:sz w:val="22"/>
          <w:szCs w:val="22"/>
          <w:highlight w:val="none"/>
        </w:rPr>
        <w:t>后进行初步验收，对设备数量、功能、包装、技术参数等进行初步验收，并出具初步验收报告。</w:t>
      </w:r>
    </w:p>
    <w:p w14:paraId="5905EE41">
      <w:pPr>
        <w:spacing w:line="360" w:lineRule="auto"/>
        <w:ind w:firstLine="440" w:firstLineChars="200"/>
        <w:rPr>
          <w:rFonts w:hint="eastAsia" w:ascii="仿宋" w:hAnsi="仿宋" w:eastAsia="仿宋" w:cs="Times New Roman"/>
          <w:bCs w:val="0"/>
          <w:color w:val="auto"/>
          <w:sz w:val="22"/>
          <w:szCs w:val="22"/>
          <w:highlight w:val="none"/>
        </w:rPr>
      </w:pPr>
      <w:r>
        <w:rPr>
          <w:rFonts w:hint="eastAsia" w:ascii="仿宋" w:hAnsi="仿宋" w:eastAsia="仿宋" w:cs="Times New Roman"/>
          <w:bCs w:val="0"/>
          <w:color w:val="auto"/>
          <w:sz w:val="22"/>
          <w:szCs w:val="22"/>
          <w:highlight w:val="none"/>
        </w:rPr>
        <w:t>（2）最终验收标准和程序：</w:t>
      </w:r>
      <w:r>
        <w:rPr>
          <w:rFonts w:hint="eastAsia" w:ascii="仿宋" w:hAnsi="仿宋" w:eastAsia="仿宋" w:cs="Times New Roman"/>
          <w:bCs w:val="0"/>
          <w:color w:val="auto"/>
          <w:sz w:val="22"/>
          <w:szCs w:val="22"/>
          <w:highlight w:val="none"/>
          <w:lang w:val="en-US" w:eastAsia="zh-CN"/>
        </w:rPr>
        <w:t>租赁期结束后</w:t>
      </w:r>
      <w:r>
        <w:rPr>
          <w:rFonts w:hint="eastAsia" w:ascii="仿宋" w:hAnsi="仿宋" w:eastAsia="仿宋" w:cs="Times New Roman"/>
          <w:bCs w:val="0"/>
          <w:color w:val="auto"/>
          <w:sz w:val="22"/>
          <w:szCs w:val="22"/>
          <w:highlight w:val="none"/>
        </w:rPr>
        <w:t>，采购人应当按照政府采购合同规定的技术、服务、安全标准组织对中标人履约情况进行最终验收，并出具最终验收报告。</w:t>
      </w:r>
    </w:p>
    <w:p w14:paraId="5D430145">
      <w:pPr>
        <w:widowControl/>
        <w:numPr>
          <w:ilvl w:val="-1"/>
          <w:numId w:val="0"/>
        </w:numPr>
        <w:adjustRightInd/>
        <w:spacing w:line="360" w:lineRule="auto"/>
        <w:ind w:firstLine="420" w:firstLineChars="0"/>
        <w:outlineLvl w:val="9"/>
        <w:rPr>
          <w:rFonts w:hint="eastAsia" w:ascii="仿宋" w:hAnsi="仿宋" w:eastAsia="仿宋" w:cs="仿宋_GB2312"/>
          <w:b/>
          <w:bCs/>
          <w:color w:val="auto"/>
          <w:sz w:val="24"/>
          <w:szCs w:val="24"/>
          <w:highlight w:val="none"/>
          <w:lang w:val="en-US" w:eastAsia="zh-CN"/>
        </w:rPr>
      </w:pPr>
    </w:p>
    <w:p w14:paraId="26462F17">
      <w:pPr>
        <w:widowControl/>
        <w:numPr>
          <w:ilvl w:val="-1"/>
          <w:numId w:val="0"/>
        </w:numPr>
        <w:adjustRightInd/>
        <w:spacing w:line="360" w:lineRule="auto"/>
        <w:ind w:firstLine="420" w:firstLineChars="0"/>
        <w:outlineLvl w:val="9"/>
        <w:rPr>
          <w:rFonts w:hint="eastAsia" w:ascii="仿宋" w:hAnsi="仿宋" w:eastAsia="仿宋" w:cs="仿宋_GB2312"/>
          <w:b/>
          <w:bCs/>
          <w:color w:val="auto"/>
          <w:sz w:val="24"/>
          <w:szCs w:val="24"/>
          <w:highlight w:val="none"/>
          <w:lang w:val="en-US" w:eastAsia="zh-CN"/>
        </w:rPr>
      </w:pPr>
      <w:r>
        <w:rPr>
          <w:rFonts w:hint="eastAsia" w:ascii="仿宋" w:hAnsi="仿宋" w:eastAsia="仿宋" w:cs="仿宋_GB2312"/>
          <w:b/>
          <w:bCs/>
          <w:color w:val="auto"/>
          <w:sz w:val="24"/>
          <w:szCs w:val="24"/>
          <w:highlight w:val="none"/>
          <w:lang w:val="en-US" w:eastAsia="zh-CN"/>
        </w:rPr>
        <w:t>六</w:t>
      </w:r>
      <w:r>
        <w:rPr>
          <w:rFonts w:hint="eastAsia" w:ascii="仿宋" w:hAnsi="仿宋" w:eastAsia="仿宋" w:cs="仿宋_GB2312"/>
          <w:b/>
          <w:bCs/>
          <w:color w:val="auto"/>
          <w:sz w:val="24"/>
          <w:szCs w:val="24"/>
          <w:highlight w:val="none"/>
        </w:rPr>
        <w:t>、</w:t>
      </w:r>
      <w:r>
        <w:rPr>
          <w:rFonts w:hint="eastAsia" w:ascii="仿宋" w:hAnsi="仿宋" w:eastAsia="仿宋" w:cs="仿宋_GB2312"/>
          <w:b/>
          <w:bCs/>
          <w:color w:val="auto"/>
          <w:sz w:val="24"/>
          <w:szCs w:val="24"/>
          <w:highlight w:val="none"/>
          <w:lang w:val="en-US" w:eastAsia="zh-CN"/>
        </w:rPr>
        <w:t>商务要求</w:t>
      </w:r>
    </w:p>
    <w:tbl>
      <w:tblPr>
        <w:tblStyle w:val="61"/>
        <w:tblW w:w="5000" w:type="pct"/>
        <w:tblInd w:w="0" w:type="dxa"/>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Layout w:type="autofit"/>
        <w:tblCellMar>
          <w:top w:w="0" w:type="dxa"/>
          <w:left w:w="108" w:type="dxa"/>
          <w:bottom w:w="0" w:type="dxa"/>
          <w:right w:w="108" w:type="dxa"/>
        </w:tblCellMar>
      </w:tblPr>
      <w:tblGrid>
        <w:gridCol w:w="728"/>
        <w:gridCol w:w="1171"/>
        <w:gridCol w:w="7387"/>
      </w:tblGrid>
      <w:tr w14:paraId="34B6442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454" w:hRule="atLeast"/>
          <w:tblHeader/>
        </w:trPr>
        <w:tc>
          <w:tcPr>
            <w:tcW w:w="392" w:type="pct"/>
            <w:shd w:val="clear" w:color="auto" w:fill="DAEEF3"/>
            <w:vAlign w:val="center"/>
          </w:tcPr>
          <w:p w14:paraId="13DFD631">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630" w:type="pct"/>
            <w:shd w:val="clear" w:color="auto" w:fill="DAEEF3"/>
            <w:vAlign w:val="center"/>
          </w:tcPr>
          <w:p w14:paraId="15F54637">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内容</w:t>
            </w:r>
          </w:p>
        </w:tc>
        <w:tc>
          <w:tcPr>
            <w:tcW w:w="3976" w:type="pct"/>
            <w:shd w:val="clear" w:color="auto" w:fill="DAEEF3"/>
            <w:vAlign w:val="center"/>
          </w:tcPr>
          <w:p w14:paraId="56494518">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招标要求</w:t>
            </w:r>
          </w:p>
        </w:tc>
      </w:tr>
      <w:tr w14:paraId="07C2EF5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678" w:hRule="atLeast"/>
        </w:trPr>
        <w:tc>
          <w:tcPr>
            <w:tcW w:w="392" w:type="pct"/>
            <w:vAlign w:val="center"/>
          </w:tcPr>
          <w:p w14:paraId="1F657B4B">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630" w:type="pct"/>
            <w:vAlign w:val="center"/>
          </w:tcPr>
          <w:p w14:paraId="18D4E2C3">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交付期</w:t>
            </w:r>
          </w:p>
        </w:tc>
        <w:tc>
          <w:tcPr>
            <w:tcW w:w="3976" w:type="pct"/>
            <w:vAlign w:val="center"/>
          </w:tcPr>
          <w:p w14:paraId="7D8E90A4">
            <w:pPr>
              <w:snapToGrid w:val="0"/>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在签订合同之日起1个月内完成设备安装调试，试运行15天内无异常，验收合格后正式进入2年服务期。</w:t>
            </w:r>
          </w:p>
        </w:tc>
      </w:tr>
      <w:tr w14:paraId="2AAD4BF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62" w:hRule="atLeast"/>
        </w:trPr>
        <w:tc>
          <w:tcPr>
            <w:tcW w:w="392" w:type="pct"/>
            <w:vAlign w:val="center"/>
          </w:tcPr>
          <w:p w14:paraId="7D38C168">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2</w:t>
            </w:r>
          </w:p>
        </w:tc>
        <w:tc>
          <w:tcPr>
            <w:tcW w:w="630" w:type="pct"/>
            <w:vAlign w:val="center"/>
          </w:tcPr>
          <w:p w14:paraId="48E3E1EC">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实施地点</w:t>
            </w:r>
          </w:p>
        </w:tc>
        <w:tc>
          <w:tcPr>
            <w:tcW w:w="3976" w:type="pct"/>
            <w:vAlign w:val="center"/>
          </w:tcPr>
          <w:p w14:paraId="52A13F9E">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杭州市公安局</w:t>
            </w:r>
            <w:r>
              <w:rPr>
                <w:rFonts w:hint="eastAsia" w:ascii="仿宋" w:hAnsi="仿宋" w:eastAsia="仿宋" w:cs="仿宋"/>
                <w:color w:val="auto"/>
                <w:sz w:val="22"/>
                <w:szCs w:val="22"/>
                <w:highlight w:val="none"/>
                <w:lang w:val="en-US" w:eastAsia="zh-CN"/>
              </w:rPr>
              <w:t>滨江</w:t>
            </w:r>
            <w:r>
              <w:rPr>
                <w:rFonts w:hint="eastAsia" w:ascii="仿宋" w:hAnsi="仿宋" w:eastAsia="仿宋" w:cs="仿宋"/>
                <w:color w:val="auto"/>
                <w:sz w:val="22"/>
                <w:szCs w:val="22"/>
                <w:highlight w:val="none"/>
              </w:rPr>
              <w:t>区分局及其指定地点。</w:t>
            </w:r>
          </w:p>
        </w:tc>
      </w:tr>
      <w:tr w14:paraId="7CB89EEA">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20" w:hRule="atLeast"/>
        </w:trPr>
        <w:tc>
          <w:tcPr>
            <w:tcW w:w="392" w:type="pct"/>
            <w:vAlign w:val="center"/>
          </w:tcPr>
          <w:p w14:paraId="6140A339">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3</w:t>
            </w:r>
          </w:p>
        </w:tc>
        <w:tc>
          <w:tcPr>
            <w:tcW w:w="630" w:type="pct"/>
            <w:vAlign w:val="center"/>
          </w:tcPr>
          <w:p w14:paraId="4DC7694D">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质量要求</w:t>
            </w:r>
          </w:p>
        </w:tc>
        <w:tc>
          <w:tcPr>
            <w:tcW w:w="3976" w:type="pct"/>
            <w:vAlign w:val="center"/>
          </w:tcPr>
          <w:p w14:paraId="5314CB72">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合格（符合招标文件要求、投标承诺以及国家、行业有关技术规范和标准）</w:t>
            </w:r>
          </w:p>
        </w:tc>
      </w:tr>
      <w:tr w14:paraId="7015F18D">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1153" w:hRule="atLeast"/>
        </w:trPr>
        <w:tc>
          <w:tcPr>
            <w:tcW w:w="392" w:type="pct"/>
            <w:vAlign w:val="center"/>
          </w:tcPr>
          <w:p w14:paraId="6A11FD2B">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4</w:t>
            </w:r>
          </w:p>
        </w:tc>
        <w:tc>
          <w:tcPr>
            <w:tcW w:w="630" w:type="pct"/>
            <w:vAlign w:val="center"/>
          </w:tcPr>
          <w:p w14:paraId="59144EDB">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w:t>
            </w:r>
          </w:p>
        </w:tc>
        <w:tc>
          <w:tcPr>
            <w:tcW w:w="3976" w:type="pct"/>
            <w:vAlign w:val="center"/>
          </w:tcPr>
          <w:p w14:paraId="23AFF70D">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涵盖完成本项目合同内容所需的全部费用，以及企业税金、人工费、管理费、合理利润、风险费、投标费用等一切成本及费用（以上所有费用包含在服务费用中，不分列）。本项目投标人须充分考虑各种情况及风险，一旦中标，无论何种原因，合同费用不作调整。</w:t>
            </w:r>
          </w:p>
        </w:tc>
      </w:tr>
      <w:tr w14:paraId="4F8F331D">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769" w:hRule="atLeast"/>
        </w:trPr>
        <w:tc>
          <w:tcPr>
            <w:tcW w:w="392" w:type="pct"/>
            <w:vAlign w:val="center"/>
          </w:tcPr>
          <w:p w14:paraId="475578A3">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5</w:t>
            </w:r>
          </w:p>
        </w:tc>
        <w:tc>
          <w:tcPr>
            <w:tcW w:w="630" w:type="pct"/>
            <w:vAlign w:val="center"/>
          </w:tcPr>
          <w:p w14:paraId="02DAAE6E">
            <w:pPr>
              <w:snapToGrid w:val="0"/>
              <w:jc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付款方式和支付条件</w:t>
            </w:r>
          </w:p>
        </w:tc>
        <w:tc>
          <w:tcPr>
            <w:tcW w:w="3976" w:type="pct"/>
            <w:vAlign w:val="center"/>
          </w:tcPr>
          <w:p w14:paraId="220083D6">
            <w:pPr>
              <w:snapToGrid w:val="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第一期付款：合同签订，自收到发票5个工作日内支付合同金额的50%。</w:t>
            </w:r>
          </w:p>
          <w:p w14:paraId="3BF28F6A">
            <w:pPr>
              <w:snapToGrid w:val="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第二期付款：中标方设备到货、安装、调试完工，且试运行结束完成验收后，自收到发票5个工作日内支付合同金额的30%。</w:t>
            </w:r>
          </w:p>
          <w:p w14:paraId="743A024C">
            <w:pPr>
              <w:snapToGrid w:val="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第三期付款：第一年服务期结束后，自收到发票5个工作日内支付合同金额的10%。</w:t>
            </w:r>
          </w:p>
          <w:p w14:paraId="6B1E04E9">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第四期付款：整体服务到期后，经最终验收合格后，甲方自收到发票5个工作日内一次性结清剩余金额。</w:t>
            </w:r>
          </w:p>
        </w:tc>
      </w:tr>
      <w:tr w14:paraId="4A0BF094">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646" w:hRule="atLeast"/>
        </w:trPr>
        <w:tc>
          <w:tcPr>
            <w:tcW w:w="392" w:type="pct"/>
            <w:vAlign w:val="center"/>
          </w:tcPr>
          <w:p w14:paraId="60A76C9C">
            <w:pPr>
              <w:snapToGrid w:val="0"/>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6</w:t>
            </w:r>
          </w:p>
        </w:tc>
        <w:tc>
          <w:tcPr>
            <w:tcW w:w="630" w:type="pct"/>
            <w:vAlign w:val="center"/>
          </w:tcPr>
          <w:p w14:paraId="2B53605A">
            <w:pPr>
              <w:snapToGrid w:val="0"/>
              <w:jc w:val="center"/>
              <w:rPr>
                <w:rFonts w:hint="default" w:ascii="仿宋" w:hAnsi="仿宋" w:eastAsia="仿宋" w:cs="仿宋"/>
                <w:color w:val="auto"/>
                <w:kern w:val="0"/>
                <w:sz w:val="22"/>
                <w:szCs w:val="22"/>
                <w:highlight w:val="none"/>
                <w:lang w:val="en-US" w:eastAsia="zh-CN"/>
              </w:rPr>
            </w:pPr>
            <w:r>
              <w:rPr>
                <w:rFonts w:hint="eastAsia" w:ascii="仿宋" w:hAnsi="仿宋" w:eastAsia="仿宋" w:cs="仿宋"/>
                <w:color w:val="auto"/>
                <w:kern w:val="0"/>
                <w:sz w:val="22"/>
                <w:szCs w:val="22"/>
                <w:highlight w:val="none"/>
                <w:lang w:val="en-US" w:eastAsia="zh-CN"/>
              </w:rPr>
              <w:t>持续使用</w:t>
            </w:r>
          </w:p>
        </w:tc>
        <w:tc>
          <w:tcPr>
            <w:tcW w:w="3976" w:type="pct"/>
            <w:vAlign w:val="center"/>
          </w:tcPr>
          <w:p w14:paraId="591C6922">
            <w:pPr>
              <w:snapToGrid w:val="0"/>
              <w:rPr>
                <w:rFonts w:hint="eastAsia" w:ascii="仿宋" w:hAnsi="仿宋" w:eastAsia="仿宋" w:cs="仿宋"/>
                <w:color w:val="auto"/>
                <w:sz w:val="22"/>
                <w:szCs w:val="22"/>
                <w:highlight w:val="none"/>
                <w:lang w:bidi="ar"/>
              </w:rPr>
            </w:pPr>
            <w:r>
              <w:rPr>
                <w:rFonts w:hint="eastAsia" w:ascii="仿宋" w:hAnsi="仿宋" w:eastAsia="仿宋" w:cs="仿宋"/>
                <w:b w:val="0"/>
                <w:bCs w:val="0"/>
                <w:color w:val="auto"/>
                <w:sz w:val="22"/>
                <w:szCs w:val="22"/>
                <w:highlight w:val="none"/>
                <w:lang w:val="en-US" w:eastAsia="zh-CN"/>
              </w:rPr>
              <w:t>服务期结束后，采购人可继续使用上述设备（机器人1、机器人2、机械手臂），如需维保、升级、培训等服务与中标方另行协商。</w:t>
            </w:r>
          </w:p>
        </w:tc>
      </w:tr>
      <w:tr w14:paraId="2286CF20">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646" w:hRule="atLeast"/>
        </w:trPr>
        <w:tc>
          <w:tcPr>
            <w:tcW w:w="392" w:type="pct"/>
            <w:vAlign w:val="center"/>
          </w:tcPr>
          <w:p w14:paraId="064B6C46">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7</w:t>
            </w:r>
          </w:p>
        </w:tc>
        <w:tc>
          <w:tcPr>
            <w:tcW w:w="630" w:type="pct"/>
            <w:vAlign w:val="center"/>
          </w:tcPr>
          <w:p w14:paraId="0BC1F62E">
            <w:pPr>
              <w:snapToGrid w:val="0"/>
              <w:jc w:val="center"/>
              <w:rPr>
                <w:rFonts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违约责任</w:t>
            </w:r>
          </w:p>
        </w:tc>
        <w:tc>
          <w:tcPr>
            <w:tcW w:w="3976" w:type="pct"/>
            <w:vAlign w:val="center"/>
          </w:tcPr>
          <w:p w14:paraId="1A6F88CE">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在合同履行过程中，如果</w:t>
            </w:r>
            <w:r>
              <w:rPr>
                <w:rFonts w:hint="eastAsia" w:ascii="仿宋" w:hAnsi="仿宋" w:eastAsia="仿宋" w:cs="仿宋"/>
                <w:color w:val="auto"/>
                <w:sz w:val="22"/>
                <w:szCs w:val="22"/>
                <w:highlight w:val="none"/>
                <w:lang w:val="en-US" w:eastAsia="zh-CN"/>
              </w:rPr>
              <w:t>中标</w:t>
            </w:r>
            <w:r>
              <w:rPr>
                <w:rFonts w:hint="eastAsia" w:ascii="仿宋" w:hAnsi="仿宋" w:eastAsia="仿宋" w:cs="仿宋"/>
                <w:color w:val="auto"/>
                <w:sz w:val="22"/>
                <w:szCs w:val="22"/>
                <w:highlight w:val="none"/>
              </w:rPr>
              <w:t>方遇到不能按时提供服务的情况，应及时以书面形式将不能按时提供服务的理由、预期延误时间通知甲方；甲方收到乙方通知后，认为其理由正当的，可以书面形式酌情同意乙方可以延长履行的具体时间。</w:t>
            </w:r>
          </w:p>
          <w:p w14:paraId="6010FD25">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合同变更：合同继续履行将损害国家利益和社会公共利益的，双方当事人应当以书面形式变更合同。有过错的一方应当承担赔偿责任，双方当事人都有过错的，各自承担相应的责任。</w:t>
            </w:r>
          </w:p>
          <w:p w14:paraId="3BED88AA">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合同转让和分包：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就分包项目向甲方承担连带责任。</w:t>
            </w:r>
          </w:p>
          <w:p w14:paraId="3092F0B1">
            <w:pPr>
              <w:snapToGrid w:val="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除不可抗力外，如果乙方没有按照本合同约定的期限、地点和方式交付服务成果或者实施服务，那么甲方可要求乙方支付违约金，迟延履行违约金按每迟延履行一日</w:t>
            </w:r>
            <w:r>
              <w:rPr>
                <w:rFonts w:hint="eastAsia" w:ascii="仿宋" w:hAnsi="仿宋" w:eastAsia="仿宋" w:cs="仿宋"/>
                <w:color w:val="auto"/>
                <w:sz w:val="22"/>
                <w:szCs w:val="22"/>
                <w:highlight w:val="none"/>
                <w:lang w:val="en-US" w:eastAsia="zh-CN"/>
              </w:rPr>
              <w:t>按照合同金额的</w:t>
            </w:r>
            <w:r>
              <w:rPr>
                <w:rFonts w:hint="eastAsia" w:ascii="仿宋" w:hAnsi="仿宋" w:eastAsia="仿宋" w:cs="仿宋"/>
                <w:color w:val="auto"/>
                <w:sz w:val="22"/>
                <w:szCs w:val="22"/>
                <w:highlight w:val="none"/>
              </w:rPr>
              <w:t>0.05%计算</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逾期超过30日</w:t>
            </w:r>
            <w:r>
              <w:rPr>
                <w:rFonts w:hint="eastAsia" w:ascii="仿宋" w:hAnsi="仿宋" w:eastAsia="仿宋" w:cs="仿宋"/>
                <w:color w:val="auto"/>
                <w:sz w:val="22"/>
                <w:szCs w:val="22"/>
                <w:highlight w:val="none"/>
              </w:rPr>
              <w:t>，甲方有权在要求乙方支付违约金的同时，书面通知乙方解除本合同</w:t>
            </w:r>
            <w:r>
              <w:rPr>
                <w:rFonts w:hint="eastAsia" w:ascii="仿宋" w:hAnsi="仿宋" w:eastAsia="仿宋" w:cs="仿宋"/>
                <w:color w:val="auto"/>
                <w:sz w:val="22"/>
                <w:szCs w:val="22"/>
                <w:highlight w:val="none"/>
                <w:lang w:eastAsia="zh-CN"/>
              </w:rPr>
              <w:t>。</w:t>
            </w:r>
          </w:p>
          <w:p w14:paraId="498EE530">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除不可抗力外，对于因甲方原因导致变更、中止或者终止政府采购合同的，甲方应当依照合同约定对</w:t>
            </w:r>
            <w:r>
              <w:rPr>
                <w:rFonts w:hint="eastAsia" w:ascii="仿宋" w:hAnsi="仿宋" w:eastAsia="仿宋" w:cs="仿宋"/>
                <w:color w:val="auto"/>
                <w:sz w:val="22"/>
                <w:szCs w:val="22"/>
                <w:highlight w:val="none"/>
                <w:lang w:eastAsia="zh-CN"/>
              </w:rPr>
              <w:t>乙方</w:t>
            </w:r>
            <w:r>
              <w:rPr>
                <w:rFonts w:hint="eastAsia" w:ascii="仿宋" w:hAnsi="仿宋" w:eastAsia="仿宋" w:cs="仿宋"/>
                <w:color w:val="auto"/>
                <w:sz w:val="22"/>
                <w:szCs w:val="22"/>
                <w:highlight w:val="none"/>
              </w:rPr>
              <w:t>受到的损失予以赔偿或者补偿。如果甲方没有按照本合同约定的付款方式付款，那么乙方可要求甲方支付违约金，违约金按每迟延付款一日的应付而未付款的   0.05 %计算，最高限额为本合同总价的  20</w:t>
            </w:r>
            <w:r>
              <w:rPr>
                <w:rFonts w:hint="eastAsia" w:ascii="仿宋" w:hAnsi="仿宋" w:eastAsia="仿宋" w:cs="仿宋"/>
                <w:color w:val="auto"/>
                <w:sz w:val="22"/>
                <w:szCs w:val="22"/>
                <w:highlight w:val="none"/>
                <w:lang w:val="en-US" w:eastAsia="zh-CN"/>
              </w:rPr>
              <w:t xml:space="preserve"> </w:t>
            </w:r>
            <w:r>
              <w:rPr>
                <w:rFonts w:hint="eastAsia" w:ascii="仿宋" w:hAnsi="仿宋" w:eastAsia="仿宋" w:cs="仿宋"/>
                <w:color w:val="auto"/>
                <w:sz w:val="22"/>
                <w:szCs w:val="22"/>
                <w:highlight w:val="none"/>
              </w:rPr>
              <w:t>%；迟延付款的违约金计算数额达到前述最高限额之日起，乙方有权在要求甲方支付违约金的同时，书面通知甲方解除本合同；</w:t>
            </w:r>
          </w:p>
          <w:p w14:paraId="365FFEA4">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A873DF2">
            <w:pPr>
              <w:snapToGrid w:val="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7、</w:t>
            </w:r>
            <w:r>
              <w:rPr>
                <w:rFonts w:hint="eastAsia" w:ascii="仿宋" w:hAnsi="仿宋" w:eastAsia="仿宋" w:cs="仿宋"/>
                <w:color w:val="auto"/>
                <w:sz w:val="22"/>
                <w:szCs w:val="22"/>
                <w:highlight w:val="none"/>
              </w:rPr>
              <w:t>如果出现政府采购监督管理部门在处理投诉事项期间，书面通知甲方暂停采购活动的情形，或者询问或质疑事项可能影响中标或者成交结果的，导致甲方中止履行合同的情形，均不视为甲方违约。</w:t>
            </w:r>
          </w:p>
        </w:tc>
      </w:tr>
    </w:tbl>
    <w:p w14:paraId="326B2547">
      <w:pPr>
        <w:spacing w:line="360" w:lineRule="auto"/>
        <w:ind w:left="0" w:leftChars="0" w:firstLine="422" w:firstLineChars="175"/>
        <w:rPr>
          <w:rFonts w:hint="eastAsia" w:ascii="仿宋" w:hAnsi="仿宋" w:eastAsia="仿宋" w:cs="仿宋_GB2312"/>
          <w:b/>
          <w:bCs/>
          <w:color w:val="auto"/>
          <w:sz w:val="24"/>
          <w:szCs w:val="24"/>
          <w:highlight w:val="none"/>
          <w:lang w:val="en-US" w:eastAsia="zh-CN"/>
        </w:rPr>
      </w:pPr>
    </w:p>
    <w:bookmarkEnd w:id="65"/>
    <w:bookmarkEnd w:id="66"/>
    <w:bookmarkEnd w:id="67"/>
    <w:bookmarkEnd w:id="68"/>
    <w:p w14:paraId="4ADD66D9">
      <w:pPr>
        <w:pStyle w:val="3"/>
        <w:numPr>
          <w:ilvl w:val="0"/>
          <w:numId w:val="0"/>
        </w:numPr>
        <w:ind w:leftChars="0"/>
        <w:rPr>
          <w:rFonts w:hint="eastAsia"/>
          <w:color w:val="auto"/>
          <w:highlight w:val="none"/>
        </w:rPr>
      </w:pPr>
    </w:p>
    <w:p w14:paraId="017DEC7B">
      <w:pPr>
        <w:adjustRightInd/>
        <w:spacing w:line="360" w:lineRule="auto"/>
        <w:jc w:val="center"/>
        <w:outlineLvl w:val="0"/>
        <w:rPr>
          <w:rFonts w:hint="eastAsia" w:ascii="仿宋" w:hAnsi="仿宋" w:eastAsia="仿宋" w:cs="仿宋"/>
          <w:b/>
          <w:color w:val="auto"/>
          <w:sz w:val="36"/>
          <w:szCs w:val="36"/>
          <w:highlight w:val="none"/>
        </w:rPr>
      </w:pPr>
    </w:p>
    <w:p w14:paraId="6669C24A">
      <w:pPr>
        <w:adjustRightInd/>
        <w:spacing w:line="360" w:lineRule="auto"/>
        <w:jc w:val="center"/>
        <w:outlineLvl w:val="0"/>
        <w:rPr>
          <w:rFonts w:hint="eastAsia" w:ascii="仿宋" w:hAnsi="仿宋" w:eastAsia="仿宋" w:cs="仿宋"/>
          <w:b/>
          <w:color w:val="auto"/>
          <w:sz w:val="36"/>
          <w:szCs w:val="36"/>
          <w:highlight w:val="none"/>
        </w:rPr>
      </w:pPr>
    </w:p>
    <w:p w14:paraId="4E8D2FFE">
      <w:pPr>
        <w:adjustRightInd/>
        <w:spacing w:line="360" w:lineRule="auto"/>
        <w:jc w:val="center"/>
        <w:outlineLvl w:val="0"/>
        <w:rPr>
          <w:rFonts w:hint="eastAsia" w:ascii="仿宋" w:hAnsi="仿宋" w:eastAsia="仿宋" w:cs="仿宋"/>
          <w:b/>
          <w:color w:val="auto"/>
          <w:sz w:val="36"/>
          <w:szCs w:val="36"/>
          <w:highlight w:val="none"/>
        </w:rPr>
      </w:pPr>
    </w:p>
    <w:p w14:paraId="751805AD">
      <w:pPr>
        <w:adjustRightInd/>
        <w:spacing w:line="360" w:lineRule="auto"/>
        <w:jc w:val="center"/>
        <w:outlineLvl w:val="0"/>
        <w:rPr>
          <w:rFonts w:hint="eastAsia" w:ascii="仿宋" w:hAnsi="仿宋" w:eastAsia="仿宋" w:cs="仿宋"/>
          <w:b/>
          <w:color w:val="auto"/>
          <w:sz w:val="36"/>
          <w:szCs w:val="36"/>
          <w:highlight w:val="none"/>
        </w:rPr>
      </w:pPr>
    </w:p>
    <w:p w14:paraId="435CFDD8">
      <w:pPr>
        <w:adjustRightInd/>
        <w:spacing w:line="360" w:lineRule="auto"/>
        <w:jc w:val="center"/>
        <w:outlineLvl w:val="0"/>
        <w:rPr>
          <w:rFonts w:hint="eastAsia" w:ascii="仿宋" w:hAnsi="仿宋" w:eastAsia="仿宋" w:cs="仿宋"/>
          <w:b/>
          <w:color w:val="auto"/>
          <w:sz w:val="36"/>
          <w:szCs w:val="36"/>
          <w:highlight w:val="none"/>
        </w:rPr>
      </w:pPr>
    </w:p>
    <w:p w14:paraId="5B55B705">
      <w:pPr>
        <w:adjustRightInd/>
        <w:spacing w:line="360" w:lineRule="auto"/>
        <w:jc w:val="center"/>
        <w:outlineLvl w:val="0"/>
        <w:rPr>
          <w:rFonts w:hint="eastAsia" w:ascii="仿宋" w:hAnsi="仿宋" w:eastAsia="仿宋" w:cs="仿宋"/>
          <w:b/>
          <w:color w:val="auto"/>
          <w:sz w:val="36"/>
          <w:szCs w:val="36"/>
          <w:highlight w:val="none"/>
        </w:rPr>
      </w:pPr>
    </w:p>
    <w:p w14:paraId="5DED9F2F">
      <w:pPr>
        <w:adjustRightInd/>
        <w:spacing w:line="360" w:lineRule="auto"/>
        <w:jc w:val="center"/>
        <w:outlineLvl w:val="0"/>
        <w:rPr>
          <w:rFonts w:hint="eastAsia" w:ascii="仿宋" w:hAnsi="仿宋" w:eastAsia="仿宋" w:cs="仿宋"/>
          <w:b/>
          <w:color w:val="auto"/>
          <w:sz w:val="36"/>
          <w:szCs w:val="36"/>
          <w:highlight w:val="none"/>
        </w:rPr>
      </w:pPr>
    </w:p>
    <w:p w14:paraId="4206A526">
      <w:pPr>
        <w:adjustRightInd/>
        <w:spacing w:line="360" w:lineRule="auto"/>
        <w:jc w:val="center"/>
        <w:outlineLvl w:val="0"/>
        <w:rPr>
          <w:rFonts w:hint="eastAsia" w:ascii="仿宋" w:hAnsi="仿宋" w:eastAsia="仿宋" w:cs="仿宋"/>
          <w:b/>
          <w:color w:val="auto"/>
          <w:sz w:val="36"/>
          <w:szCs w:val="36"/>
          <w:highlight w:val="none"/>
        </w:rPr>
      </w:pPr>
    </w:p>
    <w:p w14:paraId="579D2C12">
      <w:pPr>
        <w:adjustRightInd/>
        <w:spacing w:line="360" w:lineRule="auto"/>
        <w:jc w:val="center"/>
        <w:outlineLvl w:val="0"/>
        <w:rPr>
          <w:rFonts w:hint="eastAsia" w:ascii="仿宋" w:hAnsi="仿宋" w:eastAsia="仿宋" w:cs="仿宋"/>
          <w:b/>
          <w:color w:val="auto"/>
          <w:sz w:val="36"/>
          <w:szCs w:val="36"/>
          <w:highlight w:val="none"/>
        </w:rPr>
      </w:pPr>
    </w:p>
    <w:p w14:paraId="0B3F4F78">
      <w:pPr>
        <w:adjustRightInd/>
        <w:spacing w:line="360" w:lineRule="auto"/>
        <w:jc w:val="center"/>
        <w:outlineLvl w:val="0"/>
        <w:rPr>
          <w:rFonts w:hint="eastAsia" w:ascii="仿宋" w:hAnsi="仿宋" w:eastAsia="仿宋" w:cs="仿宋"/>
          <w:b/>
          <w:color w:val="auto"/>
          <w:sz w:val="36"/>
          <w:szCs w:val="36"/>
          <w:highlight w:val="none"/>
        </w:rPr>
      </w:pPr>
    </w:p>
    <w:p w14:paraId="4D23B45A">
      <w:pPr>
        <w:numPr>
          <w:ilvl w:val="0"/>
          <w:numId w:val="11"/>
        </w:numPr>
        <w:adjustRightInd/>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bookmarkEnd w:id="63"/>
      <w:bookmarkEnd w:id="64"/>
      <w:bookmarkStart w:id="69" w:name="第四部分"/>
      <w:r>
        <w:rPr>
          <w:rFonts w:hint="eastAsia" w:ascii="仿宋" w:hAnsi="仿宋" w:eastAsia="仿宋" w:cs="仿宋"/>
          <w:b/>
          <w:color w:val="auto"/>
          <w:sz w:val="36"/>
          <w:szCs w:val="36"/>
          <w:highlight w:val="none"/>
        </w:rPr>
        <w:t>评标办法</w:t>
      </w:r>
    </w:p>
    <w:p w14:paraId="66DCEDC4">
      <w:pPr>
        <w:adjustRightInd/>
        <w:spacing w:before="0"/>
        <w:jc w:val="center"/>
        <w:outlineLvl w:val="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评审方法前附表</w:t>
      </w:r>
    </w:p>
    <w:tbl>
      <w:tblPr>
        <w:tblStyle w:val="61"/>
        <w:tblW w:w="10120" w:type="dxa"/>
        <w:tblInd w:w="-6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5436"/>
        <w:gridCol w:w="899"/>
        <w:gridCol w:w="1033"/>
        <w:gridCol w:w="2080"/>
      </w:tblGrid>
      <w:tr w14:paraId="60780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trPr>
        <w:tc>
          <w:tcPr>
            <w:tcW w:w="672" w:type="dxa"/>
            <w:noWrap w:val="0"/>
            <w:vAlign w:val="center"/>
          </w:tcPr>
          <w:p w14:paraId="1A92961D">
            <w:pPr>
              <w:spacing w:line="276" w:lineRule="auto"/>
              <w:jc w:val="center"/>
              <w:rPr>
                <w:rFonts w:hint="eastAsia" w:ascii="仿宋" w:hAnsi="仿宋" w:eastAsia="仿宋" w:cs="仿宋"/>
                <w:b/>
                <w:bCs/>
                <w:color w:val="auto"/>
                <w:szCs w:val="21"/>
                <w:highlight w:val="none"/>
              </w:rPr>
            </w:pPr>
            <w:bookmarkStart w:id="70" w:name="_Hlk164254511"/>
            <w:r>
              <w:rPr>
                <w:rFonts w:hint="eastAsia" w:ascii="仿宋" w:hAnsi="仿宋" w:eastAsia="仿宋" w:cs="仿宋"/>
                <w:b/>
                <w:bCs/>
                <w:color w:val="auto"/>
                <w:szCs w:val="21"/>
                <w:highlight w:val="none"/>
              </w:rPr>
              <w:t>序号</w:t>
            </w:r>
          </w:p>
        </w:tc>
        <w:tc>
          <w:tcPr>
            <w:tcW w:w="5436" w:type="dxa"/>
            <w:noWrap w:val="0"/>
            <w:vAlign w:val="center"/>
          </w:tcPr>
          <w:p w14:paraId="4AA3BC11">
            <w:pPr>
              <w:spacing w:line="276" w:lineRule="auto"/>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评标标准</w:t>
            </w:r>
          </w:p>
        </w:tc>
        <w:tc>
          <w:tcPr>
            <w:tcW w:w="899" w:type="dxa"/>
            <w:noWrap w:val="0"/>
            <w:vAlign w:val="center"/>
          </w:tcPr>
          <w:p w14:paraId="16EFFF68">
            <w:pPr>
              <w:spacing w:line="276" w:lineRule="auto"/>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权重</w:t>
            </w:r>
          </w:p>
        </w:tc>
        <w:tc>
          <w:tcPr>
            <w:tcW w:w="1033" w:type="dxa"/>
            <w:noWrap w:val="0"/>
            <w:vAlign w:val="center"/>
          </w:tcPr>
          <w:p w14:paraId="14476DB5">
            <w:pPr>
              <w:spacing w:line="276" w:lineRule="auto"/>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主观分/客观分属性</w:t>
            </w:r>
          </w:p>
        </w:tc>
        <w:tc>
          <w:tcPr>
            <w:tcW w:w="2080" w:type="dxa"/>
            <w:noWrap w:val="0"/>
            <w:vAlign w:val="top"/>
          </w:tcPr>
          <w:p w14:paraId="11F6C676">
            <w:pPr>
              <w:spacing w:line="276" w:lineRule="auto"/>
              <w:jc w:val="center"/>
              <w:rPr>
                <w:rFonts w:hint="eastAsia" w:ascii="仿宋" w:hAnsi="仿宋" w:eastAsia="仿宋" w:cs="仿宋"/>
                <w:b/>
                <w:bCs/>
                <w:color w:val="auto"/>
                <w:szCs w:val="21"/>
                <w:highlight w:val="none"/>
              </w:rPr>
            </w:pPr>
            <w:r>
              <w:rPr>
                <w:rFonts w:hint="eastAsia" w:ascii="仿宋" w:hAnsi="仿宋" w:eastAsia="仿宋" w:cs="仿宋"/>
                <w:bCs/>
                <w:color w:val="auto"/>
                <w:szCs w:val="21"/>
                <w:highlight w:val="none"/>
              </w:rPr>
              <w:t>投标文件中评标标准相应的商务技术资料目录*</w:t>
            </w:r>
          </w:p>
        </w:tc>
      </w:tr>
      <w:tr w14:paraId="7D4D4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2" w:hRule="atLeast"/>
        </w:trPr>
        <w:tc>
          <w:tcPr>
            <w:tcW w:w="672" w:type="dxa"/>
            <w:noWrap w:val="0"/>
            <w:vAlign w:val="center"/>
          </w:tcPr>
          <w:p w14:paraId="60C49B4A">
            <w:pPr>
              <w:spacing w:line="276"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5436" w:type="dxa"/>
            <w:noWrap w:val="0"/>
            <w:vAlign w:val="center"/>
          </w:tcPr>
          <w:p w14:paraId="3D794BF5">
            <w:pPr>
              <w:spacing w:line="276" w:lineRule="auto"/>
              <w:outlineLvl w:val="0"/>
              <w:rPr>
                <w:rFonts w:hint="eastAsia" w:ascii="仿宋" w:hAnsi="仿宋" w:eastAsia="仿宋" w:cs="仿宋"/>
                <w:b w:val="0"/>
                <w:bCs w:val="0"/>
                <w:color w:val="auto"/>
                <w:szCs w:val="21"/>
                <w:highlight w:val="none"/>
                <w:lang w:eastAsia="zh-CN"/>
              </w:rPr>
            </w:pPr>
            <w:r>
              <w:rPr>
                <w:rFonts w:hint="eastAsia" w:ascii="仿宋" w:hAnsi="仿宋" w:eastAsia="仿宋" w:cs="仿宋"/>
                <w:color w:val="auto"/>
                <w:szCs w:val="21"/>
                <w:highlight w:val="none"/>
              </w:rPr>
              <w:t>投标产品技术性能、功能、成熟度与需求的吻合程度</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根据所投产品基本功能、技术指标与需求的吻合程度和偏差情况（包括所投标产品的详细配置、主要技术参数等），是否能够满足采购文件要求，完全满足招标</w:t>
            </w:r>
            <w:r>
              <w:rPr>
                <w:rFonts w:hint="eastAsia" w:ascii="仿宋" w:hAnsi="仿宋" w:eastAsia="仿宋" w:cs="仿宋"/>
                <w:color w:val="auto"/>
                <w:szCs w:val="21"/>
                <w:highlight w:val="none"/>
                <w:lang w:val="en-US" w:eastAsia="zh-CN"/>
              </w:rPr>
              <w:t>产品</w:t>
            </w:r>
            <w:r>
              <w:rPr>
                <w:rFonts w:hint="eastAsia" w:ascii="仿宋" w:hAnsi="仿宋" w:eastAsia="仿宋" w:cs="仿宋"/>
                <w:color w:val="auto"/>
                <w:szCs w:val="21"/>
                <w:highlight w:val="none"/>
              </w:rPr>
              <w:t>的技术指标要求得</w:t>
            </w:r>
            <w:r>
              <w:rPr>
                <w:rFonts w:hint="eastAsia" w:ascii="仿宋" w:hAnsi="仿宋" w:eastAsia="仿宋" w:cs="仿宋"/>
                <w:color w:val="auto"/>
                <w:szCs w:val="21"/>
                <w:highlight w:val="none"/>
                <w:lang w:val="en-US" w:eastAsia="zh-CN"/>
              </w:rPr>
              <w:t>53</w:t>
            </w:r>
            <w:r>
              <w:rPr>
                <w:rFonts w:hint="eastAsia" w:ascii="仿宋" w:hAnsi="仿宋" w:eastAsia="仿宋" w:cs="仿宋"/>
                <w:color w:val="auto"/>
                <w:szCs w:val="21"/>
                <w:highlight w:val="none"/>
              </w:rPr>
              <w:t>分；每有一项</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不满足</w:t>
            </w:r>
            <w:r>
              <w:rPr>
                <w:rFonts w:hint="eastAsia" w:ascii="仿宋" w:hAnsi="仿宋" w:eastAsia="仿宋" w:cs="仿宋"/>
                <w:color w:val="auto"/>
                <w:szCs w:val="21"/>
                <w:highlight w:val="none"/>
                <w:lang w:val="en-US" w:eastAsia="zh-CN"/>
              </w:rPr>
              <w:t>或不能证明的</w:t>
            </w:r>
            <w:r>
              <w:rPr>
                <w:rFonts w:hint="eastAsia" w:ascii="仿宋" w:hAnsi="仿宋" w:eastAsia="仿宋" w:cs="仿宋"/>
                <w:color w:val="auto"/>
                <w:szCs w:val="21"/>
                <w:highlight w:val="none"/>
              </w:rPr>
              <w:t>扣</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w:t>
            </w:r>
            <w:r>
              <w:rPr>
                <w:rFonts w:hint="eastAsia" w:ascii="仿宋" w:hAnsi="仿宋" w:eastAsia="仿宋" w:cs="仿宋"/>
                <w:color w:val="auto"/>
                <w:szCs w:val="21"/>
                <w:highlight w:val="none"/>
                <w:lang w:val="en-US" w:eastAsia="zh-CN"/>
              </w:rPr>
              <w:t>其余技术指标不满足的扣1分，</w:t>
            </w:r>
            <w:r>
              <w:rPr>
                <w:rFonts w:hint="eastAsia" w:ascii="仿宋" w:hAnsi="仿宋" w:eastAsia="仿宋" w:cs="仿宋"/>
                <w:color w:val="auto"/>
                <w:szCs w:val="21"/>
                <w:highlight w:val="none"/>
              </w:rPr>
              <w:t>扣完为止。</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证明资料为产品技术说明书、国家认可的第三方检测机构出具的检测报告或产品功能彩页</w:t>
            </w:r>
            <w:r>
              <w:rPr>
                <w:rFonts w:hint="eastAsia" w:ascii="仿宋" w:hAnsi="仿宋" w:eastAsia="仿宋" w:cs="仿宋"/>
                <w:color w:val="auto"/>
                <w:szCs w:val="21"/>
                <w:highlight w:val="none"/>
                <w:lang w:eastAsia="zh-CN"/>
              </w:rPr>
              <w:t>）</w:t>
            </w:r>
          </w:p>
        </w:tc>
        <w:tc>
          <w:tcPr>
            <w:tcW w:w="899" w:type="dxa"/>
            <w:noWrap w:val="0"/>
            <w:vAlign w:val="center"/>
          </w:tcPr>
          <w:p w14:paraId="6642524D">
            <w:pPr>
              <w:spacing w:line="276" w:lineRule="auto"/>
              <w:ind w:firstLine="0" w:firstLineChars="0"/>
              <w:jc w:val="center"/>
              <w:outlineLvl w:val="0"/>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53</w:t>
            </w:r>
          </w:p>
        </w:tc>
        <w:tc>
          <w:tcPr>
            <w:tcW w:w="1033" w:type="dxa"/>
            <w:noWrap w:val="0"/>
            <w:vAlign w:val="center"/>
          </w:tcPr>
          <w:p w14:paraId="35726E56">
            <w:pPr>
              <w:spacing w:line="276" w:lineRule="auto"/>
              <w:jc w:val="center"/>
              <w:outlineLvl w:val="0"/>
              <w:rPr>
                <w:rFonts w:hint="eastAsia" w:ascii="仿宋" w:hAnsi="仿宋" w:eastAsia="仿宋" w:cs="仿宋"/>
                <w:color w:val="auto"/>
                <w:szCs w:val="21"/>
                <w:highlight w:val="none"/>
              </w:rPr>
            </w:pPr>
            <w:r>
              <w:rPr>
                <w:rFonts w:hint="eastAsia" w:ascii="仿宋" w:hAnsi="仿宋" w:eastAsia="仿宋" w:cs="仿宋"/>
                <w:color w:val="auto"/>
                <w:kern w:val="2"/>
                <w:szCs w:val="21"/>
                <w:highlight w:val="none"/>
              </w:rPr>
              <w:t>客观分</w:t>
            </w:r>
          </w:p>
        </w:tc>
        <w:tc>
          <w:tcPr>
            <w:tcW w:w="2080" w:type="dxa"/>
            <w:noWrap w:val="0"/>
            <w:vAlign w:val="center"/>
          </w:tcPr>
          <w:p w14:paraId="7370E867">
            <w:pPr>
              <w:spacing w:line="276" w:lineRule="auto"/>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w:t>
            </w:r>
            <w:r>
              <w:rPr>
                <w:rFonts w:hint="eastAsia" w:ascii="仿宋" w:hAnsi="仿宋" w:eastAsia="仿宋" w:cs="仿宋"/>
                <w:color w:val="auto"/>
                <w:szCs w:val="21"/>
                <w:highlight w:val="none"/>
                <w:lang w:val="zh-CN"/>
              </w:rPr>
              <w:t>投标产品的性能与需求的吻合程度</w:t>
            </w:r>
          </w:p>
        </w:tc>
      </w:tr>
      <w:tr w14:paraId="5048B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672" w:type="dxa"/>
            <w:vMerge w:val="restart"/>
            <w:noWrap w:val="0"/>
            <w:vAlign w:val="center"/>
          </w:tcPr>
          <w:p w14:paraId="00FADC6A">
            <w:pPr>
              <w:spacing w:line="276" w:lineRule="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w:t>
            </w:r>
          </w:p>
        </w:tc>
        <w:tc>
          <w:tcPr>
            <w:tcW w:w="5436" w:type="dxa"/>
            <w:noWrap w:val="0"/>
            <w:vAlign w:val="center"/>
          </w:tcPr>
          <w:p w14:paraId="7A07D91D">
            <w:pPr>
              <w:spacing w:line="276" w:lineRule="auto"/>
              <w:ind w:right="0"/>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机器人设备接入方案：方案完整详细、满足采购需求的得4分，方案略有欠缺、需补充完善的得2分，方案不满足采购需求的不得分。</w:t>
            </w:r>
          </w:p>
        </w:tc>
        <w:tc>
          <w:tcPr>
            <w:tcW w:w="899" w:type="dxa"/>
            <w:vMerge w:val="restart"/>
            <w:noWrap w:val="0"/>
            <w:vAlign w:val="center"/>
          </w:tcPr>
          <w:p w14:paraId="12E4D46F">
            <w:pPr>
              <w:spacing w:line="276" w:lineRule="auto"/>
              <w:ind w:firstLine="0" w:firstLineChars="0"/>
              <w:jc w:val="center"/>
              <w:outlineLvl w:val="0"/>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w:t>
            </w:r>
          </w:p>
        </w:tc>
        <w:tc>
          <w:tcPr>
            <w:tcW w:w="1033" w:type="dxa"/>
            <w:vMerge w:val="restart"/>
            <w:noWrap w:val="0"/>
            <w:vAlign w:val="center"/>
          </w:tcPr>
          <w:p w14:paraId="4D2C9754">
            <w:pPr>
              <w:spacing w:line="276" w:lineRule="auto"/>
              <w:jc w:val="left"/>
              <w:outlineLvl w:val="0"/>
              <w:rPr>
                <w:rFonts w:hint="eastAsia" w:ascii="仿宋" w:hAnsi="仿宋" w:eastAsia="仿宋" w:cs="仿宋"/>
                <w:color w:val="auto"/>
                <w:szCs w:val="21"/>
                <w:highlight w:val="none"/>
              </w:rPr>
            </w:pPr>
            <w:r>
              <w:rPr>
                <w:rFonts w:hint="eastAsia" w:ascii="仿宋" w:hAnsi="仿宋" w:eastAsia="仿宋" w:cs="仿宋"/>
                <w:color w:val="auto"/>
                <w:kern w:val="2"/>
                <w:szCs w:val="21"/>
                <w:highlight w:val="none"/>
              </w:rPr>
              <w:t>主观分</w:t>
            </w:r>
          </w:p>
        </w:tc>
        <w:tc>
          <w:tcPr>
            <w:tcW w:w="2080" w:type="dxa"/>
            <w:vMerge w:val="restart"/>
            <w:noWrap w:val="0"/>
            <w:vAlign w:val="center"/>
          </w:tcPr>
          <w:p w14:paraId="12BFBDA9">
            <w:pPr>
              <w:spacing w:line="276" w:lineRule="auto"/>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（二）</w:t>
            </w:r>
            <w:r>
              <w:rPr>
                <w:rFonts w:hint="eastAsia" w:ascii="仿宋" w:hAnsi="仿宋" w:eastAsia="仿宋" w:cs="仿宋"/>
                <w:color w:val="auto"/>
                <w:szCs w:val="21"/>
                <w:highlight w:val="none"/>
                <w:lang w:val="en-US" w:eastAsia="zh-CN"/>
              </w:rPr>
              <w:t>机器人设备配合接入</w:t>
            </w:r>
            <w:r>
              <w:rPr>
                <w:rFonts w:hint="eastAsia" w:ascii="仿宋" w:hAnsi="仿宋" w:eastAsia="仿宋" w:cs="仿宋"/>
                <w:color w:val="auto"/>
                <w:szCs w:val="21"/>
                <w:highlight w:val="none"/>
              </w:rPr>
              <w:t>服务要求</w:t>
            </w:r>
          </w:p>
        </w:tc>
      </w:tr>
      <w:tr w14:paraId="66A70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672" w:type="dxa"/>
            <w:vMerge w:val="continue"/>
            <w:noWrap w:val="0"/>
            <w:vAlign w:val="center"/>
          </w:tcPr>
          <w:p w14:paraId="215F17A7">
            <w:pPr>
              <w:spacing w:line="360" w:lineRule="auto"/>
              <w:rPr>
                <w:rFonts w:hint="eastAsia" w:ascii="仿宋" w:hAnsi="仿宋" w:eastAsia="仿宋" w:cs="仿宋"/>
                <w:color w:val="auto"/>
                <w:highlight w:val="none"/>
              </w:rPr>
            </w:pPr>
          </w:p>
        </w:tc>
        <w:tc>
          <w:tcPr>
            <w:tcW w:w="5436" w:type="dxa"/>
            <w:noWrap w:val="0"/>
            <w:vAlign w:val="center"/>
          </w:tcPr>
          <w:p w14:paraId="19A95C9E">
            <w:pPr>
              <w:spacing w:line="276" w:lineRule="auto"/>
              <w:ind w:right="0"/>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人形机器人接口功能开放方案：方案完整详细、满足采购需求的得4分，方案略有欠缺、需补充完善的得2分，方案不满足采购需求的不得分。</w:t>
            </w:r>
          </w:p>
        </w:tc>
        <w:tc>
          <w:tcPr>
            <w:tcW w:w="899" w:type="dxa"/>
            <w:vMerge w:val="continue"/>
            <w:noWrap w:val="0"/>
            <w:vAlign w:val="center"/>
          </w:tcPr>
          <w:p w14:paraId="5A7021B4">
            <w:pPr>
              <w:spacing w:line="276" w:lineRule="auto"/>
              <w:jc w:val="center"/>
              <w:outlineLvl w:val="0"/>
              <w:rPr>
                <w:rFonts w:hint="eastAsia" w:ascii="仿宋" w:hAnsi="仿宋" w:eastAsia="仿宋" w:cs="仿宋"/>
                <w:color w:val="auto"/>
                <w:sz w:val="21"/>
                <w:szCs w:val="21"/>
                <w:highlight w:val="none"/>
              </w:rPr>
            </w:pPr>
          </w:p>
        </w:tc>
        <w:tc>
          <w:tcPr>
            <w:tcW w:w="1033" w:type="dxa"/>
            <w:vMerge w:val="continue"/>
            <w:noWrap w:val="0"/>
            <w:vAlign w:val="center"/>
          </w:tcPr>
          <w:p w14:paraId="7FD15ADE">
            <w:pPr>
              <w:spacing w:line="276" w:lineRule="auto"/>
              <w:outlineLvl w:val="0"/>
              <w:rPr>
                <w:rFonts w:hint="eastAsia" w:ascii="仿宋" w:hAnsi="仿宋" w:eastAsia="仿宋" w:cs="仿宋"/>
                <w:color w:val="auto"/>
                <w:sz w:val="21"/>
                <w:szCs w:val="21"/>
                <w:highlight w:val="none"/>
              </w:rPr>
            </w:pPr>
          </w:p>
        </w:tc>
        <w:tc>
          <w:tcPr>
            <w:tcW w:w="2080" w:type="dxa"/>
            <w:vMerge w:val="continue"/>
            <w:noWrap w:val="0"/>
            <w:vAlign w:val="center"/>
          </w:tcPr>
          <w:p w14:paraId="2D390701">
            <w:pPr>
              <w:spacing w:line="276" w:lineRule="auto"/>
              <w:outlineLvl w:val="0"/>
              <w:rPr>
                <w:rFonts w:hint="eastAsia" w:ascii="仿宋" w:hAnsi="仿宋" w:eastAsia="仿宋" w:cs="仿宋"/>
                <w:color w:val="auto"/>
                <w:sz w:val="21"/>
                <w:szCs w:val="21"/>
                <w:highlight w:val="none"/>
              </w:rPr>
            </w:pPr>
          </w:p>
        </w:tc>
      </w:tr>
      <w:tr w14:paraId="6EB4F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1" w:hRule="atLeast"/>
        </w:trPr>
        <w:tc>
          <w:tcPr>
            <w:tcW w:w="672" w:type="dxa"/>
            <w:noWrap w:val="0"/>
            <w:vAlign w:val="center"/>
          </w:tcPr>
          <w:p w14:paraId="4F61B177">
            <w:pPr>
              <w:spacing w:line="276" w:lineRule="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c>
          <w:tcPr>
            <w:tcW w:w="5436" w:type="dxa"/>
            <w:noWrap w:val="0"/>
            <w:vAlign w:val="center"/>
          </w:tcPr>
          <w:p w14:paraId="5BB97EB6">
            <w:pPr>
              <w:autoSpaceDE/>
              <w:autoSpaceDN/>
              <w:spacing w:line="276" w:lineRule="auto"/>
              <w:outlineLvl w:val="0"/>
              <w:rPr>
                <w:rFonts w:hint="eastAsia" w:ascii="仿宋" w:hAnsi="仿宋" w:eastAsia="仿宋" w:cs="仿宋"/>
                <w:color w:val="auto"/>
                <w:kern w:val="2"/>
                <w:szCs w:val="21"/>
                <w:highlight w:val="none"/>
                <w:lang w:val="en-US" w:bidi="zh-CN"/>
              </w:rPr>
            </w:pPr>
            <w:r>
              <w:rPr>
                <w:rFonts w:hint="eastAsia" w:ascii="仿宋" w:hAnsi="仿宋" w:eastAsia="仿宋" w:cs="仿宋"/>
                <w:color w:val="auto"/>
                <w:kern w:val="2"/>
                <w:szCs w:val="21"/>
                <w:highlight w:val="none"/>
                <w:lang w:val="en-US" w:bidi="zh-CN"/>
              </w:rPr>
              <w:t>方案演示：</w:t>
            </w:r>
          </w:p>
          <w:p w14:paraId="3622A9BE">
            <w:pPr>
              <w:numPr>
                <w:ilvl w:val="0"/>
                <w:numId w:val="12"/>
              </w:numPr>
              <w:autoSpaceDE/>
              <w:autoSpaceDN/>
              <w:spacing w:line="276" w:lineRule="auto"/>
              <w:outlineLvl w:val="0"/>
              <w:rPr>
                <w:rFonts w:hint="eastAsia" w:ascii="仿宋" w:hAnsi="仿宋" w:eastAsia="仿宋" w:cs="仿宋"/>
                <w:color w:val="auto"/>
                <w:kern w:val="2"/>
                <w:szCs w:val="21"/>
                <w:highlight w:val="none"/>
                <w:lang w:val="en-US" w:eastAsia="zh-CN"/>
              </w:rPr>
            </w:pPr>
            <w:r>
              <w:rPr>
                <w:rFonts w:hint="eastAsia" w:ascii="仿宋" w:hAnsi="仿宋" w:eastAsia="仿宋" w:cs="仿宋"/>
                <w:color w:val="auto"/>
                <w:kern w:val="2"/>
                <w:szCs w:val="21"/>
                <w:highlight w:val="none"/>
                <w:lang w:val="en-US" w:eastAsia="zh-CN"/>
              </w:rPr>
              <w:t>机器人可在城市道路，配合警务人员实现巡逻防控；完全满足此项功能的得2分，不满足要求不得分。</w:t>
            </w:r>
          </w:p>
          <w:p w14:paraId="22645D65">
            <w:pPr>
              <w:numPr>
                <w:ilvl w:val="0"/>
                <w:numId w:val="12"/>
              </w:numPr>
              <w:autoSpaceDE/>
              <w:autoSpaceDN/>
              <w:spacing w:line="276" w:lineRule="auto"/>
              <w:outlineLvl w:val="0"/>
              <w:rPr>
                <w:rFonts w:hint="eastAsia" w:ascii="仿宋" w:hAnsi="仿宋" w:eastAsia="仿宋" w:cs="仿宋"/>
                <w:color w:val="auto"/>
                <w:szCs w:val="21"/>
                <w:highlight w:val="none"/>
                <w:lang w:val="en-US"/>
              </w:rPr>
            </w:pPr>
            <w:r>
              <w:rPr>
                <w:rFonts w:hint="eastAsia" w:ascii="仿宋" w:hAnsi="仿宋" w:eastAsia="仿宋" w:cs="仿宋"/>
                <w:color w:val="auto"/>
                <w:kern w:val="2"/>
                <w:szCs w:val="21"/>
                <w:highlight w:val="none"/>
                <w:lang w:val="en-US" w:eastAsia="zh-CN"/>
              </w:rPr>
              <w:t>机器人能够实现握手、挥手、转身挥手、敬礼、引导动作要求；完全满足此项功能的得5分，不满足要求不得分。</w:t>
            </w:r>
          </w:p>
          <w:p w14:paraId="5E53E34F">
            <w:pPr>
              <w:numPr>
                <w:ilvl w:val="-1"/>
                <w:numId w:val="0"/>
              </w:numPr>
              <w:autoSpaceDE/>
              <w:autoSpaceDN/>
              <w:spacing w:line="276" w:lineRule="auto"/>
              <w:outlineLvl w:val="0"/>
              <w:rPr>
                <w:rFonts w:hint="eastAsia" w:ascii="仿宋" w:hAnsi="仿宋" w:eastAsia="仿宋" w:cs="仿宋"/>
                <w:color w:val="auto"/>
                <w:szCs w:val="21"/>
                <w:highlight w:val="none"/>
                <w:lang w:val="en-US"/>
              </w:rPr>
            </w:pPr>
            <w:r>
              <w:rPr>
                <w:rFonts w:hint="eastAsia" w:ascii="仿宋" w:hAnsi="仿宋" w:eastAsia="仿宋" w:cs="仿宋"/>
                <w:color w:val="auto"/>
                <w:kern w:val="2"/>
                <w:szCs w:val="21"/>
                <w:highlight w:val="none"/>
                <w:lang w:val="en-US" w:eastAsia="zh-CN"/>
              </w:rPr>
              <w:t>（3）能够与人员进行语音互动，回答诸如怎么维护现场秩序、最近的地铁站怎么走、公共卫生间怎么走的问题。每个问题2分，机器人语音回答清晰、流畅、合理得2分，略有不足得1分，不能实现功能的不得分，此项最高6分。</w:t>
            </w:r>
          </w:p>
        </w:tc>
        <w:tc>
          <w:tcPr>
            <w:tcW w:w="899" w:type="dxa"/>
            <w:noWrap w:val="0"/>
            <w:vAlign w:val="center"/>
          </w:tcPr>
          <w:p w14:paraId="018D667D">
            <w:pPr>
              <w:spacing w:line="276" w:lineRule="auto"/>
              <w:ind w:firstLine="0" w:firstLineChars="0"/>
              <w:jc w:val="center"/>
              <w:outlineLvl w:val="0"/>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13</w:t>
            </w:r>
          </w:p>
        </w:tc>
        <w:tc>
          <w:tcPr>
            <w:tcW w:w="1033" w:type="dxa"/>
            <w:noWrap w:val="0"/>
            <w:vAlign w:val="center"/>
          </w:tcPr>
          <w:p w14:paraId="72806972">
            <w:pPr>
              <w:spacing w:line="276" w:lineRule="auto"/>
              <w:jc w:val="left"/>
              <w:outlineLvl w:val="0"/>
              <w:rPr>
                <w:rFonts w:hint="eastAsia" w:ascii="仿宋" w:hAnsi="仿宋" w:eastAsia="仿宋" w:cs="仿宋"/>
                <w:color w:val="auto"/>
                <w:kern w:val="2"/>
                <w:szCs w:val="21"/>
                <w:highlight w:val="none"/>
              </w:rPr>
            </w:pPr>
            <w:r>
              <w:rPr>
                <w:rFonts w:hint="eastAsia" w:ascii="仿宋" w:hAnsi="仿宋" w:eastAsia="仿宋" w:cs="仿宋"/>
                <w:color w:val="auto"/>
                <w:kern w:val="2"/>
                <w:szCs w:val="21"/>
                <w:highlight w:val="none"/>
                <w:lang w:val="en-US" w:eastAsia="zh-CN"/>
              </w:rPr>
              <w:t>主</w:t>
            </w:r>
            <w:r>
              <w:rPr>
                <w:rFonts w:hint="eastAsia" w:ascii="仿宋" w:hAnsi="仿宋" w:eastAsia="仿宋" w:cs="仿宋"/>
                <w:color w:val="auto"/>
                <w:kern w:val="2"/>
                <w:szCs w:val="21"/>
                <w:highlight w:val="none"/>
              </w:rPr>
              <w:t>观分</w:t>
            </w:r>
          </w:p>
        </w:tc>
        <w:tc>
          <w:tcPr>
            <w:tcW w:w="2080" w:type="dxa"/>
            <w:noWrap w:val="0"/>
            <w:vAlign w:val="center"/>
          </w:tcPr>
          <w:p w14:paraId="56D47EED">
            <w:pPr>
              <w:spacing w:line="276" w:lineRule="auto"/>
              <w:jc w:val="left"/>
              <w:outlineLvl w:val="0"/>
              <w:rPr>
                <w:rFonts w:hint="eastAsia" w:ascii="仿宋" w:hAnsi="仿宋" w:eastAsia="仿宋" w:cs="仿宋"/>
                <w:color w:val="auto"/>
                <w:szCs w:val="21"/>
                <w:highlight w:val="none"/>
                <w:lang w:val="en-US"/>
              </w:rPr>
            </w:pPr>
            <w:r>
              <w:rPr>
                <w:rFonts w:hint="eastAsia" w:ascii="仿宋" w:hAnsi="仿宋" w:eastAsia="仿宋" w:cs="仿宋"/>
                <w:color w:val="auto"/>
                <w:szCs w:val="21"/>
                <w:highlight w:val="none"/>
              </w:rPr>
              <w:t>（三）</w:t>
            </w:r>
            <w:r>
              <w:rPr>
                <w:rFonts w:hint="eastAsia" w:ascii="仿宋" w:hAnsi="仿宋" w:eastAsia="仿宋" w:cs="仿宋"/>
                <w:color w:val="auto"/>
                <w:szCs w:val="21"/>
                <w:highlight w:val="none"/>
                <w:lang w:val="en-US" w:eastAsia="zh-CN"/>
              </w:rPr>
              <w:t>租用产品功能展示</w:t>
            </w:r>
          </w:p>
        </w:tc>
      </w:tr>
      <w:tr w14:paraId="66D76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672" w:type="dxa"/>
            <w:noWrap w:val="0"/>
            <w:vAlign w:val="center"/>
          </w:tcPr>
          <w:p w14:paraId="696E4751">
            <w:pPr>
              <w:spacing w:line="276"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5436" w:type="dxa"/>
            <w:shd w:val="clear" w:color="auto" w:fill="auto"/>
            <w:noWrap w:val="0"/>
            <w:vAlign w:val="center"/>
          </w:tcPr>
          <w:p w14:paraId="4E921534">
            <w:pPr>
              <w:spacing w:line="276" w:lineRule="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项目实施方案：</w:t>
            </w:r>
          </w:p>
          <w:p w14:paraId="477FBC88">
            <w:pPr>
              <w:spacing w:line="276" w:lineRule="auto"/>
              <w:outlineLvl w:val="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投标人项目组织实施方案的科学性、合理性、规范性和可操作性，包括供货运输、安装调试、试运行、测试、调优等内容，以及组织机构、实施场所、工作程序和步骤、管理和协调方法、关键步骤思路和要点等进行综合评分，方案完整合理、针对性强的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分，方案完整合理、针对性强较强的得3分，方案不够完整合理、针对性不强的得1分，不提供不得分</w:t>
            </w:r>
            <w:r>
              <w:rPr>
                <w:rFonts w:hint="eastAsia" w:ascii="仿宋" w:hAnsi="仿宋" w:eastAsia="仿宋" w:cs="仿宋"/>
                <w:color w:val="auto"/>
                <w:sz w:val="21"/>
                <w:szCs w:val="21"/>
                <w:highlight w:val="none"/>
                <w:lang w:eastAsia="zh-CN"/>
              </w:rPr>
              <w:t>。</w:t>
            </w:r>
          </w:p>
        </w:tc>
        <w:tc>
          <w:tcPr>
            <w:tcW w:w="899" w:type="dxa"/>
            <w:shd w:val="clear" w:color="auto" w:fill="auto"/>
            <w:noWrap w:val="0"/>
            <w:vAlign w:val="center"/>
          </w:tcPr>
          <w:p w14:paraId="747703A9">
            <w:pPr>
              <w:spacing w:line="276" w:lineRule="auto"/>
              <w:jc w:val="center"/>
              <w:outlineLvl w:val="0"/>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033" w:type="dxa"/>
            <w:shd w:val="clear" w:color="auto" w:fill="auto"/>
            <w:noWrap w:val="0"/>
            <w:vAlign w:val="center"/>
          </w:tcPr>
          <w:p w14:paraId="121564C1">
            <w:pPr>
              <w:spacing w:line="276" w:lineRule="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主观分</w:t>
            </w:r>
          </w:p>
        </w:tc>
        <w:tc>
          <w:tcPr>
            <w:tcW w:w="2080" w:type="dxa"/>
            <w:noWrap w:val="0"/>
            <w:vAlign w:val="center"/>
          </w:tcPr>
          <w:p w14:paraId="3392E1D5">
            <w:pPr>
              <w:spacing w:line="276" w:lineRule="auto"/>
              <w:jc w:val="left"/>
              <w:outlineLvl w:val="0"/>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四</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项目实施方案</w:t>
            </w:r>
          </w:p>
        </w:tc>
      </w:tr>
      <w:tr w14:paraId="77397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672" w:type="dxa"/>
            <w:noWrap w:val="0"/>
            <w:vAlign w:val="center"/>
          </w:tcPr>
          <w:p w14:paraId="3AE5D59B">
            <w:pPr>
              <w:spacing w:line="276"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5436" w:type="dxa"/>
            <w:shd w:val="clear" w:color="auto" w:fill="auto"/>
            <w:noWrap w:val="0"/>
            <w:vAlign w:val="center"/>
          </w:tcPr>
          <w:p w14:paraId="357402E1">
            <w:pPr>
              <w:spacing w:line="276" w:lineRule="auto"/>
              <w:outlineLvl w:val="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投标人针对本项目提供人员的培训计划方案，培训方案可行性高的，满足要求的，得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分，培训方案可行性较高的，得</w:t>
            </w:r>
            <w:r>
              <w:rPr>
                <w:rFonts w:hint="eastAsia" w:ascii="仿宋" w:hAnsi="仿宋" w:eastAsia="仿宋" w:cs="仿宋"/>
                <w:color w:val="auto"/>
                <w:sz w:val="21"/>
                <w:szCs w:val="21"/>
                <w:highlight w:val="none"/>
                <w:lang w:eastAsia="zh-CN"/>
              </w:rPr>
              <w:t>1</w:t>
            </w:r>
            <w:r>
              <w:rPr>
                <w:rFonts w:hint="eastAsia" w:ascii="仿宋" w:hAnsi="仿宋" w:eastAsia="仿宋" w:cs="仿宋"/>
                <w:color w:val="auto"/>
                <w:sz w:val="21"/>
                <w:szCs w:val="21"/>
                <w:highlight w:val="none"/>
              </w:rPr>
              <w:t>分，培训方案可行性不满足要求的，得0分</w:t>
            </w:r>
          </w:p>
        </w:tc>
        <w:tc>
          <w:tcPr>
            <w:tcW w:w="899" w:type="dxa"/>
            <w:shd w:val="clear" w:color="auto" w:fill="auto"/>
            <w:noWrap w:val="0"/>
            <w:vAlign w:val="center"/>
          </w:tcPr>
          <w:p w14:paraId="0C576A76">
            <w:pPr>
              <w:spacing w:line="276" w:lineRule="auto"/>
              <w:jc w:val="center"/>
              <w:outlineLvl w:val="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2</w:t>
            </w:r>
          </w:p>
        </w:tc>
        <w:tc>
          <w:tcPr>
            <w:tcW w:w="1033" w:type="dxa"/>
            <w:shd w:val="clear" w:color="auto" w:fill="auto"/>
            <w:noWrap w:val="0"/>
            <w:vAlign w:val="center"/>
          </w:tcPr>
          <w:p w14:paraId="7392BD4F">
            <w:pPr>
              <w:spacing w:line="276" w:lineRule="auto"/>
              <w:outlineLvl w:val="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主观分</w:t>
            </w:r>
          </w:p>
        </w:tc>
        <w:tc>
          <w:tcPr>
            <w:tcW w:w="2080" w:type="dxa"/>
            <w:noWrap w:val="0"/>
            <w:vAlign w:val="center"/>
          </w:tcPr>
          <w:p w14:paraId="151F4A26">
            <w:pPr>
              <w:spacing w:line="276" w:lineRule="auto"/>
              <w:jc w:val="left"/>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五</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培训方案</w:t>
            </w:r>
          </w:p>
        </w:tc>
      </w:tr>
      <w:tr w14:paraId="31C60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672" w:type="dxa"/>
            <w:noWrap w:val="0"/>
            <w:vAlign w:val="center"/>
          </w:tcPr>
          <w:p w14:paraId="0671BD31">
            <w:pPr>
              <w:spacing w:line="276"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5436" w:type="dxa"/>
            <w:noWrap w:val="0"/>
            <w:vAlign w:val="center"/>
          </w:tcPr>
          <w:p w14:paraId="7DAEE404">
            <w:pPr>
              <w:spacing w:line="276" w:lineRule="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维护服务方案：</w:t>
            </w:r>
          </w:p>
          <w:p w14:paraId="7CA09C66">
            <w:pPr>
              <w:spacing w:line="276" w:lineRule="auto"/>
              <w:outlineLvl w:val="0"/>
              <w:rPr>
                <w:rFonts w:hint="eastAsia" w:ascii="仿宋" w:hAnsi="仿宋" w:eastAsia="仿宋" w:cs="仿宋"/>
                <w:color w:val="auto"/>
                <w:szCs w:val="21"/>
                <w:highlight w:val="none"/>
                <w:lang w:val="en-US" w:eastAsia="zh-CN" w:bidi="ar"/>
              </w:rPr>
            </w:pPr>
            <w:r>
              <w:rPr>
                <w:rFonts w:hint="eastAsia" w:ascii="仿宋" w:hAnsi="仿宋" w:eastAsia="仿宋" w:cs="仿宋"/>
                <w:color w:val="auto"/>
                <w:sz w:val="21"/>
                <w:szCs w:val="21"/>
                <w:highlight w:val="none"/>
              </w:rPr>
              <w:t>投标人提供维护服务方案，根据维护服务方案具有科学可行性，包含出现故障问题的对策，日常检测及保养，故障处理效率，维修承诺等进行打分，方案完整合理、针对性强的得</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分，方案完整合理、针对性强较强的得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分，方案不够完整合理、针对性不强的得1分，不提供不得分</w:t>
            </w:r>
            <w:r>
              <w:rPr>
                <w:rFonts w:hint="eastAsia" w:ascii="仿宋" w:hAnsi="仿宋" w:eastAsia="仿宋" w:cs="仿宋"/>
                <w:color w:val="auto"/>
                <w:sz w:val="21"/>
                <w:szCs w:val="21"/>
                <w:highlight w:val="none"/>
                <w:lang w:eastAsia="zh-CN"/>
              </w:rPr>
              <w:t>。</w:t>
            </w:r>
          </w:p>
        </w:tc>
        <w:tc>
          <w:tcPr>
            <w:tcW w:w="899" w:type="dxa"/>
            <w:noWrap w:val="0"/>
            <w:vAlign w:val="center"/>
          </w:tcPr>
          <w:p w14:paraId="52867A02">
            <w:pPr>
              <w:spacing w:line="276" w:lineRule="auto"/>
              <w:jc w:val="center"/>
              <w:outlineLvl w:val="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1033" w:type="dxa"/>
            <w:noWrap w:val="0"/>
            <w:vAlign w:val="center"/>
          </w:tcPr>
          <w:p w14:paraId="1771E5FC">
            <w:pPr>
              <w:spacing w:line="276" w:lineRule="auto"/>
              <w:outlineLvl w:val="0"/>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主观分</w:t>
            </w:r>
          </w:p>
        </w:tc>
        <w:tc>
          <w:tcPr>
            <w:tcW w:w="2080" w:type="dxa"/>
            <w:noWrap w:val="0"/>
            <w:vAlign w:val="center"/>
          </w:tcPr>
          <w:p w14:paraId="08C96447">
            <w:pPr>
              <w:spacing w:line="276" w:lineRule="auto"/>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六</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维护服务方案</w:t>
            </w:r>
          </w:p>
        </w:tc>
      </w:tr>
      <w:tr w14:paraId="64A33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672" w:type="dxa"/>
            <w:noWrap w:val="0"/>
            <w:vAlign w:val="center"/>
          </w:tcPr>
          <w:p w14:paraId="4940E928">
            <w:pPr>
              <w:spacing w:line="276"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5436" w:type="dxa"/>
            <w:noWrap w:val="0"/>
            <w:vAlign w:val="center"/>
          </w:tcPr>
          <w:p w14:paraId="706DE082">
            <w:pPr>
              <w:spacing w:line="276" w:lineRule="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项目应急预案：</w:t>
            </w:r>
          </w:p>
          <w:p w14:paraId="5DD169BC">
            <w:pPr>
              <w:spacing w:line="276" w:lineRule="auto"/>
              <w:outlineLvl w:val="0"/>
              <w:rPr>
                <w:rFonts w:hint="eastAsia" w:ascii="仿宋" w:hAnsi="仿宋" w:eastAsia="仿宋" w:cs="仿宋"/>
                <w:color w:val="auto"/>
                <w:szCs w:val="21"/>
                <w:highlight w:val="none"/>
                <w:lang w:val="en-US" w:eastAsia="zh-CN" w:bidi="ar"/>
              </w:rPr>
            </w:pPr>
            <w:r>
              <w:rPr>
                <w:rFonts w:hint="eastAsia" w:ascii="仿宋" w:hAnsi="仿宋" w:eastAsia="仿宋" w:cs="仿宋"/>
                <w:color w:val="auto"/>
                <w:sz w:val="21"/>
                <w:szCs w:val="21"/>
                <w:highlight w:val="none"/>
              </w:rPr>
              <w:t>投标人项目应急预案的科学性、合理性、规范性和可操作性等及应急能力的进行综合评分，方案</w:t>
            </w:r>
            <w:r>
              <w:rPr>
                <w:rFonts w:hint="eastAsia" w:ascii="仿宋" w:hAnsi="仿宋" w:eastAsia="仿宋" w:cs="仿宋"/>
                <w:color w:val="auto"/>
                <w:sz w:val="21"/>
                <w:szCs w:val="21"/>
                <w:highlight w:val="none"/>
                <w:lang w:val="en-US" w:eastAsia="zh-CN"/>
              </w:rPr>
              <w:t>完整详细</w:t>
            </w:r>
            <w:r>
              <w:rPr>
                <w:rFonts w:hint="eastAsia" w:ascii="仿宋" w:hAnsi="仿宋" w:eastAsia="仿宋" w:cs="仿宋"/>
                <w:color w:val="auto"/>
                <w:sz w:val="21"/>
                <w:szCs w:val="21"/>
                <w:highlight w:val="none"/>
              </w:rPr>
              <w:t>的得</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val="en-US" w:eastAsia="zh-CN"/>
              </w:rPr>
              <w:t>略有不足</w:t>
            </w:r>
            <w:r>
              <w:rPr>
                <w:rFonts w:hint="eastAsia" w:ascii="仿宋" w:hAnsi="仿宋" w:eastAsia="仿宋" w:cs="仿宋"/>
                <w:color w:val="auto"/>
                <w:sz w:val="21"/>
                <w:szCs w:val="21"/>
                <w:highlight w:val="none"/>
              </w:rPr>
              <w:t>的得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val="en-US" w:eastAsia="zh-CN"/>
              </w:rPr>
              <w:t>方案简单</w:t>
            </w:r>
            <w:r>
              <w:rPr>
                <w:rFonts w:hint="eastAsia" w:ascii="仿宋" w:hAnsi="仿宋" w:eastAsia="仿宋" w:cs="仿宋"/>
                <w:color w:val="auto"/>
                <w:sz w:val="21"/>
                <w:szCs w:val="21"/>
                <w:highlight w:val="none"/>
              </w:rPr>
              <w:t>的得</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分，不提供不得分。</w:t>
            </w:r>
          </w:p>
        </w:tc>
        <w:tc>
          <w:tcPr>
            <w:tcW w:w="899" w:type="dxa"/>
            <w:noWrap w:val="0"/>
            <w:vAlign w:val="center"/>
          </w:tcPr>
          <w:p w14:paraId="605A09E0">
            <w:pPr>
              <w:spacing w:line="276" w:lineRule="auto"/>
              <w:jc w:val="center"/>
              <w:outlineLvl w:val="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1033" w:type="dxa"/>
            <w:noWrap w:val="0"/>
            <w:vAlign w:val="center"/>
          </w:tcPr>
          <w:p w14:paraId="1875BDD3">
            <w:pPr>
              <w:spacing w:line="276" w:lineRule="auto"/>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 w:val="21"/>
                <w:szCs w:val="21"/>
                <w:highlight w:val="none"/>
              </w:rPr>
              <w:t>主观分</w:t>
            </w:r>
          </w:p>
        </w:tc>
        <w:tc>
          <w:tcPr>
            <w:tcW w:w="2080" w:type="dxa"/>
            <w:noWrap w:val="0"/>
            <w:vAlign w:val="center"/>
          </w:tcPr>
          <w:p w14:paraId="0E5DD0A8">
            <w:pPr>
              <w:spacing w:line="276" w:lineRule="auto"/>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（七）</w:t>
            </w:r>
            <w:r>
              <w:rPr>
                <w:rFonts w:hint="eastAsia" w:ascii="仿宋" w:hAnsi="仿宋" w:eastAsia="仿宋" w:cs="仿宋"/>
                <w:color w:val="auto"/>
                <w:sz w:val="21"/>
                <w:szCs w:val="21"/>
                <w:highlight w:val="none"/>
              </w:rPr>
              <w:t>项目应急预案</w:t>
            </w:r>
          </w:p>
        </w:tc>
      </w:tr>
      <w:tr w14:paraId="50A6D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672" w:type="dxa"/>
            <w:noWrap w:val="0"/>
            <w:vAlign w:val="center"/>
          </w:tcPr>
          <w:p w14:paraId="761AD787">
            <w:pPr>
              <w:spacing w:line="276"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c>
          <w:tcPr>
            <w:tcW w:w="5436" w:type="dxa"/>
            <w:noWrap w:val="0"/>
            <w:vAlign w:val="center"/>
          </w:tcPr>
          <w:p w14:paraId="2FC7550A">
            <w:pPr>
              <w:spacing w:line="276" w:lineRule="auto"/>
              <w:outlineLvl w:val="0"/>
              <w:rPr>
                <w:rFonts w:hint="eastAsia" w:ascii="仿宋" w:hAnsi="仿宋" w:eastAsia="仿宋" w:cs="仿宋"/>
                <w:color w:val="auto"/>
                <w:szCs w:val="21"/>
                <w:highlight w:val="none"/>
                <w:lang w:val="en-US" w:eastAsia="zh-CN" w:bidi="ar"/>
              </w:rPr>
            </w:pPr>
            <w:r>
              <w:rPr>
                <w:rFonts w:hint="eastAsia" w:ascii="仿宋" w:hAnsi="仿宋" w:eastAsia="仿宋" w:cs="仿宋"/>
                <w:color w:val="auto"/>
                <w:szCs w:val="21"/>
                <w:highlight w:val="none"/>
                <w:lang w:val="en-US" w:eastAsia="zh-CN" w:bidi="ar"/>
              </w:rPr>
              <w:t>软件升级方案：</w:t>
            </w:r>
          </w:p>
          <w:p w14:paraId="56FD863D">
            <w:pPr>
              <w:spacing w:line="276" w:lineRule="auto"/>
              <w:outlineLvl w:val="0"/>
              <w:rPr>
                <w:rFonts w:hint="default" w:ascii="仿宋" w:hAnsi="仿宋" w:eastAsia="仿宋" w:cs="仿宋"/>
                <w:color w:val="auto"/>
                <w:szCs w:val="21"/>
                <w:highlight w:val="none"/>
                <w:lang w:val="en-US" w:eastAsia="zh-CN" w:bidi="ar"/>
              </w:rPr>
            </w:pPr>
            <w:r>
              <w:rPr>
                <w:rFonts w:hint="eastAsia" w:ascii="仿宋" w:hAnsi="仿宋" w:eastAsia="仿宋" w:cs="仿宋"/>
                <w:color w:val="auto"/>
                <w:szCs w:val="21"/>
                <w:highlight w:val="none"/>
                <w:lang w:val="en-US" w:eastAsia="zh-CN" w:bidi="ar"/>
              </w:rPr>
              <w:t>投标人提供的软件升级方案内容完整合理、针对性强</w:t>
            </w:r>
            <w:r>
              <w:rPr>
                <w:rFonts w:hint="eastAsia" w:ascii="仿宋" w:hAnsi="仿宋" w:eastAsia="仿宋" w:cs="仿宋"/>
                <w:color w:val="auto"/>
                <w:sz w:val="21"/>
                <w:szCs w:val="21"/>
                <w:highlight w:val="none"/>
              </w:rPr>
              <w:t>的得</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分，方案完整合理、针对性强较强的得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分，方案不够完整合理、针对性不强的得1分，不提供不得分</w:t>
            </w:r>
            <w:r>
              <w:rPr>
                <w:rFonts w:hint="eastAsia" w:ascii="仿宋" w:hAnsi="仿宋" w:eastAsia="仿宋" w:cs="仿宋"/>
                <w:color w:val="auto"/>
                <w:sz w:val="21"/>
                <w:szCs w:val="21"/>
                <w:highlight w:val="none"/>
                <w:lang w:eastAsia="zh-CN"/>
              </w:rPr>
              <w:t>。</w:t>
            </w:r>
          </w:p>
        </w:tc>
        <w:tc>
          <w:tcPr>
            <w:tcW w:w="899" w:type="dxa"/>
            <w:noWrap w:val="0"/>
            <w:vAlign w:val="center"/>
          </w:tcPr>
          <w:p w14:paraId="60114DE8">
            <w:pPr>
              <w:spacing w:line="276" w:lineRule="auto"/>
              <w:jc w:val="center"/>
              <w:outlineLvl w:val="0"/>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1033" w:type="dxa"/>
            <w:noWrap w:val="0"/>
            <w:vAlign w:val="center"/>
          </w:tcPr>
          <w:p w14:paraId="0A4AAD78">
            <w:pPr>
              <w:spacing w:line="276" w:lineRule="auto"/>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 w:val="21"/>
                <w:szCs w:val="21"/>
                <w:highlight w:val="none"/>
              </w:rPr>
              <w:t>主观分</w:t>
            </w:r>
          </w:p>
        </w:tc>
        <w:tc>
          <w:tcPr>
            <w:tcW w:w="2080" w:type="dxa"/>
            <w:noWrap w:val="0"/>
            <w:vAlign w:val="center"/>
          </w:tcPr>
          <w:p w14:paraId="3B555598">
            <w:pPr>
              <w:spacing w:line="276" w:lineRule="auto"/>
              <w:outlineLvl w:val="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（八）软件升级方案</w:t>
            </w:r>
          </w:p>
        </w:tc>
      </w:tr>
      <w:tr w14:paraId="553C1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672" w:type="dxa"/>
            <w:noWrap w:val="0"/>
            <w:vAlign w:val="center"/>
          </w:tcPr>
          <w:p w14:paraId="1F2949ED">
            <w:pPr>
              <w:spacing w:line="276"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w:t>
            </w:r>
          </w:p>
        </w:tc>
        <w:tc>
          <w:tcPr>
            <w:tcW w:w="5436" w:type="dxa"/>
            <w:noWrap w:val="0"/>
            <w:vAlign w:val="top"/>
          </w:tcPr>
          <w:p w14:paraId="2204FE2F">
            <w:pPr>
              <w:spacing w:line="276" w:lineRule="auto"/>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有效投标报价的最低价作为评标基准价，其最低报价为满分；按［投标报价得分=（评标基准价/投标报价）*</w:t>
            </w: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rPr>
              <w:t>］的计算公式计算。</w:t>
            </w:r>
          </w:p>
          <w:p w14:paraId="3BBD7E98">
            <w:pPr>
              <w:spacing w:line="276"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评标过程中，不得去掉报价中的最高报价和最低报价。</w:t>
            </w:r>
          </w:p>
        </w:tc>
        <w:tc>
          <w:tcPr>
            <w:tcW w:w="899" w:type="dxa"/>
            <w:noWrap w:val="0"/>
            <w:vAlign w:val="center"/>
          </w:tcPr>
          <w:p w14:paraId="5165865A">
            <w:pPr>
              <w:spacing w:line="276" w:lineRule="auto"/>
              <w:jc w:val="center"/>
              <w:outlineLvl w:val="0"/>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10</w:t>
            </w:r>
          </w:p>
        </w:tc>
        <w:tc>
          <w:tcPr>
            <w:tcW w:w="1033" w:type="dxa"/>
            <w:noWrap w:val="0"/>
            <w:vAlign w:val="center"/>
          </w:tcPr>
          <w:p w14:paraId="2F0C2AF2">
            <w:pPr>
              <w:spacing w:line="276"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p>
        </w:tc>
        <w:tc>
          <w:tcPr>
            <w:tcW w:w="2080" w:type="dxa"/>
            <w:noWrap w:val="0"/>
            <w:vAlign w:val="center"/>
          </w:tcPr>
          <w:p w14:paraId="64CD37BD">
            <w:pPr>
              <w:spacing w:line="276" w:lineRule="auto"/>
              <w:jc w:val="center"/>
              <w:outlineLvl w:val="0"/>
              <w:rPr>
                <w:rFonts w:hint="eastAsia" w:ascii="仿宋" w:hAnsi="仿宋" w:eastAsia="仿宋" w:cs="仿宋"/>
                <w:color w:val="auto"/>
                <w:szCs w:val="21"/>
                <w:highlight w:val="none"/>
              </w:rPr>
            </w:pPr>
          </w:p>
        </w:tc>
      </w:tr>
      <w:bookmarkEnd w:id="70"/>
    </w:tbl>
    <w:p w14:paraId="05D62F6E">
      <w:pPr>
        <w:pStyle w:val="395"/>
        <w:spacing w:before="0"/>
        <w:ind w:firstLine="643"/>
        <w:jc w:val="center"/>
        <w:rPr>
          <w:rFonts w:hint="eastAsia" w:ascii="仿宋" w:hAnsi="仿宋" w:eastAsia="仿宋" w:cs="仿宋"/>
          <w:b/>
          <w:color w:val="auto"/>
          <w:sz w:val="32"/>
          <w:highlight w:val="none"/>
        </w:rPr>
      </w:pPr>
    </w:p>
    <w:p w14:paraId="23D75105">
      <w:pPr>
        <w:pStyle w:val="395"/>
        <w:spacing w:before="0"/>
        <w:ind w:firstLine="643"/>
        <w:jc w:val="center"/>
        <w:rPr>
          <w:rFonts w:ascii="仿宋" w:hAnsi="仿宋" w:eastAsia="仿宋" w:cs="仿宋"/>
          <w:b/>
          <w:color w:val="auto"/>
          <w:highlight w:val="none"/>
        </w:rPr>
      </w:pPr>
      <w:r>
        <w:rPr>
          <w:rFonts w:hint="eastAsia" w:ascii="仿宋" w:hAnsi="仿宋" w:eastAsia="仿宋" w:cs="仿宋"/>
          <w:b/>
          <w:color w:val="auto"/>
          <w:sz w:val="32"/>
          <w:highlight w:val="none"/>
        </w:rPr>
        <w:t>一、评审方法</w:t>
      </w:r>
    </w:p>
    <w:p w14:paraId="196C8E40">
      <w:pPr>
        <w:adjustRightInd/>
        <w:spacing w:line="360" w:lineRule="auto"/>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1.综合评分法。</w:t>
      </w:r>
      <w:r>
        <w:rPr>
          <w:rFonts w:hint="eastAsia" w:ascii="仿宋" w:hAnsi="仿宋" w:eastAsia="仿宋" w:cs="仿宋"/>
          <w:color w:val="auto"/>
          <w:kern w:val="0"/>
          <w:sz w:val="24"/>
          <w:highlight w:val="none"/>
        </w:rPr>
        <w:t>综合评分法，是指响应文件满足磋商文件全部实质性要求，且按照评审因素的量化指标评审得分最高的供应商为成交候选人的评审方法。</w:t>
      </w:r>
    </w:p>
    <w:p w14:paraId="7E4B41F2">
      <w:pPr>
        <w:adjustRightInd/>
        <w:spacing w:line="360" w:lineRule="auto"/>
        <w:rPr>
          <w:rFonts w:ascii="仿宋" w:hAnsi="仿宋" w:eastAsia="仿宋" w:cs="仿宋"/>
          <w:color w:val="auto"/>
          <w:kern w:val="0"/>
          <w:sz w:val="24"/>
          <w:highlight w:val="none"/>
        </w:rPr>
      </w:pPr>
    </w:p>
    <w:p w14:paraId="6799F190">
      <w:pPr>
        <w:snapToGrid w:val="0"/>
        <w:spacing w:line="360" w:lineRule="auto"/>
        <w:ind w:left="120" w:leftChars="57" w:firstLine="482" w:firstLineChars="15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二、磋商小组的组成</w:t>
      </w:r>
    </w:p>
    <w:p w14:paraId="11521FFC">
      <w:pPr>
        <w:pStyle w:val="395"/>
        <w:spacing w:before="0"/>
        <w:ind w:firstLine="0" w:firstLineChars="0"/>
        <w:rPr>
          <w:rFonts w:ascii="仿宋" w:hAnsi="仿宋" w:eastAsia="仿宋" w:cs="仿宋"/>
          <w:b/>
          <w:color w:val="auto"/>
          <w:kern w:val="0"/>
          <w:highlight w:val="none"/>
        </w:rPr>
      </w:pPr>
      <w:r>
        <w:rPr>
          <w:rFonts w:hint="eastAsia" w:ascii="仿宋" w:hAnsi="仿宋" w:eastAsia="仿宋" w:cs="仿宋"/>
          <w:b/>
          <w:color w:val="auto"/>
          <w:kern w:val="0"/>
          <w:highlight w:val="none"/>
        </w:rPr>
        <w:t>1.磋商小组的组成。</w:t>
      </w:r>
    </w:p>
    <w:p w14:paraId="093109C1">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48542F4A">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11FBF41D">
      <w:pPr>
        <w:snapToGrid w:val="0"/>
        <w:spacing w:line="360" w:lineRule="auto"/>
        <w:rPr>
          <w:rFonts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2.磋商小组的组成人员的回避。</w:t>
      </w:r>
    </w:p>
    <w:p w14:paraId="4BCBFD85">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在政府采购活动中，磋商小组的组成人员与供应商有下列利害关系之一的，应当回避：</w:t>
      </w:r>
    </w:p>
    <w:p w14:paraId="007ECE80">
      <w:pPr>
        <w:pStyle w:val="395"/>
        <w:spacing w:before="0"/>
        <w:ind w:firstLine="0" w:firstLineChars="0"/>
        <w:rPr>
          <w:rFonts w:ascii="仿宋" w:hAnsi="仿宋" w:eastAsia="仿宋" w:cs="仿宋"/>
          <w:color w:val="auto"/>
          <w:kern w:val="0"/>
          <w:highlight w:val="none"/>
        </w:rPr>
      </w:pPr>
      <w:r>
        <w:rPr>
          <w:rFonts w:hint="eastAsia" w:ascii="仿宋" w:hAnsi="仿宋" w:eastAsia="仿宋" w:cs="仿宋"/>
          <w:color w:val="auto"/>
          <w:kern w:val="0"/>
          <w:highlight w:val="none"/>
        </w:rPr>
        <w:t>　　2.1参加采购活动前3年内与供应商存在劳动关系；</w:t>
      </w:r>
    </w:p>
    <w:p w14:paraId="1135B954">
      <w:pPr>
        <w:pStyle w:val="395"/>
        <w:spacing w:before="0"/>
        <w:ind w:firstLine="0" w:firstLineChars="0"/>
        <w:rPr>
          <w:rFonts w:ascii="仿宋" w:hAnsi="仿宋" w:eastAsia="仿宋" w:cs="仿宋"/>
          <w:color w:val="auto"/>
          <w:kern w:val="0"/>
          <w:highlight w:val="none"/>
        </w:rPr>
      </w:pPr>
      <w:r>
        <w:rPr>
          <w:rFonts w:hint="eastAsia" w:ascii="仿宋" w:hAnsi="仿宋" w:eastAsia="仿宋" w:cs="仿宋"/>
          <w:color w:val="auto"/>
          <w:kern w:val="0"/>
          <w:highlight w:val="none"/>
        </w:rPr>
        <w:t>　　2.2参加采购活动前3年内担任供应商的董事、监事；</w:t>
      </w:r>
    </w:p>
    <w:p w14:paraId="7E4B82F5">
      <w:pPr>
        <w:pStyle w:val="395"/>
        <w:spacing w:before="0"/>
        <w:ind w:firstLine="0" w:firstLineChars="0"/>
        <w:rPr>
          <w:rFonts w:ascii="仿宋" w:hAnsi="仿宋" w:eastAsia="仿宋" w:cs="仿宋"/>
          <w:color w:val="auto"/>
          <w:kern w:val="0"/>
          <w:highlight w:val="none"/>
        </w:rPr>
      </w:pPr>
      <w:r>
        <w:rPr>
          <w:rFonts w:hint="eastAsia" w:ascii="仿宋" w:hAnsi="仿宋" w:eastAsia="仿宋" w:cs="仿宋"/>
          <w:color w:val="auto"/>
          <w:kern w:val="0"/>
          <w:highlight w:val="none"/>
        </w:rPr>
        <w:t>　　2.3参加采购活动前3年内是供应商的控股股东或者实际控制人；</w:t>
      </w:r>
    </w:p>
    <w:p w14:paraId="18C25BC5">
      <w:pPr>
        <w:pStyle w:val="395"/>
        <w:spacing w:before="0"/>
        <w:ind w:firstLine="480" w:firstLineChars="0"/>
        <w:rPr>
          <w:rFonts w:ascii="仿宋" w:hAnsi="仿宋" w:eastAsia="仿宋" w:cs="仿宋"/>
          <w:color w:val="auto"/>
          <w:kern w:val="0"/>
          <w:highlight w:val="none"/>
        </w:rPr>
      </w:pPr>
      <w:r>
        <w:rPr>
          <w:rFonts w:hint="eastAsia" w:ascii="仿宋" w:hAnsi="仿宋" w:eastAsia="仿宋" w:cs="仿宋"/>
          <w:color w:val="auto"/>
          <w:kern w:val="0"/>
          <w:highlight w:val="none"/>
        </w:rPr>
        <w:t>2.4与供应商的法定代表人或者负责人有夫妻、直系血亲、三代以内旁系血亲或者近姻亲关系；</w:t>
      </w:r>
    </w:p>
    <w:p w14:paraId="06F85F6C">
      <w:pPr>
        <w:pStyle w:val="395"/>
        <w:spacing w:before="0"/>
        <w:ind w:firstLine="480" w:firstLineChars="0"/>
        <w:rPr>
          <w:rFonts w:ascii="仿宋" w:hAnsi="仿宋" w:eastAsia="仿宋" w:cs="仿宋"/>
          <w:color w:val="auto"/>
          <w:kern w:val="0"/>
          <w:highlight w:val="none"/>
        </w:rPr>
      </w:pPr>
      <w:r>
        <w:rPr>
          <w:rFonts w:hint="eastAsia" w:ascii="仿宋" w:hAnsi="仿宋" w:eastAsia="仿宋" w:cs="仿宋"/>
          <w:color w:val="auto"/>
          <w:kern w:val="0"/>
          <w:highlight w:val="none"/>
        </w:rPr>
        <w:t>2.5与供应商有其他可能影响政府采购活动公平、公正进行的关系。</w:t>
      </w:r>
    </w:p>
    <w:p w14:paraId="504ED783">
      <w:pPr>
        <w:snapToGrid w:val="0"/>
        <w:spacing w:line="360" w:lineRule="auto"/>
        <w:ind w:left="120" w:leftChars="57" w:firstLine="482" w:firstLineChars="150"/>
        <w:jc w:val="center"/>
        <w:rPr>
          <w:rFonts w:ascii="仿宋" w:hAnsi="仿宋" w:eastAsia="仿宋" w:cs="仿宋"/>
          <w:b/>
          <w:color w:val="auto"/>
          <w:sz w:val="32"/>
          <w:highlight w:val="none"/>
        </w:rPr>
      </w:pPr>
    </w:p>
    <w:p w14:paraId="3D9A0400">
      <w:pPr>
        <w:snapToGrid w:val="0"/>
        <w:spacing w:line="360" w:lineRule="auto"/>
        <w:ind w:left="120" w:leftChars="57" w:firstLine="482" w:firstLineChars="150"/>
        <w:jc w:val="center"/>
        <w:rPr>
          <w:rFonts w:ascii="仿宋" w:hAnsi="仿宋" w:eastAsia="仿宋" w:cs="仿宋"/>
          <w:b/>
          <w:color w:val="auto"/>
          <w:sz w:val="32"/>
          <w:szCs w:val="32"/>
          <w:highlight w:val="none"/>
        </w:rPr>
      </w:pPr>
      <w:r>
        <w:rPr>
          <w:rFonts w:hint="eastAsia" w:ascii="仿宋" w:hAnsi="仿宋" w:eastAsia="仿宋" w:cs="仿宋"/>
          <w:b/>
          <w:color w:val="auto"/>
          <w:sz w:val="32"/>
          <w:highlight w:val="none"/>
        </w:rPr>
        <w:t>三、磋商小组的职责</w:t>
      </w:r>
    </w:p>
    <w:p w14:paraId="54445BCB">
      <w:pPr>
        <w:pStyle w:val="395"/>
        <w:spacing w:before="0"/>
        <w:ind w:firstLine="0" w:firstLineChars="0"/>
        <w:rPr>
          <w:rFonts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1.磋商小组负责具体评审事务，并独立履行下列职责：</w:t>
      </w:r>
    </w:p>
    <w:p w14:paraId="11506A51">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1.1</w:t>
      </w:r>
      <w:r>
        <w:rPr>
          <w:rFonts w:hint="eastAsia" w:ascii="仿宋" w:hAnsi="仿宋" w:eastAsia="仿宋" w:cs="仿宋"/>
          <w:color w:val="auto"/>
          <w:szCs w:val="24"/>
          <w:highlight w:val="none"/>
        </w:rPr>
        <w:t>对供应商的资格进行审查；</w:t>
      </w:r>
      <w:r>
        <w:rPr>
          <w:rFonts w:hint="eastAsia" w:ascii="仿宋" w:hAnsi="仿宋" w:eastAsia="仿宋" w:cs="仿宋"/>
          <w:color w:val="auto"/>
          <w:highlight w:val="none"/>
        </w:rPr>
        <w:t>对响应文件的有效性、完整性和响应程度进行审查；</w:t>
      </w:r>
    </w:p>
    <w:p w14:paraId="24D41942">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1.2审查、评价响应文件是否符合磋商文件的商务、技术等实质性要求；</w:t>
      </w:r>
    </w:p>
    <w:p w14:paraId="6CC1300F">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1.3要求供应商对响应文件有关事项作出澄清、说明或者更正；</w:t>
      </w:r>
    </w:p>
    <w:p w14:paraId="49CA0C40">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1.4磋商小组集中与单一供应商分别进行磋商；</w:t>
      </w:r>
    </w:p>
    <w:p w14:paraId="2BEDBF7C">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1.5确定磋商文件的变动情况，并确定提交最后报价的供应商；</w:t>
      </w:r>
    </w:p>
    <w:p w14:paraId="7D50F80D">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1.6根据磋商文件确定的评审办法及评审标准对提交最后报价的供应商的响应文件和最后报价采用综合评分法进行综合评分；</w:t>
      </w:r>
    </w:p>
    <w:p w14:paraId="1F30820E">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1.7编制评审报告，确定成交候选人名单，以及根据采购人委托直接确定</w:t>
      </w:r>
      <w:r>
        <w:rPr>
          <w:rFonts w:hint="eastAsia" w:ascii="仿宋" w:hAnsi="仿宋" w:eastAsia="仿宋" w:cs="仿宋"/>
          <w:color w:val="auto"/>
          <w:highlight w:val="none"/>
          <w:lang w:eastAsia="zh-CN"/>
        </w:rPr>
        <w:t>投标人</w:t>
      </w:r>
      <w:r>
        <w:rPr>
          <w:rFonts w:hint="eastAsia" w:ascii="仿宋" w:hAnsi="仿宋" w:eastAsia="仿宋" w:cs="仿宋"/>
          <w:color w:val="auto"/>
          <w:highlight w:val="none"/>
        </w:rPr>
        <w:t>；</w:t>
      </w:r>
    </w:p>
    <w:p w14:paraId="495EA599">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1.8向采购人、采购代理机构或者有关部门报告评审中发现的违法行为；</w:t>
      </w:r>
    </w:p>
    <w:p w14:paraId="3074E5B7">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1.9法律、法规、规章、磋商文件等规定的其它事项。</w:t>
      </w:r>
    </w:p>
    <w:p w14:paraId="53DFEDDE">
      <w:pPr>
        <w:pStyle w:val="395"/>
        <w:spacing w:before="0"/>
        <w:ind w:firstLine="0" w:firstLineChars="0"/>
        <w:rPr>
          <w:rFonts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2.磋商小组及其成员不得有下列行为：</w:t>
      </w:r>
    </w:p>
    <w:p w14:paraId="7E014303">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2.1确定参与本项目至评审结束前私自接触供应商；</w:t>
      </w:r>
    </w:p>
    <w:p w14:paraId="2CC2BA8A">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 xml:space="preserve">2.2接受供应商提出的“超出响应文件的范围或者改变响应文件的实质性内容”的澄清、说明或者更正； </w:t>
      </w:r>
    </w:p>
    <w:p w14:paraId="024D6391">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2.3违反评审纪律发表倾向性意见或者征询采购人的倾向性意见；</w:t>
      </w:r>
    </w:p>
    <w:p w14:paraId="39AFA6BF">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2.4对需要专业判断的主观评审因素协商评分；</w:t>
      </w:r>
    </w:p>
    <w:p w14:paraId="07FC5305">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2.5在评审过程中擅离职守，影响评审程序正常进行的；</w:t>
      </w:r>
    </w:p>
    <w:p w14:paraId="79B5271F">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2.6记录、复制或者带走任何评审资料；</w:t>
      </w:r>
    </w:p>
    <w:p w14:paraId="63E0354F">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2.7其他不遵守评审纪律的行为。</w:t>
      </w:r>
    </w:p>
    <w:p w14:paraId="1C5BE92C">
      <w:pPr>
        <w:pStyle w:val="395"/>
        <w:spacing w:before="0"/>
        <w:ind w:firstLine="480"/>
        <w:rPr>
          <w:rFonts w:ascii="仿宋" w:hAnsi="仿宋" w:eastAsia="仿宋" w:cs="仿宋"/>
          <w:color w:val="auto"/>
          <w:highlight w:val="none"/>
        </w:rPr>
      </w:pPr>
      <w:r>
        <w:rPr>
          <w:rFonts w:hint="eastAsia" w:ascii="仿宋" w:hAnsi="仿宋" w:eastAsia="仿宋" w:cs="仿宋"/>
          <w:color w:val="auto"/>
          <w:highlight w:val="none"/>
        </w:rPr>
        <w:t>磋商小组成员有2.1-2.5行为之一的，其评审意见无效，并不得获取评审劳务报酬和报销异地评审差旅费。</w:t>
      </w:r>
    </w:p>
    <w:p w14:paraId="453E4EA6">
      <w:pPr>
        <w:pStyle w:val="395"/>
        <w:spacing w:before="0"/>
        <w:ind w:firstLine="0" w:firstLineChars="0"/>
        <w:rPr>
          <w:rFonts w:ascii="仿宋" w:hAnsi="仿宋" w:eastAsia="仿宋" w:cs="仿宋"/>
          <w:b/>
          <w:color w:val="auto"/>
          <w:highlight w:val="none"/>
        </w:rPr>
      </w:pPr>
    </w:p>
    <w:p w14:paraId="51D885EB">
      <w:pPr>
        <w:pStyle w:val="395"/>
        <w:spacing w:before="0"/>
        <w:ind w:firstLine="0" w:firstLineChars="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四、评审须知</w:t>
      </w:r>
    </w:p>
    <w:p w14:paraId="4C9B7785">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 响应文件的澄清</w:t>
      </w:r>
    </w:p>
    <w:p w14:paraId="1C77C4CA">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EFF8482">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highlight w:val="none"/>
        </w:rPr>
        <w:t>2.最后报价的修正原则</w:t>
      </w:r>
    </w:p>
    <w:p w14:paraId="69ECDC5C">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磋商小组对响应文件的最后报价进行审核，对发现计算、书写等错误的，按以下原则进行修正：</w:t>
      </w:r>
    </w:p>
    <w:p w14:paraId="7CD1FAC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2.1《最后报价一览表》内容与响应文件中响应内容不一致的，以《最后报价一览表》为准;</w:t>
      </w:r>
    </w:p>
    <w:p w14:paraId="1F87462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2.2大写金额和小写金额不一致的，以大写金额为准;</w:t>
      </w:r>
    </w:p>
    <w:p w14:paraId="4D267ED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2.3单价金额小数点或者百分比有明显错位的，以《最后报价一览表》的总价为准，并修改单价;</w:t>
      </w:r>
    </w:p>
    <w:p w14:paraId="62C833E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2.4总价金额与按单价汇总金额不一致的，以单价金额计算结果为准。</w:t>
      </w:r>
    </w:p>
    <w:p w14:paraId="023D2FF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2.5同时出现两种以上不一致的，按照前款规定的顺序修正。</w:t>
      </w:r>
    </w:p>
    <w:p w14:paraId="233676F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2.6以修正后的总价作为最后报价。</w:t>
      </w:r>
    </w:p>
    <w:p w14:paraId="1325C48E">
      <w:pPr>
        <w:spacing w:line="360" w:lineRule="auto"/>
        <w:rPr>
          <w:rFonts w:ascii="仿宋" w:hAnsi="仿宋" w:eastAsia="仿宋" w:cs="仿宋"/>
          <w:b/>
          <w:bCs/>
          <w:color w:val="auto"/>
          <w:sz w:val="24"/>
          <w:highlight w:val="none"/>
        </w:rPr>
      </w:pPr>
      <w:r>
        <w:rPr>
          <w:rFonts w:hint="eastAsia" w:ascii="仿宋" w:hAnsi="仿宋" w:eastAsia="仿宋" w:cs="仿宋"/>
          <w:bCs/>
          <w:color w:val="auto"/>
          <w:sz w:val="24"/>
          <w:highlight w:val="none"/>
        </w:rPr>
        <w:t>▲</w:t>
      </w:r>
      <w:r>
        <w:rPr>
          <w:rFonts w:hint="eastAsia" w:ascii="仿宋" w:hAnsi="仿宋" w:eastAsia="仿宋" w:cs="仿宋"/>
          <w:b/>
          <w:bCs/>
          <w:color w:val="auto"/>
          <w:sz w:val="24"/>
          <w:highlight w:val="none"/>
        </w:rPr>
        <w:t>供应商对根据修正原则修正后的最后报价不确认的，响应无效。</w:t>
      </w:r>
    </w:p>
    <w:p w14:paraId="63FD3986">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highlight w:val="none"/>
        </w:rPr>
        <w:t>3.</w:t>
      </w:r>
      <w:r>
        <w:rPr>
          <w:rFonts w:hint="eastAsia" w:ascii="仿宋" w:hAnsi="仿宋" w:eastAsia="仿宋" w:cs="仿宋"/>
          <w:b/>
          <w:color w:val="auto"/>
          <w:spacing w:val="20"/>
          <w:highlight w:val="none"/>
        </w:rPr>
        <w:t>响应无效</w:t>
      </w:r>
    </w:p>
    <w:p w14:paraId="4BEF25ED">
      <w:pPr>
        <w:pStyle w:val="25"/>
        <w:spacing w:line="360" w:lineRule="auto"/>
        <w:ind w:firstLine="600" w:firstLineChars="250"/>
        <w:rPr>
          <w:rFonts w:ascii="仿宋" w:hAnsi="仿宋" w:eastAsia="仿宋" w:cs="仿宋"/>
          <w:color w:val="auto"/>
          <w:szCs w:val="21"/>
          <w:highlight w:val="none"/>
        </w:rPr>
      </w:pPr>
      <w:r>
        <w:rPr>
          <w:rFonts w:hint="eastAsia" w:ascii="仿宋" w:hAnsi="仿宋" w:eastAsia="仿宋" w:cs="仿宋"/>
          <w:color w:val="auto"/>
          <w:szCs w:val="21"/>
          <w:highlight w:val="none"/>
        </w:rPr>
        <w:t>有下列情况之一的，响应无效：</w:t>
      </w:r>
    </w:p>
    <w:p w14:paraId="2415CB7E">
      <w:pPr>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szCs w:val="21"/>
          <w:highlight w:val="none"/>
        </w:rPr>
        <w:t>单位负责人为同一人或者存在直接控股、管理关系的不同供应商参加同一合同项下的政府采购活动的（均无效）；</w:t>
      </w:r>
    </w:p>
    <w:p w14:paraId="3654971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3.2为采购项目提供整体设计、规范编制或者项目管理、监理、检测等服务的供应商再参加该采购项目的其他采购活动的； </w:t>
      </w:r>
    </w:p>
    <w:p w14:paraId="74E08F3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3.3供应商不具备磋商文件中规定的资格要求的（供应商未提供有效的资格证明文件的，视为供应商不具备磋商文件中规定的资格要求）；</w:t>
      </w:r>
    </w:p>
    <w:p w14:paraId="311A808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3.4如以联合体形式参加政府采购活动的，联合协议不符合磋商文件规定的联合协议要求的；</w:t>
      </w:r>
    </w:p>
    <w:p w14:paraId="1AF3E40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3.5响应文件未按磋商文件的澄清、修改的内容编制，又不符合实质性要求的；</w:t>
      </w:r>
    </w:p>
    <w:p w14:paraId="40528A8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3.6响应文件组成漏项，内容不全或内容字迹模糊辨认不清的；</w:t>
      </w:r>
    </w:p>
    <w:p w14:paraId="12D6A2B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3.7响应文件中法人授权书所载内容与本项目内容有异的；</w:t>
      </w:r>
    </w:p>
    <w:p w14:paraId="181042E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3.8响应文件未按照磋商文件要求签署、盖章的；</w:t>
      </w:r>
    </w:p>
    <w:p w14:paraId="38F59146">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3.9</w:t>
      </w:r>
      <w:r>
        <w:rPr>
          <w:rFonts w:hint="eastAsia" w:ascii="仿宋" w:hAnsi="仿宋" w:eastAsia="仿宋" w:cs="仿宋"/>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5847DAB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3.10响应文件含有采购人不能接受的附加条件的；</w:t>
      </w:r>
    </w:p>
    <w:p w14:paraId="182C5CA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3.11响应文件中承诺的响应有效期少于磋商文件中载明的响应有效期的；</w:t>
      </w:r>
    </w:p>
    <w:p w14:paraId="380869F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3.12供应商所投内容不符合磋商文件中实质性要求的；</w:t>
      </w:r>
    </w:p>
    <w:p w14:paraId="7DB2605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3.13所提交的《最后报价一览表》中出现不是唯一的、有选择性的报价的;</w:t>
      </w:r>
    </w:p>
    <w:p w14:paraId="5850522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3.14最后报价高于本项目采购预算或者最高限价的;</w:t>
      </w:r>
    </w:p>
    <w:p w14:paraId="141A49E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70226F8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3.16《最后报价一览表》填写不完整或字迹不能辨认或有漏项的；</w:t>
      </w:r>
    </w:p>
    <w:p w14:paraId="4973AB1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3.17供应商对根据修正原则修正后的最后报价不确认的；</w:t>
      </w:r>
    </w:p>
    <w:p w14:paraId="04FDF27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3.18供应商提供虚假材料响应的（包括但不限于以下情节）；</w:t>
      </w:r>
    </w:p>
    <w:p w14:paraId="7A71EDE3">
      <w:pPr>
        <w:pStyle w:val="107"/>
        <w:numPr>
          <w:ilvl w:val="0"/>
          <w:numId w:val="13"/>
        </w:numPr>
        <w:ind w:firstLineChars="0"/>
        <w:rPr>
          <w:rFonts w:ascii="仿宋" w:hAnsi="仿宋" w:eastAsia="仿宋" w:cs="仿宋"/>
          <w:color w:val="auto"/>
          <w:highlight w:val="none"/>
        </w:rPr>
      </w:pPr>
      <w:r>
        <w:rPr>
          <w:rFonts w:hint="eastAsia" w:ascii="仿宋" w:hAnsi="仿宋" w:eastAsia="仿宋" w:cs="仿宋"/>
          <w:color w:val="auto"/>
          <w:highlight w:val="none"/>
        </w:rPr>
        <w:t>使用伪造、变造的许可证件；</w:t>
      </w:r>
    </w:p>
    <w:p w14:paraId="758F80A8">
      <w:pPr>
        <w:pStyle w:val="107"/>
        <w:numPr>
          <w:ilvl w:val="0"/>
          <w:numId w:val="13"/>
        </w:numPr>
        <w:ind w:firstLineChars="0"/>
        <w:rPr>
          <w:rFonts w:ascii="仿宋" w:hAnsi="仿宋" w:eastAsia="仿宋" w:cs="仿宋"/>
          <w:color w:val="auto"/>
          <w:highlight w:val="none"/>
        </w:rPr>
      </w:pPr>
      <w:r>
        <w:rPr>
          <w:rFonts w:hint="eastAsia" w:ascii="仿宋" w:hAnsi="仿宋" w:eastAsia="仿宋" w:cs="仿宋"/>
          <w:color w:val="auto"/>
          <w:highlight w:val="none"/>
        </w:rPr>
        <w:t>提供虚假的财务状况或者业绩；</w:t>
      </w:r>
    </w:p>
    <w:p w14:paraId="1306DCCC">
      <w:pPr>
        <w:pStyle w:val="107"/>
        <w:numPr>
          <w:ilvl w:val="0"/>
          <w:numId w:val="13"/>
        </w:numPr>
        <w:ind w:firstLineChars="0"/>
        <w:rPr>
          <w:rFonts w:ascii="仿宋" w:hAnsi="仿宋" w:eastAsia="仿宋" w:cs="仿宋"/>
          <w:color w:val="auto"/>
          <w:highlight w:val="none"/>
        </w:rPr>
      </w:pPr>
      <w:r>
        <w:rPr>
          <w:rFonts w:hint="eastAsia" w:ascii="仿宋" w:hAnsi="仿宋" w:eastAsia="仿宋" w:cs="仿宋"/>
          <w:color w:val="auto"/>
          <w:highlight w:val="none"/>
        </w:rPr>
        <w:t>提供虚假的项目负责人或者主要技术人员简历、劳动关系证明；</w:t>
      </w:r>
    </w:p>
    <w:p w14:paraId="6C5C4A8F">
      <w:pPr>
        <w:pStyle w:val="107"/>
        <w:numPr>
          <w:ilvl w:val="0"/>
          <w:numId w:val="13"/>
        </w:numPr>
        <w:ind w:firstLineChars="0"/>
        <w:rPr>
          <w:rFonts w:ascii="仿宋" w:hAnsi="仿宋" w:eastAsia="仿宋" w:cs="仿宋"/>
          <w:color w:val="auto"/>
          <w:highlight w:val="none"/>
        </w:rPr>
      </w:pPr>
      <w:r>
        <w:rPr>
          <w:rFonts w:hint="eastAsia" w:ascii="仿宋" w:hAnsi="仿宋" w:eastAsia="仿宋" w:cs="仿宋"/>
          <w:color w:val="auto"/>
          <w:highlight w:val="none"/>
        </w:rPr>
        <w:t>提供虚假的信用状况；</w:t>
      </w:r>
    </w:p>
    <w:p w14:paraId="2A9F6B85">
      <w:pPr>
        <w:pStyle w:val="107"/>
        <w:numPr>
          <w:ilvl w:val="0"/>
          <w:numId w:val="13"/>
        </w:numPr>
        <w:ind w:firstLineChars="0"/>
        <w:rPr>
          <w:rFonts w:ascii="仿宋" w:hAnsi="仿宋" w:eastAsia="仿宋" w:cs="仿宋"/>
          <w:color w:val="auto"/>
          <w:highlight w:val="none"/>
        </w:rPr>
      </w:pPr>
      <w:r>
        <w:rPr>
          <w:rFonts w:hint="eastAsia" w:ascii="仿宋" w:hAnsi="仿宋" w:eastAsia="仿宋" w:cs="仿宋"/>
          <w:color w:val="auto"/>
          <w:highlight w:val="none"/>
        </w:rPr>
        <w:t>其他弄虚作假的行为。</w:t>
      </w:r>
    </w:p>
    <w:p w14:paraId="71A32FCC">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3.19供应商有恶意串通、妨碍其他供应商的竞争行为、损害采购人或者其他供应商的合法权益情形的。</w:t>
      </w:r>
    </w:p>
    <w:p w14:paraId="69586F0D">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有下列情形之一的，属于或视为恶意串通，其响应无效：</w:t>
      </w:r>
    </w:p>
    <w:p w14:paraId="09AE3831">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供应商直接或者间接从采购人或者采购代理机构处获得其他供应商的相关情况并修改其响应文件；</w:t>
      </w:r>
    </w:p>
    <w:p w14:paraId="05F2BF5C">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供应商按照采购人或者采购代理机构的授意撤换、修改投标文件或者响应文件；</w:t>
      </w:r>
    </w:p>
    <w:p w14:paraId="6CC0ED56">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供应商之间协商报价、技术方案等投标文件或者响应文件的实质性内容；</w:t>
      </w:r>
    </w:p>
    <w:p w14:paraId="5F884D5C">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属于同一集团、协会、商会等组织成员的供应商按照该组织要求协同参加政府采购活动；</w:t>
      </w:r>
    </w:p>
    <w:p w14:paraId="64AA5C79">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供应商之间事先约定由某一特定供应商中标、成交；</w:t>
      </w:r>
    </w:p>
    <w:p w14:paraId="417A7F73">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供应商之间商定部分供应商放弃参加政府采购活动或者放弃中标、成交；</w:t>
      </w:r>
    </w:p>
    <w:p w14:paraId="19F9D3D5">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供应商与采购人或者采购代理机构之间、供应商相互之间，为谋求特定供应商中标、成交或者排斥其他供应商的其他串通行为。</w:t>
      </w:r>
    </w:p>
    <w:p w14:paraId="22DBF29C">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不同供应商的响应文件由同一单位或者个人编制；</w:t>
      </w:r>
    </w:p>
    <w:p w14:paraId="3CA56695">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不同供应商委托同一单位或者个人办理响应事宜；</w:t>
      </w:r>
    </w:p>
    <w:p w14:paraId="341DCE14">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不同供应商的响应文件载明的项目管理成员或者联系人员为同一人；</w:t>
      </w:r>
    </w:p>
    <w:p w14:paraId="430DE5C0">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不同供应商的响应文件异常一致或者最后报价呈规律性差异；</w:t>
      </w:r>
    </w:p>
    <w:p w14:paraId="62762863">
      <w:pPr>
        <w:pStyle w:val="107"/>
        <w:numPr>
          <w:ilvl w:val="0"/>
          <w:numId w:val="14"/>
        </w:numPr>
        <w:ind w:firstLineChars="0"/>
        <w:rPr>
          <w:rFonts w:ascii="仿宋" w:hAnsi="仿宋" w:eastAsia="仿宋" w:cs="仿宋"/>
          <w:color w:val="auto"/>
          <w:highlight w:val="none"/>
        </w:rPr>
      </w:pPr>
      <w:r>
        <w:rPr>
          <w:rFonts w:hint="eastAsia" w:ascii="仿宋" w:hAnsi="仿宋" w:eastAsia="仿宋" w:cs="仿宋"/>
          <w:color w:val="auto"/>
          <w:highlight w:val="none"/>
        </w:rPr>
        <w:t>不同供应商的响应文件相互混装。</w:t>
      </w:r>
    </w:p>
    <w:p w14:paraId="0318D923">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3.20</w:t>
      </w:r>
      <w:r>
        <w:rPr>
          <w:rFonts w:hint="eastAsia" w:ascii="仿宋" w:hAnsi="仿宋" w:eastAsia="仿宋" w:cs="仿宋"/>
          <w:color w:val="auto"/>
          <w:sz w:val="24"/>
          <w:highlight w:val="none"/>
          <w:lang w:val="en-US" w:eastAsia="zh-CN"/>
        </w:rPr>
        <w:t xml:space="preserve">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572A94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3.21</w:t>
      </w:r>
      <w:r>
        <w:rPr>
          <w:rFonts w:hint="eastAsia" w:ascii="仿宋" w:hAnsi="仿宋" w:eastAsia="仿宋" w:cs="仿宋"/>
          <w:color w:val="auto"/>
          <w:sz w:val="24"/>
          <w:highlight w:val="none"/>
        </w:rPr>
        <w:t>供应商仅提交备份响应文件，没有在电子交易平台传输提交响应文件的，响应无效；</w:t>
      </w:r>
    </w:p>
    <w:p w14:paraId="2F34F8F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法律、法规、规章（适用本市的）及省级以上规范性文件（适用本市的）规定的其他无效情形。</w:t>
      </w:r>
    </w:p>
    <w:p w14:paraId="091DE4ED">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4. 重新开展采购活动</w:t>
      </w:r>
    </w:p>
    <w:p w14:paraId="58C8B1E4">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出现下列情形之一的，采购代理机构应当终止竞争性磋商采购活动，通过电子交易平台发布项目终止公告并说明原因，重新开展采购活动：</w:t>
      </w:r>
    </w:p>
    <w:p w14:paraId="02C0AF39">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（1）因情况变化，不再符合规定的竞争性磋商采购方式适用情形的；</w:t>
      </w:r>
    </w:p>
    <w:p w14:paraId="42CBC046">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（2）出现影响采购公正的违法、违规行为的；</w:t>
      </w:r>
    </w:p>
    <w:p w14:paraId="4C913425">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（3）在采购过程中符合要求的供应商或者最后报价未超过采购预算的供应商不足3家的（有特殊规定的从其规定）。</w:t>
      </w:r>
    </w:p>
    <w:p w14:paraId="624159E0">
      <w:pPr>
        <w:pStyle w:val="395"/>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5. 终止采购活动</w:t>
      </w:r>
    </w:p>
    <w:p w14:paraId="3938FAD6">
      <w:pPr>
        <w:spacing w:line="360" w:lineRule="auto"/>
        <w:ind w:firstLine="465" w:firstLineChars="194"/>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001C1D64">
      <w:pPr>
        <w:spacing w:line="360" w:lineRule="auto"/>
        <w:rPr>
          <w:rFonts w:ascii="仿宋" w:hAnsi="仿宋" w:eastAsia="仿宋" w:cs="仿宋"/>
          <w:color w:val="auto"/>
          <w:sz w:val="24"/>
          <w:highlight w:val="none"/>
        </w:rPr>
      </w:pPr>
      <w:r>
        <w:rPr>
          <w:rFonts w:hint="eastAsia" w:ascii="仿宋" w:hAnsi="仿宋" w:eastAsia="仿宋" w:cs="仿宋"/>
          <w:b/>
          <w:color w:val="auto"/>
          <w:sz w:val="24"/>
          <w:highlight w:val="none"/>
        </w:rPr>
        <w:t>6. 采购代理机构有权对磋商小组各成员的评分情况和评审意见进行合理性和合规性审查</w:t>
      </w:r>
      <w:r>
        <w:rPr>
          <w:rFonts w:hint="eastAsia" w:ascii="仿宋" w:hAnsi="仿宋" w:eastAsia="仿宋" w:cs="仿宋"/>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2479FCCF">
      <w:pPr>
        <w:pStyle w:val="395"/>
        <w:spacing w:before="0"/>
        <w:ind w:firstLine="0" w:firstLineChars="0"/>
        <w:rPr>
          <w:rFonts w:ascii="仿宋" w:hAnsi="仿宋" w:eastAsia="仿宋" w:cs="仿宋"/>
          <w:b/>
          <w:color w:val="auto"/>
          <w:highlight w:val="none"/>
        </w:rPr>
      </w:pPr>
    </w:p>
    <w:p w14:paraId="5045C159">
      <w:pPr>
        <w:snapToGrid w:val="0"/>
        <w:spacing w:line="360" w:lineRule="auto"/>
        <w:ind w:left="120" w:leftChars="57" w:firstLine="482" w:firstLineChars="15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五、评审过程的保密与录像</w:t>
      </w:r>
    </w:p>
    <w:p w14:paraId="72CAFA88">
      <w:pPr>
        <w:widowControl/>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1.保密。</w:t>
      </w:r>
      <w:r>
        <w:rPr>
          <w:rFonts w:hint="eastAsia" w:ascii="仿宋" w:hAnsi="仿宋" w:eastAsia="仿宋" w:cs="仿宋"/>
          <w:color w:val="auto"/>
          <w:sz w:val="24"/>
          <w:highlight w:val="none"/>
        </w:rPr>
        <w:t>评审活动在严格保密的情况下进行。评审过程中凡是与采购响应文件评审和比较、</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推荐等评审有关的情况，以及涉及国家秘密和商业秘密等信息，磋商小组成员、采购人和采购代理机构工作人员、相关监督人员等与评审有关的人员应当予以保密。</w:t>
      </w:r>
    </w:p>
    <w:p w14:paraId="3EBDF457">
      <w:pPr>
        <w:widowControl/>
        <w:spacing w:line="360" w:lineRule="auto"/>
        <w:ind w:firstLine="482" w:firstLineChars="200"/>
        <w:jc w:val="left"/>
        <w:rPr>
          <w:rFonts w:ascii="仿宋" w:hAnsi="仿宋" w:eastAsia="仿宋" w:cs="仿宋"/>
          <w:b/>
          <w:color w:val="auto"/>
          <w:sz w:val="36"/>
          <w:szCs w:val="36"/>
          <w:highlight w:val="none"/>
        </w:rPr>
      </w:pPr>
      <w:r>
        <w:rPr>
          <w:rFonts w:hint="eastAsia" w:ascii="仿宋" w:hAnsi="仿宋" w:eastAsia="仿宋" w:cs="仿宋"/>
          <w:b/>
          <w:color w:val="auto"/>
          <w:sz w:val="24"/>
          <w:highlight w:val="none"/>
        </w:rPr>
        <w:t>2.录音录像。</w:t>
      </w:r>
      <w:r>
        <w:rPr>
          <w:rFonts w:hint="eastAsia" w:ascii="仿宋" w:hAnsi="仿宋" w:eastAsia="仿宋" w:cs="仿宋"/>
          <w:color w:val="auto"/>
          <w:sz w:val="24"/>
          <w:highlight w:val="none"/>
        </w:rPr>
        <w:t>采购代理机构对评审工作现场进行全过程录音录像，录音录像资料作为采购项目文件随其他文件一并存档。</w:t>
      </w:r>
      <w:r>
        <w:rPr>
          <w:rFonts w:hint="eastAsia" w:ascii="仿宋" w:hAnsi="仿宋" w:eastAsia="仿宋" w:cs="仿宋"/>
          <w:b/>
          <w:color w:val="auto"/>
          <w:sz w:val="36"/>
          <w:szCs w:val="36"/>
          <w:highlight w:val="none"/>
        </w:rPr>
        <w:br w:type="page"/>
      </w:r>
    </w:p>
    <w:p w14:paraId="31159091">
      <w:pPr>
        <w:widowControl/>
        <w:spacing w:line="360" w:lineRule="auto"/>
        <w:ind w:firstLine="723" w:firstLineChars="200"/>
        <w:jc w:val="center"/>
        <w:rPr>
          <w:rFonts w:ascii="仿宋" w:hAnsi="仿宋" w:eastAsia="仿宋" w:cs="仿宋"/>
          <w:b/>
          <w:color w:val="auto"/>
          <w:sz w:val="36"/>
          <w:szCs w:val="36"/>
          <w:highlight w:val="none"/>
        </w:rPr>
      </w:pPr>
    </w:p>
    <w:p w14:paraId="131F754D">
      <w:pPr>
        <w:widowControl/>
        <w:spacing w:line="360" w:lineRule="auto"/>
        <w:ind w:firstLine="723" w:firstLineChars="20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w:t>
      </w:r>
      <w:bookmarkEnd w:id="69"/>
      <w:r>
        <w:rPr>
          <w:rFonts w:hint="eastAsia" w:ascii="仿宋" w:hAnsi="仿宋" w:eastAsia="仿宋" w:cs="仿宋"/>
          <w:b/>
          <w:color w:val="auto"/>
          <w:sz w:val="36"/>
          <w:szCs w:val="36"/>
          <w:highlight w:val="none"/>
        </w:rPr>
        <w:t xml:space="preserve">  拟签订的合同文本</w:t>
      </w:r>
    </w:p>
    <w:p w14:paraId="37691A47">
      <w:pPr>
        <w:spacing w:line="360" w:lineRule="auto"/>
        <w:rPr>
          <w:rFonts w:ascii="仿宋" w:hAnsi="仿宋" w:eastAsia="仿宋" w:cs="仿宋"/>
          <w:color w:val="auto"/>
          <w:sz w:val="24"/>
          <w:highlight w:val="none"/>
        </w:rPr>
      </w:pPr>
      <w:bookmarkStart w:id="71" w:name="_Toc86217003"/>
      <w:bookmarkStart w:id="72" w:name="第五部分"/>
    </w:p>
    <w:p w14:paraId="12D3CD2A">
      <w:pPr>
        <w:spacing w:line="360" w:lineRule="auto"/>
        <w:jc w:val="center"/>
        <w:rPr>
          <w:rFonts w:ascii="仿宋" w:hAnsi="仿宋" w:eastAsia="仿宋"/>
          <w:b/>
          <w:color w:val="auto"/>
          <w:sz w:val="30"/>
          <w:szCs w:val="30"/>
          <w:highlight w:val="none"/>
        </w:rPr>
      </w:pPr>
      <w:r>
        <w:rPr>
          <w:rFonts w:hint="eastAsia" w:ascii="仿宋" w:hAnsi="仿宋" w:eastAsia="仿宋"/>
          <w:b/>
          <w:color w:val="auto"/>
          <w:sz w:val="30"/>
          <w:szCs w:val="30"/>
          <w:highlight w:val="none"/>
        </w:rPr>
        <w:t>（最终以双方签字盖章的合同文本为准）</w:t>
      </w:r>
    </w:p>
    <w:p w14:paraId="330A3649">
      <w:pPr>
        <w:spacing w:before="156" w:beforeLines="50" w:line="360" w:lineRule="exact"/>
        <w:jc w:val="center"/>
        <w:rPr>
          <w:rFonts w:ascii="仿宋" w:hAnsi="仿宋" w:eastAsia="仿宋" w:cs="仿宋"/>
          <w:color w:val="auto"/>
          <w:sz w:val="24"/>
          <w:highlight w:val="none"/>
        </w:rPr>
      </w:pPr>
    </w:p>
    <w:p w14:paraId="79F16DD1">
      <w:pPr>
        <w:keepNext w:val="0"/>
        <w:keepLines w:val="0"/>
        <w:pageBreakBefore w:val="0"/>
        <w:widowControl/>
        <w:kinsoku/>
        <w:wordWrap/>
        <w:overflowPunct/>
        <w:topLinePunct w:val="0"/>
        <w:autoSpaceDE/>
        <w:autoSpaceDN/>
        <w:bidi w:val="0"/>
        <w:adjustRightInd w:val="0"/>
        <w:spacing w:line="360" w:lineRule="auto"/>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采购方/委托方（以下简称甲方）： </w:t>
      </w:r>
    </w:p>
    <w:p w14:paraId="47C15483">
      <w:pPr>
        <w:keepNext w:val="0"/>
        <w:keepLines w:val="0"/>
        <w:pageBreakBefore w:val="0"/>
        <w:kinsoku/>
        <w:wordWrap/>
        <w:overflowPunct/>
        <w:topLinePunct w:val="0"/>
        <w:autoSpaceDE/>
        <w:autoSpaceDN/>
        <w:bidi w:val="0"/>
        <w:adjustRightInd w:val="0"/>
        <w:spacing w:line="360" w:lineRule="auto"/>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供应商/受托方（以下简称乙方）： </w:t>
      </w:r>
    </w:p>
    <w:p w14:paraId="59DA5F1F">
      <w:pPr>
        <w:keepNext w:val="0"/>
        <w:keepLines w:val="0"/>
        <w:pageBreakBefore w:val="0"/>
        <w:kinsoku/>
        <w:wordWrap/>
        <w:overflowPunct/>
        <w:topLinePunct w:val="0"/>
        <w:autoSpaceDE/>
        <w:autoSpaceDN/>
        <w:bidi w:val="0"/>
        <w:adjustRightInd w:val="0"/>
        <w:snapToGrid w:val="0"/>
        <w:spacing w:line="360" w:lineRule="auto"/>
        <w:ind w:left="120" w:leftChars="57" w:firstLine="315" w:firstLineChars="150"/>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(甲方)通过竞争性磋商招标采购方式，确定</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(乙方)为</w:t>
      </w:r>
      <w:r>
        <w:rPr>
          <w:rFonts w:hint="eastAsia" w:ascii="仿宋" w:hAnsi="仿宋" w:eastAsia="仿宋" w:cs="仿宋"/>
          <w:b/>
          <w:bCs/>
          <w:color w:val="auto"/>
          <w:sz w:val="21"/>
          <w:szCs w:val="21"/>
          <w:highlight w:val="none"/>
          <w:u w:val="single"/>
          <w:lang w:eastAsia="zh-CN"/>
        </w:rPr>
        <w:t>杭州市公安局滨江区分局采购人型机器人服务项目</w:t>
      </w:r>
      <w:r>
        <w:rPr>
          <w:rFonts w:hint="eastAsia" w:ascii="仿宋" w:hAnsi="仿宋" w:eastAsia="仿宋" w:cs="仿宋"/>
          <w:color w:val="auto"/>
          <w:sz w:val="21"/>
          <w:szCs w:val="21"/>
          <w:highlight w:val="none"/>
        </w:rPr>
        <w:t>的</w:t>
      </w:r>
      <w:r>
        <w:rPr>
          <w:rFonts w:hint="eastAsia" w:ascii="仿宋" w:hAnsi="仿宋" w:eastAsia="仿宋" w:cs="仿宋"/>
          <w:bCs/>
          <w:color w:val="auto"/>
          <w:sz w:val="21"/>
          <w:szCs w:val="21"/>
          <w:highlight w:val="none"/>
          <w:lang w:val="en-US" w:eastAsia="zh-CN"/>
        </w:rPr>
        <w:t>成交</w:t>
      </w:r>
      <w:r>
        <w:rPr>
          <w:rFonts w:hint="eastAsia" w:ascii="仿宋" w:hAnsi="仿宋" w:eastAsia="仿宋" w:cs="仿宋"/>
          <w:bCs/>
          <w:color w:val="auto"/>
          <w:sz w:val="21"/>
          <w:szCs w:val="21"/>
          <w:highlight w:val="none"/>
        </w:rPr>
        <w:t>供应商</w:t>
      </w:r>
      <w:r>
        <w:rPr>
          <w:rFonts w:hint="eastAsia" w:ascii="仿宋" w:hAnsi="仿宋" w:eastAsia="仿宋" w:cs="仿宋"/>
          <w:color w:val="auto"/>
          <w:sz w:val="21"/>
          <w:szCs w:val="21"/>
          <w:highlight w:val="none"/>
        </w:rPr>
        <w:t>。双方依据《中华人民共和国政府采购法》、《中华人民共和国民法典》，在平等自愿的基础上，同意按照下面的条款和条件，签署本合同。</w:t>
      </w:r>
    </w:p>
    <w:p w14:paraId="7354D586">
      <w:pPr>
        <w:keepNext w:val="0"/>
        <w:keepLines w:val="0"/>
        <w:pageBreakBefore w:val="0"/>
        <w:kinsoku/>
        <w:wordWrap/>
        <w:overflowPunct/>
        <w:topLinePunct w:val="0"/>
        <w:autoSpaceDE/>
        <w:autoSpaceDN/>
        <w:bidi w:val="0"/>
        <w:adjustRightInd w:val="0"/>
        <w:spacing w:line="360" w:lineRule="auto"/>
        <w:ind w:firstLine="422" w:firstLineChars="200"/>
        <w:textAlignment w:val="auto"/>
        <w:rPr>
          <w:rFonts w:ascii="仿宋" w:eastAsia="仿宋" w:cs="仿宋"/>
          <w:b/>
          <w:bCs/>
          <w:color w:val="auto"/>
          <w:sz w:val="21"/>
          <w:szCs w:val="21"/>
          <w:highlight w:val="none"/>
        </w:rPr>
      </w:pPr>
      <w:r>
        <w:rPr>
          <w:rFonts w:hint="eastAsia" w:ascii="仿宋" w:eastAsia="仿宋" w:cs="仿宋"/>
          <w:b/>
          <w:bCs/>
          <w:color w:val="auto"/>
          <w:sz w:val="21"/>
          <w:szCs w:val="21"/>
          <w:highlight w:val="none"/>
        </w:rPr>
        <w:t>合同文件：</w:t>
      </w:r>
    </w:p>
    <w:p w14:paraId="733224BA">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下列文件是合同的组成部分，优先支配地位的次序如下：</w:t>
      </w:r>
    </w:p>
    <w:p w14:paraId="0063D0F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（1）本合同书及相关协议</w:t>
      </w:r>
    </w:p>
    <w:p w14:paraId="532DD0DD">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（2）中标通知书</w:t>
      </w:r>
    </w:p>
    <w:p w14:paraId="5287327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（3）响应文件(含澄清文件)</w:t>
      </w:r>
    </w:p>
    <w:p w14:paraId="7D23E23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（4）磋商文件(含磋商文件补充通知)</w:t>
      </w:r>
    </w:p>
    <w:p w14:paraId="058E268F">
      <w:pPr>
        <w:pStyle w:val="3"/>
        <w:numPr>
          <w:ilvl w:val="0"/>
          <w:numId w:val="0"/>
        </w:numPr>
        <w:ind w:left="420" w:leftChars="0"/>
        <w:rPr>
          <w:rFonts w:hint="eastAsia" w:ascii="仿宋" w:eastAsia="仿宋"/>
          <w:color w:val="auto"/>
          <w:sz w:val="24"/>
          <w:szCs w:val="24"/>
          <w:highlight w:val="none"/>
          <w:lang w:val="en-US" w:eastAsia="zh-CN"/>
        </w:rPr>
      </w:pPr>
      <w:r>
        <w:rPr>
          <w:rFonts w:hint="eastAsia" w:ascii="仿宋" w:eastAsia="仿宋"/>
          <w:color w:val="auto"/>
          <w:sz w:val="24"/>
          <w:szCs w:val="24"/>
          <w:highlight w:val="none"/>
          <w:lang w:val="en-US"/>
        </w:rPr>
        <w:t>一、</w:t>
      </w:r>
      <w:r>
        <w:rPr>
          <w:rFonts w:hint="eastAsia" w:ascii="仿宋" w:eastAsia="仿宋"/>
          <w:color w:val="auto"/>
          <w:sz w:val="24"/>
          <w:szCs w:val="24"/>
          <w:highlight w:val="none"/>
          <w:lang w:val="en-US" w:eastAsia="zh-CN"/>
        </w:rPr>
        <w:t>服务清单</w:t>
      </w:r>
    </w:p>
    <w:tbl>
      <w:tblPr>
        <w:tblStyle w:val="61"/>
        <w:tblW w:w="945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61"/>
        <w:gridCol w:w="2895"/>
        <w:gridCol w:w="1527"/>
        <w:gridCol w:w="3492"/>
      </w:tblGrid>
      <w:tr w14:paraId="7CD4F3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8" w:hRule="atLeast"/>
          <w:jc w:val="center"/>
        </w:trPr>
        <w:tc>
          <w:tcPr>
            <w:tcW w:w="761" w:type="dxa"/>
            <w:vAlign w:val="center"/>
          </w:tcPr>
          <w:p w14:paraId="7E24C3D4">
            <w:pPr>
              <w:snapToGrid w:val="0"/>
              <w:spacing w:before="48" w:beforeLines="20" w:line="300" w:lineRule="auto"/>
              <w:jc w:val="center"/>
              <w:rPr>
                <w:rFonts w:ascii="仿宋" w:hAnsi="仿宋" w:eastAsia="仿宋"/>
                <w:b/>
                <w:color w:val="auto"/>
                <w:sz w:val="20"/>
                <w:szCs w:val="20"/>
                <w:highlight w:val="none"/>
              </w:rPr>
            </w:pPr>
            <w:r>
              <w:rPr>
                <w:rFonts w:hint="eastAsia" w:ascii="仿宋" w:hAnsi="仿宋" w:eastAsia="仿宋"/>
                <w:b/>
                <w:color w:val="auto"/>
                <w:sz w:val="20"/>
                <w:szCs w:val="20"/>
                <w:highlight w:val="none"/>
              </w:rPr>
              <w:t>序号</w:t>
            </w:r>
          </w:p>
        </w:tc>
        <w:tc>
          <w:tcPr>
            <w:tcW w:w="2895" w:type="dxa"/>
            <w:vAlign w:val="center"/>
          </w:tcPr>
          <w:p w14:paraId="51C7E4E0">
            <w:pPr>
              <w:snapToGrid w:val="0"/>
              <w:jc w:val="center"/>
              <w:rPr>
                <w:rFonts w:ascii="仿宋" w:hAnsi="仿宋" w:eastAsia="仿宋"/>
                <w:b/>
                <w:color w:val="auto"/>
                <w:sz w:val="20"/>
                <w:szCs w:val="20"/>
                <w:highlight w:val="none"/>
              </w:rPr>
            </w:pPr>
            <w:r>
              <w:rPr>
                <w:rFonts w:hint="eastAsia" w:ascii="仿宋" w:hAnsi="仿宋" w:eastAsia="仿宋"/>
                <w:b/>
                <w:color w:val="auto"/>
                <w:sz w:val="20"/>
                <w:szCs w:val="20"/>
                <w:highlight w:val="none"/>
              </w:rPr>
              <w:t>采购内容</w:t>
            </w:r>
          </w:p>
        </w:tc>
        <w:tc>
          <w:tcPr>
            <w:tcW w:w="1527" w:type="dxa"/>
            <w:tcBorders>
              <w:right w:val="single" w:color="auto" w:sz="2" w:space="0"/>
            </w:tcBorders>
            <w:vAlign w:val="center"/>
          </w:tcPr>
          <w:p w14:paraId="601252AF">
            <w:pPr>
              <w:snapToGrid w:val="0"/>
              <w:jc w:val="center"/>
              <w:rPr>
                <w:rFonts w:ascii="仿宋" w:hAnsi="仿宋" w:eastAsia="仿宋"/>
                <w:b/>
                <w:color w:val="auto"/>
                <w:sz w:val="20"/>
                <w:szCs w:val="20"/>
                <w:highlight w:val="none"/>
              </w:rPr>
            </w:pPr>
            <w:r>
              <w:rPr>
                <w:rFonts w:hint="eastAsia" w:ascii="仿宋" w:hAnsi="仿宋" w:eastAsia="仿宋"/>
                <w:b/>
                <w:color w:val="auto"/>
                <w:sz w:val="20"/>
                <w:szCs w:val="20"/>
                <w:highlight w:val="none"/>
              </w:rPr>
              <w:t>数量</w:t>
            </w:r>
          </w:p>
        </w:tc>
        <w:tc>
          <w:tcPr>
            <w:tcW w:w="3492" w:type="dxa"/>
            <w:tcBorders>
              <w:right w:val="single" w:color="auto" w:sz="2" w:space="0"/>
            </w:tcBorders>
            <w:vAlign w:val="center"/>
          </w:tcPr>
          <w:p w14:paraId="5C2535F0">
            <w:pPr>
              <w:snapToGrid w:val="0"/>
              <w:jc w:val="center"/>
              <w:rPr>
                <w:rFonts w:ascii="仿宋" w:hAnsi="仿宋" w:eastAsia="仿宋"/>
                <w:b/>
                <w:color w:val="auto"/>
                <w:sz w:val="20"/>
                <w:szCs w:val="20"/>
                <w:highlight w:val="none"/>
              </w:rPr>
            </w:pPr>
            <w:r>
              <w:rPr>
                <w:rFonts w:hint="eastAsia" w:ascii="仿宋" w:hAnsi="仿宋" w:eastAsia="仿宋"/>
                <w:b/>
                <w:bCs/>
                <w:color w:val="auto"/>
                <w:kern w:val="0"/>
                <w:szCs w:val="21"/>
                <w:highlight w:val="none"/>
                <w:lang w:val="en-US" w:eastAsia="zh-CN"/>
              </w:rPr>
              <w:t>功能要求</w:t>
            </w:r>
          </w:p>
        </w:tc>
      </w:tr>
      <w:tr w14:paraId="4026DF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61" w:type="dxa"/>
            <w:vAlign w:val="center"/>
          </w:tcPr>
          <w:p w14:paraId="53D61DBE">
            <w:pPr>
              <w:snapToGrid w:val="0"/>
              <w:jc w:val="center"/>
              <w:rPr>
                <w:rFonts w:ascii="仿宋" w:hAnsi="仿宋" w:eastAsia="仿宋"/>
                <w:bCs/>
                <w:color w:val="auto"/>
                <w:sz w:val="20"/>
                <w:szCs w:val="20"/>
                <w:highlight w:val="none"/>
              </w:rPr>
            </w:pPr>
            <w:r>
              <w:rPr>
                <w:rFonts w:hint="eastAsia" w:ascii="仿宋" w:hAnsi="仿宋" w:eastAsia="仿宋"/>
                <w:bCs/>
                <w:color w:val="auto"/>
                <w:sz w:val="20"/>
                <w:szCs w:val="20"/>
                <w:highlight w:val="none"/>
              </w:rPr>
              <w:t>1</w:t>
            </w:r>
          </w:p>
        </w:tc>
        <w:tc>
          <w:tcPr>
            <w:tcW w:w="2895" w:type="dxa"/>
            <w:vAlign w:val="center"/>
          </w:tcPr>
          <w:p w14:paraId="4F3311C5">
            <w:pPr>
              <w:rPr>
                <w:rFonts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人形机器人1</w:t>
            </w:r>
          </w:p>
        </w:tc>
        <w:tc>
          <w:tcPr>
            <w:tcW w:w="1527" w:type="dxa"/>
            <w:tcBorders>
              <w:right w:val="single" w:color="auto" w:sz="2" w:space="0"/>
            </w:tcBorders>
            <w:vAlign w:val="center"/>
          </w:tcPr>
          <w:p w14:paraId="691724BF">
            <w:pPr>
              <w:snapToGrid w:val="0"/>
              <w:jc w:val="center"/>
              <w:rPr>
                <w:rFonts w:hint="default"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2套</w:t>
            </w:r>
          </w:p>
        </w:tc>
        <w:tc>
          <w:tcPr>
            <w:tcW w:w="3492" w:type="dxa"/>
            <w:tcBorders>
              <w:right w:val="single" w:color="auto" w:sz="2" w:space="0"/>
            </w:tcBorders>
            <w:vAlign w:val="center"/>
          </w:tcPr>
          <w:p w14:paraId="31A264D8">
            <w:pPr>
              <w:snapToGrid w:val="0"/>
              <w:jc w:val="center"/>
              <w:rPr>
                <w:rFonts w:hint="default"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详见技术、功能要求</w:t>
            </w:r>
          </w:p>
        </w:tc>
      </w:tr>
      <w:tr w14:paraId="2653D0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61" w:type="dxa"/>
            <w:vAlign w:val="center"/>
          </w:tcPr>
          <w:p w14:paraId="5963E77C">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2</w:t>
            </w:r>
          </w:p>
        </w:tc>
        <w:tc>
          <w:tcPr>
            <w:tcW w:w="2895" w:type="dxa"/>
            <w:vAlign w:val="center"/>
          </w:tcPr>
          <w:p w14:paraId="62621915">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人形机器人2</w:t>
            </w:r>
          </w:p>
        </w:tc>
        <w:tc>
          <w:tcPr>
            <w:tcW w:w="1527" w:type="dxa"/>
            <w:tcBorders>
              <w:right w:val="single" w:color="auto" w:sz="2" w:space="0"/>
            </w:tcBorders>
            <w:vAlign w:val="center"/>
          </w:tcPr>
          <w:p w14:paraId="1BAAEDDF">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1套</w:t>
            </w:r>
          </w:p>
        </w:tc>
        <w:tc>
          <w:tcPr>
            <w:tcW w:w="3492" w:type="dxa"/>
            <w:tcBorders>
              <w:right w:val="single" w:color="auto" w:sz="2" w:space="0"/>
            </w:tcBorders>
            <w:vAlign w:val="center"/>
          </w:tcPr>
          <w:p w14:paraId="726DE2E0">
            <w:pPr>
              <w:snapToGrid w:val="0"/>
              <w:jc w:val="center"/>
              <w:rPr>
                <w:rFonts w:hint="eastAsia" w:ascii="仿宋" w:hAnsi="仿宋" w:eastAsia="仿宋"/>
                <w:bCs/>
                <w:color w:val="auto"/>
                <w:sz w:val="20"/>
                <w:szCs w:val="20"/>
                <w:highlight w:val="none"/>
              </w:rPr>
            </w:pPr>
            <w:r>
              <w:rPr>
                <w:rFonts w:hint="eastAsia" w:ascii="仿宋" w:hAnsi="仿宋" w:eastAsia="仿宋"/>
                <w:bCs/>
                <w:color w:val="auto"/>
                <w:sz w:val="20"/>
                <w:szCs w:val="20"/>
                <w:highlight w:val="none"/>
                <w:lang w:val="en-US" w:eastAsia="zh-CN"/>
              </w:rPr>
              <w:t>详见技术、功能要求</w:t>
            </w:r>
          </w:p>
        </w:tc>
      </w:tr>
      <w:tr w14:paraId="0C4679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61" w:type="dxa"/>
            <w:vAlign w:val="center"/>
          </w:tcPr>
          <w:p w14:paraId="6F024F3E">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3</w:t>
            </w:r>
          </w:p>
        </w:tc>
        <w:tc>
          <w:tcPr>
            <w:tcW w:w="2895" w:type="dxa"/>
            <w:vAlign w:val="center"/>
          </w:tcPr>
          <w:p w14:paraId="317B8860">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机械手臂</w:t>
            </w:r>
          </w:p>
        </w:tc>
        <w:tc>
          <w:tcPr>
            <w:tcW w:w="1527" w:type="dxa"/>
            <w:tcBorders>
              <w:right w:val="single" w:color="auto" w:sz="2" w:space="0"/>
            </w:tcBorders>
            <w:vAlign w:val="center"/>
          </w:tcPr>
          <w:p w14:paraId="007F7503">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1套</w:t>
            </w:r>
          </w:p>
        </w:tc>
        <w:tc>
          <w:tcPr>
            <w:tcW w:w="3492" w:type="dxa"/>
            <w:tcBorders>
              <w:right w:val="single" w:color="auto" w:sz="2" w:space="0"/>
            </w:tcBorders>
            <w:vAlign w:val="center"/>
          </w:tcPr>
          <w:p w14:paraId="26345BA8">
            <w:pPr>
              <w:snapToGrid w:val="0"/>
              <w:jc w:val="center"/>
              <w:rPr>
                <w:rFonts w:hint="eastAsia" w:ascii="仿宋" w:hAnsi="仿宋" w:eastAsia="仿宋"/>
                <w:bCs/>
                <w:color w:val="auto"/>
                <w:sz w:val="20"/>
                <w:szCs w:val="20"/>
                <w:highlight w:val="none"/>
              </w:rPr>
            </w:pPr>
            <w:r>
              <w:rPr>
                <w:rFonts w:hint="eastAsia" w:ascii="仿宋" w:hAnsi="仿宋" w:eastAsia="仿宋"/>
                <w:bCs/>
                <w:color w:val="auto"/>
                <w:sz w:val="20"/>
                <w:szCs w:val="20"/>
                <w:highlight w:val="none"/>
                <w:lang w:val="en-US" w:eastAsia="zh-CN"/>
              </w:rPr>
              <w:t>详见技术、功能要求</w:t>
            </w:r>
          </w:p>
        </w:tc>
      </w:tr>
      <w:tr w14:paraId="43CFC4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61" w:type="dxa"/>
            <w:vAlign w:val="center"/>
          </w:tcPr>
          <w:p w14:paraId="5E0BE258">
            <w:pPr>
              <w:snapToGrid w:val="0"/>
              <w:jc w:val="center"/>
              <w:rPr>
                <w:rFonts w:hint="eastAsia"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4</w:t>
            </w:r>
          </w:p>
        </w:tc>
        <w:tc>
          <w:tcPr>
            <w:tcW w:w="2895" w:type="dxa"/>
            <w:vAlign w:val="center"/>
          </w:tcPr>
          <w:p w14:paraId="6E5CC319">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现场服务</w:t>
            </w:r>
          </w:p>
        </w:tc>
        <w:tc>
          <w:tcPr>
            <w:tcW w:w="1527" w:type="dxa"/>
            <w:tcBorders>
              <w:right w:val="single" w:color="auto" w:sz="2" w:space="0"/>
            </w:tcBorders>
            <w:vAlign w:val="center"/>
          </w:tcPr>
          <w:p w14:paraId="6B7C7EAD">
            <w:pPr>
              <w:snapToGrid w:val="0"/>
              <w:jc w:val="cente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每月不少于1次现场服务（包含技术支撑、巡检等）</w:t>
            </w:r>
          </w:p>
        </w:tc>
        <w:tc>
          <w:tcPr>
            <w:tcW w:w="3492" w:type="dxa"/>
            <w:tcBorders>
              <w:right w:val="single" w:color="auto" w:sz="2" w:space="0"/>
            </w:tcBorders>
            <w:vAlign w:val="center"/>
          </w:tcPr>
          <w:p w14:paraId="1778B5F1">
            <w:pP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根据警务需求，机器人配配合巡逻、肢体互动、问答、引导服务。</w:t>
            </w:r>
          </w:p>
        </w:tc>
      </w:tr>
      <w:tr w14:paraId="665DB1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61" w:type="dxa"/>
            <w:vAlign w:val="center"/>
          </w:tcPr>
          <w:p w14:paraId="71E3FA76">
            <w:pPr>
              <w:snapToGrid w:val="0"/>
              <w:jc w:val="center"/>
              <w:rPr>
                <w:rFonts w:hint="default" w:ascii="仿宋" w:hAnsi="仿宋" w:eastAsia="仿宋"/>
                <w:bCs/>
                <w:color w:val="auto"/>
                <w:sz w:val="20"/>
                <w:szCs w:val="20"/>
                <w:highlight w:val="none"/>
                <w:lang w:val="en-US" w:eastAsia="zh-CN"/>
              </w:rPr>
            </w:pPr>
            <w:r>
              <w:rPr>
                <w:rFonts w:hint="eastAsia" w:ascii="仿宋" w:hAnsi="仿宋" w:eastAsia="仿宋"/>
                <w:bCs/>
                <w:color w:val="auto"/>
                <w:sz w:val="20"/>
                <w:szCs w:val="20"/>
                <w:highlight w:val="none"/>
                <w:lang w:val="en-US" w:eastAsia="zh-CN"/>
              </w:rPr>
              <w:t>5</w:t>
            </w:r>
          </w:p>
        </w:tc>
        <w:tc>
          <w:tcPr>
            <w:tcW w:w="2895" w:type="dxa"/>
            <w:vAlign w:val="center"/>
          </w:tcPr>
          <w:p w14:paraId="29E729B2">
            <w:pPr>
              <w:rPr>
                <w:rFonts w:hint="eastAsia" w:ascii="仿宋" w:hAnsi="仿宋" w:eastAsia="仿宋" w:cs="Times New Roman"/>
                <w:b/>
                <w:color w:val="auto"/>
                <w:sz w:val="20"/>
                <w:szCs w:val="20"/>
                <w:highlight w:val="none"/>
                <w:u w:val="none"/>
                <w:lang w:eastAsia="zh-CN"/>
              </w:rPr>
            </w:pPr>
            <w:r>
              <w:rPr>
                <w:rFonts w:hint="eastAsia" w:ascii="仿宋" w:hAnsi="仿宋" w:eastAsia="仿宋"/>
                <w:color w:val="auto"/>
                <w:kern w:val="0"/>
                <w:szCs w:val="21"/>
                <w:highlight w:val="none"/>
                <w:lang w:val="en-US" w:eastAsia="zh-CN"/>
              </w:rPr>
              <w:t>机器人1、2的设备配合接入服务</w:t>
            </w:r>
          </w:p>
        </w:tc>
        <w:tc>
          <w:tcPr>
            <w:tcW w:w="1527" w:type="dxa"/>
            <w:tcBorders>
              <w:right w:val="single" w:color="auto" w:sz="2" w:space="0"/>
            </w:tcBorders>
            <w:vAlign w:val="center"/>
          </w:tcPr>
          <w:p w14:paraId="2AC1EEBE">
            <w:pPr>
              <w:snapToGrid w:val="0"/>
              <w:jc w:val="cente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按需</w:t>
            </w:r>
          </w:p>
        </w:tc>
        <w:tc>
          <w:tcPr>
            <w:tcW w:w="3492" w:type="dxa"/>
            <w:tcBorders>
              <w:right w:val="single" w:color="auto" w:sz="2" w:space="0"/>
            </w:tcBorders>
            <w:vAlign w:val="center"/>
          </w:tcPr>
          <w:p w14:paraId="3A98BFCE">
            <w:pPr>
              <w:rPr>
                <w:rFonts w:hint="eastAsia" w:ascii="仿宋" w:hAnsi="仿宋" w:eastAsia="仿宋"/>
                <w:bCs/>
                <w:color w:val="auto"/>
                <w:sz w:val="20"/>
                <w:szCs w:val="20"/>
                <w:highlight w:val="none"/>
              </w:rPr>
            </w:pPr>
            <w:r>
              <w:rPr>
                <w:rFonts w:hint="eastAsia" w:ascii="仿宋" w:hAnsi="仿宋" w:eastAsia="仿宋"/>
                <w:color w:val="auto"/>
                <w:kern w:val="0"/>
                <w:szCs w:val="21"/>
                <w:highlight w:val="none"/>
                <w:lang w:val="en-US" w:eastAsia="zh-CN"/>
              </w:rPr>
              <w:t>详见设备接入服务要求</w:t>
            </w:r>
          </w:p>
        </w:tc>
      </w:tr>
    </w:tbl>
    <w:p w14:paraId="78BC0445">
      <w:pPr>
        <w:snapToGrid w:val="0"/>
        <w:spacing w:line="360" w:lineRule="auto"/>
        <w:ind w:firstLine="482" w:firstLineChars="200"/>
        <w:rPr>
          <w:rFonts w:hint="eastAsia" w:ascii="仿宋" w:hAnsi="仿宋" w:eastAsia="仿宋"/>
          <w:b/>
          <w:bCs/>
          <w:color w:val="auto"/>
          <w:sz w:val="24"/>
          <w:szCs w:val="24"/>
          <w:highlight w:val="none"/>
        </w:rPr>
      </w:pPr>
    </w:p>
    <w:p w14:paraId="1104B518">
      <w:pPr>
        <w:snapToGrid w:val="0"/>
        <w:spacing w:line="360" w:lineRule="auto"/>
        <w:ind w:firstLine="482" w:firstLineChars="200"/>
        <w:rPr>
          <w:rFonts w:hint="default" w:ascii="仿宋" w:hAnsi="仿宋" w:eastAsia="仿宋"/>
          <w:b/>
          <w:bCs/>
          <w:color w:val="auto"/>
          <w:sz w:val="24"/>
          <w:szCs w:val="24"/>
          <w:highlight w:val="none"/>
          <w:lang w:val="en-US" w:eastAsia="zh-CN"/>
        </w:rPr>
      </w:pPr>
      <w:r>
        <w:rPr>
          <w:rFonts w:hint="eastAsia" w:ascii="仿宋" w:hAnsi="仿宋" w:eastAsia="仿宋"/>
          <w:b/>
          <w:bCs/>
          <w:color w:val="auto"/>
          <w:sz w:val="24"/>
          <w:szCs w:val="24"/>
          <w:highlight w:val="none"/>
        </w:rPr>
        <w:t>二、</w:t>
      </w:r>
      <w:r>
        <w:rPr>
          <w:rFonts w:hint="eastAsia" w:ascii="仿宋" w:hAnsi="仿宋" w:eastAsia="仿宋"/>
          <w:b/>
          <w:bCs/>
          <w:color w:val="auto"/>
          <w:sz w:val="24"/>
          <w:szCs w:val="24"/>
          <w:highlight w:val="none"/>
          <w:lang w:val="en-US" w:eastAsia="zh-CN"/>
        </w:rPr>
        <w:t>设备参数</w:t>
      </w:r>
    </w:p>
    <w:tbl>
      <w:tblPr>
        <w:tblStyle w:val="61"/>
        <w:tblW w:w="9121"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012"/>
        <w:gridCol w:w="4938"/>
        <w:gridCol w:w="709"/>
        <w:gridCol w:w="762"/>
      </w:tblGrid>
      <w:tr w14:paraId="318E5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0" w:type="dxa"/>
            <w:vAlign w:val="center"/>
          </w:tcPr>
          <w:p w14:paraId="12E7DA30">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12" w:type="dxa"/>
            <w:vAlign w:val="center"/>
          </w:tcPr>
          <w:p w14:paraId="346F1FE1">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4938" w:type="dxa"/>
            <w:vAlign w:val="center"/>
          </w:tcPr>
          <w:p w14:paraId="67EFD2BD">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w:t>
            </w:r>
          </w:p>
        </w:tc>
        <w:tc>
          <w:tcPr>
            <w:tcW w:w="709" w:type="dxa"/>
            <w:vAlign w:val="center"/>
          </w:tcPr>
          <w:p w14:paraId="14520561">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762" w:type="dxa"/>
            <w:vAlign w:val="center"/>
          </w:tcPr>
          <w:p w14:paraId="70F0BCD5">
            <w:pPr>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p>
        </w:tc>
      </w:tr>
      <w:tr w14:paraId="62E58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00" w:type="dxa"/>
            <w:vAlign w:val="center"/>
          </w:tcPr>
          <w:p w14:paraId="26B8E0FA">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p>
        </w:tc>
        <w:tc>
          <w:tcPr>
            <w:tcW w:w="2012" w:type="dxa"/>
            <w:vAlign w:val="center"/>
          </w:tcPr>
          <w:p w14:paraId="4F592DDA">
            <w:pPr>
              <w:rPr>
                <w:rFonts w:hint="eastAsia" w:ascii="仿宋" w:hAnsi="仿宋" w:eastAsia="仿宋" w:cs="Times New Roman"/>
                <w:color w:val="auto"/>
                <w:kern w:val="0"/>
                <w:szCs w:val="21"/>
                <w:highlight w:val="none"/>
                <w:lang w:val="en-US" w:eastAsia="zh-CN"/>
              </w:rPr>
            </w:pPr>
            <w:r>
              <w:rPr>
                <w:rFonts w:hint="eastAsia" w:ascii="仿宋" w:hAnsi="仿宋" w:eastAsia="仿宋" w:cs="Times New Roman"/>
                <w:color w:val="auto"/>
                <w:kern w:val="0"/>
                <w:szCs w:val="21"/>
                <w:highlight w:val="none"/>
                <w:lang w:val="en-US" w:eastAsia="zh-CN"/>
              </w:rPr>
              <w:t>人形机器人1</w:t>
            </w:r>
          </w:p>
        </w:tc>
        <w:tc>
          <w:tcPr>
            <w:tcW w:w="4938" w:type="dxa"/>
            <w:vAlign w:val="center"/>
          </w:tcPr>
          <w:p w14:paraId="2C56A6BE">
            <w:pPr>
              <w:numPr>
                <w:ilvl w:val="0"/>
                <w:numId w:val="15"/>
              </w:numPr>
              <w:rPr>
                <w:rFonts w:hint="eastAsia" w:ascii="仿宋" w:hAnsi="仿宋" w:eastAsia="仿宋" w:cs="宋体"/>
                <w:color w:val="auto"/>
                <w:kern w:val="0"/>
                <w:sz w:val="21"/>
                <w:szCs w:val="21"/>
                <w:highlight w:val="none"/>
                <w:lang w:val="en-US" w:eastAsia="zh-CN" w:bidi="ar-SA"/>
              </w:rPr>
            </w:pPr>
            <w:r>
              <w:rPr>
                <w:rFonts w:hint="eastAsia" w:ascii="仿宋" w:hAnsi="仿宋" w:eastAsia="仿宋" w:cs="宋体"/>
                <w:color w:val="auto"/>
                <w:kern w:val="0"/>
                <w:szCs w:val="21"/>
                <w:highlight w:val="none"/>
                <w:lang w:val="en-US" w:eastAsia="zh-CN"/>
              </w:rPr>
              <w:t>站立尺寸</w:t>
            </w:r>
            <w:r>
              <w:rPr>
                <w:rFonts w:hint="eastAsia" w:ascii="Arial" w:hAnsi="Arial" w:eastAsia="仿宋" w:cs="Arial"/>
                <w:color w:val="auto"/>
                <w:kern w:val="0"/>
                <w:sz w:val="21"/>
                <w:szCs w:val="21"/>
                <w:highlight w:val="none"/>
                <w:lang w:val="en-US" w:eastAsia="zh-CN" w:bidi="ar-SA"/>
              </w:rPr>
              <w:t>高宽厚</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1250x450x200mm；</w:t>
            </w:r>
          </w:p>
          <w:p w14:paraId="1A03CF3E">
            <w:pPr>
              <w:numPr>
                <w:ilvl w:val="0"/>
                <w:numId w:val="15"/>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折叠尺寸</w:t>
            </w:r>
            <w:r>
              <w:rPr>
                <w:rFonts w:hint="eastAsia" w:ascii="Arial" w:hAnsi="Arial" w:eastAsia="仿宋" w:cs="Arial"/>
                <w:color w:val="auto"/>
                <w:kern w:val="0"/>
                <w:sz w:val="21"/>
                <w:szCs w:val="21"/>
                <w:highlight w:val="none"/>
                <w:lang w:val="en-US" w:eastAsia="zh-CN" w:bidi="ar-SA"/>
              </w:rPr>
              <w:t>高宽厚</w:t>
            </w:r>
            <w:r>
              <w:rPr>
                <w:rFonts w:hint="default" w:ascii="Arial" w:hAnsi="Arial" w:eastAsia="宋体"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690x450x300mm</w:t>
            </w:r>
          </w:p>
          <w:p w14:paraId="3CE45FB3">
            <w:pPr>
              <w:numPr>
                <w:ilvl w:val="0"/>
                <w:numId w:val="15"/>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带电池重量</w:t>
            </w:r>
            <w:r>
              <w:rPr>
                <w:rFonts w:hint="default" w:ascii="Arial" w:hAnsi="Arial" w:eastAsia="宋体"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35kg</w:t>
            </w:r>
          </w:p>
          <w:p w14:paraId="09C364EC">
            <w:pPr>
              <w:numPr>
                <w:ilvl w:val="0"/>
                <w:numId w:val="15"/>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总自由度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41</w:t>
            </w:r>
          </w:p>
          <w:p w14:paraId="719A1DB1">
            <w:pPr>
              <w:numPr>
                <w:ilvl w:val="0"/>
                <w:numId w:val="15"/>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单腿自由度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6</w:t>
            </w:r>
          </w:p>
          <w:p w14:paraId="1E9F3034">
            <w:pPr>
              <w:numPr>
                <w:ilvl w:val="0"/>
                <w:numId w:val="15"/>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腰部自由度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w:t>
            </w:r>
          </w:p>
          <w:p w14:paraId="29A82E20">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单手臂自由度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5</w:t>
            </w:r>
          </w:p>
          <w:p w14:paraId="2CB5AAC4">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 xml:space="preserve">单手自由度 </w:t>
            </w:r>
            <w:r>
              <w:rPr>
                <w:rFonts w:hint="eastAsia" w:ascii="仿宋" w:hAnsi="仿宋" w:eastAsia="仿宋" w:cs="宋体"/>
                <w:color w:val="auto"/>
                <w:kern w:val="0"/>
                <w:sz w:val="21"/>
                <w:szCs w:val="21"/>
                <w:highlight w:val="none"/>
                <w:lang w:val="en-US" w:eastAsia="zh-CN" w:bidi="ar-SA"/>
              </w:rPr>
              <w:t>可选配灵巧手和二自由度手腕</w:t>
            </w:r>
          </w:p>
          <w:p w14:paraId="6D0E8895">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 xml:space="preserve">膝关节最大扭矩 </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120N.m</w:t>
            </w:r>
          </w:p>
          <w:p w14:paraId="7CB2FA53">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 xml:space="preserve">手臂最大负载 </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3kg</w:t>
            </w:r>
          </w:p>
          <w:p w14:paraId="4EFE1AF1">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小腿+大腿</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0.6m</w:t>
            </w:r>
          </w:p>
          <w:p w14:paraId="317FF68C">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手臂臂展</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 w:val="21"/>
                <w:szCs w:val="21"/>
                <w:highlight w:val="none"/>
                <w:lang w:val="en-US" w:eastAsia="zh-CN" w:bidi="ar-SA"/>
              </w:rPr>
              <w:t>约0.45m</w:t>
            </w:r>
          </w:p>
          <w:p w14:paraId="538EA6FA">
            <w:pPr>
              <w:numPr>
                <w:ilvl w:val="0"/>
                <w:numId w:val="15"/>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关节运动空间：</w:t>
            </w:r>
            <w:r>
              <w:rPr>
                <w:rFonts w:hint="eastAsia" w:ascii="仿宋" w:hAnsi="仿宋" w:eastAsia="仿宋" w:cs="宋体"/>
                <w:color w:val="auto"/>
                <w:kern w:val="0"/>
                <w:sz w:val="21"/>
                <w:szCs w:val="21"/>
                <w:highlight w:val="none"/>
                <w:lang w:val="en-US" w:eastAsia="zh-CN" w:bidi="ar-SA"/>
              </w:rPr>
              <w:t>腰部Z轴关节≥：±155°，膝关节≥：0~165°，髋关节≥：P±154°、R-30~+170°、Y±158°"</w:t>
            </w:r>
          </w:p>
          <w:p w14:paraId="78200CD5">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走线、关键编码器、散热配备：</w:t>
            </w:r>
            <w:r>
              <w:rPr>
                <w:rFonts w:hint="eastAsia" w:ascii="仿宋" w:hAnsi="仿宋" w:eastAsia="仿宋" w:cs="宋体"/>
                <w:color w:val="auto"/>
                <w:kern w:val="0"/>
                <w:sz w:val="21"/>
                <w:szCs w:val="21"/>
                <w:highlight w:val="none"/>
                <w:lang w:val="en-US" w:eastAsia="zh-CN" w:bidi="ar-SA"/>
              </w:rPr>
              <w:t>配备全关节中空内走线、配置双关节编码器、配备局部散热系统</w:t>
            </w:r>
          </w:p>
          <w:p w14:paraId="4043586B">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算力：配备8核高性能CPU基础算力，内置≥100Tops算力的拓展坞，支持高层和低层的二次开发</w:t>
            </w:r>
          </w:p>
          <w:p w14:paraId="13303D8C">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供电方式：13串电池</w:t>
            </w:r>
          </w:p>
          <w:p w14:paraId="3CA32874">
            <w:pPr>
              <w:numPr>
                <w:ilvl w:val="0"/>
                <w:numId w:val="15"/>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感知传感器：配置深度相机+3D激光雷达</w:t>
            </w:r>
          </w:p>
          <w:p w14:paraId="465B6777">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通信具备WiFi 6 、蓝牙 5.2功能</w:t>
            </w:r>
          </w:p>
          <w:p w14:paraId="7924458B">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语音模块标配立体声扬声器和麦克风阵列</w:t>
            </w:r>
          </w:p>
          <w:p w14:paraId="6B09AB41">
            <w:pPr>
              <w:numPr>
                <w:ilvl w:val="0"/>
                <w:numId w:val="15"/>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充电配置充电器1台，智能电池（快拆）1块</w:t>
            </w:r>
          </w:p>
          <w:p w14:paraId="423B9984">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遥控器配置手持式遥控器1台</w:t>
            </w:r>
          </w:p>
          <w:p w14:paraId="18A32D20">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续航时间≥2h</w:t>
            </w:r>
          </w:p>
          <w:p w14:paraId="1EE79364">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OTA升级支持智能OTA升级</w:t>
            </w:r>
          </w:p>
          <w:p w14:paraId="75AE8FD3">
            <w:pPr>
              <w:numPr>
                <w:ilvl w:val="0"/>
                <w:numId w:val="15"/>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技术支持能提供良好的技术支持服务，完善的开发手册及生态支持</w:t>
            </w:r>
          </w:p>
          <w:p w14:paraId="4EB7CE81">
            <w:pPr>
              <w:numPr>
                <w:ilvl w:val="0"/>
                <w:numId w:val="15"/>
              </w:numPr>
              <w:rPr>
                <w:rFonts w:hint="default"/>
                <w:color w:val="auto"/>
                <w:highlight w:val="none"/>
                <w:lang w:val="en-US" w:eastAsia="zh-CN"/>
              </w:rPr>
            </w:pPr>
            <w:r>
              <w:rPr>
                <w:rFonts w:hint="eastAsia" w:ascii="仿宋" w:hAnsi="仿宋" w:eastAsia="仿宋" w:cs="宋体"/>
                <w:color w:val="auto"/>
                <w:kern w:val="0"/>
                <w:szCs w:val="21"/>
                <w:highlight w:val="none"/>
                <w:lang w:val="en-US" w:eastAsia="zh-CN"/>
              </w:rPr>
              <w:t>保护支架配置保护支架</w:t>
            </w:r>
          </w:p>
        </w:tc>
        <w:tc>
          <w:tcPr>
            <w:tcW w:w="709" w:type="dxa"/>
            <w:vAlign w:val="center"/>
          </w:tcPr>
          <w:p w14:paraId="7EB06521">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2</w:t>
            </w:r>
          </w:p>
        </w:tc>
        <w:tc>
          <w:tcPr>
            <w:tcW w:w="762" w:type="dxa"/>
            <w:vAlign w:val="center"/>
          </w:tcPr>
          <w:p w14:paraId="261F2AC6">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套</w:t>
            </w:r>
          </w:p>
        </w:tc>
      </w:tr>
      <w:tr w14:paraId="6C9CC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00" w:type="dxa"/>
            <w:vAlign w:val="center"/>
          </w:tcPr>
          <w:p w14:paraId="54404307">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p>
        </w:tc>
        <w:tc>
          <w:tcPr>
            <w:tcW w:w="2012" w:type="dxa"/>
            <w:vAlign w:val="center"/>
          </w:tcPr>
          <w:p w14:paraId="374B045B">
            <w:pPr>
              <w:rPr>
                <w:rFonts w:hint="eastAsia" w:ascii="仿宋" w:hAnsi="仿宋" w:eastAsia="仿宋" w:cs="Times New Roman"/>
                <w:color w:val="auto"/>
                <w:kern w:val="0"/>
                <w:szCs w:val="21"/>
                <w:highlight w:val="none"/>
                <w:lang w:val="en-US" w:eastAsia="zh-CN"/>
              </w:rPr>
            </w:pPr>
            <w:r>
              <w:rPr>
                <w:rFonts w:hint="eastAsia" w:ascii="仿宋" w:hAnsi="仿宋" w:eastAsia="仿宋" w:cs="Times New Roman"/>
                <w:color w:val="auto"/>
                <w:kern w:val="0"/>
                <w:szCs w:val="21"/>
                <w:highlight w:val="none"/>
                <w:lang w:val="en-US" w:eastAsia="zh-CN"/>
              </w:rPr>
              <w:t>人形机器人2</w:t>
            </w:r>
          </w:p>
        </w:tc>
        <w:tc>
          <w:tcPr>
            <w:tcW w:w="4938" w:type="dxa"/>
            <w:vAlign w:val="center"/>
          </w:tcPr>
          <w:p w14:paraId="54FB5184">
            <w:pPr>
              <w:numPr>
                <w:ilvl w:val="0"/>
                <w:numId w:val="16"/>
              </w:numPr>
              <w:rPr>
                <w:rFonts w:hint="eastAsia" w:ascii="仿宋" w:hAnsi="仿宋" w:eastAsia="仿宋" w:cs="宋体"/>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站立尺寸</w:t>
            </w:r>
            <w:r>
              <w:rPr>
                <w:rFonts w:hint="eastAsia" w:ascii="Arial" w:hAnsi="Arial" w:eastAsia="仿宋" w:cs="Arial"/>
                <w:color w:val="auto"/>
                <w:kern w:val="0"/>
                <w:sz w:val="21"/>
                <w:szCs w:val="21"/>
                <w:highlight w:val="none"/>
                <w:lang w:val="en-US" w:eastAsia="zh-CN" w:bidi="ar-SA"/>
              </w:rPr>
              <w:t>高宽厚</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（1560+285）mm*570mm*220mm</w:t>
            </w:r>
          </w:p>
          <w:p w14:paraId="0C4A11D3">
            <w:pPr>
              <w:numPr>
                <w:ilvl w:val="0"/>
                <w:numId w:val="16"/>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大腿长度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400mm；小腿长度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400mm</w:t>
            </w:r>
          </w:p>
          <w:p w14:paraId="5895181C">
            <w:pPr>
              <w:numPr>
                <w:ilvl w:val="0"/>
                <w:numId w:val="16"/>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大臂长度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338mm；小臂长度</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338mm</w:t>
            </w:r>
          </w:p>
          <w:p w14:paraId="308E4213">
            <w:pPr>
              <w:numPr>
                <w:ilvl w:val="0"/>
                <w:numId w:val="16"/>
              </w:numPr>
              <w:rPr>
                <w:rFonts w:hint="default"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单腿自由度：髋关节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1+踝关节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2，总体</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6</w:t>
            </w:r>
          </w:p>
          <w:p w14:paraId="47BE4029">
            <w:pPr>
              <w:numPr>
                <w:ilvl w:val="0"/>
                <w:numId w:val="16"/>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单手臂自由度</w:t>
            </w:r>
            <w:r>
              <w:rPr>
                <w:rFonts w:hint="default" w:ascii="Arial" w:hAnsi="Arial" w:eastAsia="仿宋" w:cs="Arial"/>
                <w:color w:val="auto"/>
                <w:kern w:val="0"/>
                <w:sz w:val="21"/>
                <w:szCs w:val="21"/>
                <w:highlight w:val="none"/>
                <w:lang w:val="en-US" w:eastAsia="zh-CN" w:bidi="ar-SA"/>
              </w:rPr>
              <w:t>≥</w:t>
            </w:r>
            <w:r>
              <w:rPr>
                <w:rFonts w:hint="eastAsia" w:ascii="Arial" w:hAnsi="Arial" w:eastAsia="仿宋" w:cs="Arial"/>
                <w:color w:val="auto"/>
                <w:kern w:val="0"/>
                <w:sz w:val="21"/>
                <w:szCs w:val="21"/>
                <w:highlight w:val="none"/>
                <w:lang w:val="en-US" w:eastAsia="zh-CN" w:bidi="ar-SA"/>
              </w:rPr>
              <w:t>7</w:t>
            </w:r>
          </w:p>
          <w:p w14:paraId="6238B1D9">
            <w:pPr>
              <w:numPr>
                <w:ilvl w:val="0"/>
                <w:numId w:val="16"/>
              </w:numPr>
              <w:rPr>
                <w:rFonts w:hint="eastAsia"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整机重量</w:t>
            </w:r>
            <w:r>
              <w:rPr>
                <w:rFonts w:hint="default" w:ascii="Arial" w:hAnsi="Arial" w:eastAsia="宋体"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60kg</w:t>
            </w:r>
          </w:p>
          <w:p w14:paraId="5D81BA1A">
            <w:pPr>
              <w:numPr>
                <w:ilvl w:val="0"/>
                <w:numId w:val="16"/>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关节单元极限扭矩膝关节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360N.m，髋关节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220N.m，踝关节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45N.m，手臂关节</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75N.m；</w:t>
            </w:r>
          </w:p>
          <w:p w14:paraId="79232267">
            <w:pPr>
              <w:numPr>
                <w:ilvl w:val="0"/>
                <w:numId w:val="16"/>
              </w:numPr>
              <w:rPr>
                <w:rFonts w:hint="eastAsia" w:ascii="仿宋" w:hAnsi="仿宋" w:eastAsia="仿宋" w:cs="宋体"/>
                <w:color w:val="auto"/>
                <w:kern w:val="0"/>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仿宋" w:hAnsi="仿宋" w:eastAsia="仿宋" w:cs="宋体"/>
                <w:color w:val="auto"/>
                <w:kern w:val="0"/>
                <w:szCs w:val="21"/>
                <w:highlight w:val="none"/>
                <w:lang w:val="en-US" w:eastAsia="zh-CN"/>
              </w:rPr>
              <w:t>行走速度&gt;2.8  m/s（潜在运动能力&gt;5m/s）</w:t>
            </w:r>
          </w:p>
          <w:p w14:paraId="41C01CCC">
            <w:pPr>
              <w:numPr>
                <w:ilvl w:val="0"/>
                <w:numId w:val="16"/>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电池容量</w:t>
            </w:r>
            <w:r>
              <w:rPr>
                <w:rFonts w:hint="default" w:ascii="Arial" w:hAnsi="Arial" w:eastAsia="仿宋" w:cs="Arial"/>
                <w:color w:val="auto"/>
                <w:kern w:val="0"/>
                <w:sz w:val="21"/>
                <w:szCs w:val="21"/>
                <w:highlight w:val="none"/>
                <w:lang w:val="en-US" w:eastAsia="zh-CN" w:bidi="ar-SA"/>
              </w:rPr>
              <w:t>≥</w:t>
            </w:r>
            <w:r>
              <w:rPr>
                <w:rFonts w:hint="eastAsia" w:ascii="仿宋" w:hAnsi="仿宋" w:eastAsia="仿宋" w:cs="宋体"/>
                <w:color w:val="auto"/>
                <w:kern w:val="0"/>
                <w:szCs w:val="21"/>
                <w:highlight w:val="none"/>
                <w:lang w:val="en-US" w:eastAsia="zh-CN"/>
              </w:rPr>
              <w:t>15Ah (0.864KWh)，最大电压67.2V；</w:t>
            </w:r>
          </w:p>
          <w:p w14:paraId="64D9D4E9">
            <w:pPr>
              <w:numPr>
                <w:ilvl w:val="0"/>
                <w:numId w:val="16"/>
              </w:numPr>
              <w:rPr>
                <w:rFonts w:hint="default"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控制和感知算力：配备高性能CPU</w:t>
            </w:r>
          </w:p>
          <w:p w14:paraId="16A08413">
            <w:pPr>
              <w:numPr>
                <w:ilvl w:val="0"/>
                <w:numId w:val="16"/>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感知传感器配置：配置3D激光雷达+深度相机；</w:t>
            </w:r>
          </w:p>
          <w:p w14:paraId="7B92428F">
            <w:pPr>
              <w:numPr>
                <w:ilvl w:val="0"/>
                <w:numId w:val="16"/>
              </w:numPr>
              <w:rPr>
                <w:rFonts w:ascii="仿宋" w:hAnsi="仿宋" w:eastAsia="仿宋" w:cs="仿宋"/>
                <w:bCs/>
                <w:color w:val="auto"/>
                <w:sz w:val="24"/>
                <w:szCs w:val="24"/>
                <w:highlight w:val="none"/>
              </w:rPr>
            </w:pPr>
            <w:r>
              <w:rPr>
                <w:rFonts w:hint="eastAsia" w:ascii="仿宋" w:hAnsi="仿宋" w:eastAsia="仿宋" w:cs="宋体"/>
                <w:color w:val="auto"/>
                <w:kern w:val="0"/>
                <w:szCs w:val="21"/>
                <w:highlight w:val="none"/>
                <w:lang w:val="en-US" w:eastAsia="zh-CN"/>
              </w:rPr>
              <w:t xml:space="preserve">配置双电池 </w:t>
            </w:r>
          </w:p>
        </w:tc>
        <w:tc>
          <w:tcPr>
            <w:tcW w:w="709" w:type="dxa"/>
            <w:vAlign w:val="center"/>
          </w:tcPr>
          <w:p w14:paraId="6056BB1B">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p>
        </w:tc>
        <w:tc>
          <w:tcPr>
            <w:tcW w:w="762" w:type="dxa"/>
            <w:vAlign w:val="center"/>
          </w:tcPr>
          <w:p w14:paraId="5FE8ECCE">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套</w:t>
            </w:r>
          </w:p>
        </w:tc>
      </w:tr>
      <w:tr w14:paraId="2B453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00" w:type="dxa"/>
            <w:noWrap/>
            <w:vAlign w:val="center"/>
          </w:tcPr>
          <w:p w14:paraId="45F47397">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w:t>
            </w:r>
          </w:p>
        </w:tc>
        <w:tc>
          <w:tcPr>
            <w:tcW w:w="2012" w:type="dxa"/>
            <w:vAlign w:val="center"/>
          </w:tcPr>
          <w:p w14:paraId="3B4B0FC3">
            <w:pPr>
              <w:rPr>
                <w:rFonts w:hint="eastAsia" w:ascii="仿宋" w:hAnsi="仿宋" w:eastAsia="仿宋" w:cs="Times New Roman"/>
                <w:color w:val="auto"/>
                <w:kern w:val="0"/>
                <w:szCs w:val="21"/>
                <w:highlight w:val="none"/>
                <w:lang w:val="en-US" w:eastAsia="zh-CN"/>
              </w:rPr>
            </w:pPr>
            <w:r>
              <w:rPr>
                <w:rFonts w:hint="eastAsia" w:ascii="仿宋" w:hAnsi="仿宋" w:eastAsia="仿宋" w:cs="Times New Roman"/>
                <w:color w:val="auto"/>
                <w:kern w:val="0"/>
                <w:szCs w:val="21"/>
                <w:highlight w:val="none"/>
                <w:lang w:val="en-US" w:eastAsia="zh-CN"/>
              </w:rPr>
              <w:t>机械手臂</w:t>
            </w:r>
          </w:p>
        </w:tc>
        <w:tc>
          <w:tcPr>
            <w:tcW w:w="4938" w:type="dxa"/>
            <w:noWrap/>
            <w:vAlign w:val="center"/>
          </w:tcPr>
          <w:p w14:paraId="010D2A84">
            <w:pPr>
              <w:numPr>
                <w:ilvl w:val="-1"/>
                <w:numId w:val="0"/>
              </w:numPr>
              <w:rPr>
                <w:rFonts w:hint="eastAsia" w:ascii="仿宋" w:hAnsi="仿宋" w:eastAsia="仿宋" w:cs="宋体"/>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1.自由度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6；关节数</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12</w:t>
            </w:r>
          </w:p>
          <w:p w14:paraId="47895580">
            <w:pPr>
              <w:numPr>
                <w:ilvl w:val="-1"/>
                <w:numId w:val="0"/>
              </w:numPr>
              <w:rPr>
                <w:rFonts w:hint="default" w:ascii="仿宋" w:hAnsi="仿宋" w:eastAsia="仿宋" w:cs="宋体"/>
                <w:color w:val="auto"/>
                <w:kern w:val="0"/>
                <w:szCs w:val="21"/>
                <w:highlight w:val="none"/>
                <w:lang w:val="en-US" w:eastAsia="zh-CN"/>
              </w:rPr>
            </w:pPr>
            <w:r>
              <w:rPr>
                <w:rFonts w:hint="eastAsia" w:ascii="仿宋" w:hAnsi="仿宋" w:eastAsia="仿宋" w:cs="宋体"/>
                <w:b w:val="0"/>
                <w:bCs w:val="0"/>
                <w:color w:val="auto"/>
                <w:kern w:val="0"/>
                <w:sz w:val="21"/>
                <w:szCs w:val="21"/>
                <w:highlight w:val="none"/>
                <w:lang w:val="en-US" w:eastAsia="zh-CN"/>
              </w:rPr>
              <w:t>2.★</w:t>
            </w:r>
            <w:r>
              <w:rPr>
                <w:rFonts w:hint="eastAsia" w:ascii="仿宋" w:hAnsi="仿宋" w:eastAsia="仿宋" w:cs="宋体"/>
                <w:color w:val="auto"/>
                <w:kern w:val="0"/>
                <w:szCs w:val="21"/>
                <w:highlight w:val="none"/>
                <w:lang w:val="en-US" w:eastAsia="zh-CN"/>
              </w:rPr>
              <w:t>重复定位精度：±0.20mm之间</w:t>
            </w:r>
          </w:p>
          <w:p w14:paraId="590E2429">
            <w:pPr>
              <w:numPr>
                <w:ilvl w:val="-1"/>
                <w:numId w:val="0"/>
              </w:numPr>
              <w:rPr>
                <w:rFonts w:hint="eastAsia" w:ascii="仿宋" w:hAnsi="仿宋" w:eastAsia="仿宋" w:cs="宋体"/>
                <w:color w:val="auto"/>
                <w:kern w:val="0"/>
                <w:szCs w:val="21"/>
                <w:highlight w:val="none"/>
                <w:lang w:val="en-US" w:eastAsia="zh-CN"/>
              </w:rPr>
            </w:pPr>
            <w:r>
              <w:rPr>
                <w:rFonts w:hint="eastAsia" w:ascii="仿宋" w:hAnsi="仿宋" w:eastAsia="仿宋" w:cs="宋体"/>
                <w:b w:val="0"/>
                <w:bCs w:val="0"/>
                <w:color w:val="auto"/>
                <w:kern w:val="0"/>
                <w:sz w:val="21"/>
                <w:szCs w:val="21"/>
                <w:highlight w:val="none"/>
                <w:lang w:val="en-US" w:eastAsia="zh-CN"/>
              </w:rPr>
              <w:t>3.</w:t>
            </w:r>
            <w:r>
              <w:rPr>
                <w:rFonts w:hint="eastAsia" w:ascii="仿宋" w:hAnsi="仿宋" w:eastAsia="仿宋" w:cs="宋体"/>
                <w:b w:val="0"/>
                <w:bCs w:val="0"/>
                <w:color w:val="auto"/>
                <w:kern w:val="0"/>
                <w:sz w:val="21"/>
                <w:szCs w:val="21"/>
                <w:highlight w:val="none"/>
                <w:lang w:val="en-US" w:eastAsia="zh-CN"/>
              </w:rPr>
              <w:t>★</w:t>
            </w:r>
            <w:r>
              <w:rPr>
                <w:rFonts w:hint="eastAsia" w:ascii="仿宋" w:hAnsi="仿宋" w:eastAsia="仿宋" w:cs="宋体"/>
                <w:color w:val="auto"/>
                <w:kern w:val="0"/>
                <w:szCs w:val="21"/>
                <w:highlight w:val="none"/>
                <w:lang w:val="en-US" w:eastAsia="zh-CN"/>
              </w:rPr>
              <w:t>拇指最大抓握力6N；四指最大抓握力4N；</w:t>
            </w:r>
          </w:p>
          <w:p w14:paraId="28B70474">
            <w:pPr>
              <w:numPr>
                <w:ilvl w:val="-1"/>
                <w:numId w:val="0"/>
              </w:numPr>
              <w:rPr>
                <w:rFonts w:hint="eastAsia" w:ascii="仿宋" w:hAnsi="仿宋" w:eastAsia="仿宋" w:cs="宋体"/>
                <w:color w:val="auto"/>
                <w:kern w:val="0"/>
                <w:szCs w:val="21"/>
                <w:highlight w:val="none"/>
                <w:lang w:val="en-US" w:eastAsia="zh-CN"/>
              </w:rPr>
            </w:pPr>
            <w:r>
              <w:rPr>
                <w:rFonts w:hint="eastAsia" w:ascii="仿宋" w:hAnsi="仿宋" w:eastAsia="仿宋" w:cs="宋体"/>
                <w:b w:val="0"/>
                <w:bCs w:val="0"/>
                <w:color w:val="auto"/>
                <w:kern w:val="0"/>
                <w:sz w:val="21"/>
                <w:szCs w:val="21"/>
                <w:highlight w:val="none"/>
                <w:lang w:val="en-US" w:eastAsia="zh-CN"/>
              </w:rPr>
              <w:t>4.</w:t>
            </w:r>
            <w:r>
              <w:rPr>
                <w:rFonts w:hint="eastAsia" w:ascii="仿宋" w:hAnsi="仿宋" w:eastAsia="仿宋" w:cs="宋体"/>
                <w:b w:val="0"/>
                <w:bCs w:val="0"/>
                <w:color w:val="auto"/>
                <w:kern w:val="0"/>
                <w:sz w:val="21"/>
                <w:szCs w:val="21"/>
                <w:highlight w:val="none"/>
                <w:lang w:val="en-US" w:eastAsia="zh-CN"/>
              </w:rPr>
              <w:t>★</w:t>
            </w:r>
            <w:r>
              <w:rPr>
                <w:rFonts w:hint="eastAsia" w:ascii="仿宋" w:hAnsi="仿宋" w:eastAsia="仿宋" w:cs="宋体"/>
                <w:color w:val="auto"/>
                <w:kern w:val="0"/>
                <w:szCs w:val="21"/>
                <w:highlight w:val="none"/>
                <w:lang w:val="en-US" w:eastAsia="zh-CN"/>
              </w:rPr>
              <w:t>抓握力分辨率</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0.50N</w:t>
            </w:r>
          </w:p>
          <w:p w14:paraId="37431E84">
            <w:pPr>
              <w:numPr>
                <w:ilvl w:val="-1"/>
                <w:numId w:val="0"/>
              </w:numPr>
              <w:rPr>
                <w:rFonts w:ascii="仿宋" w:hAnsi="仿宋" w:eastAsia="仿宋" w:cs="仿宋"/>
                <w:bCs/>
                <w:color w:val="auto"/>
                <w:sz w:val="24"/>
                <w:szCs w:val="24"/>
                <w:highlight w:val="none"/>
              </w:rPr>
            </w:pPr>
            <w:r>
              <w:rPr>
                <w:rFonts w:hint="eastAsia" w:ascii="仿宋" w:hAnsi="仿宋" w:eastAsia="仿宋" w:cs="宋体"/>
                <w:color w:val="auto"/>
                <w:kern w:val="0"/>
                <w:szCs w:val="21"/>
                <w:highlight w:val="none"/>
                <w:lang w:val="en-US" w:eastAsia="zh-CN"/>
              </w:rPr>
              <w:t>5.拇指横向旋转范围＞65°；拇指侧摆速度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235°/s；拇指弯曲速度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150°/s；四指弯曲速度</w:t>
            </w:r>
            <w:r>
              <w:rPr>
                <w:rFonts w:hint="default" w:ascii="仿宋" w:hAnsi="仿宋" w:eastAsia="仿宋" w:cs="宋体"/>
                <w:color w:val="auto"/>
                <w:kern w:val="0"/>
                <w:szCs w:val="21"/>
                <w:highlight w:val="none"/>
                <w:lang w:val="en-US" w:eastAsia="zh-CN"/>
              </w:rPr>
              <w:t>≥</w:t>
            </w:r>
            <w:r>
              <w:rPr>
                <w:rFonts w:hint="eastAsia" w:ascii="仿宋" w:hAnsi="仿宋" w:eastAsia="仿宋" w:cs="宋体"/>
                <w:color w:val="auto"/>
                <w:kern w:val="0"/>
                <w:szCs w:val="21"/>
                <w:highlight w:val="none"/>
                <w:lang w:val="en-US" w:eastAsia="zh-CN"/>
              </w:rPr>
              <w:t>570°/s</w:t>
            </w:r>
          </w:p>
        </w:tc>
        <w:tc>
          <w:tcPr>
            <w:tcW w:w="709" w:type="dxa"/>
            <w:vAlign w:val="center"/>
          </w:tcPr>
          <w:p w14:paraId="1D0E6BE1">
            <w:pPr>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p>
        </w:tc>
        <w:tc>
          <w:tcPr>
            <w:tcW w:w="762" w:type="dxa"/>
            <w:vAlign w:val="center"/>
          </w:tcPr>
          <w:p w14:paraId="4E949DD9">
            <w:pPr>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套</w:t>
            </w:r>
          </w:p>
        </w:tc>
      </w:tr>
    </w:tbl>
    <w:p w14:paraId="360481E9">
      <w:pPr>
        <w:widowControl/>
        <w:numPr>
          <w:ilvl w:val="-1"/>
          <w:numId w:val="0"/>
        </w:numPr>
        <w:shd w:val="clear" w:color="auto" w:fill="auto"/>
        <w:snapToGrid w:val="0"/>
        <w:spacing w:line="360" w:lineRule="auto"/>
        <w:ind w:left="0" w:leftChars="0" w:firstLine="482" w:firstLineChars="200"/>
        <w:outlineLvl w:val="9"/>
        <w:rPr>
          <w:rFonts w:hint="eastAsia" w:ascii="仿宋" w:hAnsi="仿宋" w:eastAsia="仿宋"/>
          <w:b/>
          <w:bCs/>
          <w:color w:val="auto"/>
          <w:sz w:val="24"/>
          <w:szCs w:val="24"/>
          <w:highlight w:val="none"/>
          <w:lang w:val="en-US" w:eastAsia="zh-CN"/>
        </w:rPr>
      </w:pPr>
    </w:p>
    <w:p w14:paraId="1D996525">
      <w:pPr>
        <w:widowControl/>
        <w:numPr>
          <w:ilvl w:val="-1"/>
          <w:numId w:val="0"/>
        </w:numPr>
        <w:shd w:val="clear" w:color="auto" w:fill="auto"/>
        <w:snapToGrid w:val="0"/>
        <w:spacing w:line="360" w:lineRule="auto"/>
        <w:ind w:left="0" w:leftChars="0" w:firstLine="482" w:firstLineChars="200"/>
        <w:outlineLvl w:val="9"/>
        <w:rPr>
          <w:rFonts w:hint="eastAsia" w:ascii="仿宋" w:hAnsi="仿宋" w:eastAsia="仿宋" w:cs="Times New Roman"/>
          <w:b/>
          <w:bCs/>
          <w:color w:val="auto"/>
          <w:sz w:val="24"/>
          <w:szCs w:val="24"/>
          <w:highlight w:val="none"/>
          <w:lang w:val="en-US" w:eastAsia="zh-CN"/>
        </w:rPr>
      </w:pPr>
      <w:r>
        <w:rPr>
          <w:rFonts w:hint="eastAsia" w:ascii="仿宋" w:hAnsi="仿宋" w:eastAsia="仿宋"/>
          <w:b/>
          <w:bCs/>
          <w:color w:val="auto"/>
          <w:sz w:val="24"/>
          <w:szCs w:val="24"/>
          <w:highlight w:val="none"/>
          <w:lang w:val="en-US" w:eastAsia="zh-CN"/>
        </w:rPr>
        <w:t>三、</w:t>
      </w:r>
      <w:r>
        <w:rPr>
          <w:rFonts w:hint="eastAsia" w:ascii="仿宋" w:hAnsi="仿宋" w:eastAsia="仿宋" w:cs="Times New Roman"/>
          <w:b/>
          <w:bCs/>
          <w:color w:val="auto"/>
          <w:sz w:val="24"/>
          <w:szCs w:val="24"/>
          <w:highlight w:val="none"/>
          <w:lang w:val="en-US" w:eastAsia="zh-CN"/>
        </w:rPr>
        <w:t>人形机器人1、2的功能要求</w:t>
      </w:r>
    </w:p>
    <w:p w14:paraId="75EB2F57">
      <w:pPr>
        <w:widowControl/>
        <w:numPr>
          <w:ilvl w:val="0"/>
          <w:numId w:val="0"/>
        </w:numPr>
        <w:shd w:val="clear" w:color="auto" w:fill="FFFFFF"/>
        <w:spacing w:line="360" w:lineRule="auto"/>
        <w:ind w:left="420" w:leftChars="200" w:firstLine="0" w:firstLineChars="0"/>
        <w:outlineLvl w:val="0"/>
        <w:rPr>
          <w:rFonts w:hint="eastAsia" w:ascii="仿宋" w:hAnsi="仿宋" w:eastAsia="仿宋"/>
          <w:color w:val="auto"/>
          <w:sz w:val="22"/>
          <w:szCs w:val="22"/>
          <w:highlight w:val="none"/>
          <w:lang w:val="en-US" w:eastAsia="zh-CN"/>
        </w:rPr>
      </w:pPr>
      <w:r>
        <w:rPr>
          <w:rFonts w:hint="eastAsia" w:ascii="仿宋" w:hAnsi="仿宋" w:eastAsia="仿宋"/>
          <w:color w:val="auto"/>
          <w:sz w:val="22"/>
          <w:szCs w:val="22"/>
          <w:highlight w:val="none"/>
          <w:lang w:val="en-US" w:eastAsia="zh-CN"/>
        </w:rPr>
        <w:t>本项目机器人1、2需达到以下要求：</w:t>
      </w:r>
    </w:p>
    <w:p w14:paraId="41336296">
      <w:pPr>
        <w:widowControl/>
        <w:numPr>
          <w:ilvl w:val="0"/>
          <w:numId w:val="0"/>
        </w:numPr>
        <w:shd w:val="clear" w:color="auto" w:fill="FFFFFF"/>
        <w:spacing w:line="360" w:lineRule="auto"/>
        <w:ind w:left="420" w:leftChars="200" w:firstLine="0"/>
        <w:outlineLvl w:val="0"/>
        <w:rPr>
          <w:rFonts w:hint="eastAsia" w:ascii="仿宋" w:hAnsi="仿宋" w:eastAsia="仿宋"/>
          <w:color w:val="auto"/>
          <w:kern w:val="2"/>
          <w:sz w:val="22"/>
          <w:szCs w:val="22"/>
          <w:highlight w:val="none"/>
          <w:lang w:val="en-US" w:eastAsia="zh-CN"/>
        </w:rPr>
      </w:pPr>
      <w:r>
        <w:rPr>
          <w:rFonts w:hint="eastAsia" w:ascii="仿宋" w:hAnsi="仿宋" w:eastAsia="仿宋" w:cs="Times New Roman"/>
          <w:color w:val="auto"/>
          <w:sz w:val="22"/>
          <w:szCs w:val="22"/>
          <w:highlight w:val="none"/>
          <w:lang w:val="en-US" w:eastAsia="zh-CN"/>
        </w:rPr>
        <w:t>1、能够</w:t>
      </w:r>
      <w:r>
        <w:rPr>
          <w:rFonts w:hint="eastAsia" w:ascii="仿宋" w:hAnsi="仿宋" w:eastAsia="仿宋"/>
          <w:color w:val="auto"/>
          <w:kern w:val="2"/>
          <w:sz w:val="22"/>
          <w:szCs w:val="22"/>
          <w:highlight w:val="none"/>
          <w:lang w:val="en-US" w:eastAsia="zh-CN"/>
        </w:rPr>
        <w:t>根据要求，在特定道路配合警务人员实现巡逻防控，满电后，稳定行走；</w:t>
      </w:r>
    </w:p>
    <w:p w14:paraId="76E61E2C">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s="Times New Roman"/>
          <w:color w:val="auto"/>
          <w:sz w:val="22"/>
          <w:szCs w:val="22"/>
          <w:highlight w:val="none"/>
          <w:lang w:val="en-US" w:eastAsia="zh-CN"/>
        </w:rPr>
      </w:pPr>
      <w:r>
        <w:rPr>
          <w:rFonts w:hint="eastAsia" w:ascii="仿宋" w:hAnsi="仿宋" w:eastAsia="仿宋"/>
          <w:color w:val="auto"/>
          <w:kern w:val="2"/>
          <w:sz w:val="22"/>
          <w:szCs w:val="22"/>
          <w:highlight w:val="none"/>
          <w:lang w:val="en-US" w:eastAsia="zh-CN"/>
        </w:rPr>
        <w:t>2、能够实现握手、挥手、转身挥手、敬礼、引导等动作要求，根据要求与现场人员进行肢体动作互动</w:t>
      </w:r>
      <w:r>
        <w:rPr>
          <w:rFonts w:hint="eastAsia" w:ascii="仿宋" w:hAnsi="仿宋" w:eastAsia="仿宋" w:cs="Times New Roman"/>
          <w:color w:val="auto"/>
          <w:sz w:val="22"/>
          <w:szCs w:val="22"/>
          <w:highlight w:val="none"/>
          <w:lang w:val="en-US" w:eastAsia="zh-CN"/>
        </w:rPr>
        <w:t>。</w:t>
      </w:r>
    </w:p>
    <w:p w14:paraId="7A3B2559">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3、能够与人沟通、交流特定问题，根据提示做出相关动作，现场巡逻时，能够根据预定需求，指引人员到相应位置。</w:t>
      </w:r>
    </w:p>
    <w:p w14:paraId="73B12EB5">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4、能够对相关政策进行讲解和问题回答。</w:t>
      </w:r>
    </w:p>
    <w:p w14:paraId="162553D3">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5、机器人能够开放接口，配合接入公安相关的系统及平台，使其实现软件驱动的相关功能。</w:t>
      </w:r>
    </w:p>
    <w:p w14:paraId="353E305F">
      <w:pPr>
        <w:widowControl/>
        <w:numPr>
          <w:ilvl w:val="0"/>
          <w:numId w:val="0"/>
        </w:numPr>
        <w:shd w:val="clear" w:color="auto" w:fill="FFFFFF"/>
        <w:adjustRightInd/>
        <w:spacing w:line="360" w:lineRule="auto"/>
        <w:ind w:left="420" w:leftChars="200" w:firstLine="0" w:firstLineChars="0"/>
        <w:outlineLvl w:val="0"/>
        <w:rPr>
          <w:rFonts w:hint="eastAsia" w:ascii="仿宋" w:hAnsi="仿宋" w:eastAsia="仿宋"/>
          <w:color w:val="auto"/>
          <w:kern w:val="2"/>
          <w:sz w:val="22"/>
          <w:szCs w:val="22"/>
          <w:highlight w:val="none"/>
          <w:lang w:val="en-US" w:eastAsia="zh-CN"/>
        </w:rPr>
      </w:pPr>
      <w:r>
        <w:rPr>
          <w:rFonts w:hint="eastAsia" w:ascii="仿宋" w:hAnsi="仿宋" w:eastAsia="仿宋"/>
          <w:color w:val="auto"/>
          <w:kern w:val="2"/>
          <w:sz w:val="22"/>
          <w:szCs w:val="22"/>
          <w:highlight w:val="none"/>
          <w:lang w:val="en-US" w:eastAsia="zh-CN"/>
        </w:rPr>
        <w:t>6、人形机器人需满足能够配合接入语音、控制、算法、导航、地图、音视频传输等模块功能的接口开放。</w:t>
      </w:r>
    </w:p>
    <w:p w14:paraId="3704F2AF">
      <w:pPr>
        <w:snapToGrid w:val="0"/>
        <w:spacing w:line="360" w:lineRule="auto"/>
        <w:ind w:firstLine="482" w:firstLineChars="200"/>
        <w:rPr>
          <w:rFonts w:hint="eastAsia" w:ascii="仿宋" w:hAnsi="仿宋" w:eastAsia="仿宋"/>
          <w:b/>
          <w:bCs/>
          <w:color w:val="auto"/>
          <w:sz w:val="24"/>
          <w:szCs w:val="24"/>
          <w:highlight w:val="none"/>
          <w:lang w:val="en-US" w:eastAsia="zh-CN"/>
        </w:rPr>
      </w:pPr>
    </w:p>
    <w:p w14:paraId="46C776E7">
      <w:pPr>
        <w:numPr>
          <w:ilvl w:val="0"/>
          <w:numId w:val="0"/>
        </w:numPr>
        <w:adjustRightInd w:val="0"/>
        <w:spacing w:line="360" w:lineRule="auto"/>
        <w:ind w:firstLine="482" w:firstLineChars="200"/>
        <w:rPr>
          <w:rFonts w:hint="eastAsia" w:ascii="黑体" w:hAnsi="黑体" w:eastAsia="黑体" w:cs="黑体"/>
          <w:b/>
          <w:bCs/>
          <w:color w:val="auto"/>
          <w:sz w:val="24"/>
          <w:szCs w:val="24"/>
          <w:highlight w:val="none"/>
          <w:lang w:val="en-US" w:eastAsia="zh-CN"/>
        </w:rPr>
      </w:pPr>
      <w:r>
        <w:rPr>
          <w:rFonts w:hint="eastAsia" w:ascii="黑体" w:hAnsi="黑体" w:eastAsia="黑体" w:cs="黑体"/>
          <w:b/>
          <w:bCs/>
          <w:color w:val="auto"/>
          <w:sz w:val="24"/>
          <w:szCs w:val="24"/>
          <w:highlight w:val="none"/>
          <w:lang w:val="en-US" w:eastAsia="zh-CN"/>
        </w:rPr>
        <w:t>四</w:t>
      </w:r>
      <w:r>
        <w:rPr>
          <w:rFonts w:hint="eastAsia" w:ascii="黑体" w:hAnsi="黑体" w:eastAsia="黑体" w:cs="黑体"/>
          <w:b/>
          <w:bCs/>
          <w:color w:val="auto"/>
          <w:sz w:val="24"/>
          <w:szCs w:val="24"/>
          <w:highlight w:val="none"/>
        </w:rPr>
        <w:t>、</w:t>
      </w:r>
      <w:r>
        <w:rPr>
          <w:rFonts w:hint="eastAsia" w:ascii="黑体" w:hAnsi="黑体" w:eastAsia="黑体" w:cs="黑体"/>
          <w:b/>
          <w:bCs/>
          <w:color w:val="auto"/>
          <w:sz w:val="24"/>
          <w:szCs w:val="24"/>
          <w:highlight w:val="none"/>
          <w:lang w:val="en-US" w:eastAsia="zh-CN"/>
        </w:rPr>
        <w:t>服务要求</w:t>
      </w:r>
    </w:p>
    <w:p w14:paraId="54CE664F">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rPr>
        <w:t>1.</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提供租赁的</w:t>
      </w:r>
      <w:r>
        <w:rPr>
          <w:rFonts w:hint="eastAsia" w:ascii="仿宋" w:hAnsi="仿宋" w:eastAsia="仿宋"/>
          <w:color w:val="auto"/>
          <w:sz w:val="22"/>
          <w:szCs w:val="22"/>
          <w:highlight w:val="none"/>
          <w:lang w:val="en-US" w:eastAsia="zh-CN"/>
        </w:rPr>
        <w:t>产品</w:t>
      </w:r>
      <w:r>
        <w:rPr>
          <w:rFonts w:hint="eastAsia" w:ascii="仿宋" w:hAnsi="仿宋" w:eastAsia="仿宋"/>
          <w:color w:val="auto"/>
          <w:sz w:val="22"/>
          <w:szCs w:val="22"/>
          <w:highlight w:val="none"/>
        </w:rPr>
        <w:t>由</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负责维护，如在</w:t>
      </w:r>
      <w:r>
        <w:rPr>
          <w:rFonts w:hint="eastAsia" w:ascii="仿宋" w:hAnsi="仿宋" w:eastAsia="仿宋"/>
          <w:color w:val="auto"/>
          <w:sz w:val="22"/>
          <w:szCs w:val="22"/>
          <w:highlight w:val="none"/>
          <w:lang w:val="en-US" w:eastAsia="zh-CN"/>
        </w:rPr>
        <w:t>甲方需求清单</w:t>
      </w:r>
      <w:r>
        <w:rPr>
          <w:rFonts w:hint="eastAsia" w:ascii="仿宋" w:hAnsi="仿宋" w:eastAsia="仿宋"/>
          <w:color w:val="auto"/>
          <w:sz w:val="22"/>
          <w:szCs w:val="22"/>
          <w:highlight w:val="none"/>
        </w:rPr>
        <w:t>中未列明的，</w:t>
      </w:r>
      <w:r>
        <w:rPr>
          <w:rFonts w:hint="eastAsia" w:ascii="仿宋" w:hAnsi="仿宋" w:eastAsia="仿宋"/>
          <w:color w:val="auto"/>
          <w:sz w:val="22"/>
          <w:szCs w:val="22"/>
          <w:highlight w:val="none"/>
          <w:lang w:val="en-US" w:eastAsia="zh-CN"/>
        </w:rPr>
        <w:t>但项目实施过程中必须得，</w:t>
      </w:r>
      <w:r>
        <w:rPr>
          <w:rFonts w:hint="eastAsia" w:ascii="仿宋" w:hAnsi="仿宋" w:eastAsia="仿宋"/>
          <w:color w:val="auto"/>
          <w:sz w:val="22"/>
          <w:szCs w:val="22"/>
          <w:highlight w:val="none"/>
        </w:rPr>
        <w:t>由</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自行补齐，所有费用由</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承担。</w:t>
      </w:r>
    </w:p>
    <w:p w14:paraId="4F73B60D">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rPr>
        <w:t>2.在合同服务期内，</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提供租赁的所有设备的维护、更新、质保服务均由</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自行负责，</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须确保</w:t>
      </w:r>
      <w:r>
        <w:rPr>
          <w:rFonts w:hint="eastAsia" w:ascii="仿宋" w:hAnsi="仿宋" w:eastAsia="仿宋"/>
          <w:color w:val="auto"/>
          <w:sz w:val="22"/>
          <w:szCs w:val="22"/>
          <w:highlight w:val="none"/>
          <w:lang w:val="en-US" w:eastAsia="zh-CN"/>
        </w:rPr>
        <w:t>产品</w:t>
      </w:r>
      <w:r>
        <w:rPr>
          <w:rFonts w:hint="eastAsia" w:ascii="仿宋" w:hAnsi="仿宋" w:eastAsia="仿宋"/>
          <w:color w:val="auto"/>
          <w:sz w:val="22"/>
          <w:szCs w:val="22"/>
          <w:highlight w:val="none"/>
        </w:rPr>
        <w:t>的正常运行。</w:t>
      </w:r>
    </w:p>
    <w:p w14:paraId="26ED27BB">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olor w:val="auto"/>
          <w:sz w:val="22"/>
          <w:szCs w:val="22"/>
          <w:highlight w:val="none"/>
        </w:rPr>
        <w:t>3.</w:t>
      </w:r>
      <w:r>
        <w:rPr>
          <w:rFonts w:hint="eastAsia" w:ascii="仿宋" w:hAnsi="仿宋" w:eastAsia="仿宋" w:cs="Times New Roman"/>
          <w:color w:val="auto"/>
          <w:sz w:val="22"/>
          <w:szCs w:val="22"/>
          <w:highlight w:val="none"/>
        </w:rPr>
        <w:t>租赁期内，</w:t>
      </w:r>
      <w:r>
        <w:rPr>
          <w:rFonts w:hint="eastAsia" w:ascii="仿宋" w:hAnsi="仿宋" w:eastAsia="仿宋" w:cs="Times New Roman"/>
          <w:color w:val="auto"/>
          <w:sz w:val="22"/>
          <w:szCs w:val="22"/>
          <w:highlight w:val="none"/>
          <w:lang w:val="en-US" w:eastAsia="zh-CN"/>
        </w:rPr>
        <w:t>乙方</w:t>
      </w:r>
      <w:r>
        <w:rPr>
          <w:rFonts w:hint="eastAsia" w:ascii="仿宋" w:hAnsi="仿宋" w:eastAsia="仿宋" w:cs="Times New Roman"/>
          <w:color w:val="auto"/>
          <w:sz w:val="22"/>
          <w:szCs w:val="22"/>
          <w:highlight w:val="none"/>
        </w:rPr>
        <w:t>必须确保</w:t>
      </w:r>
      <w:r>
        <w:rPr>
          <w:rFonts w:hint="eastAsia" w:ascii="仿宋" w:hAnsi="仿宋" w:eastAsia="仿宋" w:cs="Times New Roman"/>
          <w:color w:val="auto"/>
          <w:sz w:val="22"/>
          <w:szCs w:val="22"/>
          <w:highlight w:val="none"/>
          <w:lang w:val="en-US" w:eastAsia="zh-CN"/>
        </w:rPr>
        <w:t>设备</w:t>
      </w:r>
      <w:r>
        <w:rPr>
          <w:rFonts w:hint="eastAsia" w:ascii="仿宋" w:hAnsi="仿宋" w:eastAsia="仿宋" w:cs="Times New Roman"/>
          <w:color w:val="auto"/>
          <w:sz w:val="22"/>
          <w:szCs w:val="22"/>
          <w:highlight w:val="none"/>
        </w:rPr>
        <w:t>的稳定运行，</w:t>
      </w:r>
      <w:r>
        <w:rPr>
          <w:rFonts w:hint="eastAsia" w:ascii="仿宋" w:hAnsi="仿宋" w:eastAsia="仿宋" w:cs="Times New Roman"/>
          <w:color w:val="auto"/>
          <w:sz w:val="22"/>
          <w:szCs w:val="22"/>
          <w:highlight w:val="none"/>
          <w:lang w:val="en-US" w:eastAsia="zh-CN"/>
        </w:rPr>
        <w:t>做好设备</w:t>
      </w:r>
      <w:r>
        <w:rPr>
          <w:rFonts w:hint="eastAsia" w:ascii="仿宋" w:hAnsi="仿宋" w:eastAsia="仿宋" w:cs="Times New Roman"/>
          <w:color w:val="auto"/>
          <w:sz w:val="22"/>
          <w:szCs w:val="22"/>
          <w:highlight w:val="none"/>
        </w:rPr>
        <w:t>软件升级</w:t>
      </w:r>
      <w:r>
        <w:rPr>
          <w:rFonts w:hint="eastAsia" w:ascii="仿宋" w:hAnsi="仿宋" w:eastAsia="仿宋" w:cs="Times New Roman"/>
          <w:color w:val="auto"/>
          <w:sz w:val="22"/>
          <w:szCs w:val="22"/>
          <w:highlight w:val="none"/>
          <w:lang w:val="en-US" w:eastAsia="zh-CN"/>
        </w:rPr>
        <w:t>和</w:t>
      </w:r>
      <w:r>
        <w:rPr>
          <w:rFonts w:hint="eastAsia" w:ascii="仿宋" w:hAnsi="仿宋" w:eastAsia="仿宋" w:cs="Times New Roman"/>
          <w:color w:val="auto"/>
          <w:sz w:val="22"/>
          <w:szCs w:val="22"/>
          <w:highlight w:val="none"/>
        </w:rPr>
        <w:t>硬件的维护工作。提供7*24上门维护、升级服务，对故障在</w:t>
      </w:r>
      <w:r>
        <w:rPr>
          <w:rFonts w:hint="eastAsia" w:ascii="仿宋" w:hAnsi="仿宋" w:eastAsia="仿宋" w:cs="Times New Roman"/>
          <w:color w:val="auto"/>
          <w:sz w:val="22"/>
          <w:szCs w:val="22"/>
          <w:highlight w:val="none"/>
          <w:lang w:val="en-US" w:eastAsia="zh-CN"/>
        </w:rPr>
        <w:t>30</w:t>
      </w:r>
      <w:r>
        <w:rPr>
          <w:rFonts w:hint="eastAsia" w:ascii="仿宋" w:hAnsi="仿宋" w:eastAsia="仿宋" w:cs="Times New Roman"/>
          <w:color w:val="auto"/>
          <w:sz w:val="22"/>
          <w:szCs w:val="22"/>
          <w:highlight w:val="none"/>
        </w:rPr>
        <w:t>分钟内响应，要求</w:t>
      </w:r>
      <w:r>
        <w:rPr>
          <w:rFonts w:hint="eastAsia" w:ascii="仿宋" w:hAnsi="仿宋" w:eastAsia="仿宋" w:cs="Times New Roman"/>
          <w:color w:val="auto"/>
          <w:sz w:val="22"/>
          <w:szCs w:val="22"/>
          <w:highlight w:val="none"/>
          <w:lang w:val="en-US" w:eastAsia="zh-CN"/>
        </w:rPr>
        <w:t>8</w:t>
      </w:r>
      <w:r>
        <w:rPr>
          <w:rFonts w:hint="eastAsia" w:ascii="仿宋" w:hAnsi="仿宋" w:eastAsia="仿宋" w:cs="Times New Roman"/>
          <w:color w:val="auto"/>
          <w:sz w:val="22"/>
          <w:szCs w:val="22"/>
          <w:highlight w:val="none"/>
        </w:rPr>
        <w:t>小时内排除故障或到达现场给予技术支持。逾期未作出响应，</w:t>
      </w:r>
      <w:r>
        <w:rPr>
          <w:rFonts w:hint="eastAsia" w:ascii="仿宋" w:hAnsi="仿宋" w:eastAsia="仿宋" w:cs="Times New Roman"/>
          <w:color w:val="auto"/>
          <w:sz w:val="22"/>
          <w:szCs w:val="22"/>
          <w:highlight w:val="none"/>
          <w:lang w:val="en-US" w:eastAsia="zh-CN"/>
        </w:rPr>
        <w:t>乙方</w:t>
      </w:r>
      <w:r>
        <w:rPr>
          <w:rFonts w:hint="eastAsia" w:ascii="仿宋" w:hAnsi="仿宋" w:eastAsia="仿宋" w:cs="Times New Roman"/>
          <w:color w:val="auto"/>
          <w:sz w:val="22"/>
          <w:szCs w:val="22"/>
          <w:highlight w:val="none"/>
        </w:rPr>
        <w:t>应承担由于故障所造成的全部损失。</w:t>
      </w:r>
    </w:p>
    <w:p w14:paraId="3DF6863C">
      <w:pPr>
        <w:spacing w:line="360" w:lineRule="auto"/>
        <w:ind w:firstLine="440" w:firstLineChars="200"/>
        <w:rPr>
          <w:rFonts w:hint="eastAsia"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4</w:t>
      </w:r>
      <w:r>
        <w:rPr>
          <w:rFonts w:hint="eastAsia" w:ascii="仿宋" w:hAnsi="仿宋" w:eastAsia="仿宋"/>
          <w:color w:val="auto"/>
          <w:sz w:val="22"/>
          <w:szCs w:val="22"/>
          <w:highlight w:val="none"/>
        </w:rPr>
        <w:t>.在合同服务期内，</w:t>
      </w:r>
      <w:r>
        <w:rPr>
          <w:rFonts w:hint="eastAsia" w:ascii="仿宋" w:hAnsi="仿宋" w:eastAsia="仿宋"/>
          <w:color w:val="auto"/>
          <w:kern w:val="2"/>
          <w:sz w:val="22"/>
          <w:szCs w:val="22"/>
          <w:highlight w:val="none"/>
          <w:lang w:val="en-US" w:eastAsia="zh-CN"/>
        </w:rPr>
        <w:t>每月不少于1次现场服务（包含技术支撑、巡检等）</w:t>
      </w:r>
      <w:r>
        <w:rPr>
          <w:rFonts w:hint="eastAsia" w:ascii="仿宋" w:hAnsi="仿宋" w:eastAsia="仿宋"/>
          <w:color w:val="auto"/>
          <w:sz w:val="22"/>
          <w:szCs w:val="22"/>
          <w:highlight w:val="none"/>
        </w:rPr>
        <w:t>，并建立相应台账。</w:t>
      </w:r>
    </w:p>
    <w:p w14:paraId="3A4C8B9D">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olor w:val="auto"/>
          <w:sz w:val="22"/>
          <w:szCs w:val="22"/>
          <w:highlight w:val="none"/>
          <w:lang w:val="en-US" w:eastAsia="zh-CN"/>
        </w:rPr>
        <w:t>5.</w:t>
      </w:r>
      <w:r>
        <w:rPr>
          <w:rFonts w:hint="eastAsia" w:ascii="仿宋" w:hAnsi="仿宋" w:eastAsia="仿宋" w:cs="Times New Roman"/>
          <w:color w:val="auto"/>
          <w:sz w:val="22"/>
          <w:szCs w:val="22"/>
          <w:highlight w:val="none"/>
          <w:lang w:val="en-US" w:eastAsia="zh-CN"/>
        </w:rPr>
        <w:t>乙方</w:t>
      </w:r>
      <w:r>
        <w:rPr>
          <w:rFonts w:hint="eastAsia" w:ascii="仿宋" w:hAnsi="仿宋" w:eastAsia="仿宋" w:cs="Times New Roman"/>
          <w:color w:val="auto"/>
          <w:sz w:val="22"/>
          <w:szCs w:val="22"/>
          <w:highlight w:val="none"/>
        </w:rPr>
        <w:t>应</w:t>
      </w:r>
      <w:r>
        <w:rPr>
          <w:rFonts w:hint="eastAsia" w:ascii="仿宋" w:hAnsi="仿宋" w:eastAsia="仿宋" w:cs="Times New Roman"/>
          <w:color w:val="auto"/>
          <w:sz w:val="22"/>
          <w:szCs w:val="22"/>
          <w:highlight w:val="none"/>
          <w:lang w:val="en-US" w:eastAsia="zh-CN"/>
        </w:rPr>
        <w:t>提供相应技术人员进行服务，</w:t>
      </w:r>
      <w:r>
        <w:rPr>
          <w:rFonts w:hint="eastAsia" w:ascii="仿宋" w:hAnsi="仿宋" w:eastAsia="仿宋" w:cs="Times New Roman"/>
          <w:color w:val="auto"/>
          <w:kern w:val="2"/>
          <w:sz w:val="22"/>
          <w:szCs w:val="22"/>
          <w:highlight w:val="none"/>
          <w:lang w:val="en-US" w:eastAsia="zh-CN"/>
        </w:rPr>
        <w:t>服务团队人员要求自动化、计算机、数控专业人员不少于3人，有相关服务经验，</w:t>
      </w:r>
      <w:r>
        <w:rPr>
          <w:rFonts w:hint="eastAsia" w:ascii="仿宋" w:hAnsi="仿宋" w:eastAsia="仿宋" w:cs="Times New Roman"/>
          <w:color w:val="auto"/>
          <w:sz w:val="22"/>
          <w:szCs w:val="22"/>
          <w:highlight w:val="none"/>
          <w:lang w:val="en-US" w:eastAsia="zh-CN"/>
        </w:rPr>
        <w:t>并确保其</w:t>
      </w:r>
      <w:r>
        <w:rPr>
          <w:rFonts w:hint="eastAsia" w:ascii="仿宋" w:hAnsi="仿宋" w:eastAsia="仿宋" w:cs="Times New Roman"/>
          <w:color w:val="auto"/>
          <w:sz w:val="22"/>
          <w:szCs w:val="22"/>
          <w:highlight w:val="none"/>
        </w:rPr>
        <w:t>技术建议以及所提供的服务及租赁产品的完整性、实用性，保证全部</w:t>
      </w:r>
      <w:r>
        <w:rPr>
          <w:rFonts w:hint="eastAsia" w:ascii="仿宋" w:hAnsi="仿宋" w:eastAsia="仿宋" w:cs="Times New Roman"/>
          <w:color w:val="auto"/>
          <w:sz w:val="22"/>
          <w:szCs w:val="22"/>
          <w:highlight w:val="none"/>
          <w:lang w:val="en-US" w:eastAsia="zh-CN"/>
        </w:rPr>
        <w:t>设备、</w:t>
      </w:r>
      <w:r>
        <w:rPr>
          <w:rFonts w:hint="eastAsia" w:ascii="仿宋" w:hAnsi="仿宋" w:eastAsia="仿宋" w:cs="Times New Roman"/>
          <w:color w:val="auto"/>
          <w:sz w:val="22"/>
          <w:szCs w:val="22"/>
          <w:highlight w:val="none"/>
        </w:rPr>
        <w:t>系统及时投入正常运行。否则若出现因</w:t>
      </w:r>
      <w:r>
        <w:rPr>
          <w:rFonts w:hint="eastAsia" w:ascii="仿宋" w:hAnsi="仿宋" w:eastAsia="仿宋" w:cs="Times New Roman"/>
          <w:color w:val="auto"/>
          <w:sz w:val="22"/>
          <w:szCs w:val="22"/>
          <w:highlight w:val="none"/>
          <w:lang w:val="en-US" w:eastAsia="zh-CN"/>
        </w:rPr>
        <w:t>乙方</w:t>
      </w:r>
      <w:r>
        <w:rPr>
          <w:rFonts w:hint="eastAsia" w:ascii="仿宋" w:hAnsi="仿宋" w:eastAsia="仿宋" w:cs="Times New Roman"/>
          <w:color w:val="auto"/>
          <w:sz w:val="22"/>
          <w:szCs w:val="22"/>
          <w:highlight w:val="none"/>
        </w:rPr>
        <w:t>提供的服务及租赁产品不满足要求、不合理，或者其所提供的技术支持和服务不全面，而导致系统无法实现或不能完全实现的状况，</w:t>
      </w:r>
      <w:r>
        <w:rPr>
          <w:rFonts w:hint="eastAsia" w:ascii="仿宋" w:hAnsi="仿宋" w:eastAsia="仿宋" w:cs="Times New Roman"/>
          <w:color w:val="auto"/>
          <w:sz w:val="22"/>
          <w:szCs w:val="22"/>
          <w:highlight w:val="none"/>
          <w:lang w:val="en-US" w:eastAsia="zh-CN"/>
        </w:rPr>
        <w:t>乙方</w:t>
      </w:r>
      <w:r>
        <w:rPr>
          <w:rFonts w:hint="eastAsia" w:ascii="仿宋" w:hAnsi="仿宋" w:eastAsia="仿宋" w:cs="Times New Roman"/>
          <w:color w:val="auto"/>
          <w:sz w:val="22"/>
          <w:szCs w:val="22"/>
          <w:highlight w:val="none"/>
        </w:rPr>
        <w:t>负全部责任。</w:t>
      </w:r>
    </w:p>
    <w:p w14:paraId="427A5CBF">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6.</w:t>
      </w:r>
      <w:r>
        <w:rPr>
          <w:rFonts w:hint="eastAsia" w:ascii="仿宋" w:hAnsi="仿宋" w:eastAsia="仿宋"/>
          <w:color w:val="auto"/>
          <w:sz w:val="22"/>
          <w:szCs w:val="22"/>
          <w:highlight w:val="none"/>
        </w:rPr>
        <w:t>应急服务要求</w:t>
      </w:r>
    </w:p>
    <w:p w14:paraId="1C5EBA9D">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应制定全面合理的应急服务响应方案，包括预防和预警机制、运维应急、应急处置、故障处理、善后处置、监督管理等内容。</w:t>
      </w:r>
    </w:p>
    <w:p w14:paraId="5D4B60AB">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7</w:t>
      </w:r>
      <w:r>
        <w:rPr>
          <w:rFonts w:hint="eastAsia" w:ascii="仿宋" w:hAnsi="仿宋" w:eastAsia="仿宋"/>
          <w:color w:val="auto"/>
          <w:sz w:val="22"/>
          <w:szCs w:val="22"/>
          <w:highlight w:val="none"/>
        </w:rPr>
        <w:t>.培训要求</w:t>
      </w:r>
    </w:p>
    <w:p w14:paraId="3248C9AB">
      <w:pPr>
        <w:spacing w:line="360" w:lineRule="auto"/>
        <w:ind w:firstLine="440" w:firstLineChars="200"/>
        <w:rPr>
          <w:rFonts w:ascii="仿宋" w:hAnsi="仿宋" w:eastAsia="仿宋"/>
          <w:color w:val="auto"/>
          <w:sz w:val="22"/>
          <w:szCs w:val="22"/>
          <w:highlight w:val="none"/>
        </w:rPr>
      </w:pP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应制定全面合理的培训方案，包括培训目的、培训对象和形式、培训计划、培训内容等内容。</w:t>
      </w:r>
    </w:p>
    <w:p w14:paraId="59E2EF62">
      <w:pPr>
        <w:spacing w:line="360" w:lineRule="auto"/>
        <w:ind w:firstLine="440" w:firstLineChars="200"/>
        <w:rPr>
          <w:rFonts w:hint="eastAsia" w:ascii="仿宋" w:hAnsi="仿宋" w:eastAsia="仿宋" w:cs="Times New Roman"/>
          <w:b w:val="0"/>
          <w:color w:val="auto"/>
          <w:kern w:val="2"/>
          <w:sz w:val="22"/>
          <w:szCs w:val="22"/>
          <w:highlight w:val="none"/>
        </w:rPr>
      </w:pPr>
      <w:r>
        <w:rPr>
          <w:rFonts w:hint="eastAsia" w:ascii="仿宋" w:hAnsi="仿宋" w:eastAsia="仿宋" w:cs="Times New Roman"/>
          <w:color w:val="auto"/>
          <w:sz w:val="22"/>
          <w:szCs w:val="22"/>
          <w:highlight w:val="none"/>
        </w:rPr>
        <w:t>本项目培训对象主要为</w:t>
      </w:r>
      <w:r>
        <w:rPr>
          <w:rFonts w:hint="eastAsia" w:ascii="仿宋" w:hAnsi="仿宋" w:eastAsia="仿宋" w:cs="Times New Roman"/>
          <w:color w:val="auto"/>
          <w:sz w:val="22"/>
          <w:szCs w:val="22"/>
          <w:highlight w:val="none"/>
          <w:lang w:eastAsia="zh-CN"/>
        </w:rPr>
        <w:t>甲方</w:t>
      </w:r>
      <w:r>
        <w:rPr>
          <w:rFonts w:hint="eastAsia" w:ascii="仿宋" w:hAnsi="仿宋" w:eastAsia="仿宋" w:cs="Times New Roman"/>
          <w:color w:val="auto"/>
          <w:sz w:val="22"/>
          <w:szCs w:val="22"/>
          <w:highlight w:val="none"/>
          <w:lang w:val="en-US" w:eastAsia="zh-CN"/>
        </w:rPr>
        <w:t>机器人</w:t>
      </w:r>
      <w:r>
        <w:rPr>
          <w:rFonts w:hint="eastAsia" w:ascii="仿宋" w:hAnsi="仿宋" w:eastAsia="仿宋" w:cs="Times New Roman"/>
          <w:color w:val="auto"/>
          <w:sz w:val="22"/>
          <w:szCs w:val="22"/>
          <w:highlight w:val="none"/>
        </w:rPr>
        <w:t>操作业务人员。</w:t>
      </w:r>
    </w:p>
    <w:p w14:paraId="1986CBCA">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培训时间：不少于3次，每次不少于1天。</w:t>
      </w:r>
    </w:p>
    <w:p w14:paraId="66C139C7">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培训教材及老师资源，原则上由</w:t>
      </w:r>
      <w:r>
        <w:rPr>
          <w:rFonts w:hint="eastAsia" w:ascii="仿宋" w:hAnsi="仿宋" w:eastAsia="仿宋" w:cs="Times New Roman"/>
          <w:color w:val="auto"/>
          <w:sz w:val="22"/>
          <w:szCs w:val="22"/>
          <w:highlight w:val="none"/>
          <w:lang w:eastAsia="zh-CN"/>
        </w:rPr>
        <w:t>乙方</w:t>
      </w:r>
      <w:r>
        <w:rPr>
          <w:rFonts w:hint="eastAsia" w:ascii="仿宋" w:hAnsi="仿宋" w:eastAsia="仿宋" w:cs="Times New Roman"/>
          <w:color w:val="auto"/>
          <w:sz w:val="22"/>
          <w:szCs w:val="22"/>
          <w:highlight w:val="none"/>
        </w:rPr>
        <w:t>提供，包含在投标报价内。</w:t>
      </w:r>
    </w:p>
    <w:p w14:paraId="214EEB15">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项目培训场地，由</w:t>
      </w:r>
      <w:r>
        <w:rPr>
          <w:rFonts w:hint="eastAsia" w:ascii="仿宋" w:hAnsi="仿宋" w:eastAsia="仿宋" w:cs="Times New Roman"/>
          <w:color w:val="auto"/>
          <w:sz w:val="22"/>
          <w:szCs w:val="22"/>
          <w:highlight w:val="none"/>
          <w:lang w:eastAsia="zh-CN"/>
        </w:rPr>
        <w:t>甲方</w:t>
      </w:r>
      <w:r>
        <w:rPr>
          <w:rFonts w:hint="eastAsia" w:ascii="仿宋" w:hAnsi="仿宋" w:eastAsia="仿宋" w:cs="Times New Roman"/>
          <w:color w:val="auto"/>
          <w:sz w:val="22"/>
          <w:szCs w:val="22"/>
          <w:highlight w:val="none"/>
        </w:rPr>
        <w:t>协调解决。</w:t>
      </w:r>
    </w:p>
    <w:p w14:paraId="56EEBC1E">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培训过程需保存培训记录。</w:t>
      </w:r>
    </w:p>
    <w:p w14:paraId="51A968F5">
      <w:pPr>
        <w:numPr>
          <w:ilvl w:val="0"/>
          <w:numId w:val="0"/>
        </w:numPr>
        <w:spacing w:line="360" w:lineRule="auto"/>
        <w:ind w:firstLine="482" w:firstLineChars="200"/>
        <w:rPr>
          <w:rFonts w:hint="eastAsia" w:ascii="黑体" w:hAnsi="黑体" w:eastAsia="黑体" w:cs="黑体"/>
          <w:b/>
          <w:bCs/>
          <w:color w:val="auto"/>
          <w:sz w:val="24"/>
          <w:szCs w:val="24"/>
          <w:highlight w:val="none"/>
          <w:lang w:val="en-US" w:eastAsia="zh-CN"/>
        </w:rPr>
      </w:pPr>
      <w:r>
        <w:rPr>
          <w:rFonts w:hint="eastAsia" w:ascii="黑体" w:hAnsi="黑体" w:eastAsia="黑体" w:cs="黑体"/>
          <w:b/>
          <w:bCs/>
          <w:color w:val="auto"/>
          <w:sz w:val="24"/>
          <w:szCs w:val="24"/>
          <w:highlight w:val="none"/>
          <w:lang w:val="en-US" w:eastAsia="zh-CN"/>
        </w:rPr>
        <w:t>五、</w:t>
      </w:r>
      <w:r>
        <w:rPr>
          <w:rFonts w:hint="eastAsia" w:ascii="黑体" w:hAnsi="黑体" w:eastAsia="黑体" w:cs="黑体"/>
          <w:b/>
          <w:bCs/>
          <w:color w:val="auto"/>
          <w:sz w:val="24"/>
          <w:szCs w:val="24"/>
          <w:highlight w:val="none"/>
          <w:lang w:val="en-US" w:eastAsia="zh-CN"/>
        </w:rPr>
        <w:t>考核及验收</w:t>
      </w:r>
    </w:p>
    <w:p w14:paraId="281ECBC8">
      <w:pPr>
        <w:numPr>
          <w:ilvl w:val="-1"/>
          <w:numId w:val="0"/>
        </w:numPr>
        <w:spacing w:line="360" w:lineRule="auto"/>
        <w:ind w:firstLine="660" w:firstLineChars="300"/>
        <w:rPr>
          <w:rFonts w:hint="eastAsia" w:ascii="仿宋" w:hAnsi="仿宋" w:eastAsia="仿宋"/>
          <w:color w:val="auto"/>
          <w:sz w:val="22"/>
          <w:szCs w:val="22"/>
          <w:highlight w:val="none"/>
          <w:lang w:val="en-US" w:eastAsia="zh-CN"/>
        </w:rPr>
      </w:pPr>
      <w:r>
        <w:rPr>
          <w:rFonts w:hint="eastAsia" w:ascii="仿宋" w:hAnsi="仿宋" w:eastAsia="仿宋"/>
          <w:color w:val="auto"/>
          <w:sz w:val="22"/>
          <w:szCs w:val="22"/>
          <w:highlight w:val="none"/>
          <w:lang w:val="en-US" w:eastAsia="zh-CN"/>
        </w:rPr>
        <w:t>1、考核</w:t>
      </w:r>
    </w:p>
    <w:p w14:paraId="1187E086">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pacing w:val="0"/>
          <w:sz w:val="22"/>
          <w:szCs w:val="22"/>
          <w:highlight w:val="none"/>
          <w:lang w:val="en-US" w:eastAsia="zh-CN"/>
        </w:rPr>
        <w:t>甲方</w:t>
      </w:r>
      <w:r>
        <w:rPr>
          <w:rFonts w:hint="eastAsia" w:ascii="仿宋" w:hAnsi="仿宋" w:eastAsia="仿宋" w:cs="Times New Roman"/>
          <w:color w:val="auto"/>
          <w:sz w:val="22"/>
          <w:szCs w:val="22"/>
          <w:highlight w:val="none"/>
        </w:rPr>
        <w:t>根据</w:t>
      </w:r>
      <w:r>
        <w:rPr>
          <w:rFonts w:hint="eastAsia" w:ascii="仿宋" w:hAnsi="仿宋" w:eastAsia="仿宋" w:cs="Times New Roman"/>
          <w:color w:val="auto"/>
          <w:sz w:val="22"/>
          <w:szCs w:val="22"/>
          <w:highlight w:val="none"/>
          <w:lang w:val="en-US" w:eastAsia="zh-CN"/>
        </w:rPr>
        <w:t>中标人</w:t>
      </w:r>
      <w:r>
        <w:rPr>
          <w:rFonts w:hint="eastAsia" w:ascii="仿宋" w:hAnsi="仿宋" w:eastAsia="仿宋" w:cs="Times New Roman"/>
          <w:color w:val="auto"/>
          <w:sz w:val="22"/>
          <w:szCs w:val="22"/>
          <w:highlight w:val="none"/>
        </w:rPr>
        <w:t>在项目期内提供的服务情况进行考核。</w:t>
      </w:r>
    </w:p>
    <w:p w14:paraId="65B5FC10">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1.1</w:t>
      </w:r>
      <w:r>
        <w:rPr>
          <w:rFonts w:hint="eastAsia" w:ascii="仿宋" w:hAnsi="仿宋" w:eastAsia="仿宋" w:cs="Times New Roman"/>
          <w:color w:val="auto"/>
          <w:sz w:val="22"/>
          <w:szCs w:val="22"/>
          <w:highlight w:val="none"/>
        </w:rPr>
        <w:t>故障考核：因故障</w:t>
      </w:r>
      <w:r>
        <w:rPr>
          <w:rFonts w:hint="eastAsia" w:ascii="仿宋" w:hAnsi="仿宋" w:eastAsia="仿宋" w:cs="Times New Roman"/>
          <w:color w:val="auto"/>
          <w:sz w:val="22"/>
          <w:szCs w:val="22"/>
          <w:highlight w:val="none"/>
          <w:lang w:val="en-US" w:eastAsia="zh-CN"/>
        </w:rPr>
        <w:t>未能及时修复</w:t>
      </w:r>
      <w:r>
        <w:rPr>
          <w:rFonts w:hint="eastAsia" w:ascii="仿宋" w:hAnsi="仿宋" w:eastAsia="仿宋" w:cs="Times New Roman"/>
          <w:color w:val="auto"/>
          <w:sz w:val="22"/>
          <w:szCs w:val="22"/>
          <w:highlight w:val="none"/>
        </w:rPr>
        <w:t>造成</w:t>
      </w:r>
      <w:r>
        <w:rPr>
          <w:rFonts w:hint="eastAsia" w:ascii="仿宋" w:hAnsi="仿宋" w:eastAsia="仿宋" w:cs="Times New Roman"/>
          <w:color w:val="auto"/>
          <w:spacing w:val="0"/>
          <w:sz w:val="22"/>
          <w:szCs w:val="22"/>
          <w:highlight w:val="none"/>
          <w:lang w:val="en-US" w:eastAsia="zh-CN"/>
        </w:rPr>
        <w:t>甲方日常工作</w:t>
      </w:r>
      <w:r>
        <w:rPr>
          <w:rFonts w:hint="eastAsia" w:ascii="仿宋" w:hAnsi="仿宋" w:eastAsia="仿宋" w:cs="Times New Roman"/>
          <w:color w:val="auto"/>
          <w:spacing w:val="0"/>
          <w:sz w:val="22"/>
          <w:szCs w:val="22"/>
          <w:highlight w:val="none"/>
        </w:rPr>
        <w:t>受到影响的，每发生一起，扣除</w:t>
      </w:r>
      <w:r>
        <w:rPr>
          <w:rFonts w:hint="eastAsia" w:ascii="仿宋" w:hAnsi="仿宋" w:eastAsia="仿宋" w:cs="Times New Roman"/>
          <w:color w:val="auto"/>
          <w:spacing w:val="0"/>
          <w:sz w:val="22"/>
          <w:szCs w:val="22"/>
          <w:highlight w:val="none"/>
          <w:lang w:val="en-US" w:eastAsia="zh-CN"/>
        </w:rPr>
        <w:t>1000元</w:t>
      </w:r>
      <w:r>
        <w:rPr>
          <w:rFonts w:hint="eastAsia" w:ascii="仿宋" w:hAnsi="仿宋" w:eastAsia="仿宋" w:cs="Times New Roman"/>
          <w:color w:val="auto"/>
          <w:spacing w:val="0"/>
          <w:sz w:val="22"/>
          <w:szCs w:val="22"/>
          <w:highlight w:val="none"/>
        </w:rPr>
        <w:t>，</w:t>
      </w:r>
      <w:r>
        <w:rPr>
          <w:rFonts w:hint="eastAsia" w:ascii="仿宋" w:hAnsi="仿宋" w:eastAsia="仿宋" w:cs="Times New Roman"/>
          <w:color w:val="auto"/>
          <w:sz w:val="22"/>
          <w:szCs w:val="22"/>
          <w:highlight w:val="none"/>
        </w:rPr>
        <w:t>扣除金额应当从当年服务期费用中扣除。</w:t>
      </w:r>
    </w:p>
    <w:p w14:paraId="560E451B">
      <w:pPr>
        <w:spacing w:line="360" w:lineRule="auto"/>
        <w:ind w:left="0" w:leftChars="0" w:right="0" w:rightChars="0" w:firstLine="440" w:firstLineChars="200"/>
        <w:rPr>
          <w:rFonts w:hint="eastAsia" w:ascii="仿宋" w:hAnsi="仿宋" w:eastAsia="仿宋" w:cs="Times New Roman"/>
          <w:color w:val="auto"/>
          <w:spacing w:val="0"/>
          <w:sz w:val="22"/>
          <w:szCs w:val="22"/>
          <w:highlight w:val="none"/>
        </w:rPr>
      </w:pPr>
      <w:r>
        <w:rPr>
          <w:rFonts w:hint="eastAsia" w:ascii="仿宋" w:hAnsi="仿宋" w:eastAsia="仿宋" w:cs="Times New Roman"/>
          <w:color w:val="auto"/>
          <w:spacing w:val="0"/>
          <w:sz w:val="22"/>
          <w:szCs w:val="22"/>
          <w:highlight w:val="none"/>
          <w:lang w:val="en-US" w:eastAsia="zh-CN"/>
        </w:rPr>
        <w:t>1.2</w:t>
      </w:r>
      <w:r>
        <w:rPr>
          <w:rFonts w:hint="eastAsia" w:ascii="仿宋" w:hAnsi="仿宋" w:eastAsia="仿宋" w:cs="Times New Roman"/>
          <w:color w:val="auto"/>
          <w:spacing w:val="0"/>
          <w:sz w:val="22"/>
          <w:szCs w:val="22"/>
          <w:highlight w:val="none"/>
        </w:rPr>
        <w:t>日常管理考核：</w:t>
      </w:r>
    </w:p>
    <w:p w14:paraId="13BF3ED9">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rPr>
        <w:t>需按要求按时按规产出并提交文档资料、工作台账、周期性报告等材料，未按规完成的每次扣除</w:t>
      </w:r>
      <w:r>
        <w:rPr>
          <w:rFonts w:hint="eastAsia" w:ascii="仿宋" w:hAnsi="仿宋" w:eastAsia="仿宋" w:cs="Times New Roman"/>
          <w:color w:val="auto"/>
          <w:sz w:val="22"/>
          <w:szCs w:val="22"/>
          <w:highlight w:val="none"/>
          <w:lang w:val="en-US" w:eastAsia="zh-CN"/>
        </w:rPr>
        <w:t>500元</w:t>
      </w:r>
      <w:r>
        <w:rPr>
          <w:rFonts w:hint="eastAsia" w:ascii="仿宋" w:hAnsi="仿宋" w:eastAsia="仿宋" w:cs="Times New Roman"/>
          <w:color w:val="auto"/>
          <w:sz w:val="22"/>
          <w:szCs w:val="22"/>
          <w:highlight w:val="none"/>
        </w:rPr>
        <w:t>。</w:t>
      </w:r>
    </w:p>
    <w:p w14:paraId="75FFA950">
      <w:pPr>
        <w:spacing w:line="360" w:lineRule="auto"/>
        <w:ind w:left="0" w:leftChars="0" w:right="0" w:rightChars="0"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color w:val="auto"/>
          <w:sz w:val="22"/>
          <w:szCs w:val="22"/>
          <w:highlight w:val="none"/>
          <w:lang w:val="en-US" w:eastAsia="zh-CN"/>
        </w:rPr>
        <w:t>因中标人</w:t>
      </w:r>
      <w:r>
        <w:rPr>
          <w:rFonts w:hint="eastAsia" w:ascii="仿宋" w:hAnsi="仿宋" w:eastAsia="仿宋" w:cs="Times New Roman"/>
          <w:color w:val="auto"/>
          <w:sz w:val="22"/>
          <w:szCs w:val="22"/>
          <w:highlight w:val="none"/>
        </w:rPr>
        <w:t>违规服务导致发生社会媒体曝光、收到多方投诉情况，出现1次，每次扣除</w:t>
      </w:r>
      <w:r>
        <w:rPr>
          <w:rFonts w:hint="eastAsia" w:ascii="仿宋" w:hAnsi="仿宋" w:eastAsia="仿宋" w:cs="Times New Roman"/>
          <w:color w:val="auto"/>
          <w:sz w:val="22"/>
          <w:szCs w:val="22"/>
          <w:highlight w:val="none"/>
          <w:lang w:eastAsia="zh-CN"/>
        </w:rPr>
        <w:t>5</w:t>
      </w:r>
      <w:r>
        <w:rPr>
          <w:rFonts w:hint="eastAsia" w:ascii="仿宋" w:hAnsi="仿宋" w:eastAsia="仿宋" w:cs="Times New Roman"/>
          <w:color w:val="auto"/>
          <w:sz w:val="22"/>
          <w:szCs w:val="22"/>
          <w:highlight w:val="none"/>
          <w:lang w:val="en-US" w:eastAsia="zh-CN"/>
        </w:rPr>
        <w:t>000元</w:t>
      </w:r>
      <w:r>
        <w:rPr>
          <w:rFonts w:hint="eastAsia" w:ascii="仿宋" w:hAnsi="仿宋" w:eastAsia="仿宋" w:cs="Times New Roman"/>
          <w:color w:val="auto"/>
          <w:sz w:val="22"/>
          <w:szCs w:val="22"/>
          <w:highlight w:val="none"/>
        </w:rPr>
        <w:t>。</w:t>
      </w:r>
    </w:p>
    <w:p w14:paraId="7C8D5127">
      <w:pPr>
        <w:spacing w:line="360" w:lineRule="auto"/>
        <w:ind w:left="0" w:leftChars="0" w:right="0" w:rightChars="0" w:firstLine="440" w:firstLineChars="200"/>
        <w:rPr>
          <w:rFonts w:hint="eastAsia" w:ascii="仿宋" w:hAnsi="仿宋" w:eastAsia="仿宋" w:cs="Times New Roman"/>
          <w:color w:val="auto"/>
          <w:spacing w:val="0"/>
          <w:sz w:val="22"/>
          <w:szCs w:val="22"/>
          <w:highlight w:val="none"/>
        </w:rPr>
      </w:pPr>
      <w:r>
        <w:rPr>
          <w:rFonts w:hint="eastAsia" w:ascii="仿宋" w:hAnsi="仿宋" w:eastAsia="仿宋" w:cs="Times New Roman"/>
          <w:color w:val="auto"/>
          <w:spacing w:val="0"/>
          <w:sz w:val="22"/>
          <w:szCs w:val="22"/>
          <w:highlight w:val="none"/>
          <w:lang w:val="en-US" w:eastAsia="zh-CN"/>
        </w:rPr>
        <w:t>1.3</w:t>
      </w:r>
      <w:r>
        <w:rPr>
          <w:rFonts w:hint="eastAsia" w:ascii="仿宋" w:hAnsi="仿宋" w:eastAsia="仿宋" w:cs="Times New Roman"/>
          <w:color w:val="auto"/>
          <w:spacing w:val="0"/>
          <w:sz w:val="22"/>
          <w:szCs w:val="22"/>
          <w:highlight w:val="none"/>
        </w:rPr>
        <w:t>服务期内因项目实际需要需进行服务考核内容新增、补充及修改的，可通过签署考核服务方案进行补充。</w:t>
      </w:r>
    </w:p>
    <w:p w14:paraId="2007AAF9">
      <w:pPr>
        <w:numPr>
          <w:ilvl w:val="-1"/>
          <w:numId w:val="0"/>
        </w:numPr>
        <w:adjustRightInd/>
        <w:spacing w:line="360" w:lineRule="auto"/>
        <w:ind w:firstLine="440" w:firstLineChars="200"/>
        <w:rPr>
          <w:rFonts w:hint="eastAsia" w:ascii="仿宋" w:hAnsi="仿宋" w:eastAsia="仿宋" w:cs="Times New Roman"/>
          <w:b w:val="0"/>
          <w:bCs w:val="0"/>
          <w:color w:val="auto"/>
          <w:sz w:val="22"/>
          <w:szCs w:val="22"/>
          <w:highlight w:val="none"/>
          <w:lang w:val="en-US" w:eastAsia="zh-CN"/>
        </w:rPr>
      </w:pPr>
      <w:r>
        <w:rPr>
          <w:rFonts w:hint="eastAsia" w:ascii="仿宋" w:hAnsi="仿宋" w:eastAsia="仿宋" w:cs="Times New Roman"/>
          <w:color w:val="auto"/>
          <w:sz w:val="22"/>
          <w:szCs w:val="22"/>
          <w:highlight w:val="none"/>
          <w:lang w:val="en-US" w:eastAsia="zh-CN"/>
        </w:rPr>
        <w:t>2、履约验收</w:t>
      </w:r>
    </w:p>
    <w:p w14:paraId="4E6ACBB5">
      <w:pPr>
        <w:spacing w:line="360" w:lineRule="auto"/>
        <w:ind w:firstLine="440" w:firstLineChars="200"/>
        <w:rPr>
          <w:rFonts w:hint="eastAsia" w:ascii="仿宋" w:hAnsi="仿宋" w:eastAsia="仿宋" w:cs="Times New Roman"/>
          <w:color w:val="auto"/>
          <w:sz w:val="22"/>
          <w:szCs w:val="22"/>
          <w:highlight w:val="none"/>
        </w:rPr>
      </w:pPr>
      <w:r>
        <w:rPr>
          <w:rFonts w:hint="eastAsia" w:ascii="仿宋" w:hAnsi="仿宋" w:eastAsia="仿宋" w:cs="Times New Roman"/>
          <w:bCs w:val="0"/>
          <w:color w:val="auto"/>
          <w:sz w:val="22"/>
          <w:szCs w:val="22"/>
          <w:highlight w:val="none"/>
        </w:rPr>
        <w:t>本项目验收分为两部分，初步验收和最终验收。验收由</w:t>
      </w:r>
      <w:r>
        <w:rPr>
          <w:rFonts w:hint="eastAsia" w:ascii="仿宋" w:hAnsi="仿宋" w:eastAsia="仿宋" w:cs="Times New Roman"/>
          <w:bCs w:val="0"/>
          <w:color w:val="auto"/>
          <w:sz w:val="22"/>
          <w:szCs w:val="22"/>
          <w:highlight w:val="none"/>
          <w:lang w:eastAsia="zh-CN"/>
        </w:rPr>
        <w:t>甲方</w:t>
      </w:r>
      <w:r>
        <w:rPr>
          <w:rFonts w:hint="eastAsia" w:ascii="仿宋" w:hAnsi="仿宋" w:eastAsia="仿宋" w:cs="Times New Roman"/>
          <w:bCs w:val="0"/>
          <w:color w:val="auto"/>
          <w:sz w:val="22"/>
          <w:szCs w:val="22"/>
          <w:highlight w:val="none"/>
        </w:rPr>
        <w:t>组织，中标人应</w:t>
      </w:r>
      <w:r>
        <w:rPr>
          <w:rFonts w:hint="eastAsia" w:ascii="仿宋" w:hAnsi="仿宋" w:eastAsia="仿宋" w:cs="Times New Roman"/>
          <w:color w:val="auto"/>
          <w:sz w:val="22"/>
          <w:szCs w:val="22"/>
          <w:highlight w:val="none"/>
        </w:rPr>
        <w:t>当根据招标文件、投标文件技术要求和合同约定提供项目验收相关的生产、技术、服务、数量、质量、安全等资料；未进行相应约定的，应当符合国家强制性规定、政策要求、安全标准、行业或企业有关标准进行验收等。</w:t>
      </w:r>
    </w:p>
    <w:p w14:paraId="025375F8">
      <w:pPr>
        <w:spacing w:line="360" w:lineRule="auto"/>
        <w:ind w:firstLine="440" w:firstLineChars="200"/>
        <w:rPr>
          <w:rFonts w:hint="eastAsia" w:ascii="仿宋" w:hAnsi="仿宋" w:eastAsia="仿宋" w:cs="Times New Roman"/>
          <w:bCs w:val="0"/>
          <w:color w:val="auto"/>
          <w:sz w:val="22"/>
          <w:szCs w:val="22"/>
          <w:highlight w:val="none"/>
        </w:rPr>
      </w:pPr>
      <w:r>
        <w:rPr>
          <w:rFonts w:hint="eastAsia" w:ascii="仿宋" w:hAnsi="仿宋" w:eastAsia="仿宋" w:cs="Times New Roman"/>
          <w:bCs w:val="0"/>
          <w:color w:val="auto"/>
          <w:sz w:val="22"/>
          <w:szCs w:val="22"/>
          <w:highlight w:val="none"/>
        </w:rPr>
        <w:t>（1）初步验收标准和程序：设备到货安装</w:t>
      </w:r>
      <w:r>
        <w:rPr>
          <w:rFonts w:hint="eastAsia" w:ascii="仿宋" w:hAnsi="仿宋" w:eastAsia="仿宋" w:cs="Times New Roman"/>
          <w:bCs w:val="0"/>
          <w:color w:val="auto"/>
          <w:sz w:val="22"/>
          <w:szCs w:val="22"/>
          <w:highlight w:val="none"/>
          <w:lang w:eastAsia="zh-CN"/>
        </w:rPr>
        <w:t>，</w:t>
      </w:r>
      <w:r>
        <w:rPr>
          <w:rFonts w:hint="eastAsia" w:ascii="仿宋" w:hAnsi="仿宋" w:eastAsia="仿宋" w:cs="Times New Roman"/>
          <w:bCs w:val="0"/>
          <w:color w:val="auto"/>
          <w:sz w:val="22"/>
          <w:szCs w:val="22"/>
          <w:highlight w:val="none"/>
          <w:lang w:val="en-US" w:eastAsia="zh-CN"/>
        </w:rPr>
        <w:t>试运行15天内无异常</w:t>
      </w:r>
      <w:r>
        <w:rPr>
          <w:rFonts w:hint="eastAsia" w:ascii="仿宋" w:hAnsi="仿宋" w:eastAsia="仿宋" w:cs="Times New Roman"/>
          <w:bCs w:val="0"/>
          <w:color w:val="auto"/>
          <w:sz w:val="22"/>
          <w:szCs w:val="22"/>
          <w:highlight w:val="none"/>
        </w:rPr>
        <w:t>后进行初步验收，对设备数量、功能、包装、技术参数等进行初步验收，并出具初步验收报告。</w:t>
      </w:r>
    </w:p>
    <w:p w14:paraId="7505B73A">
      <w:pPr>
        <w:spacing w:line="360" w:lineRule="auto"/>
        <w:ind w:firstLine="440" w:firstLineChars="200"/>
        <w:rPr>
          <w:rFonts w:hint="eastAsia" w:ascii="仿宋" w:hAnsi="仿宋" w:eastAsia="仿宋" w:cs="Times New Roman"/>
          <w:bCs w:val="0"/>
          <w:color w:val="auto"/>
          <w:sz w:val="22"/>
          <w:szCs w:val="22"/>
          <w:highlight w:val="none"/>
        </w:rPr>
      </w:pPr>
      <w:r>
        <w:rPr>
          <w:rFonts w:hint="eastAsia" w:ascii="仿宋" w:hAnsi="仿宋" w:eastAsia="仿宋" w:cs="Times New Roman"/>
          <w:bCs w:val="0"/>
          <w:color w:val="auto"/>
          <w:sz w:val="22"/>
          <w:szCs w:val="22"/>
          <w:highlight w:val="none"/>
        </w:rPr>
        <w:t>（2）最终验收标准和程序：</w:t>
      </w:r>
      <w:r>
        <w:rPr>
          <w:rFonts w:hint="eastAsia" w:ascii="仿宋" w:hAnsi="仿宋" w:eastAsia="仿宋" w:cs="Times New Roman"/>
          <w:bCs w:val="0"/>
          <w:color w:val="auto"/>
          <w:sz w:val="22"/>
          <w:szCs w:val="22"/>
          <w:highlight w:val="none"/>
          <w:lang w:val="en-US" w:eastAsia="zh-CN"/>
        </w:rPr>
        <w:t>租赁期结束后</w:t>
      </w:r>
      <w:r>
        <w:rPr>
          <w:rFonts w:hint="eastAsia" w:ascii="仿宋" w:hAnsi="仿宋" w:eastAsia="仿宋" w:cs="Times New Roman"/>
          <w:bCs w:val="0"/>
          <w:color w:val="auto"/>
          <w:sz w:val="22"/>
          <w:szCs w:val="22"/>
          <w:highlight w:val="none"/>
        </w:rPr>
        <w:t>，</w:t>
      </w:r>
      <w:r>
        <w:rPr>
          <w:rFonts w:hint="eastAsia" w:ascii="仿宋" w:hAnsi="仿宋" w:eastAsia="仿宋" w:cs="Times New Roman"/>
          <w:bCs w:val="0"/>
          <w:color w:val="auto"/>
          <w:sz w:val="22"/>
          <w:szCs w:val="22"/>
          <w:highlight w:val="none"/>
          <w:lang w:eastAsia="zh-CN"/>
        </w:rPr>
        <w:t>甲方</w:t>
      </w:r>
      <w:r>
        <w:rPr>
          <w:rFonts w:hint="eastAsia" w:ascii="仿宋" w:hAnsi="仿宋" w:eastAsia="仿宋" w:cs="Times New Roman"/>
          <w:bCs w:val="0"/>
          <w:color w:val="auto"/>
          <w:sz w:val="22"/>
          <w:szCs w:val="22"/>
          <w:highlight w:val="none"/>
        </w:rPr>
        <w:t>应当按照政府采购合同规定的技术、服务、安全标准组织对中标人履约情况进行最终验收，并出具最终验收报告。</w:t>
      </w:r>
    </w:p>
    <w:p w14:paraId="366E2BB4">
      <w:pPr>
        <w:numPr>
          <w:ilvl w:val="0"/>
          <w:numId w:val="0"/>
        </w:numPr>
        <w:spacing w:line="360" w:lineRule="auto"/>
        <w:ind w:left="0" w:leftChars="0" w:right="0" w:rightChars="0" w:firstLine="482" w:firstLineChars="200"/>
        <w:rPr>
          <w:rFonts w:hint="eastAsia" w:ascii="黑体" w:hAnsi="黑体" w:eastAsia="黑体" w:cs="黑体"/>
          <w:b/>
          <w:bCs/>
          <w:color w:val="auto"/>
          <w:sz w:val="24"/>
          <w:szCs w:val="24"/>
          <w:highlight w:val="none"/>
          <w:lang w:val="en-US" w:eastAsia="zh-CN"/>
        </w:rPr>
      </w:pPr>
      <w:r>
        <w:rPr>
          <w:rFonts w:hint="eastAsia" w:ascii="黑体" w:hAnsi="黑体" w:eastAsia="黑体" w:cs="黑体"/>
          <w:b/>
          <w:bCs/>
          <w:color w:val="auto"/>
          <w:sz w:val="24"/>
          <w:szCs w:val="24"/>
          <w:highlight w:val="none"/>
          <w:lang w:val="en-US" w:eastAsia="zh-CN"/>
        </w:rPr>
        <w:t>六、</w:t>
      </w:r>
      <w:r>
        <w:rPr>
          <w:rFonts w:hint="eastAsia" w:ascii="黑体" w:hAnsi="黑体" w:eastAsia="黑体" w:cs="黑体"/>
          <w:b/>
          <w:bCs/>
          <w:color w:val="auto"/>
          <w:sz w:val="24"/>
          <w:szCs w:val="24"/>
          <w:highlight w:val="none"/>
          <w:lang w:val="en-US" w:eastAsia="zh-CN"/>
        </w:rPr>
        <w:t>商务要求</w:t>
      </w:r>
    </w:p>
    <w:p w14:paraId="7EA72802">
      <w:pPr>
        <w:numPr>
          <w:ilvl w:val="0"/>
          <w:numId w:val="0"/>
        </w:numPr>
        <w:spacing w:line="360" w:lineRule="auto"/>
        <w:ind w:left="0" w:leftChars="0" w:right="0" w:rightChars="0" w:firstLine="440" w:firstLineChars="200"/>
        <w:rPr>
          <w:rFonts w:hint="eastAsia" w:ascii="仿宋" w:hAnsi="仿宋" w:eastAsia="仿宋" w:cs="Times New Roman"/>
          <w:b w:val="0"/>
          <w:bCs w:val="0"/>
          <w:color w:val="auto"/>
          <w:sz w:val="22"/>
          <w:szCs w:val="22"/>
          <w:highlight w:val="none"/>
          <w:lang w:val="en-US" w:eastAsia="zh-CN"/>
        </w:rPr>
      </w:pPr>
      <w:r>
        <w:rPr>
          <w:rFonts w:hint="eastAsia" w:ascii="仿宋" w:hAnsi="仿宋" w:eastAsia="仿宋" w:cs="Times New Roman"/>
          <w:b w:val="0"/>
          <w:bCs w:val="0"/>
          <w:color w:val="auto"/>
          <w:sz w:val="22"/>
          <w:szCs w:val="22"/>
          <w:highlight w:val="none"/>
          <w:lang w:val="en-US" w:eastAsia="zh-CN"/>
        </w:rPr>
        <w:t>1、</w:t>
      </w:r>
      <w:r>
        <w:rPr>
          <w:rFonts w:hint="eastAsia" w:ascii="仿宋" w:hAnsi="仿宋" w:eastAsia="仿宋" w:cs="仿宋"/>
          <w:color w:val="auto"/>
          <w:sz w:val="22"/>
          <w:szCs w:val="22"/>
          <w:highlight w:val="none"/>
          <w:lang w:val="en-US" w:eastAsia="zh-CN"/>
        </w:rPr>
        <w:t>交付期：在签订合同之日起1个月内完成设备安装调试，试运行15天内无异常，验收合格后正式进入2年服务期。</w:t>
      </w:r>
    </w:p>
    <w:p w14:paraId="072C5EC9">
      <w:pPr>
        <w:numPr>
          <w:ilvl w:val="0"/>
          <w:numId w:val="0"/>
        </w:numPr>
        <w:spacing w:line="360" w:lineRule="auto"/>
        <w:ind w:left="0" w:leftChars="0" w:right="0" w:rightChars="0" w:firstLine="440" w:firstLineChars="200"/>
        <w:rPr>
          <w:rFonts w:hint="eastAsia" w:ascii="仿宋" w:hAnsi="仿宋" w:eastAsia="仿宋" w:cs="仿宋"/>
          <w:color w:val="auto"/>
          <w:sz w:val="22"/>
          <w:szCs w:val="22"/>
          <w:highlight w:val="none"/>
        </w:rPr>
      </w:pPr>
      <w:r>
        <w:rPr>
          <w:rFonts w:hint="eastAsia" w:ascii="仿宋" w:hAnsi="仿宋" w:eastAsia="仿宋" w:cs="Times New Roman"/>
          <w:b w:val="0"/>
          <w:bCs w:val="0"/>
          <w:color w:val="auto"/>
          <w:sz w:val="22"/>
          <w:szCs w:val="22"/>
          <w:highlight w:val="none"/>
          <w:lang w:val="en-US" w:eastAsia="zh-CN"/>
        </w:rPr>
        <w:t>2、</w:t>
      </w:r>
      <w:r>
        <w:rPr>
          <w:rFonts w:hint="eastAsia" w:ascii="仿宋" w:hAnsi="仿宋" w:eastAsia="仿宋" w:cs="仿宋"/>
          <w:color w:val="auto"/>
          <w:sz w:val="22"/>
          <w:szCs w:val="22"/>
          <w:highlight w:val="none"/>
        </w:rPr>
        <w:t>实施地点</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杭州市公安局</w:t>
      </w:r>
      <w:r>
        <w:rPr>
          <w:rFonts w:hint="eastAsia" w:ascii="仿宋" w:hAnsi="仿宋" w:eastAsia="仿宋" w:cs="仿宋"/>
          <w:color w:val="auto"/>
          <w:sz w:val="22"/>
          <w:szCs w:val="22"/>
          <w:highlight w:val="none"/>
          <w:lang w:val="en-US" w:eastAsia="zh-CN"/>
        </w:rPr>
        <w:t>滨江</w:t>
      </w:r>
      <w:r>
        <w:rPr>
          <w:rFonts w:hint="eastAsia" w:ascii="仿宋" w:hAnsi="仿宋" w:eastAsia="仿宋" w:cs="仿宋"/>
          <w:color w:val="auto"/>
          <w:sz w:val="22"/>
          <w:szCs w:val="22"/>
          <w:highlight w:val="none"/>
        </w:rPr>
        <w:t>区分局及其指定地点。</w:t>
      </w:r>
    </w:p>
    <w:p w14:paraId="247080B1">
      <w:pPr>
        <w:numPr>
          <w:ilvl w:val="0"/>
          <w:numId w:val="0"/>
        </w:numPr>
        <w:spacing w:line="360" w:lineRule="auto"/>
        <w:ind w:left="0" w:leftChars="0" w:right="0" w:rightChars="0"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质量要求</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合格（符合招标文件要求、投标承诺以及国家、行业有关技术规范和标准）</w:t>
      </w:r>
    </w:p>
    <w:p w14:paraId="5C678EB8">
      <w:pPr>
        <w:numPr>
          <w:ilvl w:val="0"/>
          <w:numId w:val="0"/>
        </w:numPr>
        <w:spacing w:line="360" w:lineRule="auto"/>
        <w:ind w:left="0" w:leftChars="0" w:right="0" w:rightChars="0"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付款方式和支付条件</w:t>
      </w:r>
      <w:r>
        <w:rPr>
          <w:rFonts w:hint="eastAsia" w:ascii="仿宋" w:hAnsi="仿宋" w:eastAsia="仿宋" w:cs="仿宋"/>
          <w:color w:val="auto"/>
          <w:sz w:val="22"/>
          <w:szCs w:val="22"/>
          <w:highlight w:val="none"/>
          <w:lang w:eastAsia="zh-CN"/>
        </w:rPr>
        <w:t>：</w:t>
      </w:r>
    </w:p>
    <w:p w14:paraId="10EBFD70">
      <w:pPr>
        <w:numPr>
          <w:ilvl w:val="0"/>
          <w:numId w:val="0"/>
        </w:numPr>
        <w:snapToGrid/>
        <w:spacing w:line="360" w:lineRule="auto"/>
        <w:ind w:firstLine="440" w:firstLineChars="200"/>
        <w:rPr>
          <w:rFonts w:hint="eastAsia" w:ascii="仿宋" w:hAnsi="仿宋" w:eastAsia="仿宋" w:cs="Times New Roman"/>
          <w:color w:val="auto"/>
          <w:sz w:val="22"/>
          <w:szCs w:val="22"/>
          <w:highlight w:val="none"/>
          <w:lang w:val="en-US" w:eastAsia="zh-CN"/>
        </w:rPr>
      </w:pPr>
      <w:r>
        <w:rPr>
          <w:rFonts w:hint="eastAsia" w:ascii="仿宋" w:hAnsi="仿宋" w:eastAsia="仿宋" w:cs="Times New Roman"/>
          <w:color w:val="auto"/>
          <w:sz w:val="22"/>
          <w:szCs w:val="22"/>
          <w:highlight w:val="none"/>
          <w:lang w:val="en-US" w:eastAsia="zh-CN"/>
        </w:rPr>
        <w:t>第一期付款：合同签订，自收到发票5个工作日内支付合同金额的50%。</w:t>
      </w:r>
    </w:p>
    <w:p w14:paraId="735BCB0A">
      <w:pPr>
        <w:numPr>
          <w:ilvl w:val="0"/>
          <w:numId w:val="0"/>
        </w:numPr>
        <w:snapToGrid/>
        <w:spacing w:line="360" w:lineRule="auto"/>
        <w:ind w:firstLine="440" w:firstLineChars="200"/>
        <w:rPr>
          <w:rFonts w:hint="eastAsia" w:ascii="仿宋" w:hAnsi="仿宋" w:eastAsia="仿宋" w:cs="Times New Roman"/>
          <w:color w:val="auto"/>
          <w:sz w:val="22"/>
          <w:szCs w:val="22"/>
          <w:highlight w:val="none"/>
          <w:lang w:val="en-US" w:eastAsia="zh-CN"/>
        </w:rPr>
      </w:pPr>
      <w:r>
        <w:rPr>
          <w:rFonts w:hint="eastAsia" w:ascii="仿宋" w:hAnsi="仿宋" w:eastAsia="仿宋" w:cs="Times New Roman"/>
          <w:color w:val="auto"/>
          <w:sz w:val="22"/>
          <w:szCs w:val="22"/>
          <w:highlight w:val="none"/>
          <w:lang w:val="en-US" w:eastAsia="zh-CN"/>
        </w:rPr>
        <w:t>第二期付款：乙方设备到货、安装、调试完工，且试运行结束完成验收后，自收到发票5个工作日内支付合同金额的30%。</w:t>
      </w:r>
    </w:p>
    <w:p w14:paraId="25594A25">
      <w:pPr>
        <w:numPr>
          <w:ilvl w:val="0"/>
          <w:numId w:val="0"/>
        </w:numPr>
        <w:snapToGrid/>
        <w:spacing w:line="360" w:lineRule="auto"/>
        <w:ind w:firstLine="440" w:firstLineChars="200"/>
        <w:rPr>
          <w:rFonts w:hint="eastAsia" w:ascii="仿宋" w:hAnsi="仿宋" w:eastAsia="仿宋" w:cs="Times New Roman"/>
          <w:color w:val="auto"/>
          <w:sz w:val="22"/>
          <w:szCs w:val="22"/>
          <w:highlight w:val="none"/>
          <w:lang w:val="en-US" w:eastAsia="zh-CN"/>
        </w:rPr>
      </w:pPr>
      <w:r>
        <w:rPr>
          <w:rFonts w:hint="eastAsia" w:ascii="仿宋" w:hAnsi="仿宋" w:eastAsia="仿宋" w:cs="Times New Roman"/>
          <w:color w:val="auto"/>
          <w:sz w:val="22"/>
          <w:szCs w:val="22"/>
          <w:highlight w:val="none"/>
          <w:lang w:val="en-US" w:eastAsia="zh-CN"/>
        </w:rPr>
        <w:t>第三期付款：第一年服务期结束后，自收到发票5个工作日内支付合同金额的10%。</w:t>
      </w:r>
    </w:p>
    <w:p w14:paraId="6D4272A3">
      <w:pPr>
        <w:numPr>
          <w:ilvl w:val="0"/>
          <w:numId w:val="0"/>
        </w:numPr>
        <w:spacing w:line="360" w:lineRule="auto"/>
        <w:ind w:left="0" w:leftChars="0" w:right="0" w:rightChars="0" w:firstLine="440" w:firstLineChars="200"/>
        <w:rPr>
          <w:rFonts w:hint="eastAsia" w:ascii="仿宋" w:hAnsi="仿宋" w:eastAsia="仿宋" w:cs="Times New Roman"/>
          <w:color w:val="auto"/>
          <w:sz w:val="22"/>
          <w:szCs w:val="22"/>
          <w:highlight w:val="none"/>
          <w:lang w:val="en-US" w:eastAsia="zh-CN"/>
        </w:rPr>
      </w:pPr>
      <w:r>
        <w:rPr>
          <w:rFonts w:hint="eastAsia" w:ascii="仿宋" w:hAnsi="仿宋" w:eastAsia="仿宋" w:cs="Times New Roman"/>
          <w:color w:val="auto"/>
          <w:sz w:val="22"/>
          <w:szCs w:val="22"/>
          <w:highlight w:val="none"/>
          <w:lang w:val="en-US" w:eastAsia="zh-CN"/>
        </w:rPr>
        <w:t>第四期付款：整体服务到期后，经最终验收合格后，甲方自收到发票5个工作日内一次性结清剩余金额。</w:t>
      </w:r>
    </w:p>
    <w:p w14:paraId="33E6B513">
      <w:pPr>
        <w:numPr>
          <w:ilvl w:val="0"/>
          <w:numId w:val="0"/>
        </w:numPr>
        <w:spacing w:line="360" w:lineRule="auto"/>
        <w:ind w:left="0" w:leftChars="0" w:right="0" w:rightChars="0" w:firstLine="440" w:firstLineChars="200"/>
        <w:rPr>
          <w:rFonts w:hint="eastAsia" w:ascii="黑体" w:hAnsi="黑体" w:eastAsia="黑体" w:cs="黑体"/>
          <w:b/>
          <w:bCs/>
          <w:color w:val="auto"/>
          <w:sz w:val="24"/>
          <w:szCs w:val="24"/>
          <w:highlight w:val="none"/>
          <w:lang w:val="en-US" w:eastAsia="zh-CN"/>
        </w:rPr>
      </w:pPr>
      <w:r>
        <w:rPr>
          <w:rFonts w:hint="eastAsia" w:ascii="仿宋" w:hAnsi="仿宋" w:eastAsia="仿宋" w:cs="Times New Roman"/>
          <w:color w:val="auto"/>
          <w:sz w:val="22"/>
          <w:szCs w:val="22"/>
          <w:highlight w:val="none"/>
          <w:lang w:val="en-US" w:eastAsia="zh-CN"/>
        </w:rPr>
        <w:t>5、</w:t>
      </w:r>
      <w:r>
        <w:rPr>
          <w:rFonts w:hint="eastAsia" w:ascii="仿宋" w:hAnsi="仿宋" w:eastAsia="仿宋" w:cs="仿宋"/>
          <w:color w:val="auto"/>
          <w:kern w:val="0"/>
          <w:sz w:val="22"/>
          <w:szCs w:val="22"/>
          <w:highlight w:val="none"/>
          <w:lang w:val="en-US" w:eastAsia="zh-CN"/>
        </w:rPr>
        <w:t>持续使用：</w:t>
      </w:r>
      <w:r>
        <w:rPr>
          <w:rFonts w:hint="eastAsia" w:ascii="仿宋" w:hAnsi="仿宋" w:eastAsia="仿宋" w:cs="仿宋"/>
          <w:b w:val="0"/>
          <w:bCs w:val="0"/>
          <w:color w:val="auto"/>
          <w:sz w:val="22"/>
          <w:szCs w:val="22"/>
          <w:highlight w:val="none"/>
          <w:lang w:val="en-US" w:eastAsia="zh-CN"/>
        </w:rPr>
        <w:t>服务期结束后，甲方可继续使用上述设备（机器人1、机器人2、机械手臂），如需维保、升级、培训等服务与乙方另行协商。</w:t>
      </w:r>
    </w:p>
    <w:p w14:paraId="1F47DD67">
      <w:pPr>
        <w:spacing w:line="560" w:lineRule="exact"/>
        <w:ind w:left="-61" w:leftChars="-29" w:right="-420" w:rightChars="-200" w:firstLine="482" w:firstLineChars="200"/>
        <w:rPr>
          <w:rFonts w:hint="default" w:ascii="黑体" w:hAnsi="黑体" w:eastAsia="黑体" w:cs="黑体"/>
          <w:b/>
          <w:bCs/>
          <w:color w:val="auto"/>
          <w:sz w:val="24"/>
          <w:szCs w:val="24"/>
          <w:highlight w:val="none"/>
          <w:lang w:val="en-US" w:eastAsia="zh-CN"/>
        </w:rPr>
      </w:pPr>
      <w:r>
        <w:rPr>
          <w:rFonts w:hint="eastAsia" w:ascii="黑体" w:hAnsi="黑体" w:eastAsia="黑体" w:cs="黑体"/>
          <w:b/>
          <w:bCs/>
          <w:color w:val="auto"/>
          <w:sz w:val="24"/>
          <w:szCs w:val="24"/>
          <w:highlight w:val="none"/>
          <w:lang w:val="en-US" w:eastAsia="zh-CN"/>
        </w:rPr>
        <w:t>七、违约责任</w:t>
      </w:r>
    </w:p>
    <w:p w14:paraId="77C847DE">
      <w:pPr>
        <w:numPr>
          <w:ilvl w:val="0"/>
          <w:numId w:val="0"/>
        </w:numPr>
        <w:spacing w:line="360" w:lineRule="auto"/>
        <w:ind w:firstLine="440" w:firstLineChars="200"/>
        <w:outlineLvl w:val="9"/>
        <w:rPr>
          <w:rFonts w:hint="eastAsia"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5.1</w:t>
      </w:r>
      <w:r>
        <w:rPr>
          <w:rFonts w:hint="eastAsia" w:ascii="仿宋" w:hAnsi="仿宋" w:eastAsia="仿宋"/>
          <w:color w:val="auto"/>
          <w:sz w:val="22"/>
          <w:szCs w:val="22"/>
          <w:highlight w:val="none"/>
        </w:rPr>
        <w:t>在合同履行过程中，如果</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rPr>
        <w:t>遇到不能按时提供服务的情况，应及时以书面形式将不能按时提供服务的理由、预期延误时间通知甲方；甲方收到乙方通知后，认为其理由正当的，可以书面形式酌情同意乙方可以延长履行的具体时间。</w:t>
      </w:r>
    </w:p>
    <w:p w14:paraId="6504CAFD">
      <w:pPr>
        <w:numPr>
          <w:ilvl w:val="0"/>
          <w:numId w:val="0"/>
        </w:numPr>
        <w:spacing w:line="360" w:lineRule="auto"/>
        <w:ind w:firstLine="440" w:firstLineChars="200"/>
        <w:outlineLvl w:val="9"/>
        <w:rPr>
          <w:rFonts w:hint="eastAsia" w:ascii="仿宋" w:hAnsi="仿宋" w:eastAsia="仿宋"/>
          <w:color w:val="auto"/>
          <w:sz w:val="22"/>
          <w:szCs w:val="22"/>
          <w:highlight w:val="none"/>
        </w:rPr>
      </w:pPr>
      <w:r>
        <w:rPr>
          <w:rFonts w:hint="eastAsia" w:ascii="仿宋" w:hAnsi="仿宋" w:eastAsia="仿宋"/>
          <w:bCs w:val="0"/>
          <w:color w:val="auto"/>
          <w:sz w:val="22"/>
          <w:szCs w:val="22"/>
          <w:highlight w:val="none"/>
          <w:lang w:val="en-US" w:eastAsia="zh-CN"/>
        </w:rPr>
        <w:t>5.2</w:t>
      </w:r>
      <w:r>
        <w:rPr>
          <w:rFonts w:hint="eastAsia" w:ascii="仿宋" w:hAnsi="仿宋" w:eastAsia="仿宋"/>
          <w:bCs w:val="0"/>
          <w:color w:val="auto"/>
          <w:sz w:val="22"/>
          <w:szCs w:val="22"/>
          <w:highlight w:val="none"/>
        </w:rPr>
        <w:t>合同变更：</w:t>
      </w:r>
      <w:r>
        <w:rPr>
          <w:rFonts w:hint="eastAsia" w:ascii="仿宋" w:hAnsi="仿宋" w:eastAsia="仿宋"/>
          <w:color w:val="auto"/>
          <w:sz w:val="22"/>
          <w:szCs w:val="22"/>
          <w:highlight w:val="none"/>
        </w:rPr>
        <w:t>合同继续履行将损害国家利益和社会公共利益的，双方当事人应当以书面形式变更合同。有过错的一方应当承担赔偿责任，双方当事人都有过错的，各自承担相应的责任。</w:t>
      </w:r>
    </w:p>
    <w:p w14:paraId="37E1242B">
      <w:pPr>
        <w:numPr>
          <w:ilvl w:val="0"/>
          <w:numId w:val="0"/>
        </w:numPr>
        <w:spacing w:line="360" w:lineRule="auto"/>
        <w:ind w:firstLine="440" w:firstLineChars="200"/>
        <w:outlineLvl w:val="9"/>
        <w:rPr>
          <w:rFonts w:hint="eastAsia" w:ascii="仿宋" w:hAnsi="仿宋" w:eastAsia="仿宋"/>
          <w:color w:val="auto"/>
          <w:sz w:val="22"/>
          <w:szCs w:val="22"/>
          <w:highlight w:val="none"/>
        </w:rPr>
      </w:pPr>
      <w:r>
        <w:rPr>
          <w:rFonts w:hint="eastAsia" w:ascii="仿宋" w:hAnsi="仿宋" w:eastAsia="仿宋"/>
          <w:bCs w:val="0"/>
          <w:color w:val="auto"/>
          <w:sz w:val="22"/>
          <w:szCs w:val="22"/>
          <w:highlight w:val="none"/>
          <w:lang w:val="en-US" w:eastAsia="zh-CN"/>
        </w:rPr>
        <w:t>5.3</w:t>
      </w:r>
      <w:r>
        <w:rPr>
          <w:rFonts w:hint="eastAsia" w:ascii="仿宋" w:hAnsi="仿宋" w:eastAsia="仿宋"/>
          <w:bCs w:val="0"/>
          <w:color w:val="auto"/>
          <w:sz w:val="22"/>
          <w:szCs w:val="22"/>
          <w:highlight w:val="none"/>
        </w:rPr>
        <w:t>合同转让和分包：</w:t>
      </w:r>
      <w:r>
        <w:rPr>
          <w:rFonts w:hint="eastAsia" w:ascii="仿宋" w:hAnsi="仿宋" w:eastAsia="仿宋"/>
          <w:color w:val="auto"/>
          <w:sz w:val="22"/>
          <w:szCs w:val="22"/>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仿宋" w:hAnsi="仿宋" w:eastAsia="仿宋"/>
          <w:color w:val="auto"/>
          <w:sz w:val="22"/>
          <w:szCs w:val="22"/>
          <w:highlight w:val="none"/>
          <w:lang w:val="en-US" w:eastAsia="zh-CN"/>
        </w:rPr>
        <w:t>供应商</w:t>
      </w:r>
      <w:r>
        <w:rPr>
          <w:rFonts w:hint="eastAsia" w:ascii="仿宋" w:hAnsi="仿宋" w:eastAsia="仿宋"/>
          <w:color w:val="auto"/>
          <w:sz w:val="22"/>
          <w:szCs w:val="22"/>
          <w:highlight w:val="none"/>
        </w:rPr>
        <w:t>就分包项目向甲方承担连带责任。</w:t>
      </w:r>
    </w:p>
    <w:p w14:paraId="17ADC295">
      <w:pPr>
        <w:numPr>
          <w:ilvl w:val="0"/>
          <w:numId w:val="0"/>
        </w:numPr>
        <w:spacing w:line="360" w:lineRule="auto"/>
        <w:ind w:left="0" w:firstLine="440" w:firstLineChars="200"/>
        <w:rPr>
          <w:rFonts w:hint="eastAsia" w:ascii="仿宋" w:hAnsi="仿宋" w:eastAsia="仿宋" w:cs="Times New Roman"/>
          <w:b w:val="0"/>
          <w:bCs w:val="0"/>
          <w:strike w:val="0"/>
          <w:dstrike w:val="0"/>
          <w:color w:val="auto"/>
          <w:sz w:val="22"/>
          <w:szCs w:val="22"/>
          <w:highlight w:val="none"/>
          <w:lang w:val="en-US" w:eastAsia="zh-CN"/>
        </w:rPr>
      </w:pPr>
      <w:r>
        <w:rPr>
          <w:rFonts w:hint="eastAsia" w:ascii="仿宋" w:hAnsi="仿宋" w:eastAsia="仿宋"/>
          <w:color w:val="auto"/>
          <w:sz w:val="22"/>
          <w:szCs w:val="22"/>
          <w:highlight w:val="none"/>
          <w:lang w:val="en-US" w:eastAsia="zh-CN"/>
        </w:rPr>
        <w:t>5.4</w:t>
      </w:r>
      <w:r>
        <w:rPr>
          <w:rFonts w:hint="eastAsia" w:ascii="仿宋" w:hAnsi="仿宋" w:eastAsia="仿宋"/>
          <w:color w:val="auto"/>
          <w:sz w:val="22"/>
          <w:szCs w:val="22"/>
          <w:highlight w:val="none"/>
        </w:rPr>
        <w:t>除不可抗力外，如果乙方没有按照本合同约定的期限、地点和方式交付服务成果或者实施服务，那么甲方可要求乙方支付违约金，迟延履行违约金按每迟延履行一日</w:t>
      </w:r>
      <w:r>
        <w:rPr>
          <w:rFonts w:hint="eastAsia" w:ascii="仿宋" w:hAnsi="仿宋" w:eastAsia="仿宋"/>
          <w:color w:val="auto"/>
          <w:sz w:val="22"/>
          <w:szCs w:val="22"/>
          <w:highlight w:val="none"/>
          <w:lang w:val="en-US" w:eastAsia="zh-CN"/>
        </w:rPr>
        <w:t>按照合同金额的</w:t>
      </w:r>
      <w:r>
        <w:rPr>
          <w:rFonts w:hint="eastAsia" w:ascii="仿宋" w:hAnsi="仿宋" w:eastAsia="仿宋"/>
          <w:color w:val="auto"/>
          <w:sz w:val="22"/>
          <w:szCs w:val="22"/>
          <w:highlight w:val="none"/>
          <w:u w:val="none"/>
        </w:rPr>
        <w:t>0.05</w:t>
      </w:r>
      <w:r>
        <w:rPr>
          <w:rFonts w:hint="eastAsia" w:ascii="仿宋" w:hAnsi="仿宋" w:eastAsia="仿宋"/>
          <w:color w:val="auto"/>
          <w:sz w:val="22"/>
          <w:szCs w:val="22"/>
          <w:highlight w:val="none"/>
        </w:rPr>
        <w:t>%计算</w:t>
      </w:r>
      <w:r>
        <w:rPr>
          <w:rFonts w:hint="eastAsia" w:ascii="仿宋" w:hAnsi="仿宋" w:eastAsia="仿宋"/>
          <w:color w:val="auto"/>
          <w:sz w:val="22"/>
          <w:szCs w:val="22"/>
          <w:highlight w:val="none"/>
          <w:lang w:eastAsia="zh-CN"/>
        </w:rPr>
        <w:t>，</w:t>
      </w:r>
      <w:r>
        <w:rPr>
          <w:rFonts w:hint="eastAsia" w:ascii="仿宋" w:hAnsi="仿宋" w:eastAsia="仿宋"/>
          <w:color w:val="auto"/>
          <w:sz w:val="22"/>
          <w:szCs w:val="22"/>
          <w:highlight w:val="none"/>
          <w:lang w:val="en-US" w:eastAsia="zh-CN"/>
        </w:rPr>
        <w:t>逾期超过30日</w:t>
      </w:r>
      <w:r>
        <w:rPr>
          <w:rFonts w:hint="eastAsia" w:ascii="仿宋" w:hAnsi="仿宋" w:eastAsia="仿宋"/>
          <w:color w:val="auto"/>
          <w:sz w:val="22"/>
          <w:szCs w:val="22"/>
          <w:highlight w:val="none"/>
        </w:rPr>
        <w:t>，甲方有权在要求乙方支付违约金的同时，书面通知乙方解除本合同</w:t>
      </w:r>
      <w:r>
        <w:rPr>
          <w:rFonts w:hint="eastAsia" w:ascii="仿宋" w:hAnsi="仿宋" w:eastAsia="仿宋"/>
          <w:color w:val="auto"/>
          <w:sz w:val="22"/>
          <w:szCs w:val="22"/>
          <w:highlight w:val="none"/>
          <w:lang w:eastAsia="zh-CN"/>
        </w:rPr>
        <w:t>。</w:t>
      </w:r>
    </w:p>
    <w:p w14:paraId="17FD08D4">
      <w:pPr>
        <w:numPr>
          <w:ilvl w:val="0"/>
          <w:numId w:val="0"/>
        </w:numPr>
        <w:spacing w:line="360" w:lineRule="auto"/>
        <w:ind w:firstLine="440" w:firstLineChars="200"/>
        <w:outlineLvl w:val="9"/>
        <w:rPr>
          <w:rFonts w:hint="eastAsia"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5.5</w:t>
      </w:r>
      <w:r>
        <w:rPr>
          <w:rFonts w:hint="eastAsia" w:ascii="仿宋" w:hAnsi="仿宋" w:eastAsia="仿宋"/>
          <w:color w:val="auto"/>
          <w:sz w:val="22"/>
          <w:szCs w:val="22"/>
          <w:highlight w:val="none"/>
        </w:rPr>
        <w:t>除不可抗力外，对于因甲方原因导致变更、中止或者终止政府采购合同的，甲方应当依照合同约定对</w:t>
      </w:r>
      <w:r>
        <w:rPr>
          <w:rFonts w:hint="eastAsia" w:ascii="仿宋" w:hAnsi="仿宋" w:eastAsia="仿宋"/>
          <w:color w:val="auto"/>
          <w:sz w:val="22"/>
          <w:szCs w:val="22"/>
          <w:highlight w:val="none"/>
          <w:lang w:eastAsia="zh-CN"/>
        </w:rPr>
        <w:t>乙方</w:t>
      </w:r>
      <w:r>
        <w:rPr>
          <w:rFonts w:hint="eastAsia" w:ascii="仿宋" w:hAnsi="仿宋" w:eastAsia="仿宋"/>
          <w:color w:val="auto"/>
          <w:sz w:val="22"/>
          <w:szCs w:val="22"/>
          <w:highlight w:val="none"/>
        </w:rPr>
        <w:t>受到的损失予以赔偿或者补偿。如果甲方没有按照本合同约定的付款方式付款，那么乙方可要求甲方支付违约金，违约金按每迟延付款一日的应付而未付款的0.05 %计算，最高限额为本合同总价的20</w:t>
      </w:r>
      <w:r>
        <w:rPr>
          <w:rFonts w:hint="eastAsia" w:ascii="仿宋" w:hAnsi="仿宋" w:eastAsia="仿宋"/>
          <w:color w:val="auto"/>
          <w:sz w:val="22"/>
          <w:szCs w:val="22"/>
          <w:highlight w:val="none"/>
          <w:lang w:val="en-US" w:eastAsia="zh-CN"/>
        </w:rPr>
        <w:t xml:space="preserve"> </w:t>
      </w:r>
      <w:r>
        <w:rPr>
          <w:rFonts w:hint="eastAsia" w:ascii="仿宋" w:hAnsi="仿宋" w:eastAsia="仿宋"/>
          <w:color w:val="auto"/>
          <w:sz w:val="22"/>
          <w:szCs w:val="22"/>
          <w:highlight w:val="none"/>
        </w:rPr>
        <w:t>%；迟延付款的违约金计算数额达到前述最高限额之日起，乙方有权在要求甲方支付违约金的同时，书面通知甲方解除本合同；</w:t>
      </w:r>
    </w:p>
    <w:p w14:paraId="3CDBFB8C">
      <w:pPr>
        <w:numPr>
          <w:ilvl w:val="0"/>
          <w:numId w:val="0"/>
        </w:numPr>
        <w:spacing w:line="360" w:lineRule="auto"/>
        <w:ind w:firstLine="440" w:firstLineChars="200"/>
        <w:outlineLvl w:val="9"/>
        <w:rPr>
          <w:rFonts w:hint="eastAsia" w:ascii="仿宋" w:hAnsi="仿宋" w:eastAsia="仿宋"/>
          <w:color w:val="auto"/>
          <w:sz w:val="22"/>
          <w:szCs w:val="22"/>
          <w:highlight w:val="none"/>
        </w:rPr>
      </w:pPr>
      <w:r>
        <w:rPr>
          <w:rFonts w:hint="eastAsia" w:ascii="仿宋" w:hAnsi="仿宋" w:eastAsia="仿宋"/>
          <w:color w:val="auto"/>
          <w:sz w:val="22"/>
          <w:szCs w:val="22"/>
          <w:highlight w:val="none"/>
          <w:lang w:val="en-US" w:eastAsia="zh-CN"/>
        </w:rPr>
        <w:t>5.6</w:t>
      </w:r>
      <w:r>
        <w:rPr>
          <w:rFonts w:hint="eastAsia" w:ascii="仿宋" w:hAnsi="仿宋" w:eastAsia="仿宋"/>
          <w:color w:val="auto"/>
          <w:sz w:val="22"/>
          <w:szCs w:val="22"/>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r>
        <w:rPr>
          <w:rFonts w:hint="eastAsia" w:ascii="仿宋" w:hAnsi="仿宋" w:eastAsia="仿宋"/>
          <w:color w:val="auto"/>
          <w:sz w:val="22"/>
          <w:szCs w:val="22"/>
          <w:highlight w:val="none"/>
          <w:lang w:eastAsia="zh-CN"/>
        </w:rPr>
        <w:t>。</w:t>
      </w:r>
    </w:p>
    <w:p w14:paraId="28582EF7">
      <w:pPr>
        <w:spacing w:line="560" w:lineRule="exact"/>
        <w:ind w:firstLine="480" w:firstLineChars="200"/>
        <w:outlineLvl w:val="0"/>
        <w:rPr>
          <w:rFonts w:hint="eastAsia" w:ascii="仿宋" w:hAnsi="仿宋" w:eastAsia="仿宋"/>
          <w:color w:val="auto"/>
          <w:sz w:val="24"/>
          <w:highlight w:val="none"/>
          <w:lang w:val="zh-CN" w:eastAsia="zh-CN"/>
        </w:rPr>
      </w:pPr>
      <w:r>
        <w:rPr>
          <w:rFonts w:hint="eastAsia" w:ascii="黑体" w:hAnsi="黑体" w:eastAsia="黑体" w:cs="黑体"/>
          <w:color w:val="auto"/>
          <w:sz w:val="24"/>
          <w:highlight w:val="none"/>
          <w:lang w:val="en-US" w:eastAsia="zh-CN"/>
        </w:rPr>
        <w:t>八、</w:t>
      </w:r>
      <w:r>
        <w:rPr>
          <w:rFonts w:hint="eastAsia" w:ascii="黑体" w:hAnsi="黑体" w:eastAsia="黑体" w:cs="黑体"/>
          <w:color w:val="auto"/>
          <w:sz w:val="24"/>
          <w:highlight w:val="none"/>
          <w:lang w:val="zh-CN" w:eastAsia="zh-CN"/>
        </w:rPr>
        <w:t>保密要求</w:t>
      </w:r>
    </w:p>
    <w:p w14:paraId="1AC3CF2B">
      <w:pPr>
        <w:numPr>
          <w:ilvl w:val="0"/>
          <w:numId w:val="0"/>
        </w:numPr>
        <w:spacing w:line="360" w:lineRule="auto"/>
        <w:ind w:firstLine="440" w:firstLineChars="200"/>
        <w:outlineLvl w:val="9"/>
        <w:rPr>
          <w:rFonts w:hint="eastAsia"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1、乙方</w:t>
      </w:r>
      <w:r>
        <w:rPr>
          <w:rFonts w:hint="eastAsia" w:ascii="仿宋" w:hAnsi="仿宋" w:eastAsia="仿宋"/>
          <w:color w:val="auto"/>
          <w:sz w:val="22"/>
          <w:szCs w:val="22"/>
          <w:highlight w:val="none"/>
          <w:lang w:val="en-US"/>
        </w:rPr>
        <w:t>在参与本项目过程中，对于甲方提供的任何形式的任何信息（包括技术信息和内容信息）均为警务信息，仅可用于完成本项目规定的工作任务，除此之外，</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lang w:val="en-US"/>
        </w:rPr>
        <w:t>不得出于任何目的、通过任何途径使用该信息。</w:t>
      </w:r>
    </w:p>
    <w:p w14:paraId="359EC95E">
      <w:pPr>
        <w:numPr>
          <w:ilvl w:val="0"/>
          <w:numId w:val="0"/>
        </w:numPr>
        <w:spacing w:line="360" w:lineRule="auto"/>
        <w:ind w:firstLine="440" w:firstLineChars="200"/>
        <w:outlineLvl w:val="9"/>
        <w:rPr>
          <w:rFonts w:hint="eastAsia"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2</w:t>
      </w:r>
      <w:r>
        <w:rPr>
          <w:rFonts w:hint="eastAsia" w:ascii="仿宋" w:hAnsi="仿宋" w:eastAsia="仿宋"/>
          <w:color w:val="auto"/>
          <w:sz w:val="22"/>
          <w:szCs w:val="22"/>
          <w:highlight w:val="none"/>
          <w:lang w:val="en-US"/>
        </w:rPr>
        <w:t>、经甲方书面同意，</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lang w:val="en-US"/>
        </w:rPr>
        <w:t>不得就本项目涉及的警务信息在任何媒体上出版、发表声明、发布任何文件或其他书面或印刷资料。不得违规下载、留存、使用公安数据，篡改、毁损、出售数据等；非经甲方书面同意，</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lang w:val="en-US"/>
        </w:rPr>
        <w:t>不得将信息透露或复制给任何第三方，否则甲方有权追究</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lang w:val="en-US"/>
        </w:rPr>
        <w:t>由此产生的一切责任。</w:t>
      </w:r>
    </w:p>
    <w:p w14:paraId="77459802">
      <w:pPr>
        <w:numPr>
          <w:ilvl w:val="0"/>
          <w:numId w:val="0"/>
        </w:numPr>
        <w:spacing w:line="360" w:lineRule="auto"/>
        <w:ind w:firstLine="440" w:firstLineChars="200"/>
        <w:outlineLvl w:val="9"/>
        <w:rPr>
          <w:rFonts w:hint="eastAsia"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3、</w:t>
      </w:r>
      <w:r>
        <w:rPr>
          <w:rFonts w:hint="eastAsia" w:ascii="仿宋" w:hAnsi="仿宋" w:eastAsia="仿宋"/>
          <w:color w:val="auto"/>
          <w:sz w:val="22"/>
          <w:szCs w:val="22"/>
          <w:highlight w:val="none"/>
          <w:lang w:val="en-US"/>
        </w:rPr>
        <w:t>本项目终止或甲方提出书面要求后，</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lang w:val="en-US"/>
        </w:rPr>
        <w:t>应立即销毁所有含警务信息的材料及介质，不得保留任何副本、摘录和其他部分或全部复制品，并销毁一切有关的电子文档信息。</w:t>
      </w:r>
    </w:p>
    <w:p w14:paraId="257B7974">
      <w:pPr>
        <w:numPr>
          <w:ilvl w:val="0"/>
          <w:numId w:val="0"/>
        </w:numPr>
        <w:spacing w:line="360" w:lineRule="auto"/>
        <w:ind w:firstLine="440" w:firstLineChars="200"/>
        <w:outlineLvl w:val="9"/>
        <w:rPr>
          <w:rFonts w:hint="eastAsia"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4、</w:t>
      </w:r>
      <w:r>
        <w:rPr>
          <w:rFonts w:hint="eastAsia" w:ascii="仿宋" w:hAnsi="仿宋" w:eastAsia="仿宋"/>
          <w:color w:val="auto"/>
          <w:sz w:val="22"/>
          <w:szCs w:val="22"/>
          <w:highlight w:val="none"/>
          <w:lang w:val="en-US"/>
        </w:rPr>
        <w:t>本项建设期间，</w:t>
      </w:r>
      <w:r>
        <w:rPr>
          <w:rFonts w:hint="eastAsia" w:ascii="仿宋" w:hAnsi="仿宋" w:eastAsia="仿宋"/>
          <w:color w:val="auto"/>
          <w:sz w:val="22"/>
          <w:szCs w:val="22"/>
          <w:highlight w:val="none"/>
          <w:lang w:val="en-US" w:eastAsia="zh-CN"/>
        </w:rPr>
        <w:t>乙方</w:t>
      </w:r>
      <w:r>
        <w:rPr>
          <w:rFonts w:hint="eastAsia" w:ascii="仿宋" w:hAnsi="仿宋" w:eastAsia="仿宋"/>
          <w:color w:val="auto"/>
          <w:sz w:val="22"/>
          <w:szCs w:val="22"/>
          <w:highlight w:val="none"/>
          <w:lang w:val="en-US"/>
        </w:rPr>
        <w:t>不得擅自扩大与合作事项相关信息的知悉范围，参与人员离职、离岗应及时清除、收回相应文档资料、数据等。所有参与本项目的人员须签订保密协议，保密期限根据甲方要求。以上保密义务不因合同的终止、无效、被撤销而免除。</w:t>
      </w:r>
    </w:p>
    <w:p w14:paraId="24A5E387">
      <w:pPr>
        <w:spacing w:line="560" w:lineRule="exact"/>
        <w:ind w:firstLine="480" w:firstLineChars="200"/>
        <w:outlineLvl w:val="0"/>
        <w:rPr>
          <w:rFonts w:hint="eastAsia" w:ascii="黑体" w:hAnsi="黑体" w:eastAsia="黑体" w:cs="黑体"/>
          <w:color w:val="auto"/>
          <w:sz w:val="24"/>
          <w:highlight w:val="none"/>
          <w:lang w:val="zh-CN"/>
        </w:rPr>
      </w:pPr>
      <w:r>
        <w:rPr>
          <w:rFonts w:hint="eastAsia" w:ascii="黑体" w:hAnsi="黑体" w:eastAsia="黑体" w:cs="黑体"/>
          <w:color w:val="auto"/>
          <w:sz w:val="24"/>
          <w:highlight w:val="none"/>
          <w:lang w:val="en-US"/>
        </w:rPr>
        <w:t>九</w:t>
      </w:r>
      <w:r>
        <w:rPr>
          <w:rFonts w:hint="eastAsia" w:ascii="黑体" w:hAnsi="黑体" w:eastAsia="黑体" w:cs="黑体"/>
          <w:color w:val="auto"/>
          <w:sz w:val="24"/>
          <w:highlight w:val="none"/>
          <w:lang w:val="zh-CN"/>
        </w:rPr>
        <w:t>、争议解决条款</w:t>
      </w:r>
    </w:p>
    <w:p w14:paraId="19144D82">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1、争议的解决</w:t>
      </w:r>
    </w:p>
    <w:p w14:paraId="261627CA">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因履行本合同所发生的和与本合同有关的一切争议，甲、乙双方应首先通过协商方式解决。若协商不成，任何一方均可向甲方所在地管辖权的人民法院提起诉讼。</w:t>
      </w:r>
    </w:p>
    <w:p w14:paraId="1BF6DD1D">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2、争议期间服务的连续性</w:t>
      </w:r>
    </w:p>
    <w:p w14:paraId="4163CC14">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发生争议期间，乙方有义务继续按照服务内容条款中的要求提供服务，不得中断。</w:t>
      </w:r>
    </w:p>
    <w:p w14:paraId="27E2E42F">
      <w:pPr>
        <w:spacing w:line="560" w:lineRule="exact"/>
        <w:ind w:firstLine="480" w:firstLineChars="200"/>
        <w:outlineLvl w:val="0"/>
        <w:rPr>
          <w:rFonts w:hint="eastAsia" w:ascii="黑体" w:hAnsi="黑体" w:eastAsia="黑体" w:cs="黑体"/>
          <w:color w:val="auto"/>
          <w:sz w:val="24"/>
          <w:highlight w:val="none"/>
          <w:lang w:val="zh-CN"/>
        </w:rPr>
      </w:pPr>
      <w:r>
        <w:rPr>
          <w:rFonts w:hint="eastAsia" w:ascii="黑体" w:hAnsi="黑体" w:eastAsia="黑体" w:cs="黑体"/>
          <w:color w:val="auto"/>
          <w:sz w:val="24"/>
          <w:highlight w:val="none"/>
          <w:lang w:val="en-US"/>
        </w:rPr>
        <w:t>十</w:t>
      </w:r>
      <w:r>
        <w:rPr>
          <w:rFonts w:hint="eastAsia" w:ascii="黑体" w:hAnsi="黑体" w:eastAsia="黑体" w:cs="黑体"/>
          <w:color w:val="auto"/>
          <w:sz w:val="24"/>
          <w:highlight w:val="none"/>
          <w:lang w:val="zh-CN"/>
        </w:rPr>
        <w:t>、其它条款</w:t>
      </w:r>
    </w:p>
    <w:p w14:paraId="225EC71C">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1、在合同履行过程中，甲、乙双方均不得任意修改合同内容，一方如需修改合同某项条款，需向另一方出具变更内容及理由的申请书，经对方同意并修改相应内容后方可实施，在达成新的协议之前，双方仍按原合同条款进行，否则，后果由自行修改条款一方负责。</w:t>
      </w:r>
    </w:p>
    <w:p w14:paraId="72D48E06">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2、本合同的附件为本合同不可分割的部分，与合同正文具有同等效力。</w:t>
      </w:r>
    </w:p>
    <w:p w14:paraId="2F704A0D">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3、本合同适用中华人民共和国法律，并依据中华人民共和国法律进行解释。</w:t>
      </w:r>
    </w:p>
    <w:p w14:paraId="6AEE3A10">
      <w:pPr>
        <w:pStyle w:val="3"/>
        <w:numPr>
          <w:ilvl w:val="0"/>
          <w:numId w:val="0"/>
        </w:numPr>
        <w:ind w:leftChars="198"/>
        <w:rPr>
          <w:rFonts w:hint="eastAsia" w:ascii="黑体" w:hAnsi="黑体" w:eastAsia="黑体" w:cs="黑体"/>
          <w:b w:val="0"/>
          <w:bCs w:val="0"/>
          <w:color w:val="auto"/>
          <w:sz w:val="24"/>
          <w:szCs w:val="24"/>
          <w:highlight w:val="none"/>
        </w:rPr>
      </w:pPr>
      <w:r>
        <w:rPr>
          <w:rFonts w:hint="eastAsia" w:ascii="黑体" w:hAnsi="黑体" w:eastAsia="黑体" w:cs="黑体"/>
          <w:color w:val="auto"/>
          <w:sz w:val="24"/>
          <w:szCs w:val="24"/>
          <w:highlight w:val="none"/>
          <w:lang w:val="en-US"/>
        </w:rPr>
        <w:t>十一</w:t>
      </w:r>
      <w:r>
        <w:rPr>
          <w:rFonts w:hint="eastAsia" w:ascii="黑体" w:hAnsi="黑体" w:eastAsia="黑体" w:cs="黑体"/>
          <w:color w:val="auto"/>
          <w:sz w:val="24"/>
          <w:szCs w:val="24"/>
          <w:highlight w:val="none"/>
        </w:rPr>
        <w:t>、合同的终止与解除</w:t>
      </w:r>
    </w:p>
    <w:p w14:paraId="5492C4CA">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1、到期</w:t>
      </w:r>
      <w:r>
        <w:rPr>
          <w:rFonts w:hint="default" w:ascii="仿宋" w:hAnsi="仿宋" w:eastAsia="仿宋"/>
          <w:color w:val="auto"/>
          <w:sz w:val="22"/>
          <w:szCs w:val="22"/>
          <w:highlight w:val="none"/>
          <w:lang w:val="en-US" w:eastAsia="zh-CN"/>
        </w:rPr>
        <w:t>：</w:t>
      </w:r>
      <w:r>
        <w:rPr>
          <w:rFonts w:hint="default" w:ascii="仿宋" w:hAnsi="仿宋" w:eastAsia="仿宋"/>
          <w:color w:val="auto"/>
          <w:sz w:val="22"/>
          <w:szCs w:val="22"/>
          <w:highlight w:val="none"/>
          <w:lang w:val="en-US"/>
        </w:rPr>
        <w:t>合同期限届满，且双方未就续约事宜达成一致的，合同到期终止。</w:t>
      </w:r>
    </w:p>
    <w:p w14:paraId="274658B7">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default" w:ascii="仿宋" w:hAnsi="仿宋" w:eastAsia="仿宋"/>
          <w:color w:val="auto"/>
          <w:sz w:val="22"/>
          <w:szCs w:val="22"/>
          <w:highlight w:val="none"/>
          <w:lang w:val="en-US"/>
        </w:rPr>
        <w:t>2、违约的解除</w:t>
      </w:r>
      <w:r>
        <w:rPr>
          <w:rFonts w:hint="default" w:ascii="仿宋" w:hAnsi="仿宋" w:eastAsia="仿宋"/>
          <w:color w:val="auto"/>
          <w:sz w:val="22"/>
          <w:szCs w:val="22"/>
          <w:highlight w:val="none"/>
          <w:lang w:val="en-US" w:eastAsia="zh-CN"/>
        </w:rPr>
        <w:t>：</w:t>
      </w:r>
      <w:r>
        <w:rPr>
          <w:rFonts w:hint="default" w:ascii="仿宋" w:hAnsi="仿宋" w:eastAsia="仿宋"/>
          <w:color w:val="auto"/>
          <w:sz w:val="22"/>
          <w:szCs w:val="22"/>
          <w:highlight w:val="none"/>
          <w:lang w:val="en-US"/>
        </w:rPr>
        <w:t>甲方违反合同的约定未及时支付乙方服务费用，甲方在乙方发出要求甲方纠正违约行为的书面通知之日起 60 天内未能纠正违约行为并赔偿损失的，乙方有权书面通知违约方立即解除本合同。</w:t>
      </w:r>
    </w:p>
    <w:p w14:paraId="352F7877">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3、</w:t>
      </w:r>
      <w:r>
        <w:rPr>
          <w:rFonts w:hint="default" w:ascii="仿宋" w:hAnsi="仿宋" w:eastAsia="仿宋"/>
          <w:color w:val="auto"/>
          <w:sz w:val="22"/>
          <w:szCs w:val="22"/>
          <w:highlight w:val="none"/>
          <w:lang w:val="en-US"/>
        </w:rPr>
        <w:t>乙方在服务过程中质量不合格的，乙方在甲方发出要求乙方纠正违约行为的书面通知之日起10天内未能纠正违约行为并赔偿损失的，甲方有权解除合同。</w:t>
      </w:r>
    </w:p>
    <w:p w14:paraId="3151DC28">
      <w:pPr>
        <w:numPr>
          <w:ilvl w:val="0"/>
          <w:numId w:val="0"/>
        </w:numPr>
        <w:spacing w:line="360" w:lineRule="auto"/>
        <w:ind w:firstLine="440" w:firstLineChars="200"/>
        <w:outlineLvl w:val="9"/>
        <w:rPr>
          <w:rFonts w:hint="default" w:ascii="仿宋" w:hAnsi="仿宋" w:eastAsia="仿宋"/>
          <w:color w:val="auto"/>
          <w:sz w:val="22"/>
          <w:szCs w:val="22"/>
          <w:highlight w:val="none"/>
          <w:lang w:val="en-US"/>
        </w:rPr>
      </w:pPr>
      <w:r>
        <w:rPr>
          <w:rFonts w:hint="eastAsia" w:ascii="仿宋" w:hAnsi="仿宋" w:eastAsia="仿宋"/>
          <w:color w:val="auto"/>
          <w:sz w:val="22"/>
          <w:szCs w:val="22"/>
          <w:highlight w:val="none"/>
          <w:lang w:val="en-US" w:eastAsia="zh-CN"/>
        </w:rPr>
        <w:t>4、</w:t>
      </w:r>
      <w:r>
        <w:rPr>
          <w:rFonts w:hint="default" w:ascii="仿宋" w:hAnsi="仿宋" w:eastAsia="仿宋"/>
          <w:color w:val="auto"/>
          <w:sz w:val="22"/>
          <w:szCs w:val="22"/>
          <w:highlight w:val="none"/>
          <w:lang w:val="en-US"/>
        </w:rPr>
        <w:t>乙方在提供服务过程中，出现重大安全事件的，甲方有权解除合同。</w:t>
      </w:r>
    </w:p>
    <w:p w14:paraId="16F64EA5">
      <w:pPr>
        <w:pStyle w:val="3"/>
        <w:numPr>
          <w:ilvl w:val="0"/>
          <w:numId w:val="0"/>
        </w:numPr>
        <w:spacing w:line="560" w:lineRule="exact"/>
        <w:ind w:leftChars="198" w:firstLineChars="200"/>
        <w:outlineLvl w:val="0"/>
        <w:rPr>
          <w:rFonts w:hint="eastAsia" w:ascii="黑体" w:hAnsi="黑体" w:eastAsia="黑体" w:cs="黑体"/>
          <w:color w:val="auto"/>
          <w:sz w:val="24"/>
          <w:szCs w:val="24"/>
          <w:highlight w:val="none"/>
          <w:lang w:val="en-US"/>
        </w:rPr>
      </w:pPr>
      <w:r>
        <w:rPr>
          <w:rFonts w:hint="eastAsia" w:ascii="黑体" w:hAnsi="黑体" w:eastAsia="黑体" w:cs="黑体"/>
          <w:color w:val="auto"/>
          <w:sz w:val="24"/>
          <w:szCs w:val="24"/>
          <w:highlight w:val="none"/>
          <w:lang w:val="en-US"/>
        </w:rPr>
        <w:t>十</w:t>
      </w:r>
      <w:r>
        <w:rPr>
          <w:rFonts w:hint="eastAsia" w:ascii="黑体" w:hAnsi="黑体" w:eastAsia="黑体" w:cs="黑体"/>
          <w:color w:val="auto"/>
          <w:sz w:val="24"/>
          <w:szCs w:val="24"/>
          <w:highlight w:val="none"/>
          <w:lang w:val="en-US" w:eastAsia="zh-CN"/>
        </w:rPr>
        <w:t>二</w:t>
      </w:r>
      <w:r>
        <w:rPr>
          <w:rFonts w:hint="eastAsia" w:ascii="黑体" w:hAnsi="黑体" w:eastAsia="黑体" w:cs="黑体"/>
          <w:color w:val="auto"/>
          <w:sz w:val="24"/>
          <w:szCs w:val="24"/>
          <w:highlight w:val="none"/>
          <w:lang w:val="en-US"/>
        </w:rPr>
        <w:t>、合同的生效</w:t>
      </w:r>
    </w:p>
    <w:p w14:paraId="435F8394">
      <w:pPr>
        <w:spacing w:line="560" w:lineRule="exact"/>
        <w:ind w:firstLine="480" w:firstLineChars="200"/>
        <w:outlineLvl w:val="0"/>
        <w:rPr>
          <w:rFonts w:hint="eastAsia" w:ascii="仿宋" w:hAnsi="仿宋" w:eastAsia="仿宋"/>
          <w:color w:val="auto"/>
          <w:sz w:val="24"/>
          <w:highlight w:val="none"/>
          <w:lang w:val="zh-CN"/>
        </w:rPr>
      </w:pPr>
      <w:r>
        <w:rPr>
          <w:rFonts w:hint="eastAsia" w:ascii="仿宋" w:hAnsi="仿宋" w:eastAsia="仿宋"/>
          <w:color w:val="auto"/>
          <w:sz w:val="24"/>
          <w:highlight w:val="none"/>
          <w:lang w:val="zh-CN"/>
        </w:rPr>
        <w:t>1) 本合同自双方加盖单位合同章或公章后生效。</w:t>
      </w:r>
    </w:p>
    <w:p w14:paraId="0199DD11">
      <w:pPr>
        <w:spacing w:line="560" w:lineRule="exact"/>
        <w:ind w:firstLine="480" w:firstLineChars="200"/>
        <w:outlineLvl w:val="0"/>
        <w:rPr>
          <w:rFonts w:hint="eastAsia" w:ascii="仿宋" w:hAnsi="仿宋" w:eastAsia="仿宋"/>
          <w:color w:val="auto"/>
          <w:sz w:val="24"/>
          <w:highlight w:val="none"/>
          <w:lang w:val="zh-CN"/>
        </w:rPr>
      </w:pPr>
      <w:r>
        <w:rPr>
          <w:rFonts w:hint="eastAsia" w:ascii="仿宋" w:hAnsi="仿宋" w:eastAsia="仿宋"/>
          <w:color w:val="auto"/>
          <w:sz w:val="24"/>
          <w:highlight w:val="none"/>
          <w:lang w:val="zh-CN"/>
        </w:rPr>
        <w:t>2) 本合同一式肆份，甲、乙双方各执贰份。具有同等法律效力。</w:t>
      </w:r>
    </w:p>
    <w:p w14:paraId="579D4CDD">
      <w:pPr>
        <w:spacing w:line="560" w:lineRule="exact"/>
        <w:ind w:firstLine="480" w:firstLineChars="200"/>
        <w:outlineLvl w:val="0"/>
        <w:rPr>
          <w:rFonts w:ascii="仿宋" w:hAnsi="仿宋" w:eastAsia="仿宋" w:cs="仿宋"/>
          <w:color w:val="auto"/>
          <w:sz w:val="24"/>
          <w:highlight w:val="none"/>
        </w:rPr>
      </w:pPr>
      <w:r>
        <w:rPr>
          <w:rFonts w:hint="eastAsia" w:ascii="仿宋" w:hAnsi="仿宋" w:eastAsia="仿宋" w:cs="仿宋"/>
          <w:vanish/>
          <w:color w:val="auto"/>
          <w:sz w:val="24"/>
          <w:highlight w:val="none"/>
        </w:rPr>
        <w:t>.</w:t>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t xml:space="preserve">14.联络员为方在以书面的通知通告对方的前提下，可以更换其联络人                  </w:t>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vanish/>
          <w:color w:val="auto"/>
          <w:sz w:val="24"/>
          <w:highlight w:val="none"/>
        </w:rPr>
        <w:pgNum/>
      </w:r>
      <w:r>
        <w:rPr>
          <w:rFonts w:hint="eastAsia" w:ascii="仿宋" w:hAnsi="仿宋" w:eastAsia="仿宋" w:cs="仿宋"/>
          <w:color w:val="auto"/>
          <w:sz w:val="24"/>
          <w:highlight w:val="none"/>
        </w:rPr>
        <w:t>3) 本合同未尽事宜，应经双方协商后以补充协议方式明确。</w:t>
      </w:r>
    </w:p>
    <w:p w14:paraId="1CFEFC21">
      <w:pPr>
        <w:spacing w:before="156" w:beforeLines="50" w:after="156" w:afterLines="50" w:line="400" w:lineRule="exact"/>
        <w:rPr>
          <w:rFonts w:ascii="仿宋" w:hAnsi="仿宋" w:eastAsia="仿宋" w:cs="仿宋"/>
          <w:bCs/>
          <w:color w:val="auto"/>
          <w:sz w:val="24"/>
          <w:szCs w:val="24"/>
          <w:highlight w:val="none"/>
        </w:rPr>
      </w:pPr>
    </w:p>
    <w:p w14:paraId="24FED348">
      <w:pPr>
        <w:spacing w:before="156" w:beforeLines="50" w:after="156" w:afterLines="50" w:line="400" w:lineRule="exac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 xml:space="preserve">甲    方：                       乙    方：          </w:t>
      </w:r>
    </w:p>
    <w:p w14:paraId="72E3A236">
      <w:pPr>
        <w:spacing w:before="156" w:beforeLines="50" w:after="156" w:afterLines="50" w:line="400" w:lineRule="exac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 xml:space="preserve">          (盖章）                          （盖章）</w:t>
      </w:r>
    </w:p>
    <w:p w14:paraId="290B18DA">
      <w:pPr>
        <w:spacing w:before="156" w:beforeLines="50" w:after="156" w:afterLines="50" w:line="400" w:lineRule="exact"/>
        <w:jc w:val="left"/>
        <w:rPr>
          <w:rFonts w:ascii="仿宋" w:hAnsi="仿宋" w:eastAsia="仿宋" w:cs="Arial"/>
          <w:snapToGrid w:val="0"/>
          <w:color w:val="auto"/>
          <w:kern w:val="0"/>
          <w:sz w:val="24"/>
          <w:szCs w:val="20"/>
          <w:highlight w:val="none"/>
        </w:rPr>
      </w:pPr>
    </w:p>
    <w:p w14:paraId="02C5FD1C">
      <w:pPr>
        <w:spacing w:before="156" w:beforeLines="50" w:after="156" w:afterLines="50" w:line="400" w:lineRule="exact"/>
        <w:jc w:val="lef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地    址：                       地    址：</w:t>
      </w:r>
    </w:p>
    <w:p w14:paraId="7F4591FF">
      <w:pPr>
        <w:spacing w:before="156" w:beforeLines="50" w:after="156" w:afterLines="50" w:line="400" w:lineRule="exact"/>
        <w:jc w:val="lef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法定代表人（签章）：              法定代表人（签章）：</w:t>
      </w:r>
    </w:p>
    <w:p w14:paraId="5B0F8BAE">
      <w:pPr>
        <w:spacing w:before="156" w:beforeLines="50" w:after="156" w:afterLines="50" w:line="400" w:lineRule="exact"/>
        <w:jc w:val="lef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委托代理人（签章）：              委托代理人（签章）：</w:t>
      </w:r>
    </w:p>
    <w:p w14:paraId="39899DFD">
      <w:pPr>
        <w:spacing w:before="156" w:beforeLines="50" w:after="156" w:afterLines="50" w:line="400" w:lineRule="exact"/>
        <w:jc w:val="lef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开户银行：                       开户银行：</w:t>
      </w:r>
    </w:p>
    <w:p w14:paraId="59B9A43B">
      <w:pPr>
        <w:spacing w:before="156" w:beforeLines="50" w:after="156" w:afterLines="50" w:line="400" w:lineRule="exact"/>
        <w:jc w:val="lef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帐    号：                       帐    号：</w:t>
      </w:r>
    </w:p>
    <w:p w14:paraId="3ECB5F5F">
      <w:pPr>
        <w:spacing w:before="156" w:beforeLines="50" w:after="156" w:afterLines="50" w:line="400" w:lineRule="exact"/>
        <w:jc w:val="left"/>
        <w:rPr>
          <w:rFonts w:ascii="仿宋" w:hAnsi="仿宋" w:eastAsia="仿宋" w:cs="Arial"/>
          <w:snapToGrid w:val="0"/>
          <w:color w:val="auto"/>
          <w:kern w:val="0"/>
          <w:sz w:val="24"/>
          <w:szCs w:val="20"/>
          <w:highlight w:val="none"/>
        </w:rPr>
      </w:pPr>
      <w:r>
        <w:rPr>
          <w:rFonts w:hint="eastAsia" w:ascii="仿宋" w:hAnsi="仿宋" w:eastAsia="仿宋" w:cs="Arial"/>
          <w:snapToGrid w:val="0"/>
          <w:color w:val="auto"/>
          <w:kern w:val="0"/>
          <w:sz w:val="24"/>
          <w:szCs w:val="20"/>
          <w:highlight w:val="none"/>
        </w:rPr>
        <w:t xml:space="preserve">项目负责（联系）人：             项目负责（联系）人：  </w:t>
      </w:r>
    </w:p>
    <w:p w14:paraId="3AC14D64">
      <w:pPr>
        <w:rPr>
          <w:rFonts w:ascii="仿宋" w:hAnsi="仿宋" w:eastAsia="仿宋" w:cs="仿宋"/>
          <w:color w:val="auto"/>
          <w:sz w:val="24"/>
          <w:highlight w:val="none"/>
        </w:rPr>
      </w:pPr>
    </w:p>
    <w:p w14:paraId="1840C760">
      <w:pPr>
        <w:spacing w:line="560" w:lineRule="exact"/>
        <w:ind w:firstLine="480" w:firstLineChars="200"/>
        <w:rPr>
          <w:rFonts w:ascii="仿宋" w:hAnsi="仿宋" w:eastAsia="仿宋" w:cs="仿宋"/>
          <w:color w:val="auto"/>
          <w:sz w:val="24"/>
          <w:highlight w:val="none"/>
          <w:lang w:val="zh-CN"/>
        </w:rPr>
      </w:pPr>
    </w:p>
    <w:p w14:paraId="0354A93B">
      <w:pPr>
        <w:snapToGrid w:val="0"/>
        <w:spacing w:line="360" w:lineRule="auto"/>
        <w:jc w:val="center"/>
        <w:outlineLvl w:val="0"/>
        <w:rPr>
          <w:rFonts w:hint="eastAsia" w:ascii="仿宋" w:hAnsi="仿宋" w:eastAsia="仿宋" w:cs="仿宋"/>
          <w:b/>
          <w:color w:val="auto"/>
          <w:sz w:val="36"/>
          <w:szCs w:val="20"/>
          <w:highlight w:val="none"/>
        </w:rPr>
      </w:pPr>
    </w:p>
    <w:p w14:paraId="3D638339">
      <w:pPr>
        <w:snapToGrid w:val="0"/>
        <w:spacing w:line="360" w:lineRule="auto"/>
        <w:jc w:val="center"/>
        <w:outlineLvl w:val="0"/>
        <w:rPr>
          <w:rFonts w:hint="eastAsia" w:ascii="仿宋" w:hAnsi="仿宋" w:eastAsia="仿宋" w:cs="仿宋"/>
          <w:b/>
          <w:color w:val="auto"/>
          <w:sz w:val="36"/>
          <w:szCs w:val="20"/>
          <w:highlight w:val="none"/>
        </w:rPr>
      </w:pPr>
    </w:p>
    <w:p w14:paraId="49755916">
      <w:pPr>
        <w:snapToGrid w:val="0"/>
        <w:spacing w:line="360" w:lineRule="auto"/>
        <w:jc w:val="center"/>
        <w:outlineLvl w:val="0"/>
        <w:rPr>
          <w:rFonts w:hint="eastAsia" w:ascii="仿宋" w:hAnsi="仿宋" w:eastAsia="仿宋" w:cs="仿宋"/>
          <w:b/>
          <w:color w:val="auto"/>
          <w:sz w:val="36"/>
          <w:szCs w:val="20"/>
          <w:highlight w:val="none"/>
        </w:rPr>
      </w:pPr>
    </w:p>
    <w:p w14:paraId="47CA40AA">
      <w:pPr>
        <w:snapToGrid w:val="0"/>
        <w:spacing w:line="360" w:lineRule="auto"/>
        <w:jc w:val="center"/>
        <w:outlineLvl w:val="0"/>
        <w:rPr>
          <w:rFonts w:hint="eastAsia" w:ascii="仿宋" w:hAnsi="仿宋" w:eastAsia="仿宋" w:cs="仿宋"/>
          <w:b/>
          <w:color w:val="auto"/>
          <w:sz w:val="36"/>
          <w:szCs w:val="20"/>
          <w:highlight w:val="none"/>
        </w:rPr>
      </w:pPr>
    </w:p>
    <w:p w14:paraId="5C69761F">
      <w:pPr>
        <w:snapToGrid w:val="0"/>
        <w:spacing w:line="360" w:lineRule="auto"/>
        <w:jc w:val="center"/>
        <w:outlineLvl w:val="0"/>
        <w:rPr>
          <w:rFonts w:hint="eastAsia" w:ascii="仿宋" w:hAnsi="仿宋" w:eastAsia="仿宋" w:cs="仿宋"/>
          <w:b/>
          <w:color w:val="auto"/>
          <w:sz w:val="36"/>
          <w:szCs w:val="20"/>
          <w:highlight w:val="none"/>
        </w:rPr>
      </w:pPr>
    </w:p>
    <w:p w14:paraId="26363997">
      <w:pPr>
        <w:snapToGrid w:val="0"/>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71"/>
      <w:bookmarkEnd w:id="72"/>
      <w:r>
        <w:rPr>
          <w:rFonts w:hint="eastAsia" w:ascii="仿宋" w:hAnsi="仿宋" w:eastAsia="仿宋" w:cs="仿宋"/>
          <w:b/>
          <w:color w:val="auto"/>
          <w:sz w:val="36"/>
          <w:szCs w:val="20"/>
          <w:highlight w:val="none"/>
        </w:rPr>
        <w:t>应提交的有关格式范例</w:t>
      </w:r>
    </w:p>
    <w:p w14:paraId="6AAD8C0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供应商按照以下格式编制响应文件。</w:t>
      </w:r>
    </w:p>
    <w:p w14:paraId="4747831C">
      <w:pPr>
        <w:spacing w:line="360" w:lineRule="auto"/>
        <w:ind w:firstLine="480" w:firstLineChars="200"/>
        <w:rPr>
          <w:rFonts w:ascii="仿宋" w:hAnsi="仿宋" w:eastAsia="仿宋" w:cs="仿宋"/>
          <w:color w:val="auto"/>
          <w:sz w:val="24"/>
          <w:highlight w:val="none"/>
        </w:rPr>
      </w:pPr>
    </w:p>
    <w:p w14:paraId="106467F4">
      <w:pPr>
        <w:pStyle w:val="47"/>
        <w:spacing w:before="120" w:beforeLines="50" w:line="340" w:lineRule="exact"/>
        <w:rPr>
          <w:rFonts w:ascii="仿宋" w:hAnsi="仿宋" w:eastAsia="仿宋" w:cs="仿宋"/>
          <w:color w:val="auto"/>
          <w:highlight w:val="none"/>
        </w:rPr>
      </w:pPr>
      <w:bookmarkStart w:id="73" w:name="_Toc111497095"/>
      <w:r>
        <w:rPr>
          <w:rFonts w:hint="eastAsia" w:ascii="仿宋" w:hAnsi="仿宋" w:eastAsia="仿宋" w:cs="仿宋"/>
          <w:color w:val="auto"/>
          <w:highlight w:val="none"/>
        </w:rPr>
        <w:t>资格文件部分</w:t>
      </w:r>
      <w:bookmarkEnd w:id="73"/>
    </w:p>
    <w:p w14:paraId="7CEE6E77">
      <w:pPr>
        <w:spacing w:line="360" w:lineRule="auto"/>
        <w:jc w:val="center"/>
        <w:rPr>
          <w:rFonts w:ascii="仿宋" w:hAnsi="仿宋" w:eastAsia="仿宋" w:cs="仿宋"/>
          <w:b/>
          <w:color w:val="auto"/>
          <w:sz w:val="32"/>
          <w:szCs w:val="32"/>
          <w:highlight w:val="none"/>
        </w:rPr>
      </w:pPr>
    </w:p>
    <w:p w14:paraId="50EF8001">
      <w:pPr>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4F30115">
      <w:pPr>
        <w:spacing w:line="360" w:lineRule="auto"/>
        <w:jc w:val="center"/>
        <w:outlineLvl w:val="0"/>
        <w:rPr>
          <w:rFonts w:ascii="仿宋" w:hAnsi="仿宋" w:eastAsia="仿宋" w:cs="仿宋"/>
          <w:b/>
          <w:color w:val="auto"/>
          <w:kern w:val="0"/>
          <w:sz w:val="36"/>
          <w:szCs w:val="36"/>
          <w:highlight w:val="none"/>
        </w:rPr>
      </w:pPr>
    </w:p>
    <w:p w14:paraId="64E5C238">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4F5C8336">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14:paraId="596EC3DF">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14:paraId="731F8EC8">
      <w:pPr>
        <w:spacing w:line="360" w:lineRule="auto"/>
        <w:ind w:firstLine="480" w:firstLineChars="200"/>
        <w:rPr>
          <w:rFonts w:ascii="仿宋" w:hAnsi="仿宋" w:eastAsia="仿宋" w:cs="仿宋"/>
          <w:color w:val="auto"/>
          <w:sz w:val="24"/>
          <w:highlight w:val="none"/>
        </w:rPr>
      </w:pPr>
    </w:p>
    <w:p w14:paraId="492B0343">
      <w:pPr>
        <w:snapToGrid w:val="0"/>
        <w:spacing w:line="360" w:lineRule="auto"/>
        <w:ind w:right="480"/>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p>
    <w:p w14:paraId="081A777B">
      <w:pPr>
        <w:pStyle w:val="4"/>
        <w:numPr>
          <w:ilvl w:val="0"/>
          <w:numId w:val="0"/>
        </w:numPr>
        <w:ind w:left="900"/>
        <w:rPr>
          <w:rFonts w:ascii="仿宋" w:hAnsi="仿宋" w:eastAsia="仿宋" w:cs="仿宋"/>
          <w:b w:val="0"/>
          <w:color w:val="auto"/>
          <w:kern w:val="0"/>
          <w:highlight w:val="none"/>
        </w:rPr>
      </w:pPr>
      <w:bookmarkStart w:id="74" w:name="_Toc111497096"/>
      <w:r>
        <w:rPr>
          <w:rFonts w:hint="eastAsia" w:ascii="仿宋" w:hAnsi="仿宋" w:eastAsia="仿宋" w:cs="仿宋"/>
          <w:color w:val="auto"/>
          <w:kern w:val="0"/>
          <w:highlight w:val="none"/>
        </w:rPr>
        <w:t>一、 符合参加政府采购活动应当具备的一般条件的承诺函</w:t>
      </w:r>
      <w:bookmarkEnd w:id="74"/>
    </w:p>
    <w:p w14:paraId="653B817C">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杭州市公安局滨江区分局、浙江信达咨询监理有限公司：</w:t>
      </w:r>
    </w:p>
    <w:p w14:paraId="74AFF24A">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 xml:space="preserve"> 】政府采购活动，郑重承诺：</w:t>
      </w:r>
    </w:p>
    <w:p w14:paraId="063C70A4">
      <w:pPr>
        <w:snapToGrid w:val="0"/>
        <w:spacing w:line="360" w:lineRule="auto"/>
        <w:ind w:firstLine="361" w:firstLineChars="150"/>
        <w:rPr>
          <w:rFonts w:ascii="仿宋" w:hAnsi="仿宋" w:eastAsia="仿宋" w:cs="仿宋"/>
          <w:b/>
          <w:bCs/>
          <w:color w:val="auto"/>
          <w:sz w:val="24"/>
          <w:highlight w:val="none"/>
        </w:rPr>
      </w:pPr>
      <w:r>
        <w:rPr>
          <w:rFonts w:hint="eastAsia" w:ascii="仿宋" w:hAnsi="仿宋" w:eastAsia="仿宋" w:cs="仿宋"/>
          <w:b/>
          <w:bCs/>
          <w:color w:val="auto"/>
          <w:sz w:val="24"/>
          <w:highlight w:val="none"/>
        </w:rPr>
        <w:t>（一）具备《中华人民共和国政府采购法》第二十二条第一款规定的条件：</w:t>
      </w:r>
    </w:p>
    <w:p w14:paraId="361A23A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26F30FC8">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53E2956">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9FC4F87">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1B93BD8A">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0EF0AA0E">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C31967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1B1C1800">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013BEFE">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1、单位负责人为同一人或者存在直接控股、管理关系的不同投标人参加同一合同项下的政府采购活动的；</w:t>
      </w:r>
    </w:p>
    <w:p w14:paraId="5D67D0CD">
      <w:pPr>
        <w:spacing w:line="360" w:lineRule="auto"/>
        <w:ind w:firstLine="422" w:firstLineChars="200"/>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以上承诺如有虚假或隐瞒，采购人可取消我方任何资格（投标/中标/签订合同），我方对此无任何异议，并愿意承担一切后果和责任。</w:t>
      </w:r>
    </w:p>
    <w:p w14:paraId="4096F92B">
      <w:pPr>
        <w:snapToGrid w:val="0"/>
        <w:spacing w:line="360" w:lineRule="auto"/>
        <w:ind w:firstLine="5520" w:firstLineChars="2300"/>
        <w:rPr>
          <w:rFonts w:ascii="仿宋" w:hAnsi="仿宋" w:eastAsia="仿宋" w:cs="仿宋"/>
          <w:color w:val="auto"/>
          <w:kern w:val="0"/>
          <w:sz w:val="24"/>
          <w:highlight w:val="none"/>
          <w:lang w:val="zh-CN"/>
        </w:rPr>
      </w:pPr>
    </w:p>
    <w:p w14:paraId="64FF37B1">
      <w:pPr>
        <w:rPr>
          <w:rFonts w:ascii="仿宋" w:hAnsi="仿宋" w:eastAsia="仿宋" w:cs="仿宋"/>
          <w:color w:val="auto"/>
          <w:highlight w:val="none"/>
        </w:rPr>
      </w:pPr>
    </w:p>
    <w:p w14:paraId="1114AD6C">
      <w:pPr>
        <w:snapToGrid w:val="0"/>
        <w:spacing w:line="360" w:lineRule="auto"/>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8C39587">
      <w:pPr>
        <w:snapToGrid w:val="0"/>
        <w:spacing w:line="360" w:lineRule="auto"/>
        <w:jc w:val="righ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565CFD5A">
      <w:pPr>
        <w:snapToGrid w:val="0"/>
        <w:spacing w:line="360" w:lineRule="auto"/>
        <w:ind w:right="480"/>
        <w:jc w:val="center"/>
        <w:rPr>
          <w:rFonts w:ascii="仿宋" w:hAnsi="仿宋" w:eastAsia="仿宋" w:cs="仿宋"/>
          <w:b/>
          <w:color w:val="auto"/>
          <w:kern w:val="0"/>
          <w:sz w:val="32"/>
          <w:szCs w:val="32"/>
          <w:highlight w:val="none"/>
        </w:rPr>
      </w:pPr>
    </w:p>
    <w:p w14:paraId="58213B0A">
      <w:pPr>
        <w:snapToGrid w:val="0"/>
        <w:spacing w:line="360" w:lineRule="auto"/>
        <w:ind w:right="480"/>
        <w:jc w:val="center"/>
        <w:rPr>
          <w:rFonts w:ascii="仿宋" w:hAnsi="仿宋" w:eastAsia="仿宋" w:cs="仿宋"/>
          <w:b/>
          <w:color w:val="auto"/>
          <w:kern w:val="0"/>
          <w:sz w:val="32"/>
          <w:szCs w:val="32"/>
          <w:highlight w:val="none"/>
        </w:rPr>
      </w:pPr>
    </w:p>
    <w:p w14:paraId="5DC78D87">
      <w:pPr>
        <w:rPr>
          <w:rFonts w:ascii="仿宋" w:hAnsi="仿宋" w:eastAsia="仿宋" w:cs="仿宋"/>
          <w:color w:val="auto"/>
          <w:highlight w:val="none"/>
        </w:rPr>
      </w:pPr>
    </w:p>
    <w:p w14:paraId="5CB3CFBE">
      <w:pPr>
        <w:snapToGrid w:val="0"/>
        <w:spacing w:line="360" w:lineRule="auto"/>
        <w:ind w:right="480"/>
        <w:jc w:val="center"/>
        <w:rPr>
          <w:rFonts w:ascii="仿宋" w:hAnsi="仿宋" w:eastAsia="仿宋" w:cs="仿宋"/>
          <w:b/>
          <w:color w:val="auto"/>
          <w:kern w:val="0"/>
          <w:sz w:val="32"/>
          <w:szCs w:val="32"/>
          <w:highlight w:val="none"/>
        </w:rPr>
      </w:pPr>
    </w:p>
    <w:p w14:paraId="285DFECB">
      <w:pPr>
        <w:rPr>
          <w:rFonts w:ascii="仿宋" w:hAnsi="仿宋" w:eastAsia="仿宋" w:cs="仿宋"/>
          <w:color w:val="auto"/>
          <w:highlight w:val="none"/>
        </w:rPr>
      </w:pPr>
    </w:p>
    <w:p w14:paraId="47C5F888">
      <w:pP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192C266">
      <w:pPr>
        <w:pStyle w:val="4"/>
        <w:numPr>
          <w:ilvl w:val="0"/>
          <w:numId w:val="0"/>
        </w:numPr>
        <w:ind w:left="900"/>
        <w:rPr>
          <w:rFonts w:ascii="仿宋" w:hAnsi="仿宋" w:eastAsia="仿宋" w:cs="仿宋"/>
          <w:b w:val="0"/>
          <w:color w:val="auto"/>
          <w:kern w:val="0"/>
          <w:highlight w:val="none"/>
        </w:rPr>
      </w:pPr>
      <w:bookmarkStart w:id="75" w:name="_Toc111497098"/>
      <w:r>
        <w:rPr>
          <w:rFonts w:hint="eastAsia" w:ascii="仿宋" w:hAnsi="仿宋" w:eastAsia="仿宋" w:cs="仿宋"/>
          <w:color w:val="auto"/>
          <w:kern w:val="0"/>
          <w:highlight w:val="none"/>
        </w:rPr>
        <w:t>二、落实政府采购政策需满足的资格要求</w:t>
      </w:r>
      <w:bookmarkEnd w:id="75"/>
    </w:p>
    <w:p w14:paraId="424A696E">
      <w:p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（根据招标公告落实政府采购政策需满足的资格要求选择提供相应的材料；未要求的，无需提供）</w:t>
      </w:r>
    </w:p>
    <w:p w14:paraId="04CB0315">
      <w:pPr>
        <w:rPr>
          <w:rFonts w:ascii="仿宋" w:hAnsi="仿宋" w:eastAsia="仿宋" w:cs="仿宋"/>
          <w:b/>
          <w:color w:val="auto"/>
          <w:kern w:val="0"/>
          <w:sz w:val="32"/>
          <w:szCs w:val="32"/>
          <w:highlight w:val="none"/>
        </w:rPr>
      </w:pPr>
    </w:p>
    <w:p w14:paraId="4AE00C99">
      <w:pPr>
        <w:rPr>
          <w:rFonts w:ascii="仿宋" w:hAnsi="仿宋" w:eastAsia="仿宋" w:cs="仿宋"/>
          <w:color w:val="auto"/>
          <w:highlight w:val="none"/>
        </w:rPr>
      </w:pPr>
    </w:p>
    <w:p w14:paraId="1C7EDE3B">
      <w:pPr>
        <w:pStyle w:val="4"/>
        <w:numPr>
          <w:ilvl w:val="0"/>
          <w:numId w:val="0"/>
        </w:numPr>
        <w:ind w:left="900"/>
        <w:rPr>
          <w:rFonts w:ascii="仿宋" w:hAnsi="仿宋" w:eastAsia="仿宋" w:cs="仿宋"/>
          <w:b w:val="0"/>
          <w:color w:val="auto"/>
          <w:kern w:val="0"/>
          <w:highlight w:val="none"/>
        </w:rPr>
      </w:pPr>
      <w:bookmarkStart w:id="76" w:name="_Toc111497099"/>
      <w:r>
        <w:rPr>
          <w:rFonts w:hint="eastAsia" w:ascii="仿宋" w:hAnsi="仿宋" w:eastAsia="仿宋" w:cs="仿宋"/>
          <w:color w:val="auto"/>
          <w:kern w:val="0"/>
          <w:highlight w:val="none"/>
        </w:rPr>
        <w:t>三、本项目的特定资格要求</w:t>
      </w:r>
      <w:bookmarkEnd w:id="76"/>
    </w:p>
    <w:p w14:paraId="225FDEF7">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06918005">
      <w:pPr>
        <w:rPr>
          <w:rFonts w:ascii="仿宋" w:hAnsi="仿宋" w:eastAsia="仿宋" w:cs="仿宋"/>
          <w:color w:val="auto"/>
          <w:highlight w:val="none"/>
        </w:rPr>
      </w:pPr>
    </w:p>
    <w:p w14:paraId="58011225">
      <w:pPr>
        <w:pStyle w:val="22"/>
        <w:rPr>
          <w:rFonts w:ascii="仿宋" w:hAnsi="仿宋" w:eastAsia="仿宋" w:cs="仿宋"/>
          <w:color w:val="auto"/>
          <w:highlight w:val="none"/>
        </w:rPr>
      </w:pPr>
    </w:p>
    <w:p w14:paraId="5BA40846">
      <w:pPr>
        <w:pStyle w:val="23"/>
        <w:rPr>
          <w:rFonts w:ascii="仿宋" w:hAnsi="仿宋" w:eastAsia="仿宋" w:cs="仿宋"/>
          <w:color w:val="auto"/>
          <w:highlight w:val="none"/>
        </w:rPr>
      </w:pPr>
    </w:p>
    <w:p w14:paraId="601A1272">
      <w:pPr>
        <w:rPr>
          <w:rFonts w:ascii="仿宋" w:hAnsi="仿宋" w:eastAsia="仿宋" w:cs="仿宋"/>
          <w:color w:val="auto"/>
          <w:highlight w:val="none"/>
        </w:rPr>
      </w:pPr>
      <w:r>
        <w:rPr>
          <w:rFonts w:hint="eastAsia" w:ascii="仿宋" w:hAnsi="仿宋" w:eastAsia="仿宋" w:cs="仿宋"/>
          <w:color w:val="auto"/>
          <w:highlight w:val="none"/>
        </w:rPr>
        <w:br w:type="page"/>
      </w:r>
    </w:p>
    <w:p w14:paraId="6488B88D">
      <w:pPr>
        <w:pStyle w:val="47"/>
        <w:spacing w:before="120" w:beforeLines="50" w:line="340" w:lineRule="exact"/>
        <w:rPr>
          <w:rFonts w:ascii="仿宋" w:hAnsi="仿宋" w:eastAsia="仿宋" w:cs="仿宋"/>
          <w:color w:val="auto"/>
          <w:highlight w:val="none"/>
        </w:rPr>
      </w:pPr>
      <w:bookmarkStart w:id="77" w:name="_Toc111497101"/>
    </w:p>
    <w:p w14:paraId="1D6D3EBA">
      <w:pPr>
        <w:pStyle w:val="47"/>
        <w:spacing w:before="120" w:beforeLines="50" w:line="340" w:lineRule="exact"/>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商务技术文件部分</w:t>
      </w:r>
      <w:bookmarkEnd w:id="77"/>
    </w:p>
    <w:p w14:paraId="1F7A160F">
      <w:pPr>
        <w:spacing w:line="360" w:lineRule="auto"/>
        <w:jc w:val="center"/>
        <w:rPr>
          <w:rFonts w:ascii="仿宋" w:hAnsi="仿宋" w:eastAsia="仿宋" w:cs="仿宋"/>
          <w:color w:val="auto"/>
          <w:sz w:val="24"/>
          <w:highlight w:val="none"/>
        </w:rPr>
      </w:pPr>
    </w:p>
    <w:p w14:paraId="68740684">
      <w:pPr>
        <w:spacing w:line="360" w:lineRule="auto"/>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目录</w:t>
      </w:r>
    </w:p>
    <w:p w14:paraId="770ED6AB">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（1）响应函……………………………………………………………………（页码）</w:t>
      </w:r>
    </w:p>
    <w:p w14:paraId="7A7528CC">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（2）授权委托书或法定代表人（单位负责人、自然人本人）身份证明…（页码）</w:t>
      </w:r>
    </w:p>
    <w:p w14:paraId="03DD6228">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（3）联合协议…………………………………………………………………（页码）</w:t>
      </w:r>
    </w:p>
    <w:p w14:paraId="72FFE686">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（4）分包意向协议………………………………………………………………（页码）</w:t>
      </w:r>
    </w:p>
    <w:p w14:paraId="33755CAE">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（5）符合性审查资料…………………………………………………………（页码）</w:t>
      </w:r>
    </w:p>
    <w:p w14:paraId="09EA2ADA">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（6）评审标准相应的商务技术资料…………………………………………（页码）</w:t>
      </w:r>
    </w:p>
    <w:p w14:paraId="6161EB8D">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（7）标的清单………………………………………………………………（页码）</w:t>
      </w:r>
    </w:p>
    <w:p w14:paraId="61BB445E">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（8）商务技术偏离表…………………………………………………………（页码）</w:t>
      </w:r>
    </w:p>
    <w:p w14:paraId="2937E1E8">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（9）政府采购供应商廉洁自律承诺书………………………………………（页码）</w:t>
      </w:r>
    </w:p>
    <w:p w14:paraId="24E22CA1">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br w:type="page"/>
      </w:r>
    </w:p>
    <w:p w14:paraId="0E37907E">
      <w:pPr>
        <w:pStyle w:val="4"/>
        <w:jc w:val="center"/>
        <w:rPr>
          <w:rFonts w:ascii="仿宋" w:hAnsi="仿宋" w:eastAsia="仿宋" w:cs="仿宋"/>
          <w:b w:val="0"/>
          <w:color w:val="auto"/>
          <w:sz w:val="30"/>
          <w:szCs w:val="30"/>
          <w:highlight w:val="none"/>
        </w:rPr>
      </w:pPr>
      <w:bookmarkStart w:id="78" w:name="_Toc111497102"/>
      <w:r>
        <w:rPr>
          <w:rFonts w:hint="eastAsia" w:ascii="仿宋" w:hAnsi="仿宋" w:eastAsia="仿宋" w:cs="仿宋"/>
          <w:color w:val="auto"/>
          <w:sz w:val="30"/>
          <w:szCs w:val="30"/>
          <w:highlight w:val="none"/>
        </w:rPr>
        <w:t>一、响应函</w:t>
      </w:r>
      <w:bookmarkEnd w:id="78"/>
    </w:p>
    <w:p w14:paraId="7523D333">
      <w:pPr>
        <w:spacing w:before="72" w:beforeLines="30"/>
        <w:jc w:val="left"/>
        <w:rPr>
          <w:rFonts w:ascii="仿宋" w:hAnsi="仿宋" w:eastAsia="仿宋" w:cs="仿宋"/>
          <w:color w:val="auto"/>
          <w:sz w:val="24"/>
          <w:highlight w:val="none"/>
        </w:rPr>
      </w:pPr>
      <w:r>
        <w:rPr>
          <w:rFonts w:hint="eastAsia" w:ascii="仿宋" w:hAnsi="仿宋" w:eastAsia="仿宋" w:cs="仿宋"/>
          <w:color w:val="auto"/>
          <w:sz w:val="24"/>
          <w:highlight w:val="none"/>
        </w:rPr>
        <w:t>杭州市公安局滨江区分局、浙江信达咨询监理有限公司：</w:t>
      </w:r>
    </w:p>
    <w:p w14:paraId="30D9CAE9">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】竞争性磋商采购的有关活动，并参加此项目的磋商。为此：</w:t>
      </w:r>
    </w:p>
    <w:p w14:paraId="47A39F6C">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1、我方承诺响应文件有效期从提交响应文件的截止之日起90天（不少于90天），本响应文件在响应有效期满之前均具有约束力。</w:t>
      </w:r>
    </w:p>
    <w:p w14:paraId="66AE6CCE">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2、我方的响应文件包括以下内容：</w:t>
      </w:r>
    </w:p>
    <w:p w14:paraId="31F83329">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055A7445">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2.1.1承诺函；</w:t>
      </w:r>
    </w:p>
    <w:p w14:paraId="78ECAC08">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2.1.2落实政府采购政策需满足的资格要求（如果有）；</w:t>
      </w:r>
    </w:p>
    <w:p w14:paraId="12CD6A21">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2.1.3本项目的特定资格要求（如果有）。</w:t>
      </w:r>
    </w:p>
    <w:p w14:paraId="5EF3593A">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2.2商务技术文件：</w:t>
      </w:r>
    </w:p>
    <w:p w14:paraId="6E5EA2E8">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2.2.1响应函；</w:t>
      </w:r>
    </w:p>
    <w:p w14:paraId="0AB24B02">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2.2.2授权委托书或法定代表人（单位负责人）身份证明；</w:t>
      </w:r>
    </w:p>
    <w:p w14:paraId="00CBFE75">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2.2.3联合协议（如果有）；</w:t>
      </w:r>
    </w:p>
    <w:p w14:paraId="0F107CBB">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2.2.4分包意向协议（如果有）；</w:t>
      </w:r>
    </w:p>
    <w:p w14:paraId="665083C0">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2.2.5符合性审查资料；</w:t>
      </w:r>
    </w:p>
    <w:p w14:paraId="0C96F803">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2.2.6评审标准相应的商务技术资料；</w:t>
      </w:r>
    </w:p>
    <w:p w14:paraId="507398C1">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2.2.7商务技术偏离表；</w:t>
      </w:r>
    </w:p>
    <w:p w14:paraId="5987B397">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2.2.8政府采购供应商廉洁自律承诺书；</w:t>
      </w:r>
    </w:p>
    <w:p w14:paraId="31DB4317">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2.3报价文件</w:t>
      </w:r>
    </w:p>
    <w:p w14:paraId="5D57BD6B">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2.3.1初始报价单；</w:t>
      </w:r>
    </w:p>
    <w:p w14:paraId="66C2B5F4">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3、我方承诺除商务技术偏离表列出的偏离外，我方响应采购文件的全部要求。</w:t>
      </w:r>
    </w:p>
    <w:p w14:paraId="73918A40">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4、如我方成交，我方承诺：</w:t>
      </w:r>
    </w:p>
    <w:p w14:paraId="671BA7C7">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4.1在收到成交通知书后，在成交通知书规定的期限内与你方签订合同； </w:t>
      </w:r>
    </w:p>
    <w:p w14:paraId="6CC5B454">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0503038E">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4.3按照采购文件要求提交履约保证金； </w:t>
      </w:r>
    </w:p>
    <w:p w14:paraId="66B04BF5">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2B6014C5">
      <w:pPr>
        <w:spacing w:before="72" w:beforeLines="3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5、其他补充说明:。</w:t>
      </w:r>
    </w:p>
    <w:p w14:paraId="666F7B03">
      <w:pPr>
        <w:jc w:val="left"/>
        <w:rPr>
          <w:rFonts w:ascii="仿宋" w:hAnsi="仿宋" w:eastAsia="仿宋" w:cs="仿宋"/>
          <w:color w:val="auto"/>
          <w:sz w:val="24"/>
          <w:highlight w:val="none"/>
        </w:rPr>
      </w:pPr>
    </w:p>
    <w:p w14:paraId="5D520B37">
      <w:pPr>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供应商名称（电子签名）：</w:t>
      </w:r>
    </w:p>
    <w:p w14:paraId="297AF0C4">
      <w:pPr>
        <w:rPr>
          <w:rFonts w:ascii="仿宋" w:hAnsi="仿宋" w:eastAsia="仿宋" w:cs="仿宋"/>
          <w:color w:val="auto"/>
          <w:sz w:val="30"/>
          <w:szCs w:val="30"/>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日期：  年   月   日</w:t>
      </w:r>
      <w:r>
        <w:rPr>
          <w:rFonts w:hint="eastAsia" w:ascii="仿宋" w:hAnsi="仿宋" w:eastAsia="仿宋" w:cs="仿宋"/>
          <w:color w:val="auto"/>
          <w:sz w:val="24"/>
          <w:highlight w:val="none"/>
        </w:rPr>
        <w:br w:type="page"/>
      </w:r>
      <w:r>
        <w:rPr>
          <w:rFonts w:hint="eastAsia" w:ascii="仿宋" w:hAnsi="仿宋" w:eastAsia="仿宋" w:cs="仿宋"/>
          <w:b/>
          <w:color w:val="auto"/>
          <w:sz w:val="30"/>
          <w:szCs w:val="30"/>
          <w:highlight w:val="none"/>
        </w:rPr>
        <w:t>二、授权委托书或法定代表人（单位负责人、自然人本人）身份证明</w:t>
      </w:r>
    </w:p>
    <w:p w14:paraId="04D278B0">
      <w:pPr>
        <w:spacing w:line="360" w:lineRule="auto"/>
        <w:jc w:val="left"/>
        <w:rPr>
          <w:rFonts w:ascii="仿宋" w:hAnsi="仿宋" w:eastAsia="仿宋" w:cs="仿宋"/>
          <w:color w:val="auto"/>
          <w:sz w:val="24"/>
          <w:highlight w:val="none"/>
        </w:rPr>
      </w:pPr>
    </w:p>
    <w:p w14:paraId="33B90E72">
      <w:pPr>
        <w:spacing w:line="360"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授权委托书（适用于非联合体参加磋商）</w:t>
      </w:r>
    </w:p>
    <w:p w14:paraId="37D70279">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杭州市公安局滨江区分局、浙江信达咨询监理有限公司：</w:t>
      </w:r>
    </w:p>
    <w:p w14:paraId="2528C930">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现委托（姓名）为我方代理人（身份证号码：，手机：），以我方名义处理</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】政府采购磋商的一切事项，其法律后果由我方承担。</w:t>
      </w:r>
    </w:p>
    <w:p w14:paraId="73B4217A">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委托期限：自年月日起至年月日止。</w:t>
      </w:r>
    </w:p>
    <w:p w14:paraId="093A8EC0">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特此告知。</w:t>
      </w:r>
    </w:p>
    <w:p w14:paraId="777F53BA">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供应商名称(电子签名)：</w:t>
      </w:r>
    </w:p>
    <w:p w14:paraId="6F5CE75C">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签发日期：  年  月   日</w:t>
      </w:r>
    </w:p>
    <w:p w14:paraId="3F5834D1">
      <w:pPr>
        <w:jc w:val="left"/>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3B627879">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w:t>
      </w:r>
      <w:r>
        <w:rPr>
          <w:rFonts w:hint="eastAsia" w:ascii="仿宋" w:hAnsi="仿宋" w:eastAsia="仿宋" w:cs="仿宋"/>
          <w:b/>
          <w:color w:val="auto"/>
          <w:sz w:val="30"/>
          <w:szCs w:val="30"/>
          <w:highlight w:val="none"/>
        </w:rPr>
        <w:t>参加磋商</w:t>
      </w:r>
      <w:r>
        <w:rPr>
          <w:rFonts w:hint="eastAsia" w:ascii="仿宋" w:hAnsi="仿宋" w:eastAsia="仿宋" w:cs="仿宋"/>
          <w:b/>
          <w:color w:val="auto"/>
          <w:kern w:val="0"/>
          <w:sz w:val="32"/>
          <w:szCs w:val="32"/>
          <w:highlight w:val="none"/>
          <w:lang w:val="zh-CN"/>
        </w:rPr>
        <w:t>）</w:t>
      </w:r>
    </w:p>
    <w:p w14:paraId="5E9B5628">
      <w:pPr>
        <w:snapToGrid w:val="0"/>
        <w:spacing w:line="360" w:lineRule="auto"/>
        <w:rPr>
          <w:rFonts w:ascii="仿宋" w:hAnsi="仿宋" w:eastAsia="仿宋" w:cs="仿宋"/>
          <w:color w:val="auto"/>
          <w:sz w:val="24"/>
          <w:highlight w:val="none"/>
        </w:rPr>
      </w:pPr>
    </w:p>
    <w:p w14:paraId="3C9CFB81">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杭州市公安局滨江区分局、浙江信达咨询监理有限公司</w:t>
      </w:r>
      <w:r>
        <w:rPr>
          <w:rFonts w:hint="eastAsia" w:ascii="仿宋" w:hAnsi="仿宋" w:eastAsia="仿宋" w:cs="仿宋"/>
          <w:color w:val="auto"/>
          <w:kern w:val="0"/>
          <w:sz w:val="24"/>
          <w:highlight w:val="none"/>
          <w:lang w:val="zh-CN"/>
        </w:rPr>
        <w:t>：</w:t>
      </w:r>
    </w:p>
    <w:p w14:paraId="546F1527">
      <w:pPr>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委托（姓名）为我方代理人（身份证号码：，手机：），以我方名义处理</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14:paraId="17E4C0BB">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14:paraId="557BF23B">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484A1F39">
      <w:pPr>
        <w:jc w:val="center"/>
        <w:rPr>
          <w:rFonts w:ascii="仿宋" w:hAnsi="仿宋" w:eastAsia="仿宋" w:cs="仿宋"/>
          <w:b/>
          <w:color w:val="auto"/>
          <w:kern w:val="0"/>
          <w:sz w:val="32"/>
          <w:szCs w:val="32"/>
          <w:highlight w:val="none"/>
        </w:rPr>
      </w:pPr>
    </w:p>
    <w:p w14:paraId="3A1424AA">
      <w:pPr>
        <w:jc w:val="center"/>
        <w:rPr>
          <w:rFonts w:ascii="仿宋" w:hAnsi="仿宋" w:eastAsia="仿宋" w:cs="仿宋"/>
          <w:b/>
          <w:color w:val="auto"/>
          <w:kern w:val="0"/>
          <w:sz w:val="32"/>
          <w:szCs w:val="32"/>
          <w:highlight w:val="none"/>
        </w:rPr>
      </w:pPr>
    </w:p>
    <w:p w14:paraId="38784BAC">
      <w:pPr>
        <w:jc w:val="center"/>
        <w:rPr>
          <w:rFonts w:ascii="仿宋" w:hAnsi="仿宋" w:eastAsia="仿宋" w:cs="仿宋"/>
          <w:b/>
          <w:color w:val="auto"/>
          <w:kern w:val="0"/>
          <w:sz w:val="32"/>
          <w:szCs w:val="32"/>
          <w:highlight w:val="none"/>
        </w:rPr>
      </w:pPr>
    </w:p>
    <w:p w14:paraId="46E331E3">
      <w:pPr>
        <w:rPr>
          <w:rFonts w:ascii="仿宋" w:hAnsi="仿宋" w:eastAsia="仿宋" w:cs="仿宋"/>
          <w:color w:val="auto"/>
          <w:highlight w:val="none"/>
        </w:rPr>
      </w:pPr>
    </w:p>
    <w:p w14:paraId="402BB787">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FF9E60D">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5F54F80">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3BDC945">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F46A7BF">
      <w:pPr>
        <w:spacing w:line="360" w:lineRule="auto"/>
        <w:jc w:val="left"/>
        <w:rPr>
          <w:rFonts w:ascii="仿宋" w:hAnsi="仿宋" w:eastAsia="仿宋" w:cs="仿宋"/>
          <w:color w:val="auto"/>
          <w:sz w:val="24"/>
          <w:highlight w:val="none"/>
        </w:rPr>
      </w:pPr>
    </w:p>
    <w:p w14:paraId="7053986E">
      <w:pPr>
        <w:spacing w:line="360"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法定代表人、单位负责人或自然人本人的身份证明（适用于法定代表人、单位负责人或者自然人本人代表供应商参加磋商）</w:t>
      </w:r>
    </w:p>
    <w:p w14:paraId="578F28A6">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身份证件扫描件：</w:t>
      </w:r>
    </w:p>
    <w:tbl>
      <w:tblPr>
        <w:tblStyle w:val="6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29"/>
      </w:tblGrid>
      <w:tr w14:paraId="5ED947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9" w:type="dxa"/>
          </w:tcPr>
          <w:p w14:paraId="6087355E">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正面：反面：</w:t>
            </w:r>
          </w:p>
          <w:p w14:paraId="7E3A7E5F">
            <w:pPr>
              <w:spacing w:line="360" w:lineRule="auto"/>
              <w:jc w:val="left"/>
              <w:rPr>
                <w:rFonts w:ascii="仿宋" w:hAnsi="仿宋" w:eastAsia="仿宋" w:cs="仿宋"/>
                <w:color w:val="auto"/>
                <w:sz w:val="24"/>
                <w:highlight w:val="none"/>
              </w:rPr>
            </w:pPr>
          </w:p>
          <w:p w14:paraId="6FCE0999">
            <w:pPr>
              <w:spacing w:line="360" w:lineRule="auto"/>
              <w:jc w:val="left"/>
              <w:rPr>
                <w:rFonts w:ascii="仿宋" w:hAnsi="仿宋" w:eastAsia="仿宋" w:cs="仿宋"/>
                <w:color w:val="auto"/>
                <w:sz w:val="24"/>
                <w:highlight w:val="none"/>
              </w:rPr>
            </w:pPr>
          </w:p>
          <w:p w14:paraId="0AA27E89">
            <w:pPr>
              <w:spacing w:line="360" w:lineRule="auto"/>
              <w:jc w:val="left"/>
              <w:rPr>
                <w:rFonts w:ascii="仿宋" w:hAnsi="仿宋" w:eastAsia="仿宋" w:cs="仿宋"/>
                <w:color w:val="auto"/>
                <w:sz w:val="24"/>
                <w:highlight w:val="none"/>
              </w:rPr>
            </w:pPr>
          </w:p>
          <w:p w14:paraId="6322DDD3">
            <w:pPr>
              <w:spacing w:line="360" w:lineRule="auto"/>
              <w:jc w:val="left"/>
              <w:rPr>
                <w:rFonts w:ascii="仿宋" w:hAnsi="仿宋" w:eastAsia="仿宋" w:cs="仿宋"/>
                <w:color w:val="auto"/>
                <w:sz w:val="24"/>
                <w:highlight w:val="none"/>
              </w:rPr>
            </w:pPr>
          </w:p>
          <w:p w14:paraId="561AC001">
            <w:pPr>
              <w:spacing w:line="360" w:lineRule="auto"/>
              <w:jc w:val="left"/>
              <w:rPr>
                <w:rFonts w:ascii="仿宋" w:hAnsi="仿宋" w:eastAsia="仿宋" w:cs="仿宋"/>
                <w:color w:val="auto"/>
                <w:sz w:val="24"/>
                <w:highlight w:val="none"/>
              </w:rPr>
            </w:pPr>
          </w:p>
          <w:p w14:paraId="7B4398E6">
            <w:pPr>
              <w:spacing w:line="360" w:lineRule="auto"/>
              <w:jc w:val="left"/>
              <w:rPr>
                <w:rFonts w:ascii="仿宋" w:hAnsi="仿宋" w:eastAsia="仿宋" w:cs="仿宋"/>
                <w:color w:val="auto"/>
                <w:sz w:val="24"/>
                <w:highlight w:val="none"/>
              </w:rPr>
            </w:pPr>
          </w:p>
        </w:tc>
      </w:tr>
    </w:tbl>
    <w:p w14:paraId="3EF8FBB2">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供应商名称(电子签名)：</w:t>
      </w:r>
    </w:p>
    <w:p w14:paraId="6028AA3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r>
        <w:rPr>
          <w:rFonts w:hint="eastAsia" w:ascii="仿宋" w:hAnsi="仿宋" w:eastAsia="仿宋" w:cs="仿宋"/>
          <w:color w:val="auto"/>
          <w:sz w:val="24"/>
          <w:highlight w:val="none"/>
        </w:rPr>
        <w:br w:type="page"/>
      </w:r>
    </w:p>
    <w:p w14:paraId="009C76CF">
      <w:pPr>
        <w:pStyle w:val="4"/>
        <w:numPr>
          <w:ilvl w:val="0"/>
          <w:numId w:val="0"/>
        </w:numPr>
        <w:ind w:left="1022" w:leftChars="144" w:hanging="720" w:hangingChars="224"/>
        <w:jc w:val="center"/>
        <w:rPr>
          <w:rFonts w:ascii="仿宋" w:hAnsi="仿宋" w:eastAsia="仿宋" w:cs="仿宋"/>
          <w:b w:val="0"/>
          <w:color w:val="auto"/>
          <w:kern w:val="0"/>
          <w:highlight w:val="none"/>
          <w:lang w:val="zh-CN"/>
        </w:rPr>
      </w:pPr>
      <w:bookmarkStart w:id="79" w:name="_Toc111497103"/>
      <w:r>
        <w:rPr>
          <w:rFonts w:hint="eastAsia" w:ascii="仿宋" w:hAnsi="仿宋" w:eastAsia="仿宋" w:cs="仿宋"/>
          <w:color w:val="auto"/>
          <w:kern w:val="0"/>
          <w:highlight w:val="none"/>
        </w:rPr>
        <w:t>三、</w:t>
      </w:r>
      <w:r>
        <w:rPr>
          <w:rFonts w:hint="eastAsia" w:ascii="仿宋" w:hAnsi="仿宋" w:eastAsia="仿宋" w:cs="仿宋"/>
          <w:color w:val="auto"/>
          <w:kern w:val="0"/>
          <w:highlight w:val="none"/>
          <w:lang w:val="zh-CN"/>
        </w:rPr>
        <w:t>联合协议</w:t>
      </w:r>
      <w:bookmarkEnd w:id="79"/>
    </w:p>
    <w:p w14:paraId="485A90C1">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1A7EC68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投标。 </w:t>
      </w:r>
    </w:p>
    <w:p w14:paraId="17D0F616">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6E8AD1E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02A64E83">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p>
    <w:p w14:paraId="33C55535">
      <w:pPr>
        <w:snapToGrid w:val="0"/>
        <w:spacing w:line="360"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rPr>
        <w:t>提供的全部货物由小微企业制造，其合同份额占到合同总金额%以上；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color w:val="auto"/>
          <w:kern w:val="0"/>
          <w:sz w:val="24"/>
          <w:highlight w:val="none"/>
        </w:rPr>
        <w:t>6</w:t>
      </w:r>
      <w:r>
        <w:rPr>
          <w:rFonts w:hint="eastAsia" w:ascii="仿宋" w:hAnsi="仿宋" w:eastAsia="仿宋" w:cs="仿宋"/>
          <w:b/>
          <w:color w:val="auto"/>
          <w:kern w:val="0"/>
          <w:sz w:val="24"/>
          <w:highlight w:val="none"/>
          <w:lang w:val="zh-CN"/>
        </w:rPr>
        <w:t>%的扣除）</w:t>
      </w:r>
    </w:p>
    <w:p w14:paraId="733E764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577EA2D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7D5249C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0476BE4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FA93A31">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224A99B4">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130341F">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41A360F">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4E4A9DB">
      <w:pPr>
        <w:snapToGrid w:val="0"/>
        <w:spacing w:line="360" w:lineRule="auto"/>
        <w:ind w:right="480"/>
        <w:rPr>
          <w:rFonts w:ascii="仿宋" w:hAnsi="仿宋" w:eastAsia="仿宋" w:cs="仿宋"/>
          <w:b/>
          <w:color w:val="auto"/>
          <w:kern w:val="0"/>
          <w:sz w:val="32"/>
          <w:szCs w:val="32"/>
          <w:highlight w:val="none"/>
          <w:lang w:val="zh-CN"/>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0BF7AA3D">
      <w:pPr>
        <w:pStyle w:val="4"/>
        <w:numPr>
          <w:ilvl w:val="0"/>
          <w:numId w:val="0"/>
        </w:numPr>
        <w:ind w:left="900"/>
        <w:jc w:val="center"/>
        <w:rPr>
          <w:rFonts w:ascii="仿宋" w:hAnsi="仿宋" w:eastAsia="仿宋" w:cs="仿宋"/>
          <w:b w:val="0"/>
          <w:color w:val="auto"/>
          <w:kern w:val="0"/>
          <w:highlight w:val="none"/>
        </w:rPr>
      </w:pPr>
      <w:bookmarkStart w:id="80" w:name="_Toc111497104"/>
      <w:r>
        <w:rPr>
          <w:rFonts w:hint="eastAsia" w:ascii="仿宋" w:hAnsi="仿宋" w:eastAsia="仿宋" w:cs="仿宋"/>
          <w:color w:val="auto"/>
          <w:kern w:val="0"/>
          <w:highlight w:val="none"/>
        </w:rPr>
        <w:t>四、分包意向协议</w:t>
      </w:r>
      <w:bookmarkEnd w:id="80"/>
    </w:p>
    <w:p w14:paraId="731CA78E">
      <w:pPr>
        <w:widowControl/>
        <w:spacing w:line="360"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6F112DB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F1DD563">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0E01776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26D9BB7">
      <w:pPr>
        <w:ind w:left="664" w:leftChars="316" w:firstLine="228" w:firstLineChars="95"/>
        <w:rPr>
          <w:rFonts w:ascii="仿宋" w:hAnsi="仿宋" w:eastAsia="仿宋" w:cs="仿宋"/>
          <w:color w:val="auto"/>
          <w:highlight w:val="none"/>
        </w:rPr>
      </w:pPr>
      <w:r>
        <w:rPr>
          <w:rFonts w:hint="eastAsia" w:ascii="仿宋" w:hAnsi="仿宋" w:eastAsia="仿宋" w:cs="仿宋"/>
          <w:color w:val="auto"/>
          <w:kern w:val="0"/>
          <w:sz w:val="24"/>
          <w:highlight w:val="none"/>
        </w:rPr>
        <w:t>……</w:t>
      </w:r>
    </w:p>
    <w:p w14:paraId="5D157A22">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014FDD44">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498F78E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3C537816">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57E95B79">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6165ACDE">
      <w:pPr>
        <w:snapToGrid w:val="0"/>
        <w:spacing w:line="360" w:lineRule="auto"/>
        <w:ind w:firstLine="576"/>
        <w:rPr>
          <w:rFonts w:ascii="仿宋" w:hAnsi="仿宋" w:eastAsia="仿宋" w:cs="仿宋"/>
          <w:color w:val="auto"/>
          <w:kern w:val="0"/>
          <w:sz w:val="24"/>
          <w:highlight w:val="none"/>
          <w:lang w:val="zh-CN"/>
        </w:rPr>
      </w:pPr>
    </w:p>
    <w:p w14:paraId="54B210DA">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14:paraId="7882192F">
      <w:pPr>
        <w:snapToGrid w:val="0"/>
        <w:spacing w:line="360"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u w:val="single"/>
        </w:rPr>
        <w:t>（分包供应商名称）提供的货物全部由小微企业制造，</w:t>
      </w:r>
      <w:r>
        <w:rPr>
          <w:rFonts w:hint="eastAsia" w:ascii="仿宋" w:hAnsi="仿宋" w:eastAsia="仿宋" w:cs="仿宋"/>
          <w:color w:val="auto"/>
          <w:kern w:val="0"/>
          <w:sz w:val="24"/>
          <w:highlight w:val="none"/>
        </w:rPr>
        <w:t>其合同份额占到合同总金额%以上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color w:val="auto"/>
          <w:kern w:val="0"/>
          <w:sz w:val="24"/>
          <w:highlight w:val="none"/>
        </w:rPr>
        <w:t>6</w:t>
      </w:r>
      <w:r>
        <w:rPr>
          <w:rFonts w:hint="eastAsia" w:ascii="仿宋" w:hAnsi="仿宋" w:eastAsia="仿宋" w:cs="仿宋"/>
          <w:b/>
          <w:color w:val="auto"/>
          <w:kern w:val="0"/>
          <w:sz w:val="24"/>
          <w:highlight w:val="none"/>
          <w:lang w:val="zh-CN"/>
        </w:rPr>
        <w:t>%的扣除）</w:t>
      </w:r>
    </w:p>
    <w:p w14:paraId="0D9CC81A">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4115FC94">
      <w:pPr>
        <w:snapToGrid w:val="0"/>
        <w:spacing w:line="360" w:lineRule="auto"/>
        <w:ind w:firstLine="5640" w:firstLineChars="235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2D32338D">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136818FC">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26D72F9">
      <w:pPr>
        <w:pStyle w:val="4"/>
        <w:numPr>
          <w:ilvl w:val="0"/>
          <w:numId w:val="0"/>
        </w:numPr>
        <w:ind w:left="945" w:leftChars="107" w:hanging="720" w:hangingChars="239"/>
        <w:jc w:val="center"/>
        <w:rPr>
          <w:rFonts w:ascii="仿宋" w:hAnsi="仿宋" w:eastAsia="仿宋" w:cs="仿宋"/>
          <w:color w:val="auto"/>
          <w:sz w:val="30"/>
          <w:szCs w:val="30"/>
          <w:highlight w:val="none"/>
        </w:rPr>
      </w:pPr>
      <w:bookmarkStart w:id="81" w:name="_Toc111497105"/>
      <w:r>
        <w:rPr>
          <w:rFonts w:hint="eastAsia" w:ascii="仿宋" w:hAnsi="仿宋" w:eastAsia="仿宋" w:cs="仿宋"/>
          <w:color w:val="auto"/>
          <w:sz w:val="30"/>
          <w:szCs w:val="30"/>
          <w:highlight w:val="none"/>
        </w:rPr>
        <w:t>五、符合性审查资料</w:t>
      </w:r>
      <w:bookmarkEnd w:id="81"/>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C545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6" w:type="dxa"/>
            <w:vAlign w:val="center"/>
          </w:tcPr>
          <w:p w14:paraId="36530C46">
            <w:pPr>
              <w:snapToGrid w:val="0"/>
              <w:spacing w:before="156" w:beforeLines="50" w:after="156" w:afterLines="5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BB6C6CA">
            <w:pPr>
              <w:snapToGrid w:val="0"/>
              <w:spacing w:before="156" w:beforeLines="50" w:after="156" w:afterLines="5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4A032915">
            <w:pPr>
              <w:snapToGrid w:val="0"/>
              <w:spacing w:before="156" w:beforeLines="50" w:after="156" w:afterLines="5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496C30C0">
            <w:pPr>
              <w:snapToGrid w:val="0"/>
              <w:spacing w:before="156" w:beforeLines="50" w:after="156" w:afterLines="5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响应文件中的</w:t>
            </w:r>
          </w:p>
          <w:p w14:paraId="52F2C97B">
            <w:pPr>
              <w:snapToGrid w:val="0"/>
              <w:spacing w:before="156" w:beforeLines="50" w:after="156" w:afterLines="5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48F5B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6" w:type="dxa"/>
            <w:vAlign w:val="center"/>
          </w:tcPr>
          <w:p w14:paraId="1850F7FD">
            <w:pPr>
              <w:spacing w:before="156" w:beforeLines="50" w:after="156" w:after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vAlign w:val="center"/>
          </w:tcPr>
          <w:p w14:paraId="528C0D97">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响应文件按照采购文件要求签署、盖章。</w:t>
            </w:r>
          </w:p>
        </w:tc>
        <w:tc>
          <w:tcPr>
            <w:tcW w:w="2551" w:type="dxa"/>
            <w:vAlign w:val="center"/>
          </w:tcPr>
          <w:p w14:paraId="711715FA">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需要使用电子签名或者签字盖章的响应文件的组成部分</w:t>
            </w:r>
          </w:p>
        </w:tc>
        <w:tc>
          <w:tcPr>
            <w:tcW w:w="1418" w:type="dxa"/>
            <w:vAlign w:val="center"/>
          </w:tcPr>
          <w:p w14:paraId="050B33EF">
            <w:pPr>
              <w:spacing w:before="156" w:beforeLines="50" w:after="156" w:afterLines="50"/>
              <w:rPr>
                <w:rFonts w:ascii="仿宋" w:hAnsi="仿宋" w:eastAsia="仿宋" w:cs="仿宋"/>
                <w:color w:val="auto"/>
                <w:highlight w:val="none"/>
              </w:rPr>
            </w:pPr>
            <w:r>
              <w:rPr>
                <w:rFonts w:hint="eastAsia" w:ascii="仿宋" w:hAnsi="仿宋" w:eastAsia="仿宋" w:cs="仿宋"/>
                <w:color w:val="auto"/>
                <w:sz w:val="24"/>
                <w:highlight w:val="none"/>
              </w:rPr>
              <w:t>见响应文件第页</w:t>
            </w:r>
          </w:p>
        </w:tc>
      </w:tr>
      <w:tr w14:paraId="69DAC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6" w:type="dxa"/>
            <w:vAlign w:val="center"/>
          </w:tcPr>
          <w:p w14:paraId="7E92A6C8">
            <w:pPr>
              <w:spacing w:before="156" w:beforeLines="50" w:after="156" w:after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vAlign w:val="center"/>
          </w:tcPr>
          <w:p w14:paraId="433421AC">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16E93E2B">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vAlign w:val="center"/>
          </w:tcPr>
          <w:p w14:paraId="56F85769">
            <w:pPr>
              <w:spacing w:before="156" w:beforeLines="50" w:after="156" w:afterLines="50"/>
              <w:rPr>
                <w:rFonts w:ascii="仿宋" w:hAnsi="仿宋" w:eastAsia="仿宋" w:cs="仿宋"/>
                <w:color w:val="auto"/>
                <w:highlight w:val="none"/>
              </w:rPr>
            </w:pPr>
            <w:r>
              <w:rPr>
                <w:rFonts w:hint="eastAsia" w:ascii="仿宋" w:hAnsi="仿宋" w:eastAsia="仿宋" w:cs="仿宋"/>
                <w:color w:val="auto"/>
                <w:sz w:val="24"/>
                <w:highlight w:val="none"/>
              </w:rPr>
              <w:t>见响应文件第页</w:t>
            </w:r>
          </w:p>
        </w:tc>
      </w:tr>
      <w:tr w14:paraId="3DBAC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6" w:type="dxa"/>
            <w:vAlign w:val="center"/>
          </w:tcPr>
          <w:p w14:paraId="398EF7C3">
            <w:pPr>
              <w:spacing w:before="156" w:beforeLines="50" w:after="156" w:after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vAlign w:val="center"/>
          </w:tcPr>
          <w:p w14:paraId="190E3422">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响应文件中承诺的响应文件有效期不少于采购文件中载明的有效期。</w:t>
            </w:r>
          </w:p>
        </w:tc>
        <w:tc>
          <w:tcPr>
            <w:tcW w:w="2551" w:type="dxa"/>
            <w:vAlign w:val="center"/>
          </w:tcPr>
          <w:p w14:paraId="55D8F7A1">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响应函</w:t>
            </w:r>
          </w:p>
        </w:tc>
        <w:tc>
          <w:tcPr>
            <w:tcW w:w="1418" w:type="dxa"/>
            <w:vAlign w:val="center"/>
          </w:tcPr>
          <w:p w14:paraId="3869DC3C">
            <w:pPr>
              <w:spacing w:before="156" w:beforeLines="50" w:after="156" w:afterLines="50"/>
              <w:rPr>
                <w:rFonts w:ascii="仿宋" w:hAnsi="仿宋" w:eastAsia="仿宋" w:cs="仿宋"/>
                <w:color w:val="auto"/>
                <w:highlight w:val="none"/>
              </w:rPr>
            </w:pPr>
            <w:r>
              <w:rPr>
                <w:rFonts w:hint="eastAsia" w:ascii="仿宋" w:hAnsi="仿宋" w:eastAsia="仿宋" w:cs="仿宋"/>
                <w:color w:val="auto"/>
                <w:sz w:val="24"/>
                <w:highlight w:val="none"/>
              </w:rPr>
              <w:t>见响应文件第页</w:t>
            </w:r>
          </w:p>
        </w:tc>
      </w:tr>
      <w:tr w14:paraId="23E49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6" w:type="dxa"/>
            <w:vAlign w:val="center"/>
          </w:tcPr>
          <w:p w14:paraId="1F5F797D">
            <w:pPr>
              <w:spacing w:before="156" w:beforeLines="50" w:after="156" w:after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vAlign w:val="center"/>
          </w:tcPr>
          <w:p w14:paraId="3F400496">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sz w:val="24"/>
                <w:highlight w:val="none"/>
              </w:rPr>
              <w:t>响应文件满足采购文件的其它实质性要求。</w:t>
            </w:r>
          </w:p>
        </w:tc>
        <w:tc>
          <w:tcPr>
            <w:tcW w:w="2551" w:type="dxa"/>
            <w:vAlign w:val="center"/>
          </w:tcPr>
          <w:p w14:paraId="61B5EF74">
            <w:pPr>
              <w:spacing w:before="156" w:beforeLines="50" w:after="156" w:afterLines="50"/>
              <w:rPr>
                <w:rFonts w:ascii="仿宋" w:hAnsi="仿宋" w:eastAsia="仿宋" w:cs="仿宋"/>
                <w:color w:val="auto"/>
                <w:sz w:val="24"/>
                <w:highlight w:val="none"/>
              </w:rPr>
            </w:pPr>
            <w:r>
              <w:rPr>
                <w:rFonts w:hint="eastAsia" w:ascii="仿宋" w:hAnsi="仿宋" w:eastAsia="仿宋" w:cs="仿宋"/>
                <w:color w:val="auto"/>
                <w:kern w:val="0"/>
                <w:sz w:val="24"/>
                <w:highlight w:val="none"/>
              </w:rPr>
              <w:t>采购文件其它实质性要求相应的材料（“▲”系指实质性要求条款，响应文件无其它实质性要求的，无需提供）</w:t>
            </w:r>
          </w:p>
        </w:tc>
        <w:tc>
          <w:tcPr>
            <w:tcW w:w="1418" w:type="dxa"/>
            <w:vAlign w:val="center"/>
          </w:tcPr>
          <w:p w14:paraId="4CC8DEF0">
            <w:pPr>
              <w:spacing w:before="156" w:beforeLines="50" w:after="156" w:afterLines="50"/>
              <w:rPr>
                <w:rFonts w:ascii="仿宋" w:hAnsi="仿宋" w:eastAsia="仿宋" w:cs="仿宋"/>
                <w:color w:val="auto"/>
                <w:highlight w:val="none"/>
              </w:rPr>
            </w:pPr>
            <w:r>
              <w:rPr>
                <w:rFonts w:hint="eastAsia" w:ascii="仿宋" w:hAnsi="仿宋" w:eastAsia="仿宋" w:cs="仿宋"/>
                <w:color w:val="auto"/>
                <w:sz w:val="24"/>
                <w:highlight w:val="none"/>
              </w:rPr>
              <w:t>见响应文件第页</w:t>
            </w:r>
          </w:p>
        </w:tc>
      </w:tr>
    </w:tbl>
    <w:p w14:paraId="2B9F3419">
      <w:pPr>
        <w:pStyle w:val="4"/>
        <w:numPr>
          <w:ilvl w:val="0"/>
          <w:numId w:val="0"/>
        </w:numPr>
        <w:ind w:left="901" w:leftChars="429" w:firstLine="826" w:firstLineChars="343"/>
        <w:rPr>
          <w:rFonts w:ascii="仿宋" w:hAnsi="仿宋" w:eastAsia="仿宋" w:cs="仿宋"/>
          <w:b w:val="0"/>
          <w:color w:val="auto"/>
          <w:sz w:val="30"/>
          <w:szCs w:val="30"/>
          <w:highlight w:val="none"/>
        </w:rPr>
      </w:pPr>
      <w:r>
        <w:rPr>
          <w:rFonts w:hint="eastAsia" w:ascii="仿宋" w:hAnsi="仿宋" w:eastAsia="仿宋" w:cs="仿宋"/>
          <w:color w:val="auto"/>
          <w:sz w:val="24"/>
          <w:szCs w:val="24"/>
          <w:highlight w:val="none"/>
        </w:rPr>
        <w:br w:type="page"/>
      </w:r>
      <w:bookmarkStart w:id="82" w:name="_Toc111497106"/>
      <w:r>
        <w:rPr>
          <w:rFonts w:hint="eastAsia" w:ascii="仿宋" w:hAnsi="仿宋" w:eastAsia="仿宋" w:cs="仿宋"/>
          <w:color w:val="auto"/>
          <w:sz w:val="30"/>
          <w:szCs w:val="30"/>
          <w:highlight w:val="none"/>
        </w:rPr>
        <w:t>六、评审标准相应的商务技术资料</w:t>
      </w:r>
      <w:bookmarkEnd w:id="82"/>
    </w:p>
    <w:p w14:paraId="5708A652">
      <w:pPr>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（按采购文件第四部分评审方法前附表中“响应文件中评审标准相应的商务技术资料目录”提供资料）</w:t>
      </w:r>
    </w:p>
    <w:p w14:paraId="0B59ACAA">
      <w:pPr>
        <w:pStyle w:val="4"/>
        <w:numPr>
          <w:ilvl w:val="0"/>
          <w:numId w:val="0"/>
        </w:numPr>
        <w:ind w:left="900"/>
        <w:jc w:val="center"/>
        <w:rPr>
          <w:rFonts w:ascii="仿宋" w:hAnsi="仿宋" w:eastAsia="仿宋" w:cs="仿宋"/>
          <w:b w:val="0"/>
          <w:color w:val="auto"/>
          <w:sz w:val="30"/>
          <w:szCs w:val="30"/>
          <w:highlight w:val="none"/>
        </w:rPr>
      </w:pPr>
      <w:r>
        <w:rPr>
          <w:rFonts w:hint="eastAsia" w:ascii="仿宋" w:hAnsi="仿宋" w:eastAsia="仿宋" w:cs="仿宋"/>
          <w:color w:val="auto"/>
          <w:sz w:val="24"/>
          <w:szCs w:val="24"/>
          <w:highlight w:val="none"/>
        </w:rPr>
        <w:br w:type="page"/>
      </w:r>
      <w:bookmarkStart w:id="83" w:name="_Toc111497107"/>
      <w:r>
        <w:rPr>
          <w:rFonts w:hint="eastAsia" w:ascii="仿宋" w:hAnsi="仿宋" w:eastAsia="仿宋" w:cs="仿宋"/>
          <w:color w:val="auto"/>
          <w:sz w:val="30"/>
          <w:szCs w:val="30"/>
          <w:highlight w:val="none"/>
        </w:rPr>
        <w:t>七、标的清单</w:t>
      </w:r>
      <w:bookmarkEnd w:id="83"/>
    </w:p>
    <w:tbl>
      <w:tblPr>
        <w:tblStyle w:val="61"/>
        <w:tblW w:w="505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2640"/>
        <w:gridCol w:w="2604"/>
        <w:gridCol w:w="1111"/>
        <w:gridCol w:w="1951"/>
      </w:tblGrid>
      <w:tr w14:paraId="44753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6" w:type="pct"/>
            <w:noWrap/>
            <w:vAlign w:val="center"/>
          </w:tcPr>
          <w:p w14:paraId="7BBECC77">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466" w:type="pct"/>
            <w:noWrap/>
            <w:vAlign w:val="center"/>
          </w:tcPr>
          <w:p w14:paraId="1DB7B188">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采购标的</w:t>
            </w:r>
          </w:p>
        </w:tc>
        <w:tc>
          <w:tcPr>
            <w:tcW w:w="1446" w:type="pct"/>
            <w:noWrap/>
          </w:tcPr>
          <w:p w14:paraId="3BB9C341">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品牌</w:t>
            </w:r>
          </w:p>
        </w:tc>
        <w:tc>
          <w:tcPr>
            <w:tcW w:w="617" w:type="pct"/>
            <w:noWrap/>
            <w:vAlign w:val="center"/>
          </w:tcPr>
          <w:p w14:paraId="6353E842">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规格</w:t>
            </w:r>
          </w:p>
        </w:tc>
        <w:tc>
          <w:tcPr>
            <w:tcW w:w="1083" w:type="pct"/>
            <w:noWrap/>
            <w:vAlign w:val="center"/>
          </w:tcPr>
          <w:p w14:paraId="197B6D36">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型号</w:t>
            </w:r>
          </w:p>
        </w:tc>
      </w:tr>
      <w:tr w14:paraId="69625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6" w:type="pct"/>
            <w:noWrap/>
            <w:vAlign w:val="center"/>
          </w:tcPr>
          <w:p w14:paraId="309B7024">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66" w:type="pct"/>
            <w:noWrap/>
            <w:vAlign w:val="center"/>
          </w:tcPr>
          <w:p w14:paraId="66522B55">
            <w:pPr>
              <w:snapToGrid w:val="0"/>
              <w:spacing w:line="360" w:lineRule="auto"/>
              <w:jc w:val="center"/>
              <w:rPr>
                <w:rFonts w:ascii="仿宋" w:hAnsi="仿宋" w:eastAsia="仿宋" w:cs="仿宋"/>
                <w:color w:val="auto"/>
                <w:sz w:val="24"/>
                <w:highlight w:val="none"/>
              </w:rPr>
            </w:pPr>
          </w:p>
        </w:tc>
        <w:tc>
          <w:tcPr>
            <w:tcW w:w="1446" w:type="pct"/>
            <w:noWrap/>
          </w:tcPr>
          <w:p w14:paraId="1B772403">
            <w:pPr>
              <w:spacing w:line="360" w:lineRule="auto"/>
              <w:jc w:val="center"/>
              <w:rPr>
                <w:rFonts w:ascii="仿宋" w:hAnsi="仿宋" w:eastAsia="仿宋" w:cs="仿宋"/>
                <w:b/>
                <w:color w:val="auto"/>
                <w:sz w:val="24"/>
                <w:highlight w:val="none"/>
              </w:rPr>
            </w:pPr>
          </w:p>
        </w:tc>
        <w:tc>
          <w:tcPr>
            <w:tcW w:w="617" w:type="pct"/>
            <w:noWrap/>
            <w:vAlign w:val="center"/>
          </w:tcPr>
          <w:p w14:paraId="0C6AAB0D">
            <w:pPr>
              <w:spacing w:line="360" w:lineRule="auto"/>
              <w:jc w:val="center"/>
              <w:rPr>
                <w:rFonts w:ascii="仿宋" w:hAnsi="仿宋" w:eastAsia="仿宋" w:cs="仿宋"/>
                <w:b/>
                <w:color w:val="auto"/>
                <w:sz w:val="24"/>
                <w:highlight w:val="none"/>
              </w:rPr>
            </w:pPr>
          </w:p>
        </w:tc>
        <w:tc>
          <w:tcPr>
            <w:tcW w:w="1083" w:type="pct"/>
            <w:noWrap/>
            <w:vAlign w:val="center"/>
          </w:tcPr>
          <w:p w14:paraId="1B4E810E">
            <w:pPr>
              <w:spacing w:line="360" w:lineRule="auto"/>
              <w:jc w:val="center"/>
              <w:rPr>
                <w:rFonts w:ascii="仿宋" w:hAnsi="仿宋" w:eastAsia="仿宋" w:cs="仿宋"/>
                <w:color w:val="auto"/>
                <w:sz w:val="24"/>
                <w:highlight w:val="none"/>
              </w:rPr>
            </w:pPr>
          </w:p>
        </w:tc>
      </w:tr>
      <w:tr w14:paraId="3FBD8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6" w:type="pct"/>
            <w:noWrap/>
            <w:vAlign w:val="center"/>
          </w:tcPr>
          <w:p w14:paraId="30C4C9FC">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66" w:type="pct"/>
            <w:noWrap/>
            <w:vAlign w:val="center"/>
          </w:tcPr>
          <w:p w14:paraId="70799540">
            <w:pPr>
              <w:snapToGrid w:val="0"/>
              <w:spacing w:line="360" w:lineRule="auto"/>
              <w:jc w:val="center"/>
              <w:rPr>
                <w:rFonts w:ascii="仿宋" w:hAnsi="仿宋" w:eastAsia="仿宋" w:cs="仿宋"/>
                <w:color w:val="auto"/>
                <w:sz w:val="24"/>
                <w:highlight w:val="none"/>
              </w:rPr>
            </w:pPr>
          </w:p>
        </w:tc>
        <w:tc>
          <w:tcPr>
            <w:tcW w:w="1446" w:type="pct"/>
            <w:noWrap/>
          </w:tcPr>
          <w:p w14:paraId="6ECA7E5F">
            <w:pPr>
              <w:spacing w:line="360" w:lineRule="auto"/>
              <w:jc w:val="center"/>
              <w:rPr>
                <w:rFonts w:ascii="仿宋" w:hAnsi="仿宋" w:eastAsia="仿宋" w:cs="仿宋"/>
                <w:b/>
                <w:color w:val="auto"/>
                <w:sz w:val="24"/>
                <w:highlight w:val="none"/>
              </w:rPr>
            </w:pPr>
          </w:p>
        </w:tc>
        <w:tc>
          <w:tcPr>
            <w:tcW w:w="617" w:type="pct"/>
            <w:noWrap/>
            <w:vAlign w:val="center"/>
          </w:tcPr>
          <w:p w14:paraId="1B363296">
            <w:pPr>
              <w:spacing w:line="360" w:lineRule="auto"/>
              <w:jc w:val="center"/>
              <w:rPr>
                <w:rFonts w:ascii="仿宋" w:hAnsi="仿宋" w:eastAsia="仿宋" w:cs="仿宋"/>
                <w:b/>
                <w:color w:val="auto"/>
                <w:sz w:val="24"/>
                <w:highlight w:val="none"/>
              </w:rPr>
            </w:pPr>
          </w:p>
        </w:tc>
        <w:tc>
          <w:tcPr>
            <w:tcW w:w="1083" w:type="pct"/>
            <w:noWrap/>
            <w:vAlign w:val="center"/>
          </w:tcPr>
          <w:p w14:paraId="0FA5EEC3">
            <w:pPr>
              <w:spacing w:line="360" w:lineRule="auto"/>
              <w:jc w:val="center"/>
              <w:rPr>
                <w:rFonts w:ascii="仿宋" w:hAnsi="仿宋" w:eastAsia="仿宋" w:cs="仿宋"/>
                <w:color w:val="auto"/>
                <w:sz w:val="24"/>
                <w:highlight w:val="none"/>
              </w:rPr>
            </w:pPr>
          </w:p>
        </w:tc>
      </w:tr>
      <w:tr w14:paraId="71EAD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6" w:type="pct"/>
            <w:noWrap/>
            <w:vAlign w:val="center"/>
          </w:tcPr>
          <w:p w14:paraId="16CE323F">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466" w:type="pct"/>
            <w:noWrap/>
            <w:vAlign w:val="center"/>
          </w:tcPr>
          <w:p w14:paraId="7E297947">
            <w:pPr>
              <w:snapToGrid w:val="0"/>
              <w:spacing w:line="360" w:lineRule="auto"/>
              <w:jc w:val="center"/>
              <w:rPr>
                <w:rFonts w:ascii="仿宋" w:hAnsi="仿宋" w:eastAsia="仿宋" w:cs="仿宋"/>
                <w:color w:val="auto"/>
                <w:sz w:val="24"/>
                <w:highlight w:val="none"/>
              </w:rPr>
            </w:pPr>
          </w:p>
        </w:tc>
        <w:tc>
          <w:tcPr>
            <w:tcW w:w="1446" w:type="pct"/>
            <w:noWrap/>
          </w:tcPr>
          <w:p w14:paraId="5A95BB3F">
            <w:pPr>
              <w:spacing w:line="360" w:lineRule="auto"/>
              <w:jc w:val="center"/>
              <w:rPr>
                <w:rFonts w:ascii="仿宋" w:hAnsi="仿宋" w:eastAsia="仿宋" w:cs="仿宋"/>
                <w:b/>
                <w:color w:val="auto"/>
                <w:sz w:val="24"/>
                <w:highlight w:val="none"/>
              </w:rPr>
            </w:pPr>
          </w:p>
        </w:tc>
        <w:tc>
          <w:tcPr>
            <w:tcW w:w="617" w:type="pct"/>
            <w:noWrap/>
            <w:vAlign w:val="center"/>
          </w:tcPr>
          <w:p w14:paraId="58291FA5">
            <w:pPr>
              <w:spacing w:line="360" w:lineRule="auto"/>
              <w:jc w:val="center"/>
              <w:rPr>
                <w:rFonts w:ascii="仿宋" w:hAnsi="仿宋" w:eastAsia="仿宋" w:cs="仿宋"/>
                <w:b/>
                <w:color w:val="auto"/>
                <w:sz w:val="24"/>
                <w:highlight w:val="none"/>
              </w:rPr>
            </w:pPr>
          </w:p>
        </w:tc>
        <w:tc>
          <w:tcPr>
            <w:tcW w:w="1083" w:type="pct"/>
            <w:noWrap/>
            <w:vAlign w:val="center"/>
          </w:tcPr>
          <w:p w14:paraId="41E96B85">
            <w:pPr>
              <w:spacing w:line="360" w:lineRule="auto"/>
              <w:jc w:val="center"/>
              <w:rPr>
                <w:rFonts w:ascii="仿宋" w:hAnsi="仿宋" w:eastAsia="仿宋" w:cs="仿宋"/>
                <w:color w:val="auto"/>
                <w:sz w:val="24"/>
                <w:highlight w:val="none"/>
              </w:rPr>
            </w:pPr>
          </w:p>
        </w:tc>
      </w:tr>
      <w:tr w14:paraId="6FC5E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6" w:type="pct"/>
            <w:noWrap/>
            <w:vAlign w:val="center"/>
          </w:tcPr>
          <w:p w14:paraId="77684648">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466" w:type="pct"/>
            <w:noWrap/>
            <w:vAlign w:val="center"/>
          </w:tcPr>
          <w:p w14:paraId="168DF518">
            <w:pPr>
              <w:snapToGrid w:val="0"/>
              <w:spacing w:line="360" w:lineRule="auto"/>
              <w:jc w:val="center"/>
              <w:rPr>
                <w:rFonts w:ascii="仿宋" w:hAnsi="仿宋" w:eastAsia="仿宋" w:cs="仿宋"/>
                <w:color w:val="auto"/>
                <w:sz w:val="24"/>
                <w:highlight w:val="none"/>
              </w:rPr>
            </w:pPr>
          </w:p>
        </w:tc>
        <w:tc>
          <w:tcPr>
            <w:tcW w:w="1446" w:type="pct"/>
            <w:noWrap/>
          </w:tcPr>
          <w:p w14:paraId="4147377B">
            <w:pPr>
              <w:snapToGrid w:val="0"/>
              <w:spacing w:line="360" w:lineRule="auto"/>
              <w:jc w:val="center"/>
              <w:rPr>
                <w:rFonts w:ascii="仿宋" w:hAnsi="仿宋" w:eastAsia="仿宋" w:cs="仿宋"/>
                <w:color w:val="auto"/>
                <w:sz w:val="24"/>
                <w:highlight w:val="none"/>
              </w:rPr>
            </w:pPr>
          </w:p>
        </w:tc>
        <w:tc>
          <w:tcPr>
            <w:tcW w:w="617" w:type="pct"/>
            <w:noWrap/>
            <w:vAlign w:val="center"/>
          </w:tcPr>
          <w:p w14:paraId="16E9BE2F">
            <w:pPr>
              <w:snapToGrid w:val="0"/>
              <w:spacing w:line="360" w:lineRule="auto"/>
              <w:jc w:val="center"/>
              <w:rPr>
                <w:rFonts w:ascii="仿宋" w:hAnsi="仿宋" w:eastAsia="仿宋" w:cs="仿宋"/>
                <w:color w:val="auto"/>
                <w:sz w:val="24"/>
                <w:highlight w:val="none"/>
              </w:rPr>
            </w:pPr>
          </w:p>
        </w:tc>
        <w:tc>
          <w:tcPr>
            <w:tcW w:w="1083" w:type="pct"/>
            <w:noWrap/>
            <w:vAlign w:val="center"/>
          </w:tcPr>
          <w:p w14:paraId="5AA3100E">
            <w:pPr>
              <w:spacing w:line="360" w:lineRule="auto"/>
              <w:jc w:val="center"/>
              <w:rPr>
                <w:rFonts w:ascii="仿宋" w:hAnsi="仿宋" w:eastAsia="仿宋" w:cs="仿宋"/>
                <w:color w:val="auto"/>
                <w:sz w:val="24"/>
                <w:highlight w:val="none"/>
              </w:rPr>
            </w:pPr>
          </w:p>
        </w:tc>
      </w:tr>
      <w:tr w14:paraId="1B5D5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6" w:type="pct"/>
            <w:noWrap/>
            <w:vAlign w:val="center"/>
          </w:tcPr>
          <w:p w14:paraId="26894598">
            <w:pPr>
              <w:snapToGrid w:val="0"/>
              <w:spacing w:line="360" w:lineRule="auto"/>
              <w:jc w:val="center"/>
              <w:rPr>
                <w:rFonts w:ascii="仿宋" w:hAnsi="仿宋" w:eastAsia="仿宋" w:cs="仿宋"/>
                <w:color w:val="auto"/>
                <w:sz w:val="24"/>
                <w:highlight w:val="none"/>
              </w:rPr>
            </w:pPr>
          </w:p>
        </w:tc>
        <w:tc>
          <w:tcPr>
            <w:tcW w:w="1466" w:type="pct"/>
            <w:noWrap/>
            <w:vAlign w:val="center"/>
          </w:tcPr>
          <w:p w14:paraId="27743780">
            <w:pPr>
              <w:snapToGrid w:val="0"/>
              <w:spacing w:line="360" w:lineRule="auto"/>
              <w:jc w:val="center"/>
              <w:rPr>
                <w:rFonts w:ascii="仿宋" w:hAnsi="仿宋" w:eastAsia="仿宋" w:cs="仿宋"/>
                <w:color w:val="auto"/>
                <w:sz w:val="24"/>
                <w:highlight w:val="none"/>
              </w:rPr>
            </w:pPr>
          </w:p>
        </w:tc>
        <w:tc>
          <w:tcPr>
            <w:tcW w:w="1446" w:type="pct"/>
            <w:noWrap/>
          </w:tcPr>
          <w:p w14:paraId="683FC45D">
            <w:pPr>
              <w:snapToGrid w:val="0"/>
              <w:spacing w:line="360" w:lineRule="auto"/>
              <w:jc w:val="center"/>
              <w:rPr>
                <w:rFonts w:ascii="仿宋" w:hAnsi="仿宋" w:eastAsia="仿宋" w:cs="仿宋"/>
                <w:color w:val="auto"/>
                <w:sz w:val="24"/>
                <w:highlight w:val="none"/>
              </w:rPr>
            </w:pPr>
          </w:p>
        </w:tc>
        <w:tc>
          <w:tcPr>
            <w:tcW w:w="617" w:type="pct"/>
            <w:noWrap/>
            <w:vAlign w:val="center"/>
          </w:tcPr>
          <w:p w14:paraId="34407FA1">
            <w:pPr>
              <w:snapToGrid w:val="0"/>
              <w:spacing w:line="360" w:lineRule="auto"/>
              <w:jc w:val="center"/>
              <w:rPr>
                <w:rFonts w:ascii="仿宋" w:hAnsi="仿宋" w:eastAsia="仿宋" w:cs="仿宋"/>
                <w:color w:val="auto"/>
                <w:sz w:val="24"/>
                <w:highlight w:val="none"/>
              </w:rPr>
            </w:pPr>
          </w:p>
        </w:tc>
        <w:tc>
          <w:tcPr>
            <w:tcW w:w="1083" w:type="pct"/>
            <w:noWrap/>
            <w:vAlign w:val="center"/>
          </w:tcPr>
          <w:p w14:paraId="4A35EEB9">
            <w:pPr>
              <w:spacing w:line="360" w:lineRule="auto"/>
              <w:jc w:val="center"/>
              <w:rPr>
                <w:rFonts w:ascii="仿宋" w:hAnsi="仿宋" w:eastAsia="仿宋" w:cs="仿宋"/>
                <w:color w:val="auto"/>
                <w:sz w:val="24"/>
                <w:highlight w:val="none"/>
              </w:rPr>
            </w:pPr>
          </w:p>
        </w:tc>
      </w:tr>
    </w:tbl>
    <w:p w14:paraId="3017C1CB">
      <w:pPr>
        <w:spacing w:line="360" w:lineRule="auto"/>
        <w:ind w:right="420"/>
        <w:rPr>
          <w:rFonts w:ascii="仿宋" w:hAnsi="仿宋" w:eastAsia="仿宋" w:cs="仿宋"/>
          <w:color w:val="auto"/>
          <w:sz w:val="24"/>
          <w:highlight w:val="none"/>
        </w:rPr>
      </w:pPr>
    </w:p>
    <w:p w14:paraId="2873F9E8">
      <w:pPr>
        <w:spacing w:line="360" w:lineRule="auto"/>
        <w:ind w:right="420"/>
        <w:rPr>
          <w:rFonts w:ascii="仿宋" w:hAnsi="仿宋" w:eastAsia="仿宋" w:cs="仿宋"/>
          <w:color w:val="auto"/>
          <w:sz w:val="24"/>
          <w:highlight w:val="none"/>
        </w:rPr>
      </w:pPr>
    </w:p>
    <w:p w14:paraId="0E477EF3">
      <w:pPr>
        <w:spacing w:line="360"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837223E">
      <w:pPr>
        <w:widowControl/>
        <w:jc w:val="left"/>
        <w:rPr>
          <w:rFonts w:ascii="仿宋" w:hAnsi="仿宋" w:eastAsia="仿宋" w:cs="仿宋"/>
          <w:color w:val="auto"/>
          <w:sz w:val="24"/>
          <w:highlight w:val="none"/>
        </w:rPr>
      </w:pPr>
    </w:p>
    <w:p w14:paraId="7E073D4E">
      <w:pPr>
        <w:pStyle w:val="4"/>
        <w:numPr>
          <w:ilvl w:val="0"/>
          <w:numId w:val="0"/>
        </w:numPr>
        <w:ind w:left="900"/>
        <w:jc w:val="center"/>
        <w:rPr>
          <w:rFonts w:ascii="仿宋" w:hAnsi="仿宋" w:eastAsia="仿宋" w:cs="仿宋"/>
          <w:b w:val="0"/>
          <w:color w:val="auto"/>
          <w:sz w:val="30"/>
          <w:szCs w:val="30"/>
          <w:highlight w:val="none"/>
        </w:rPr>
      </w:pPr>
      <w:bookmarkStart w:id="84" w:name="_Toc111497108"/>
      <w:r>
        <w:rPr>
          <w:rFonts w:hint="eastAsia" w:ascii="仿宋" w:hAnsi="仿宋" w:eastAsia="仿宋" w:cs="仿宋"/>
          <w:color w:val="auto"/>
          <w:sz w:val="30"/>
          <w:szCs w:val="30"/>
          <w:highlight w:val="none"/>
        </w:rPr>
        <w:t>八、商务技术偏离表</w:t>
      </w:r>
      <w:bookmarkEnd w:id="84"/>
    </w:p>
    <w:tbl>
      <w:tblPr>
        <w:tblStyle w:val="6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9"/>
        <w:gridCol w:w="3683"/>
        <w:gridCol w:w="3546"/>
        <w:gridCol w:w="1276"/>
      </w:tblGrid>
      <w:tr w14:paraId="4B2646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59" w:type="dxa"/>
          </w:tcPr>
          <w:p w14:paraId="6CB84BF8">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30E6D925">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采购文件章节及具体内容</w:t>
            </w:r>
          </w:p>
        </w:tc>
        <w:tc>
          <w:tcPr>
            <w:tcW w:w="3546" w:type="dxa"/>
          </w:tcPr>
          <w:p w14:paraId="251FC927">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响应文件章节及具体内容</w:t>
            </w:r>
          </w:p>
        </w:tc>
        <w:tc>
          <w:tcPr>
            <w:tcW w:w="1276" w:type="dxa"/>
          </w:tcPr>
          <w:p w14:paraId="42DAACB3">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D228F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59" w:type="dxa"/>
            <w:vAlign w:val="center"/>
          </w:tcPr>
          <w:p w14:paraId="4CFB1D84">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vAlign w:val="center"/>
          </w:tcPr>
          <w:p w14:paraId="4673A90D">
            <w:pPr>
              <w:jc w:val="center"/>
              <w:rPr>
                <w:rFonts w:ascii="仿宋" w:hAnsi="仿宋" w:eastAsia="仿宋" w:cs="仿宋"/>
                <w:b/>
                <w:color w:val="auto"/>
                <w:kern w:val="0"/>
                <w:sz w:val="32"/>
                <w:szCs w:val="32"/>
                <w:highlight w:val="none"/>
              </w:rPr>
            </w:pPr>
          </w:p>
        </w:tc>
        <w:tc>
          <w:tcPr>
            <w:tcW w:w="3546" w:type="dxa"/>
            <w:vAlign w:val="center"/>
          </w:tcPr>
          <w:p w14:paraId="5C867928">
            <w:pPr>
              <w:jc w:val="center"/>
              <w:rPr>
                <w:rFonts w:ascii="仿宋" w:hAnsi="仿宋" w:eastAsia="仿宋" w:cs="仿宋"/>
                <w:b/>
                <w:color w:val="auto"/>
                <w:kern w:val="0"/>
                <w:sz w:val="32"/>
                <w:szCs w:val="32"/>
                <w:highlight w:val="none"/>
              </w:rPr>
            </w:pPr>
          </w:p>
        </w:tc>
        <w:tc>
          <w:tcPr>
            <w:tcW w:w="1276" w:type="dxa"/>
            <w:vAlign w:val="center"/>
          </w:tcPr>
          <w:p w14:paraId="2FD3FE89">
            <w:pPr>
              <w:jc w:val="center"/>
              <w:rPr>
                <w:rFonts w:ascii="仿宋" w:hAnsi="仿宋" w:eastAsia="仿宋" w:cs="仿宋"/>
                <w:b/>
                <w:color w:val="auto"/>
                <w:kern w:val="0"/>
                <w:sz w:val="32"/>
                <w:szCs w:val="32"/>
                <w:highlight w:val="none"/>
              </w:rPr>
            </w:pPr>
          </w:p>
        </w:tc>
      </w:tr>
      <w:tr w14:paraId="340AF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59" w:type="dxa"/>
            <w:vAlign w:val="center"/>
          </w:tcPr>
          <w:p w14:paraId="0B2969B3">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vAlign w:val="center"/>
          </w:tcPr>
          <w:p w14:paraId="43FDF300">
            <w:pPr>
              <w:jc w:val="center"/>
              <w:rPr>
                <w:rFonts w:ascii="仿宋" w:hAnsi="仿宋" w:eastAsia="仿宋" w:cs="仿宋"/>
                <w:b/>
                <w:color w:val="auto"/>
                <w:kern w:val="0"/>
                <w:sz w:val="32"/>
                <w:szCs w:val="32"/>
                <w:highlight w:val="none"/>
              </w:rPr>
            </w:pPr>
          </w:p>
        </w:tc>
        <w:tc>
          <w:tcPr>
            <w:tcW w:w="3546" w:type="dxa"/>
            <w:vAlign w:val="center"/>
          </w:tcPr>
          <w:p w14:paraId="2856F69B">
            <w:pPr>
              <w:jc w:val="center"/>
              <w:rPr>
                <w:rFonts w:ascii="仿宋" w:hAnsi="仿宋" w:eastAsia="仿宋" w:cs="仿宋"/>
                <w:b/>
                <w:color w:val="auto"/>
                <w:kern w:val="0"/>
                <w:sz w:val="32"/>
                <w:szCs w:val="32"/>
                <w:highlight w:val="none"/>
              </w:rPr>
            </w:pPr>
          </w:p>
        </w:tc>
        <w:tc>
          <w:tcPr>
            <w:tcW w:w="1276" w:type="dxa"/>
            <w:vAlign w:val="center"/>
          </w:tcPr>
          <w:p w14:paraId="1D7C6307">
            <w:pPr>
              <w:jc w:val="center"/>
              <w:rPr>
                <w:rFonts w:ascii="仿宋" w:hAnsi="仿宋" w:eastAsia="仿宋" w:cs="仿宋"/>
                <w:b/>
                <w:color w:val="auto"/>
                <w:kern w:val="0"/>
                <w:sz w:val="32"/>
                <w:szCs w:val="32"/>
                <w:highlight w:val="none"/>
              </w:rPr>
            </w:pPr>
          </w:p>
        </w:tc>
      </w:tr>
      <w:tr w14:paraId="1AC8B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59" w:type="dxa"/>
            <w:vAlign w:val="center"/>
          </w:tcPr>
          <w:p w14:paraId="5450EF1C">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vAlign w:val="center"/>
          </w:tcPr>
          <w:p w14:paraId="6F79A07E">
            <w:pPr>
              <w:jc w:val="center"/>
              <w:rPr>
                <w:rFonts w:ascii="仿宋" w:hAnsi="仿宋" w:eastAsia="仿宋" w:cs="仿宋"/>
                <w:b/>
                <w:color w:val="auto"/>
                <w:kern w:val="0"/>
                <w:sz w:val="32"/>
                <w:szCs w:val="32"/>
                <w:highlight w:val="none"/>
              </w:rPr>
            </w:pPr>
          </w:p>
        </w:tc>
        <w:tc>
          <w:tcPr>
            <w:tcW w:w="3546" w:type="dxa"/>
            <w:vAlign w:val="center"/>
          </w:tcPr>
          <w:p w14:paraId="7F46B36B">
            <w:pPr>
              <w:jc w:val="center"/>
              <w:rPr>
                <w:rFonts w:ascii="仿宋" w:hAnsi="仿宋" w:eastAsia="仿宋" w:cs="仿宋"/>
                <w:b/>
                <w:color w:val="auto"/>
                <w:kern w:val="0"/>
                <w:sz w:val="32"/>
                <w:szCs w:val="32"/>
                <w:highlight w:val="none"/>
              </w:rPr>
            </w:pPr>
          </w:p>
        </w:tc>
        <w:tc>
          <w:tcPr>
            <w:tcW w:w="1276" w:type="dxa"/>
            <w:vAlign w:val="center"/>
          </w:tcPr>
          <w:p w14:paraId="6EB2E837">
            <w:pPr>
              <w:jc w:val="center"/>
              <w:rPr>
                <w:rFonts w:ascii="仿宋" w:hAnsi="仿宋" w:eastAsia="仿宋" w:cs="仿宋"/>
                <w:b/>
                <w:color w:val="auto"/>
                <w:kern w:val="0"/>
                <w:sz w:val="32"/>
                <w:szCs w:val="32"/>
                <w:highlight w:val="none"/>
              </w:rPr>
            </w:pPr>
          </w:p>
        </w:tc>
      </w:tr>
    </w:tbl>
    <w:p w14:paraId="3827EA7B">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供应商保证：除商务技术偏离表列出的偏离外，供应商响应采购文件的全部要求</w:t>
      </w:r>
    </w:p>
    <w:p w14:paraId="51B5629B">
      <w:pPr>
        <w:pStyle w:val="4"/>
        <w:numPr>
          <w:ilvl w:val="0"/>
          <w:numId w:val="0"/>
        </w:numPr>
        <w:ind w:left="900"/>
        <w:jc w:val="center"/>
        <w:rPr>
          <w:rFonts w:ascii="仿宋" w:hAnsi="仿宋" w:eastAsia="仿宋" w:cs="仿宋"/>
          <w:b w:val="0"/>
          <w:color w:val="auto"/>
          <w:sz w:val="30"/>
          <w:szCs w:val="30"/>
          <w:highlight w:val="none"/>
        </w:rPr>
      </w:pPr>
      <w:r>
        <w:rPr>
          <w:rFonts w:hint="eastAsia" w:ascii="仿宋" w:hAnsi="仿宋" w:eastAsia="仿宋" w:cs="仿宋"/>
          <w:color w:val="auto"/>
          <w:sz w:val="24"/>
          <w:szCs w:val="24"/>
          <w:highlight w:val="none"/>
        </w:rPr>
        <w:br w:type="page"/>
      </w:r>
      <w:bookmarkStart w:id="85" w:name="_Toc111497109"/>
      <w:r>
        <w:rPr>
          <w:rFonts w:hint="eastAsia" w:ascii="仿宋" w:hAnsi="仿宋" w:eastAsia="仿宋" w:cs="仿宋"/>
          <w:color w:val="auto"/>
          <w:sz w:val="30"/>
          <w:szCs w:val="30"/>
          <w:highlight w:val="none"/>
        </w:rPr>
        <w:t>九、政府采购供应商廉洁自律承诺书</w:t>
      </w:r>
      <w:bookmarkEnd w:id="85"/>
    </w:p>
    <w:p w14:paraId="0603B9C0">
      <w:pPr>
        <w:spacing w:line="360" w:lineRule="auto"/>
        <w:jc w:val="left"/>
        <w:rPr>
          <w:rFonts w:ascii="仿宋" w:hAnsi="仿宋" w:eastAsia="仿宋" w:cs="仿宋"/>
          <w:color w:val="auto"/>
          <w:sz w:val="24"/>
          <w:highlight w:val="none"/>
        </w:rPr>
      </w:pPr>
    </w:p>
    <w:p w14:paraId="0EA87615">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杭州市公安局滨江区分局、浙江信达咨询监理有限公司：</w:t>
      </w:r>
    </w:p>
    <w:p w14:paraId="5FCD8591">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我单位响应你单位项目采购要求参加磋商。在这次磋商过程中和成交后，我们将严格遵守国家法律法规要求，并郑重承诺：</w:t>
      </w:r>
    </w:p>
    <w:p w14:paraId="36439F92">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一、不向项目有关人员及部门赠送礼金礼物、有价证券、回扣以及除本采购文件明示的代理服务费以外的中介费、介绍费、咨询费等好处费；</w:t>
      </w:r>
    </w:p>
    <w:p w14:paraId="3051CB3A">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二、不为项目有关人员及部门报销应由你方单位或个人支付的费用；</w:t>
      </w:r>
    </w:p>
    <w:p w14:paraId="5187EB33">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三、不向项目有关人员及部门提供有可能影响公正的宴请和健身娱乐等活动；</w:t>
      </w:r>
    </w:p>
    <w:p w14:paraId="6364EE4A">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四、不为项目有关人员及部门出国（境）、旅游等提供方便；</w:t>
      </w:r>
    </w:p>
    <w:p w14:paraId="6E49EBD6">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五、不为项目有关人员个人装修住房、婚丧嫁娶、配偶子女工作安排等提供好处；</w:t>
      </w:r>
    </w:p>
    <w:p w14:paraId="5844CCAB">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六、严格遵守《中华人民共和国政府采购法》《中华人民共和国招标投标法》《中华人民共和国民法典》等法律法规，诚实守信，合法经营，坚决抵制各种违法违纪行为。</w:t>
      </w:r>
    </w:p>
    <w:p w14:paraId="0C6F3682">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如违反上述承诺，你单位有权立即取消我单位参加政府采购、成交或在建项目的建设资格，有权拒绝我单位在一定时期内进入你单位进行项目建设或其他经营活动，并通报市财政局。由此引起的相应损失均由我单位承担。</w:t>
      </w:r>
    </w:p>
    <w:p w14:paraId="79ED7CF8">
      <w:pPr>
        <w:spacing w:line="360" w:lineRule="auto"/>
        <w:jc w:val="left"/>
        <w:rPr>
          <w:rFonts w:ascii="仿宋" w:hAnsi="仿宋" w:eastAsia="仿宋" w:cs="仿宋"/>
          <w:color w:val="auto"/>
          <w:sz w:val="24"/>
          <w:highlight w:val="none"/>
        </w:rPr>
      </w:pPr>
    </w:p>
    <w:p w14:paraId="74CCC7D2">
      <w:pPr>
        <w:spacing w:line="360" w:lineRule="auto"/>
        <w:jc w:val="left"/>
        <w:rPr>
          <w:rFonts w:ascii="仿宋" w:hAnsi="仿宋" w:eastAsia="仿宋" w:cs="仿宋"/>
          <w:color w:val="auto"/>
          <w:sz w:val="24"/>
          <w:highlight w:val="none"/>
        </w:rPr>
      </w:pPr>
    </w:p>
    <w:p w14:paraId="0C3C22C6">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供应商名称（电子签名）：</w:t>
      </w:r>
    </w:p>
    <w:p w14:paraId="61646846">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日期：   年   月   日</w:t>
      </w:r>
      <w:r>
        <w:rPr>
          <w:rFonts w:hint="eastAsia" w:ascii="仿宋" w:hAnsi="仿宋" w:eastAsia="仿宋" w:cs="仿宋"/>
          <w:color w:val="auto"/>
          <w:sz w:val="24"/>
          <w:highlight w:val="none"/>
        </w:rPr>
        <w:br w:type="page"/>
      </w:r>
    </w:p>
    <w:p w14:paraId="441CE6CF">
      <w:pPr>
        <w:spacing w:line="360" w:lineRule="auto"/>
        <w:jc w:val="left"/>
        <w:rPr>
          <w:rFonts w:ascii="仿宋" w:hAnsi="仿宋" w:eastAsia="仿宋" w:cs="仿宋"/>
          <w:color w:val="auto"/>
          <w:sz w:val="24"/>
          <w:highlight w:val="none"/>
        </w:rPr>
      </w:pPr>
    </w:p>
    <w:p w14:paraId="3EF05E44">
      <w:pPr>
        <w:spacing w:line="360" w:lineRule="auto"/>
        <w:jc w:val="left"/>
        <w:rPr>
          <w:rFonts w:ascii="仿宋" w:hAnsi="仿宋" w:eastAsia="仿宋" w:cs="仿宋"/>
          <w:color w:val="auto"/>
          <w:sz w:val="24"/>
          <w:highlight w:val="none"/>
        </w:rPr>
      </w:pPr>
    </w:p>
    <w:p w14:paraId="5FAF31D4">
      <w:pPr>
        <w:spacing w:line="360" w:lineRule="auto"/>
        <w:jc w:val="left"/>
        <w:rPr>
          <w:rFonts w:ascii="仿宋" w:hAnsi="仿宋" w:eastAsia="仿宋" w:cs="仿宋"/>
          <w:color w:val="auto"/>
          <w:sz w:val="24"/>
          <w:highlight w:val="none"/>
        </w:rPr>
      </w:pPr>
    </w:p>
    <w:p w14:paraId="5FCF6586">
      <w:pPr>
        <w:pStyle w:val="47"/>
        <w:spacing w:before="156" w:beforeLines="50" w:line="340" w:lineRule="exact"/>
        <w:rPr>
          <w:rFonts w:ascii="仿宋" w:hAnsi="仿宋" w:eastAsia="仿宋" w:cs="仿宋"/>
          <w:color w:val="auto"/>
          <w:highlight w:val="none"/>
        </w:rPr>
      </w:pPr>
      <w:bookmarkStart w:id="86" w:name="_Toc111497110"/>
      <w:r>
        <w:rPr>
          <w:rFonts w:hint="eastAsia" w:ascii="仿宋" w:hAnsi="仿宋" w:eastAsia="仿宋" w:cs="仿宋"/>
          <w:color w:val="auto"/>
          <w:highlight w:val="none"/>
        </w:rPr>
        <w:t>报价文件部分</w:t>
      </w:r>
      <w:bookmarkEnd w:id="86"/>
    </w:p>
    <w:p w14:paraId="325ADCAC">
      <w:pPr>
        <w:spacing w:line="360" w:lineRule="auto"/>
        <w:jc w:val="left"/>
        <w:rPr>
          <w:rFonts w:ascii="仿宋" w:hAnsi="仿宋" w:eastAsia="仿宋" w:cs="仿宋"/>
          <w:color w:val="auto"/>
          <w:sz w:val="24"/>
          <w:highlight w:val="none"/>
        </w:rPr>
      </w:pPr>
    </w:p>
    <w:p w14:paraId="1A6EA3A1">
      <w:pPr>
        <w:spacing w:line="360" w:lineRule="auto"/>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目录</w:t>
      </w:r>
    </w:p>
    <w:p w14:paraId="3E02107D">
      <w:pPr>
        <w:spacing w:line="360" w:lineRule="auto"/>
        <w:jc w:val="left"/>
        <w:rPr>
          <w:rFonts w:ascii="仿宋" w:hAnsi="仿宋" w:eastAsia="仿宋" w:cs="仿宋"/>
          <w:color w:val="auto"/>
          <w:sz w:val="24"/>
          <w:highlight w:val="none"/>
        </w:rPr>
      </w:pPr>
    </w:p>
    <w:p w14:paraId="0BF309A4">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（1）初始报价单……………………………………………………………（页码）</w:t>
      </w:r>
    </w:p>
    <w:p w14:paraId="74C2FBE6">
      <w:pPr>
        <w:spacing w:line="360" w:lineRule="auto"/>
        <w:jc w:val="left"/>
        <w:rPr>
          <w:rFonts w:ascii="仿宋" w:hAnsi="仿宋" w:eastAsia="仿宋" w:cs="仿宋"/>
          <w:color w:val="auto"/>
          <w:sz w:val="24"/>
          <w:highlight w:val="none"/>
        </w:rPr>
        <w:sectPr>
          <w:pgSz w:w="11907" w:h="16840"/>
          <w:pgMar w:top="1440" w:right="1417" w:bottom="1440" w:left="1797" w:header="851" w:footer="992" w:gutter="0"/>
          <w:cols w:space="720" w:num="1"/>
          <w:docGrid w:type="lines" w:linePitch="312" w:charSpace="0"/>
        </w:sectPr>
      </w:pPr>
    </w:p>
    <w:p w14:paraId="5B7ABB1C">
      <w:pPr>
        <w:pStyle w:val="4"/>
        <w:numPr>
          <w:ilvl w:val="0"/>
          <w:numId w:val="0"/>
        </w:numPr>
        <w:ind w:left="900" w:hanging="720"/>
        <w:jc w:val="center"/>
        <w:rPr>
          <w:rFonts w:ascii="仿宋" w:hAnsi="仿宋" w:eastAsia="仿宋" w:cs="仿宋"/>
          <w:b w:val="0"/>
          <w:color w:val="auto"/>
          <w:sz w:val="30"/>
          <w:szCs w:val="30"/>
          <w:highlight w:val="none"/>
        </w:rPr>
      </w:pPr>
      <w:bookmarkStart w:id="87" w:name="_Toc111497111"/>
      <w:r>
        <w:rPr>
          <w:rFonts w:hint="eastAsia" w:ascii="仿宋" w:hAnsi="仿宋" w:eastAsia="仿宋" w:cs="仿宋"/>
          <w:color w:val="auto"/>
          <w:sz w:val="30"/>
          <w:szCs w:val="30"/>
          <w:highlight w:val="none"/>
        </w:rPr>
        <w:t>一、</w:t>
      </w:r>
      <w:bookmarkEnd w:id="87"/>
      <w:r>
        <w:rPr>
          <w:rFonts w:hint="eastAsia" w:ascii="仿宋" w:hAnsi="仿宋" w:eastAsia="仿宋" w:cs="仿宋"/>
          <w:color w:val="auto"/>
          <w:sz w:val="30"/>
          <w:szCs w:val="30"/>
          <w:highlight w:val="none"/>
        </w:rPr>
        <w:t>报价单</w:t>
      </w:r>
    </w:p>
    <w:p w14:paraId="526F3E28">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杭州市公安局滨江区分局、浙江信达咨询监理有限公司：</w:t>
      </w:r>
    </w:p>
    <w:p w14:paraId="2C2DCC2F">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按你方采购文件要求，我们，本响应文件签字方，谨此向你方发出要约如下：如你方接受本响应文件，我方承诺按照如下初始报价单的价格完成（</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】的实施。</w:t>
      </w:r>
    </w:p>
    <w:p w14:paraId="69048A2C">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报价单(单位均为人民币元)</w:t>
      </w:r>
    </w:p>
    <w:tbl>
      <w:tblPr>
        <w:tblStyle w:val="61"/>
        <w:tblW w:w="14587" w:type="dxa"/>
        <w:tblInd w:w="55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75"/>
        <w:gridCol w:w="3374"/>
        <w:gridCol w:w="1425"/>
        <w:gridCol w:w="1325"/>
        <w:gridCol w:w="1473"/>
        <w:gridCol w:w="1402"/>
        <w:gridCol w:w="1900"/>
        <w:gridCol w:w="2213"/>
      </w:tblGrid>
      <w:tr w14:paraId="441725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75" w:type="dxa"/>
            <w:tcBorders>
              <w:top w:val="single" w:color="auto" w:sz="4" w:space="0"/>
              <w:left w:val="single" w:color="auto" w:sz="4" w:space="0"/>
              <w:bottom w:val="single" w:color="auto" w:sz="4" w:space="0"/>
              <w:right w:val="single" w:color="auto" w:sz="4" w:space="0"/>
            </w:tcBorders>
            <w:vAlign w:val="center"/>
          </w:tcPr>
          <w:p w14:paraId="6AFDC79D">
            <w:pPr>
              <w:snapToGrid w:val="0"/>
              <w:spacing w:line="360" w:lineRule="auto"/>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序号</w:t>
            </w:r>
          </w:p>
        </w:tc>
        <w:tc>
          <w:tcPr>
            <w:tcW w:w="3374" w:type="dxa"/>
            <w:tcBorders>
              <w:top w:val="single" w:color="auto" w:sz="4" w:space="0"/>
              <w:left w:val="single" w:color="auto" w:sz="4" w:space="0"/>
              <w:bottom w:val="single" w:color="auto" w:sz="4" w:space="0"/>
              <w:right w:val="single" w:color="auto" w:sz="4" w:space="0"/>
            </w:tcBorders>
            <w:vAlign w:val="center"/>
          </w:tcPr>
          <w:p w14:paraId="75ED3E86">
            <w:pPr>
              <w:snapToGrid w:val="0"/>
              <w:spacing w:line="360" w:lineRule="auto"/>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名称</w:t>
            </w:r>
          </w:p>
        </w:tc>
        <w:tc>
          <w:tcPr>
            <w:tcW w:w="1425" w:type="dxa"/>
            <w:tcBorders>
              <w:top w:val="single" w:color="auto" w:sz="4" w:space="0"/>
              <w:left w:val="single" w:color="auto" w:sz="4" w:space="0"/>
              <w:bottom w:val="single" w:color="auto" w:sz="4" w:space="0"/>
              <w:right w:val="single" w:color="auto" w:sz="4" w:space="0"/>
            </w:tcBorders>
            <w:vAlign w:val="center"/>
          </w:tcPr>
          <w:p w14:paraId="5CFA898E">
            <w:pPr>
              <w:snapToGrid w:val="0"/>
              <w:spacing w:line="360" w:lineRule="auto"/>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数量</w:t>
            </w:r>
          </w:p>
        </w:tc>
        <w:tc>
          <w:tcPr>
            <w:tcW w:w="1325" w:type="dxa"/>
            <w:tcBorders>
              <w:top w:val="single" w:color="auto" w:sz="4" w:space="0"/>
              <w:left w:val="single" w:color="auto" w:sz="4" w:space="0"/>
              <w:bottom w:val="single" w:color="auto" w:sz="4" w:space="0"/>
              <w:right w:val="single" w:color="auto" w:sz="4" w:space="0"/>
            </w:tcBorders>
            <w:vAlign w:val="center"/>
          </w:tcPr>
          <w:p w14:paraId="7A45963A">
            <w:pPr>
              <w:snapToGrid w:val="0"/>
              <w:spacing w:line="360" w:lineRule="auto"/>
              <w:jc w:val="center"/>
              <w:rPr>
                <w:rFonts w:hint="eastAsia" w:ascii="仿宋" w:hAnsi="仿宋" w:eastAsia="仿宋" w:cs="仿宋"/>
                <w:color w:val="auto"/>
                <w:spacing w:val="-6"/>
                <w:sz w:val="24"/>
                <w:highlight w:val="none"/>
                <w:lang w:eastAsia="zh-CN"/>
              </w:rPr>
            </w:pPr>
            <w:r>
              <w:rPr>
                <w:rFonts w:hint="eastAsia" w:ascii="仿宋" w:hAnsi="仿宋" w:eastAsia="仿宋" w:cs="仿宋"/>
                <w:color w:val="auto"/>
                <w:spacing w:val="-6"/>
                <w:sz w:val="24"/>
                <w:highlight w:val="none"/>
                <w:lang w:val="en-US" w:eastAsia="zh-CN"/>
              </w:rPr>
              <w:t>单位</w:t>
            </w:r>
          </w:p>
        </w:tc>
        <w:tc>
          <w:tcPr>
            <w:tcW w:w="1473" w:type="dxa"/>
            <w:tcBorders>
              <w:top w:val="single" w:color="auto" w:sz="4" w:space="0"/>
              <w:left w:val="single" w:color="auto" w:sz="4" w:space="0"/>
              <w:bottom w:val="single" w:color="auto" w:sz="4" w:space="0"/>
              <w:right w:val="single" w:color="auto" w:sz="4" w:space="0"/>
            </w:tcBorders>
            <w:vAlign w:val="center"/>
          </w:tcPr>
          <w:p w14:paraId="2830DEAD">
            <w:pPr>
              <w:snapToGrid w:val="0"/>
              <w:spacing w:line="360" w:lineRule="auto"/>
              <w:jc w:val="center"/>
              <w:rPr>
                <w:rFonts w:hint="eastAsia" w:ascii="仿宋" w:hAnsi="仿宋" w:eastAsia="仿宋" w:cs="仿宋"/>
                <w:color w:val="auto"/>
                <w:spacing w:val="-6"/>
                <w:sz w:val="24"/>
                <w:highlight w:val="none"/>
                <w:lang w:eastAsia="zh-CN"/>
              </w:rPr>
            </w:pPr>
            <w:r>
              <w:rPr>
                <w:rFonts w:hint="eastAsia" w:ascii="仿宋" w:hAnsi="仿宋" w:eastAsia="仿宋" w:cs="仿宋"/>
                <w:color w:val="auto"/>
                <w:spacing w:val="-6"/>
                <w:sz w:val="24"/>
                <w:highlight w:val="none"/>
              </w:rPr>
              <w:t>单价</w:t>
            </w:r>
            <w:r>
              <w:rPr>
                <w:rFonts w:hint="eastAsia" w:ascii="仿宋" w:hAnsi="仿宋" w:eastAsia="仿宋" w:cs="仿宋"/>
                <w:color w:val="auto"/>
                <w:spacing w:val="-6"/>
                <w:sz w:val="24"/>
                <w:highlight w:val="none"/>
                <w:lang w:eastAsia="zh-CN"/>
              </w:rPr>
              <w:t>（</w:t>
            </w:r>
            <w:r>
              <w:rPr>
                <w:rFonts w:hint="eastAsia" w:ascii="仿宋" w:hAnsi="仿宋" w:eastAsia="仿宋" w:cs="仿宋"/>
                <w:color w:val="auto"/>
                <w:spacing w:val="-6"/>
                <w:sz w:val="24"/>
                <w:highlight w:val="none"/>
                <w:lang w:val="en-US" w:eastAsia="zh-CN"/>
              </w:rPr>
              <w:t>元/月</w:t>
            </w:r>
            <w:r>
              <w:rPr>
                <w:rFonts w:hint="eastAsia" w:ascii="仿宋" w:hAnsi="仿宋" w:eastAsia="仿宋" w:cs="仿宋"/>
                <w:color w:val="auto"/>
                <w:spacing w:val="-6"/>
                <w:sz w:val="24"/>
                <w:highlight w:val="none"/>
                <w:lang w:eastAsia="zh-CN"/>
              </w:rPr>
              <w:t>）</w:t>
            </w:r>
          </w:p>
        </w:tc>
        <w:tc>
          <w:tcPr>
            <w:tcW w:w="1402" w:type="dxa"/>
            <w:tcBorders>
              <w:top w:val="single" w:color="auto" w:sz="4" w:space="0"/>
              <w:left w:val="single" w:color="auto" w:sz="4" w:space="0"/>
              <w:bottom w:val="single" w:color="auto" w:sz="4" w:space="0"/>
              <w:right w:val="single" w:color="auto" w:sz="4" w:space="0"/>
            </w:tcBorders>
            <w:vAlign w:val="center"/>
          </w:tcPr>
          <w:p w14:paraId="2773349B">
            <w:pPr>
              <w:snapToGrid w:val="0"/>
              <w:spacing w:line="360" w:lineRule="auto"/>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合价（元）</w:t>
            </w:r>
          </w:p>
        </w:tc>
        <w:tc>
          <w:tcPr>
            <w:tcW w:w="1900" w:type="dxa"/>
            <w:tcBorders>
              <w:top w:val="single" w:color="auto" w:sz="4" w:space="0"/>
              <w:left w:val="single" w:color="auto" w:sz="4" w:space="0"/>
              <w:bottom w:val="single" w:color="auto" w:sz="4" w:space="0"/>
              <w:right w:val="single" w:color="auto" w:sz="4" w:space="0"/>
            </w:tcBorders>
            <w:vAlign w:val="center"/>
          </w:tcPr>
          <w:p w14:paraId="7FE1CF04">
            <w:pPr>
              <w:snapToGrid w:val="0"/>
              <w:spacing w:line="360" w:lineRule="auto"/>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z w:val="24"/>
                <w:szCs w:val="24"/>
                <w:highlight w:val="none"/>
                <w:shd w:val="clear" w:color="auto" w:fill="auto"/>
                <w:lang w:val="en-US" w:eastAsia="zh-CN"/>
              </w:rPr>
              <w:t>品牌、型号</w:t>
            </w:r>
          </w:p>
        </w:tc>
        <w:tc>
          <w:tcPr>
            <w:tcW w:w="2213" w:type="dxa"/>
            <w:tcBorders>
              <w:top w:val="single" w:color="auto" w:sz="4" w:space="0"/>
              <w:left w:val="single" w:color="auto" w:sz="4" w:space="0"/>
              <w:bottom w:val="single" w:color="auto" w:sz="4" w:space="0"/>
              <w:right w:val="single" w:color="auto" w:sz="4" w:space="0"/>
            </w:tcBorders>
            <w:vAlign w:val="center"/>
          </w:tcPr>
          <w:p w14:paraId="2BD23792">
            <w:pPr>
              <w:snapToGrid w:val="0"/>
              <w:spacing w:line="360" w:lineRule="auto"/>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服务时间</w:t>
            </w:r>
          </w:p>
        </w:tc>
      </w:tr>
      <w:tr w14:paraId="5B70A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75" w:type="dxa"/>
            <w:tcBorders>
              <w:top w:val="single" w:color="auto" w:sz="4" w:space="0"/>
              <w:left w:val="single" w:color="auto" w:sz="4" w:space="0"/>
              <w:bottom w:val="single" w:color="auto" w:sz="4" w:space="0"/>
              <w:right w:val="single" w:color="auto" w:sz="4" w:space="0"/>
            </w:tcBorders>
            <w:vAlign w:val="center"/>
          </w:tcPr>
          <w:p w14:paraId="1DFFD46E">
            <w:pPr>
              <w:snapToGrid w:val="0"/>
              <w:spacing w:line="360" w:lineRule="exact"/>
              <w:jc w:val="center"/>
              <w:rPr>
                <w:rFonts w:ascii="仿宋" w:hAnsi="仿宋" w:eastAsia="仿宋" w:cs="仿宋"/>
                <w:color w:val="auto"/>
                <w:spacing w:val="-6"/>
                <w:sz w:val="24"/>
                <w:highlight w:val="none"/>
              </w:rPr>
            </w:pPr>
            <w:r>
              <w:rPr>
                <w:rFonts w:hint="eastAsia" w:ascii="仿宋" w:hAnsi="仿宋" w:eastAsia="仿宋" w:cs="仿宋"/>
                <w:color w:val="auto"/>
                <w:sz w:val="24"/>
                <w:szCs w:val="24"/>
                <w:highlight w:val="none"/>
                <w:shd w:val="clear" w:color="auto" w:fill="auto"/>
              </w:rPr>
              <w:t>1</w:t>
            </w:r>
          </w:p>
        </w:tc>
        <w:tc>
          <w:tcPr>
            <w:tcW w:w="3374" w:type="dxa"/>
            <w:tcBorders>
              <w:top w:val="single" w:color="auto" w:sz="4" w:space="0"/>
              <w:left w:val="single" w:color="auto" w:sz="4" w:space="0"/>
              <w:bottom w:val="single" w:color="auto" w:sz="4" w:space="0"/>
              <w:right w:val="single" w:color="auto" w:sz="4" w:space="0"/>
            </w:tcBorders>
            <w:vAlign w:val="center"/>
          </w:tcPr>
          <w:p w14:paraId="511147BA">
            <w:pPr>
              <w:snapToGrid w:val="0"/>
              <w:spacing w:line="360" w:lineRule="exact"/>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机器人1</w:t>
            </w:r>
          </w:p>
        </w:tc>
        <w:tc>
          <w:tcPr>
            <w:tcW w:w="1425" w:type="dxa"/>
            <w:tcBorders>
              <w:top w:val="single" w:color="auto" w:sz="4" w:space="0"/>
              <w:left w:val="single" w:color="auto" w:sz="4" w:space="0"/>
              <w:bottom w:val="single" w:color="auto" w:sz="4" w:space="0"/>
              <w:right w:val="single" w:color="auto" w:sz="4" w:space="0"/>
            </w:tcBorders>
            <w:vAlign w:val="center"/>
          </w:tcPr>
          <w:p w14:paraId="3442D738">
            <w:pPr>
              <w:snapToGrid w:val="0"/>
              <w:spacing w:line="360" w:lineRule="auto"/>
              <w:jc w:val="center"/>
              <w:rPr>
                <w:rFonts w:hint="eastAsia"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2</w:t>
            </w:r>
          </w:p>
        </w:tc>
        <w:tc>
          <w:tcPr>
            <w:tcW w:w="1325" w:type="dxa"/>
            <w:tcBorders>
              <w:top w:val="single" w:color="auto" w:sz="4" w:space="0"/>
              <w:left w:val="single" w:color="auto" w:sz="4" w:space="0"/>
              <w:bottom w:val="single" w:color="auto" w:sz="4" w:space="0"/>
              <w:right w:val="single" w:color="auto" w:sz="4" w:space="0"/>
            </w:tcBorders>
            <w:vAlign w:val="center"/>
          </w:tcPr>
          <w:p w14:paraId="173302D0">
            <w:pPr>
              <w:snapToGrid w:val="0"/>
              <w:spacing w:line="360" w:lineRule="auto"/>
              <w:jc w:val="center"/>
              <w:rPr>
                <w:rFonts w:hint="eastAsia" w:ascii="仿宋" w:hAnsi="仿宋" w:eastAsia="仿宋" w:cs="仿宋"/>
                <w:color w:val="auto"/>
                <w:spacing w:val="-6"/>
                <w:sz w:val="24"/>
                <w:highlight w:val="none"/>
                <w:lang w:eastAsia="zh-CN"/>
              </w:rPr>
            </w:pPr>
            <w:r>
              <w:rPr>
                <w:rFonts w:hint="eastAsia" w:ascii="仿宋" w:hAnsi="仿宋" w:eastAsia="仿宋" w:cs="仿宋"/>
                <w:color w:val="auto"/>
                <w:sz w:val="24"/>
                <w:szCs w:val="24"/>
                <w:highlight w:val="none"/>
                <w:shd w:val="clear" w:color="auto" w:fill="auto"/>
                <w:lang w:val="en-US" w:eastAsia="zh-CN"/>
              </w:rPr>
              <w:t>台</w:t>
            </w:r>
          </w:p>
        </w:tc>
        <w:tc>
          <w:tcPr>
            <w:tcW w:w="1473" w:type="dxa"/>
            <w:tcBorders>
              <w:top w:val="single" w:color="auto" w:sz="4" w:space="0"/>
              <w:left w:val="single" w:color="auto" w:sz="4" w:space="0"/>
              <w:bottom w:val="single" w:color="auto" w:sz="4" w:space="0"/>
              <w:right w:val="single" w:color="auto" w:sz="4" w:space="0"/>
            </w:tcBorders>
            <w:vAlign w:val="center"/>
          </w:tcPr>
          <w:p w14:paraId="72EB7636">
            <w:pPr>
              <w:snapToGrid w:val="0"/>
              <w:spacing w:line="360" w:lineRule="auto"/>
              <w:jc w:val="center"/>
              <w:rPr>
                <w:rFonts w:ascii="仿宋" w:hAnsi="仿宋" w:eastAsia="仿宋" w:cs="仿宋"/>
                <w:color w:val="auto"/>
                <w:spacing w:val="-6"/>
                <w:sz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74428900">
            <w:pPr>
              <w:snapToGrid w:val="0"/>
              <w:spacing w:line="360" w:lineRule="exact"/>
              <w:jc w:val="center"/>
              <w:rPr>
                <w:rFonts w:ascii="仿宋" w:hAnsi="仿宋" w:eastAsia="仿宋" w:cs="仿宋"/>
                <w:color w:val="auto"/>
                <w:spacing w:val="-6"/>
                <w:sz w:val="24"/>
                <w:highlight w:val="none"/>
              </w:rPr>
            </w:pPr>
          </w:p>
        </w:tc>
        <w:tc>
          <w:tcPr>
            <w:tcW w:w="1900" w:type="dxa"/>
            <w:tcBorders>
              <w:top w:val="single" w:color="auto" w:sz="4" w:space="0"/>
              <w:left w:val="single" w:color="auto" w:sz="4" w:space="0"/>
              <w:bottom w:val="single" w:color="auto" w:sz="4" w:space="0"/>
              <w:right w:val="single" w:color="auto" w:sz="4" w:space="0"/>
            </w:tcBorders>
            <w:vAlign w:val="center"/>
          </w:tcPr>
          <w:p w14:paraId="36623718">
            <w:pPr>
              <w:snapToGrid w:val="0"/>
              <w:spacing w:line="360" w:lineRule="exact"/>
              <w:jc w:val="center"/>
              <w:rPr>
                <w:rFonts w:ascii="仿宋" w:hAnsi="仿宋" w:eastAsia="仿宋" w:cs="仿宋"/>
                <w:color w:val="auto"/>
                <w:spacing w:val="-6"/>
                <w:sz w:val="24"/>
                <w:highlight w:val="none"/>
              </w:rPr>
            </w:pPr>
          </w:p>
        </w:tc>
        <w:tc>
          <w:tcPr>
            <w:tcW w:w="2213" w:type="dxa"/>
            <w:tcBorders>
              <w:top w:val="single" w:color="auto" w:sz="4" w:space="0"/>
              <w:left w:val="single" w:color="auto" w:sz="4" w:space="0"/>
              <w:bottom w:val="single" w:color="auto" w:sz="4" w:space="0"/>
              <w:right w:val="single" w:color="auto" w:sz="4" w:space="0"/>
            </w:tcBorders>
            <w:vAlign w:val="center"/>
          </w:tcPr>
          <w:p w14:paraId="3611238C">
            <w:pPr>
              <w:snapToGrid w:val="0"/>
              <w:spacing w:line="360" w:lineRule="exact"/>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验收合格之日起24个月</w:t>
            </w:r>
          </w:p>
        </w:tc>
      </w:tr>
      <w:tr w14:paraId="750FD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75" w:type="dxa"/>
            <w:tcBorders>
              <w:top w:val="single" w:color="auto" w:sz="4" w:space="0"/>
              <w:left w:val="single" w:color="auto" w:sz="4" w:space="0"/>
              <w:bottom w:val="single" w:color="auto" w:sz="4" w:space="0"/>
              <w:right w:val="single" w:color="auto" w:sz="4" w:space="0"/>
            </w:tcBorders>
            <w:vAlign w:val="center"/>
          </w:tcPr>
          <w:p w14:paraId="5532ABA4">
            <w:pPr>
              <w:snapToGrid w:val="0"/>
              <w:spacing w:line="360" w:lineRule="exact"/>
              <w:jc w:val="center"/>
              <w:rPr>
                <w:rFonts w:ascii="仿宋" w:hAnsi="仿宋" w:eastAsia="仿宋" w:cs="仿宋"/>
                <w:color w:val="auto"/>
                <w:spacing w:val="-6"/>
                <w:sz w:val="24"/>
                <w:highlight w:val="none"/>
              </w:rPr>
            </w:pPr>
            <w:r>
              <w:rPr>
                <w:rFonts w:hint="eastAsia" w:ascii="仿宋" w:hAnsi="仿宋" w:eastAsia="仿宋" w:cs="仿宋"/>
                <w:color w:val="auto"/>
                <w:sz w:val="24"/>
                <w:szCs w:val="24"/>
                <w:highlight w:val="none"/>
                <w:shd w:val="clear" w:color="auto" w:fill="auto"/>
              </w:rPr>
              <w:t>2</w:t>
            </w:r>
          </w:p>
        </w:tc>
        <w:tc>
          <w:tcPr>
            <w:tcW w:w="3374" w:type="dxa"/>
            <w:tcBorders>
              <w:top w:val="single" w:color="auto" w:sz="4" w:space="0"/>
              <w:left w:val="single" w:color="auto" w:sz="4" w:space="0"/>
              <w:bottom w:val="single" w:color="auto" w:sz="4" w:space="0"/>
              <w:right w:val="single" w:color="auto" w:sz="4" w:space="0"/>
            </w:tcBorders>
            <w:vAlign w:val="center"/>
          </w:tcPr>
          <w:p w14:paraId="3413CC21">
            <w:pPr>
              <w:snapToGrid w:val="0"/>
              <w:spacing w:line="360" w:lineRule="exact"/>
              <w:jc w:val="center"/>
              <w:rPr>
                <w:rFonts w:hint="default" w:ascii="仿宋" w:hAnsi="仿宋" w:eastAsia="仿宋" w:cs="仿宋"/>
                <w:b/>
                <w:bCs/>
                <w:color w:val="auto"/>
                <w:kern w:val="0"/>
                <w:sz w:val="24"/>
                <w:highlight w:val="none"/>
                <w:lang w:val="en-US"/>
              </w:rPr>
            </w:pPr>
            <w:r>
              <w:rPr>
                <w:rFonts w:hint="eastAsia" w:ascii="仿宋" w:hAnsi="仿宋" w:eastAsia="仿宋" w:cs="仿宋"/>
                <w:color w:val="auto"/>
                <w:spacing w:val="-6"/>
                <w:sz w:val="24"/>
                <w:highlight w:val="none"/>
                <w:lang w:val="en-US" w:eastAsia="zh-CN"/>
              </w:rPr>
              <w:t>机器人2</w:t>
            </w:r>
          </w:p>
        </w:tc>
        <w:tc>
          <w:tcPr>
            <w:tcW w:w="1425" w:type="dxa"/>
            <w:tcBorders>
              <w:top w:val="single" w:color="auto" w:sz="4" w:space="0"/>
              <w:left w:val="single" w:color="auto" w:sz="4" w:space="0"/>
              <w:bottom w:val="single" w:color="auto" w:sz="4" w:space="0"/>
              <w:right w:val="single" w:color="auto" w:sz="4" w:space="0"/>
            </w:tcBorders>
            <w:vAlign w:val="center"/>
          </w:tcPr>
          <w:p w14:paraId="55CFE505">
            <w:pPr>
              <w:snapToGrid w:val="0"/>
              <w:spacing w:line="360" w:lineRule="auto"/>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lang w:val="en-US" w:eastAsia="zh-CN"/>
              </w:rPr>
              <w:t>1</w:t>
            </w:r>
          </w:p>
        </w:tc>
        <w:tc>
          <w:tcPr>
            <w:tcW w:w="1325" w:type="dxa"/>
            <w:tcBorders>
              <w:top w:val="single" w:color="auto" w:sz="4" w:space="0"/>
              <w:left w:val="single" w:color="auto" w:sz="4" w:space="0"/>
              <w:bottom w:val="single" w:color="auto" w:sz="4" w:space="0"/>
              <w:right w:val="single" w:color="auto" w:sz="4" w:space="0"/>
            </w:tcBorders>
            <w:vAlign w:val="center"/>
          </w:tcPr>
          <w:p w14:paraId="30E20521">
            <w:pPr>
              <w:snapToGrid w:val="0"/>
              <w:spacing w:line="360" w:lineRule="auto"/>
              <w:jc w:val="center"/>
              <w:rPr>
                <w:rFonts w:hint="eastAsia" w:ascii="仿宋" w:hAnsi="仿宋" w:eastAsia="仿宋" w:cs="仿宋"/>
                <w:color w:val="auto"/>
                <w:spacing w:val="-6"/>
                <w:sz w:val="24"/>
                <w:highlight w:val="none"/>
                <w:lang w:eastAsia="zh-CN"/>
              </w:rPr>
            </w:pPr>
            <w:r>
              <w:rPr>
                <w:rFonts w:hint="eastAsia" w:ascii="仿宋" w:hAnsi="仿宋" w:eastAsia="仿宋" w:cs="仿宋"/>
                <w:color w:val="auto"/>
                <w:sz w:val="24"/>
                <w:szCs w:val="24"/>
                <w:highlight w:val="none"/>
                <w:shd w:val="clear" w:color="auto" w:fill="auto"/>
                <w:lang w:val="en-US" w:eastAsia="zh-CN"/>
              </w:rPr>
              <w:t>套</w:t>
            </w:r>
          </w:p>
        </w:tc>
        <w:tc>
          <w:tcPr>
            <w:tcW w:w="1473" w:type="dxa"/>
            <w:tcBorders>
              <w:top w:val="single" w:color="auto" w:sz="4" w:space="0"/>
              <w:left w:val="single" w:color="auto" w:sz="4" w:space="0"/>
              <w:bottom w:val="single" w:color="auto" w:sz="4" w:space="0"/>
              <w:right w:val="single" w:color="auto" w:sz="4" w:space="0"/>
            </w:tcBorders>
            <w:vAlign w:val="center"/>
          </w:tcPr>
          <w:p w14:paraId="7CE867D1">
            <w:pPr>
              <w:snapToGrid w:val="0"/>
              <w:spacing w:line="360" w:lineRule="auto"/>
              <w:jc w:val="center"/>
              <w:rPr>
                <w:rFonts w:ascii="仿宋" w:hAnsi="仿宋" w:eastAsia="仿宋" w:cs="仿宋"/>
                <w:color w:val="auto"/>
                <w:spacing w:val="-6"/>
                <w:sz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765E6960">
            <w:pPr>
              <w:snapToGrid w:val="0"/>
              <w:spacing w:line="360" w:lineRule="exact"/>
              <w:jc w:val="center"/>
              <w:rPr>
                <w:rFonts w:ascii="仿宋" w:hAnsi="仿宋" w:eastAsia="仿宋" w:cs="仿宋"/>
                <w:color w:val="auto"/>
                <w:spacing w:val="-6"/>
                <w:sz w:val="24"/>
                <w:highlight w:val="none"/>
              </w:rPr>
            </w:pPr>
          </w:p>
        </w:tc>
        <w:tc>
          <w:tcPr>
            <w:tcW w:w="1900" w:type="dxa"/>
            <w:tcBorders>
              <w:top w:val="single" w:color="auto" w:sz="4" w:space="0"/>
              <w:left w:val="single" w:color="auto" w:sz="4" w:space="0"/>
              <w:bottom w:val="single" w:color="auto" w:sz="4" w:space="0"/>
              <w:right w:val="single" w:color="auto" w:sz="4" w:space="0"/>
            </w:tcBorders>
            <w:vAlign w:val="center"/>
          </w:tcPr>
          <w:p w14:paraId="6CF30AFD">
            <w:pPr>
              <w:snapToGrid w:val="0"/>
              <w:spacing w:line="360" w:lineRule="exact"/>
              <w:jc w:val="center"/>
              <w:rPr>
                <w:rFonts w:ascii="仿宋" w:hAnsi="仿宋" w:eastAsia="仿宋" w:cs="仿宋"/>
                <w:color w:val="auto"/>
                <w:spacing w:val="-6"/>
                <w:sz w:val="24"/>
                <w:highlight w:val="none"/>
              </w:rPr>
            </w:pPr>
          </w:p>
        </w:tc>
        <w:tc>
          <w:tcPr>
            <w:tcW w:w="2213" w:type="dxa"/>
            <w:tcBorders>
              <w:top w:val="single" w:color="auto" w:sz="4" w:space="0"/>
              <w:left w:val="single" w:color="auto" w:sz="4" w:space="0"/>
              <w:bottom w:val="single" w:color="auto" w:sz="4" w:space="0"/>
              <w:right w:val="single" w:color="auto" w:sz="4" w:space="0"/>
            </w:tcBorders>
            <w:vAlign w:val="center"/>
          </w:tcPr>
          <w:p w14:paraId="3149C5FC">
            <w:pPr>
              <w:snapToGrid w:val="0"/>
              <w:spacing w:line="360" w:lineRule="exact"/>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lang w:val="en-US" w:eastAsia="zh-CN"/>
              </w:rPr>
              <w:t>验收合格之日起24个月</w:t>
            </w:r>
          </w:p>
        </w:tc>
      </w:tr>
      <w:tr w14:paraId="6F3000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75" w:type="dxa"/>
            <w:tcBorders>
              <w:top w:val="single" w:color="auto" w:sz="4" w:space="0"/>
              <w:left w:val="single" w:color="auto" w:sz="4" w:space="0"/>
              <w:bottom w:val="single" w:color="auto" w:sz="4" w:space="0"/>
              <w:right w:val="single" w:color="auto" w:sz="4" w:space="0"/>
            </w:tcBorders>
            <w:vAlign w:val="center"/>
          </w:tcPr>
          <w:p w14:paraId="6C071258">
            <w:pPr>
              <w:snapToGrid w:val="0"/>
              <w:spacing w:line="360" w:lineRule="exact"/>
              <w:jc w:val="center"/>
              <w:rPr>
                <w:rFonts w:ascii="仿宋" w:hAnsi="仿宋" w:eastAsia="仿宋" w:cs="仿宋"/>
                <w:color w:val="auto"/>
                <w:spacing w:val="-6"/>
                <w:sz w:val="24"/>
                <w:highlight w:val="none"/>
              </w:rPr>
            </w:pPr>
            <w:r>
              <w:rPr>
                <w:rFonts w:hint="eastAsia" w:ascii="仿宋" w:hAnsi="仿宋" w:eastAsia="仿宋" w:cs="仿宋"/>
                <w:color w:val="auto"/>
                <w:sz w:val="24"/>
                <w:szCs w:val="24"/>
                <w:highlight w:val="none"/>
                <w:shd w:val="clear" w:color="auto" w:fill="auto"/>
              </w:rPr>
              <w:t>3</w:t>
            </w:r>
          </w:p>
        </w:tc>
        <w:tc>
          <w:tcPr>
            <w:tcW w:w="3374" w:type="dxa"/>
            <w:tcBorders>
              <w:top w:val="single" w:color="auto" w:sz="4" w:space="0"/>
              <w:left w:val="single" w:color="auto" w:sz="4" w:space="0"/>
              <w:bottom w:val="single" w:color="auto" w:sz="4" w:space="0"/>
              <w:right w:val="single" w:color="auto" w:sz="4" w:space="0"/>
            </w:tcBorders>
            <w:vAlign w:val="center"/>
          </w:tcPr>
          <w:p w14:paraId="42C257DC">
            <w:pPr>
              <w:snapToGrid w:val="0"/>
              <w:spacing w:line="360" w:lineRule="exact"/>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机器手</w:t>
            </w:r>
          </w:p>
        </w:tc>
        <w:tc>
          <w:tcPr>
            <w:tcW w:w="1425" w:type="dxa"/>
            <w:tcBorders>
              <w:top w:val="single" w:color="auto" w:sz="4" w:space="0"/>
              <w:left w:val="single" w:color="auto" w:sz="4" w:space="0"/>
              <w:bottom w:val="single" w:color="auto" w:sz="4" w:space="0"/>
              <w:right w:val="single" w:color="auto" w:sz="4" w:space="0"/>
            </w:tcBorders>
            <w:vAlign w:val="center"/>
          </w:tcPr>
          <w:p w14:paraId="7D302251">
            <w:pPr>
              <w:snapToGrid w:val="0"/>
              <w:spacing w:line="360" w:lineRule="auto"/>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lang w:val="en-US" w:eastAsia="zh-CN"/>
              </w:rPr>
              <w:t>1</w:t>
            </w:r>
          </w:p>
        </w:tc>
        <w:tc>
          <w:tcPr>
            <w:tcW w:w="1325" w:type="dxa"/>
            <w:tcBorders>
              <w:top w:val="single" w:color="auto" w:sz="4" w:space="0"/>
              <w:left w:val="single" w:color="auto" w:sz="4" w:space="0"/>
              <w:bottom w:val="single" w:color="auto" w:sz="4" w:space="0"/>
              <w:right w:val="single" w:color="auto" w:sz="4" w:space="0"/>
            </w:tcBorders>
            <w:vAlign w:val="center"/>
          </w:tcPr>
          <w:p w14:paraId="373E5466">
            <w:pPr>
              <w:snapToGrid w:val="0"/>
              <w:spacing w:line="360" w:lineRule="auto"/>
              <w:jc w:val="center"/>
              <w:rPr>
                <w:rFonts w:hint="eastAsia" w:ascii="仿宋" w:hAnsi="仿宋" w:eastAsia="仿宋" w:cs="仿宋"/>
                <w:color w:val="auto"/>
                <w:spacing w:val="-6"/>
                <w:sz w:val="24"/>
                <w:highlight w:val="none"/>
                <w:lang w:eastAsia="zh-CN"/>
              </w:rPr>
            </w:pPr>
            <w:r>
              <w:rPr>
                <w:rFonts w:hint="eastAsia" w:ascii="仿宋" w:hAnsi="仿宋" w:eastAsia="仿宋" w:cs="仿宋"/>
                <w:color w:val="auto"/>
                <w:sz w:val="24"/>
                <w:szCs w:val="24"/>
                <w:highlight w:val="none"/>
                <w:shd w:val="clear" w:color="auto" w:fill="auto"/>
                <w:lang w:val="en-US" w:eastAsia="zh-CN"/>
              </w:rPr>
              <w:t>套</w:t>
            </w:r>
          </w:p>
        </w:tc>
        <w:tc>
          <w:tcPr>
            <w:tcW w:w="1473" w:type="dxa"/>
            <w:tcBorders>
              <w:top w:val="single" w:color="auto" w:sz="4" w:space="0"/>
              <w:left w:val="single" w:color="auto" w:sz="4" w:space="0"/>
              <w:bottom w:val="single" w:color="auto" w:sz="4" w:space="0"/>
              <w:right w:val="single" w:color="auto" w:sz="4" w:space="0"/>
            </w:tcBorders>
            <w:vAlign w:val="center"/>
          </w:tcPr>
          <w:p w14:paraId="47E7AFA6">
            <w:pPr>
              <w:snapToGrid w:val="0"/>
              <w:spacing w:line="360" w:lineRule="auto"/>
              <w:jc w:val="center"/>
              <w:rPr>
                <w:rFonts w:ascii="仿宋" w:hAnsi="仿宋" w:eastAsia="仿宋" w:cs="仿宋"/>
                <w:color w:val="auto"/>
                <w:spacing w:val="-6"/>
                <w:sz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60604FF4">
            <w:pPr>
              <w:snapToGrid w:val="0"/>
              <w:spacing w:line="360" w:lineRule="exact"/>
              <w:jc w:val="center"/>
              <w:rPr>
                <w:rFonts w:ascii="仿宋" w:hAnsi="仿宋" w:eastAsia="仿宋" w:cs="仿宋"/>
                <w:color w:val="auto"/>
                <w:spacing w:val="-6"/>
                <w:sz w:val="24"/>
                <w:highlight w:val="none"/>
              </w:rPr>
            </w:pPr>
          </w:p>
        </w:tc>
        <w:tc>
          <w:tcPr>
            <w:tcW w:w="1900" w:type="dxa"/>
            <w:tcBorders>
              <w:top w:val="single" w:color="auto" w:sz="4" w:space="0"/>
              <w:left w:val="single" w:color="auto" w:sz="4" w:space="0"/>
              <w:bottom w:val="single" w:color="auto" w:sz="4" w:space="0"/>
              <w:right w:val="single" w:color="auto" w:sz="4" w:space="0"/>
            </w:tcBorders>
            <w:vAlign w:val="center"/>
          </w:tcPr>
          <w:p w14:paraId="5FE66E7B">
            <w:pPr>
              <w:snapToGrid w:val="0"/>
              <w:spacing w:line="360" w:lineRule="exact"/>
              <w:jc w:val="center"/>
              <w:rPr>
                <w:rFonts w:ascii="仿宋" w:hAnsi="仿宋" w:eastAsia="仿宋" w:cs="仿宋"/>
                <w:color w:val="auto"/>
                <w:spacing w:val="-6"/>
                <w:sz w:val="24"/>
                <w:highlight w:val="none"/>
              </w:rPr>
            </w:pPr>
          </w:p>
        </w:tc>
        <w:tc>
          <w:tcPr>
            <w:tcW w:w="2213" w:type="dxa"/>
            <w:tcBorders>
              <w:top w:val="single" w:color="auto" w:sz="4" w:space="0"/>
              <w:left w:val="single" w:color="auto" w:sz="4" w:space="0"/>
              <w:bottom w:val="single" w:color="auto" w:sz="4" w:space="0"/>
              <w:right w:val="single" w:color="auto" w:sz="4" w:space="0"/>
            </w:tcBorders>
            <w:vAlign w:val="center"/>
          </w:tcPr>
          <w:p w14:paraId="19FC3CB5">
            <w:pPr>
              <w:snapToGrid w:val="0"/>
              <w:spacing w:line="360" w:lineRule="exact"/>
              <w:jc w:val="center"/>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lang w:val="en-US" w:eastAsia="zh-CN"/>
              </w:rPr>
              <w:t>验收合格之日起24个月</w:t>
            </w:r>
          </w:p>
        </w:tc>
      </w:tr>
      <w:tr w14:paraId="4641FE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75" w:type="dxa"/>
            <w:tcBorders>
              <w:top w:val="single" w:color="auto" w:sz="4" w:space="0"/>
              <w:left w:val="single" w:color="auto" w:sz="4" w:space="0"/>
              <w:bottom w:val="single" w:color="auto" w:sz="4" w:space="0"/>
              <w:right w:val="single" w:color="auto" w:sz="4" w:space="0"/>
            </w:tcBorders>
            <w:vAlign w:val="center"/>
          </w:tcPr>
          <w:p w14:paraId="30172CE5">
            <w:pPr>
              <w:snapToGrid w:val="0"/>
              <w:spacing w:line="360" w:lineRule="exact"/>
              <w:jc w:val="center"/>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4</w:t>
            </w:r>
          </w:p>
        </w:tc>
        <w:tc>
          <w:tcPr>
            <w:tcW w:w="3374" w:type="dxa"/>
            <w:tcBorders>
              <w:top w:val="single" w:color="auto" w:sz="4" w:space="0"/>
              <w:left w:val="single" w:color="auto" w:sz="4" w:space="0"/>
              <w:bottom w:val="single" w:color="auto" w:sz="4" w:space="0"/>
              <w:right w:val="single" w:color="auto" w:sz="4" w:space="0"/>
            </w:tcBorders>
            <w:vAlign w:val="center"/>
          </w:tcPr>
          <w:p w14:paraId="12062937">
            <w:pPr>
              <w:snapToGrid w:val="0"/>
              <w:spacing w:line="360" w:lineRule="exact"/>
              <w:jc w:val="center"/>
              <w:rPr>
                <w:rFonts w:hint="eastAsia"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现场服务</w:t>
            </w:r>
          </w:p>
        </w:tc>
        <w:tc>
          <w:tcPr>
            <w:tcW w:w="1425" w:type="dxa"/>
            <w:tcBorders>
              <w:top w:val="single" w:color="auto" w:sz="4" w:space="0"/>
              <w:left w:val="single" w:color="auto" w:sz="4" w:space="0"/>
              <w:bottom w:val="single" w:color="auto" w:sz="4" w:space="0"/>
              <w:right w:val="single" w:color="auto" w:sz="4" w:space="0"/>
            </w:tcBorders>
            <w:vAlign w:val="center"/>
          </w:tcPr>
          <w:p w14:paraId="00A61626">
            <w:pPr>
              <w:snapToGrid w:val="0"/>
              <w:spacing w:line="360" w:lineRule="auto"/>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1</w:t>
            </w:r>
          </w:p>
        </w:tc>
        <w:tc>
          <w:tcPr>
            <w:tcW w:w="1325" w:type="dxa"/>
            <w:tcBorders>
              <w:top w:val="single" w:color="auto" w:sz="4" w:space="0"/>
              <w:left w:val="single" w:color="auto" w:sz="4" w:space="0"/>
              <w:bottom w:val="single" w:color="auto" w:sz="4" w:space="0"/>
              <w:right w:val="single" w:color="auto" w:sz="4" w:space="0"/>
            </w:tcBorders>
            <w:vAlign w:val="center"/>
          </w:tcPr>
          <w:p w14:paraId="5D4E9AB9">
            <w:pPr>
              <w:snapToGrid w:val="0"/>
              <w:spacing w:line="360" w:lineRule="auto"/>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项</w:t>
            </w:r>
          </w:p>
        </w:tc>
        <w:tc>
          <w:tcPr>
            <w:tcW w:w="1473" w:type="dxa"/>
            <w:tcBorders>
              <w:top w:val="single" w:color="auto" w:sz="4" w:space="0"/>
              <w:left w:val="single" w:color="auto" w:sz="4" w:space="0"/>
              <w:bottom w:val="single" w:color="auto" w:sz="4" w:space="0"/>
              <w:right w:val="single" w:color="auto" w:sz="4" w:space="0"/>
            </w:tcBorders>
            <w:vAlign w:val="center"/>
          </w:tcPr>
          <w:p w14:paraId="03CB6B87">
            <w:pPr>
              <w:snapToGrid w:val="0"/>
              <w:spacing w:line="360" w:lineRule="auto"/>
              <w:jc w:val="center"/>
              <w:rPr>
                <w:rFonts w:ascii="仿宋" w:hAnsi="仿宋" w:eastAsia="仿宋" w:cs="仿宋"/>
                <w:color w:val="auto"/>
                <w:spacing w:val="-6"/>
                <w:sz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23BE1077">
            <w:pPr>
              <w:snapToGrid w:val="0"/>
              <w:spacing w:line="360" w:lineRule="exact"/>
              <w:jc w:val="center"/>
              <w:rPr>
                <w:rFonts w:ascii="仿宋" w:hAnsi="仿宋" w:eastAsia="仿宋" w:cs="仿宋"/>
                <w:color w:val="auto"/>
                <w:spacing w:val="-6"/>
                <w:sz w:val="24"/>
                <w:highlight w:val="none"/>
              </w:rPr>
            </w:pPr>
          </w:p>
        </w:tc>
        <w:tc>
          <w:tcPr>
            <w:tcW w:w="1900" w:type="dxa"/>
            <w:tcBorders>
              <w:top w:val="single" w:color="auto" w:sz="4" w:space="0"/>
              <w:left w:val="single" w:color="auto" w:sz="4" w:space="0"/>
              <w:bottom w:val="single" w:color="auto" w:sz="4" w:space="0"/>
              <w:right w:val="single" w:color="auto" w:sz="4" w:space="0"/>
            </w:tcBorders>
            <w:vAlign w:val="center"/>
          </w:tcPr>
          <w:p w14:paraId="2D35024A">
            <w:pPr>
              <w:snapToGrid w:val="0"/>
              <w:spacing w:line="360" w:lineRule="exact"/>
              <w:jc w:val="center"/>
              <w:rPr>
                <w:rFonts w:ascii="仿宋" w:hAnsi="仿宋" w:eastAsia="仿宋" w:cs="仿宋"/>
                <w:color w:val="auto"/>
                <w:spacing w:val="-6"/>
                <w:sz w:val="24"/>
                <w:highlight w:val="none"/>
              </w:rPr>
            </w:pPr>
          </w:p>
        </w:tc>
        <w:tc>
          <w:tcPr>
            <w:tcW w:w="2213" w:type="dxa"/>
            <w:tcBorders>
              <w:top w:val="single" w:color="auto" w:sz="4" w:space="0"/>
              <w:left w:val="single" w:color="auto" w:sz="4" w:space="0"/>
              <w:bottom w:val="single" w:color="auto" w:sz="4" w:space="0"/>
              <w:right w:val="single" w:color="auto" w:sz="4" w:space="0"/>
            </w:tcBorders>
            <w:vAlign w:val="center"/>
          </w:tcPr>
          <w:p w14:paraId="773453C9">
            <w:pPr>
              <w:snapToGrid w:val="0"/>
              <w:spacing w:line="360" w:lineRule="exact"/>
              <w:jc w:val="center"/>
              <w:rPr>
                <w:rFonts w:hint="eastAsia"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验收合格之日起24个月</w:t>
            </w:r>
          </w:p>
        </w:tc>
      </w:tr>
      <w:tr w14:paraId="3DA3C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75" w:type="dxa"/>
            <w:tcBorders>
              <w:top w:val="single" w:color="auto" w:sz="4" w:space="0"/>
              <w:left w:val="single" w:color="auto" w:sz="4" w:space="0"/>
              <w:bottom w:val="single" w:color="auto" w:sz="4" w:space="0"/>
              <w:right w:val="single" w:color="auto" w:sz="4" w:space="0"/>
            </w:tcBorders>
            <w:vAlign w:val="center"/>
          </w:tcPr>
          <w:p w14:paraId="0149EFE9">
            <w:pPr>
              <w:snapToGrid w:val="0"/>
              <w:spacing w:line="360" w:lineRule="exact"/>
              <w:jc w:val="center"/>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5</w:t>
            </w:r>
          </w:p>
        </w:tc>
        <w:tc>
          <w:tcPr>
            <w:tcW w:w="3374" w:type="dxa"/>
            <w:tcBorders>
              <w:top w:val="single" w:color="auto" w:sz="4" w:space="0"/>
              <w:left w:val="single" w:color="auto" w:sz="4" w:space="0"/>
              <w:bottom w:val="single" w:color="auto" w:sz="4" w:space="0"/>
              <w:right w:val="single" w:color="auto" w:sz="4" w:space="0"/>
            </w:tcBorders>
            <w:vAlign w:val="center"/>
          </w:tcPr>
          <w:p w14:paraId="299C08DE">
            <w:pPr>
              <w:snapToGrid w:val="0"/>
              <w:spacing w:line="360" w:lineRule="exact"/>
              <w:jc w:val="center"/>
              <w:rPr>
                <w:rFonts w:hint="eastAsia"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机器人1、2的设备配合接入服务</w:t>
            </w:r>
          </w:p>
        </w:tc>
        <w:tc>
          <w:tcPr>
            <w:tcW w:w="1425" w:type="dxa"/>
            <w:tcBorders>
              <w:top w:val="single" w:color="auto" w:sz="4" w:space="0"/>
              <w:left w:val="single" w:color="auto" w:sz="4" w:space="0"/>
              <w:bottom w:val="single" w:color="auto" w:sz="4" w:space="0"/>
              <w:right w:val="single" w:color="auto" w:sz="4" w:space="0"/>
            </w:tcBorders>
            <w:vAlign w:val="center"/>
          </w:tcPr>
          <w:p w14:paraId="607B295A">
            <w:pPr>
              <w:snapToGrid w:val="0"/>
              <w:spacing w:line="360" w:lineRule="auto"/>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1</w:t>
            </w:r>
          </w:p>
        </w:tc>
        <w:tc>
          <w:tcPr>
            <w:tcW w:w="1325" w:type="dxa"/>
            <w:tcBorders>
              <w:top w:val="single" w:color="auto" w:sz="4" w:space="0"/>
              <w:left w:val="single" w:color="auto" w:sz="4" w:space="0"/>
              <w:bottom w:val="single" w:color="auto" w:sz="4" w:space="0"/>
              <w:right w:val="single" w:color="auto" w:sz="4" w:space="0"/>
            </w:tcBorders>
            <w:vAlign w:val="center"/>
          </w:tcPr>
          <w:p w14:paraId="451CCE90">
            <w:pPr>
              <w:snapToGrid w:val="0"/>
              <w:spacing w:line="360" w:lineRule="auto"/>
              <w:jc w:val="center"/>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项</w:t>
            </w:r>
          </w:p>
        </w:tc>
        <w:tc>
          <w:tcPr>
            <w:tcW w:w="1473" w:type="dxa"/>
            <w:tcBorders>
              <w:top w:val="single" w:color="auto" w:sz="4" w:space="0"/>
              <w:left w:val="single" w:color="auto" w:sz="4" w:space="0"/>
              <w:bottom w:val="single" w:color="auto" w:sz="4" w:space="0"/>
              <w:right w:val="single" w:color="auto" w:sz="4" w:space="0"/>
            </w:tcBorders>
            <w:vAlign w:val="center"/>
          </w:tcPr>
          <w:p w14:paraId="3E4E3DC0">
            <w:pPr>
              <w:snapToGrid w:val="0"/>
              <w:spacing w:line="360" w:lineRule="auto"/>
              <w:jc w:val="center"/>
              <w:rPr>
                <w:rFonts w:hint="default" w:ascii="仿宋" w:hAnsi="仿宋" w:eastAsia="仿宋" w:cs="仿宋"/>
                <w:color w:val="auto"/>
                <w:spacing w:val="-6"/>
                <w:sz w:val="24"/>
                <w:highlight w:val="none"/>
                <w:lang w:val="en-US" w:eastAsia="zh-CN"/>
              </w:rPr>
            </w:pPr>
            <w:r>
              <w:rPr>
                <w:rFonts w:hint="eastAsia" w:ascii="仿宋" w:hAnsi="仿宋" w:eastAsia="仿宋" w:cs="仿宋"/>
                <w:color w:val="auto"/>
                <w:spacing w:val="-6"/>
                <w:sz w:val="24"/>
                <w:highlight w:val="none"/>
                <w:lang w:val="en-US" w:eastAsia="zh-CN"/>
              </w:rPr>
              <w:t xml:space="preserve">  元/项</w:t>
            </w:r>
          </w:p>
        </w:tc>
        <w:tc>
          <w:tcPr>
            <w:tcW w:w="1402" w:type="dxa"/>
            <w:tcBorders>
              <w:top w:val="single" w:color="auto" w:sz="4" w:space="0"/>
              <w:left w:val="single" w:color="auto" w:sz="4" w:space="0"/>
              <w:bottom w:val="single" w:color="auto" w:sz="4" w:space="0"/>
              <w:right w:val="single" w:color="auto" w:sz="4" w:space="0"/>
            </w:tcBorders>
            <w:vAlign w:val="center"/>
          </w:tcPr>
          <w:p w14:paraId="3816DA98">
            <w:pPr>
              <w:snapToGrid w:val="0"/>
              <w:spacing w:line="360" w:lineRule="exact"/>
              <w:jc w:val="center"/>
              <w:rPr>
                <w:rFonts w:ascii="仿宋" w:hAnsi="仿宋" w:eastAsia="仿宋" w:cs="仿宋"/>
                <w:color w:val="auto"/>
                <w:spacing w:val="-6"/>
                <w:sz w:val="24"/>
                <w:highlight w:val="none"/>
              </w:rPr>
            </w:pPr>
          </w:p>
        </w:tc>
        <w:tc>
          <w:tcPr>
            <w:tcW w:w="1900" w:type="dxa"/>
            <w:tcBorders>
              <w:top w:val="single" w:color="auto" w:sz="4" w:space="0"/>
              <w:left w:val="single" w:color="auto" w:sz="4" w:space="0"/>
              <w:bottom w:val="single" w:color="auto" w:sz="4" w:space="0"/>
              <w:right w:val="single" w:color="auto" w:sz="4" w:space="0"/>
            </w:tcBorders>
            <w:vAlign w:val="center"/>
          </w:tcPr>
          <w:p w14:paraId="332D07AE">
            <w:pPr>
              <w:snapToGrid w:val="0"/>
              <w:spacing w:line="360" w:lineRule="exact"/>
              <w:jc w:val="center"/>
              <w:rPr>
                <w:rFonts w:ascii="仿宋" w:hAnsi="仿宋" w:eastAsia="仿宋" w:cs="仿宋"/>
                <w:color w:val="auto"/>
                <w:spacing w:val="-6"/>
                <w:sz w:val="24"/>
                <w:highlight w:val="none"/>
              </w:rPr>
            </w:pPr>
          </w:p>
        </w:tc>
        <w:tc>
          <w:tcPr>
            <w:tcW w:w="2213" w:type="dxa"/>
            <w:tcBorders>
              <w:top w:val="single" w:color="auto" w:sz="4" w:space="0"/>
              <w:left w:val="single" w:color="auto" w:sz="4" w:space="0"/>
              <w:bottom w:val="single" w:color="auto" w:sz="4" w:space="0"/>
              <w:right w:val="single" w:color="auto" w:sz="4" w:space="0"/>
            </w:tcBorders>
            <w:vAlign w:val="center"/>
          </w:tcPr>
          <w:p w14:paraId="2C89423E">
            <w:pPr>
              <w:snapToGrid w:val="0"/>
              <w:spacing w:line="360" w:lineRule="exact"/>
              <w:jc w:val="center"/>
              <w:rPr>
                <w:rFonts w:hint="eastAsia" w:ascii="仿宋" w:hAnsi="仿宋" w:eastAsia="仿宋" w:cs="仿宋"/>
                <w:color w:val="auto"/>
                <w:spacing w:val="-6"/>
                <w:sz w:val="24"/>
                <w:highlight w:val="none"/>
                <w:lang w:val="en-US" w:eastAsia="zh-CN"/>
              </w:rPr>
            </w:pPr>
          </w:p>
        </w:tc>
      </w:tr>
      <w:tr w14:paraId="0A619E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14587" w:type="dxa"/>
            <w:gridSpan w:val="8"/>
            <w:tcBorders>
              <w:top w:val="single" w:color="auto" w:sz="4" w:space="0"/>
              <w:left w:val="single" w:color="auto" w:sz="4" w:space="0"/>
              <w:bottom w:val="single" w:color="auto" w:sz="4" w:space="0"/>
              <w:right w:val="single" w:color="auto" w:sz="4" w:space="0"/>
            </w:tcBorders>
          </w:tcPr>
          <w:p w14:paraId="1B592FE5">
            <w:pPr>
              <w:snapToGrid w:val="0"/>
              <w:spacing w:line="276" w:lineRule="auto"/>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投标总价合计（小写）人民币</w:t>
            </w:r>
            <w:r>
              <w:rPr>
                <w:rFonts w:hint="eastAsia" w:ascii="仿宋" w:hAnsi="仿宋" w:eastAsia="仿宋" w:cs="仿宋"/>
                <w:color w:val="auto"/>
                <w:kern w:val="0"/>
                <w:sz w:val="24"/>
                <w:highlight w:val="none"/>
                <w:lang w:eastAsia="zh-CN"/>
              </w:rPr>
              <w:t>：</w:t>
            </w:r>
          </w:p>
        </w:tc>
      </w:tr>
      <w:tr w14:paraId="21B62E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4587" w:type="dxa"/>
            <w:gridSpan w:val="8"/>
            <w:tcBorders>
              <w:top w:val="single" w:color="auto" w:sz="4" w:space="0"/>
              <w:left w:val="single" w:color="auto" w:sz="4" w:space="0"/>
              <w:bottom w:val="single" w:color="auto" w:sz="4" w:space="0"/>
              <w:right w:val="single" w:color="auto" w:sz="4" w:space="0"/>
            </w:tcBorders>
          </w:tcPr>
          <w:p w14:paraId="19E00CDF">
            <w:pPr>
              <w:snapToGrid w:val="0"/>
              <w:spacing w:line="276" w:lineRule="auto"/>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投标总价合计（大写）人民币</w:t>
            </w:r>
            <w:r>
              <w:rPr>
                <w:rFonts w:hint="eastAsia" w:ascii="仿宋" w:hAnsi="仿宋" w:eastAsia="仿宋" w:cs="仿宋"/>
                <w:color w:val="auto"/>
                <w:kern w:val="0"/>
                <w:sz w:val="24"/>
                <w:highlight w:val="none"/>
                <w:lang w:eastAsia="zh-CN"/>
              </w:rPr>
              <w:t>：</w:t>
            </w:r>
          </w:p>
        </w:tc>
      </w:tr>
    </w:tbl>
    <w:p w14:paraId="6C5918FA">
      <w:pPr>
        <w:pStyle w:val="74"/>
        <w:rPr>
          <w:rFonts w:ascii="仿宋" w:hAnsi="仿宋" w:eastAsia="仿宋" w:cs="仿宋"/>
          <w:color w:val="auto"/>
          <w:highlight w:val="none"/>
        </w:rPr>
      </w:pPr>
    </w:p>
    <w:p w14:paraId="4882FF74">
      <w:pPr>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注：</w:t>
      </w:r>
    </w:p>
    <w:p w14:paraId="558C82FB">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1、供应商需按本表格式填写，不得自行更改。</w:t>
      </w:r>
    </w:p>
    <w:p w14:paraId="45C05D7A">
      <w:pPr>
        <w:spacing w:line="360" w:lineRule="auto"/>
        <w:ind w:firstLine="480" w:firstLineChars="200"/>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有关本项目实施所涉及的一切费用均计入报价。</w:t>
      </w:r>
      <w:r>
        <w:rPr>
          <w:rFonts w:hint="eastAsia" w:ascii="仿宋" w:hAnsi="仿宋" w:eastAsia="仿宋" w:cs="仿宋"/>
          <w:color w:val="auto"/>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z w:val="24"/>
          <w:highlight w:val="none"/>
        </w:rPr>
        <w:t>总价</w:t>
      </w:r>
      <w:r>
        <w:rPr>
          <w:rFonts w:hint="eastAsia" w:ascii="仿宋" w:hAnsi="仿宋" w:eastAsia="仿宋" w:cs="仿宋"/>
          <w:color w:val="auto"/>
          <w:sz w:val="24"/>
          <w:highlight w:val="none"/>
          <w:lang w:eastAsia="zh-CN"/>
        </w:rPr>
        <w:t>不为零</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部分</w:t>
      </w:r>
      <w:r>
        <w:rPr>
          <w:rFonts w:hint="eastAsia" w:ascii="仿宋" w:hAnsi="仿宋" w:eastAsia="仿宋" w:cs="仿宋"/>
          <w:color w:val="auto"/>
          <w:sz w:val="24"/>
          <w:highlight w:val="none"/>
        </w:rPr>
        <w:t>产品、服务单价为零的，视作已包含在总价中</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lang w:val="zh-CN"/>
        </w:rPr>
        <w:t>采购内容未包含在《最后报价一览表》名称栏中，供应商不能作出合理解释的，</w:t>
      </w:r>
      <w:r>
        <w:rPr>
          <w:rFonts w:hint="eastAsia" w:ascii="仿宋" w:hAnsi="仿宋" w:eastAsia="仿宋" w:cs="仿宋"/>
          <w:b/>
          <w:bCs/>
          <w:color w:val="auto"/>
          <w:sz w:val="24"/>
          <w:highlight w:val="none"/>
        </w:rPr>
        <w:t>视为响应文件含有采购人不能接受的附加条件的，响应无效。</w:t>
      </w:r>
    </w:p>
    <w:p w14:paraId="556B4B73">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、特别提示：采购代理机构将对项目名称和项目编号，成交供应商名称、地址和成交金额，主要成交标的的名称、规格型号、数量、单价、服务要求等予以公示。</w:t>
      </w:r>
    </w:p>
    <w:p w14:paraId="71E141ED">
      <w:pPr>
        <w:pStyle w:val="3"/>
        <w:numPr>
          <w:ilvl w:val="0"/>
          <w:numId w:val="0"/>
        </w:numPr>
        <w:ind w:left="432"/>
        <w:rPr>
          <w:rFonts w:ascii="仿宋" w:eastAsia="仿宋" w:cs="仿宋"/>
          <w:color w:val="auto"/>
          <w:highlight w:val="none"/>
          <w:lang w:val="en-US"/>
        </w:rPr>
      </w:pPr>
    </w:p>
    <w:p w14:paraId="794FC288">
      <w:pPr>
        <w:rPr>
          <w:rFonts w:ascii="仿宋" w:hAnsi="仿宋" w:eastAsia="仿宋" w:cs="仿宋"/>
          <w:b/>
          <w:color w:val="auto"/>
          <w:kern w:val="0"/>
          <w:sz w:val="24"/>
          <w:highlight w:val="none"/>
        </w:rPr>
      </w:pPr>
    </w:p>
    <w:p w14:paraId="0972F5E3">
      <w:pPr>
        <w:pStyle w:val="117"/>
        <w:keepNext w:val="0"/>
        <w:pageBreakBefore w:val="0"/>
        <w:tabs>
          <w:tab w:val="clear" w:pos="720"/>
        </w:tabs>
        <w:ind w:firstLine="640"/>
        <w:outlineLvl w:val="9"/>
        <w:rPr>
          <w:rFonts w:ascii="仿宋" w:hAnsi="仿宋" w:eastAsia="仿宋" w:cs="仿宋"/>
          <w:color w:val="auto"/>
          <w:kern w:val="2"/>
          <w:sz w:val="32"/>
          <w:szCs w:val="32"/>
          <w:highlight w:val="none"/>
        </w:rPr>
        <w:sectPr>
          <w:headerReference r:id="rId8" w:type="first"/>
          <w:footerReference r:id="rId11" w:type="first"/>
          <w:headerReference r:id="rId7" w:type="default"/>
          <w:footerReference r:id="rId9" w:type="default"/>
          <w:footerReference r:id="rId10" w:type="even"/>
          <w:pgSz w:w="16838" w:h="11906" w:orient="landscape"/>
          <w:pgMar w:top="1418" w:right="777" w:bottom="1418" w:left="471" w:header="851" w:footer="992" w:gutter="0"/>
          <w:cols w:space="720" w:num="1"/>
          <w:titlePg/>
          <w:docGrid w:linePitch="312" w:charSpace="0"/>
        </w:sectPr>
      </w:pPr>
    </w:p>
    <w:p w14:paraId="70DF9649">
      <w:pPr>
        <w:spacing w:line="360" w:lineRule="auto"/>
        <w:jc w:val="left"/>
        <w:rPr>
          <w:rFonts w:ascii="仿宋" w:hAnsi="仿宋" w:eastAsia="仿宋" w:cs="仿宋"/>
          <w:b/>
          <w:color w:val="auto"/>
          <w:spacing w:val="6"/>
          <w:sz w:val="32"/>
          <w:szCs w:val="32"/>
          <w:highlight w:val="none"/>
        </w:rPr>
      </w:pPr>
    </w:p>
    <w:p w14:paraId="143E53A8">
      <w:pPr>
        <w:spacing w:line="360"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60BE5FA2">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4616099">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748EACB">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6572D9F3">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14:paraId="6AC3C493">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4F2A5487">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08CF8471">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p w14:paraId="12CBD0E2">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 邮编：</w:t>
      </w:r>
    </w:p>
    <w:p w14:paraId="669634AD">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4379F254">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5129F5EE">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3237197A">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07670A0C">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71C411B9">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2BF40D9">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14:paraId="3465573A">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235C456C">
      <w:pPr>
        <w:snapToGrid w:val="0"/>
        <w:spacing w:line="360" w:lineRule="auto"/>
        <w:rPr>
          <w:rFonts w:ascii="仿宋" w:hAnsi="仿宋" w:eastAsia="仿宋" w:cs="仿宋"/>
          <w:color w:val="auto"/>
          <w:sz w:val="24"/>
          <w:highlight w:val="none"/>
        </w:rPr>
      </w:pPr>
    </w:p>
    <w:p w14:paraId="7555482F">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19F05EC0">
      <w:pPr>
        <w:snapToGrid w:val="0"/>
        <w:spacing w:line="360" w:lineRule="auto"/>
        <w:rPr>
          <w:rFonts w:ascii="仿宋" w:hAnsi="仿宋" w:eastAsia="仿宋" w:cs="仿宋"/>
          <w:color w:val="auto"/>
          <w:sz w:val="24"/>
          <w:highlight w:val="none"/>
          <w:u w:val="dotted"/>
        </w:rPr>
      </w:pPr>
    </w:p>
    <w:p w14:paraId="75595340">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E95AC20">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7F776422">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148496A">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586A58D3">
      <w:pPr>
        <w:spacing w:line="360" w:lineRule="auto"/>
        <w:rPr>
          <w:rFonts w:ascii="仿宋" w:hAnsi="仿宋" w:eastAsia="仿宋" w:cs="仿宋"/>
          <w:color w:val="auto"/>
          <w:sz w:val="24"/>
          <w:highlight w:val="none"/>
        </w:rPr>
      </w:pPr>
    </w:p>
    <w:p w14:paraId="10F63A2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6C034AD">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03DB51C">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45B3A4BA">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67B328EF">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0E3DF7F">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0C19C09D">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64CE65DB">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693324AF">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1D1044BE">
      <w:pPr>
        <w:widowControl/>
        <w:spacing w:line="360" w:lineRule="auto"/>
        <w:ind w:firstLine="600" w:firstLineChars="200"/>
        <w:jc w:val="left"/>
        <w:rPr>
          <w:rFonts w:ascii="仿宋" w:hAnsi="仿宋" w:eastAsia="仿宋" w:cs="仿宋"/>
          <w:color w:val="auto"/>
          <w:sz w:val="30"/>
          <w:szCs w:val="30"/>
          <w:highlight w:val="none"/>
        </w:rPr>
      </w:pPr>
    </w:p>
    <w:p w14:paraId="4AFA3A9C">
      <w:pPr>
        <w:spacing w:line="360"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32"/>
          <w:szCs w:val="32"/>
          <w:highlight w:val="none"/>
        </w:rPr>
        <w:t>附件2：投诉书范本及制作说明</w:t>
      </w:r>
    </w:p>
    <w:p w14:paraId="201BEFA8">
      <w:pPr>
        <w:spacing w:line="360" w:lineRule="auto"/>
        <w:jc w:val="center"/>
        <w:rPr>
          <w:rFonts w:ascii="仿宋" w:hAnsi="仿宋" w:eastAsia="仿宋" w:cs="仿宋"/>
          <w:b/>
          <w:color w:val="auto"/>
          <w:sz w:val="24"/>
          <w:highlight w:val="none"/>
        </w:rPr>
      </w:pPr>
    </w:p>
    <w:p w14:paraId="7C31F69D">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674D90DB">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574BAC94">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14:paraId="0B4D905E">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46425CFC">
      <w:pPr>
        <w:tabs>
          <w:tab w:val="left" w:pos="6510"/>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14:paraId="701FB162">
      <w:pPr>
        <w:tabs>
          <w:tab w:val="left" w:pos="6510"/>
        </w:tabs>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14:paraId="01C1FF66">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 xml:space="preserve">：                  </w:t>
      </w:r>
    </w:p>
    <w:p w14:paraId="64A89471">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址：邮编：</w:t>
      </w:r>
    </w:p>
    <w:p w14:paraId="172990DD">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14:paraId="1887912C">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2D38BA2F">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0E01F5D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021FC5F0">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C41649F">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14:paraId="33F1013B">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79C10739">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762AA1A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090BC64">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14:paraId="5ED97B4E">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14:paraId="362DBBF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01B68313">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14:paraId="6105F1CC">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74F27B5B">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0887730D">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8C5141B">
      <w:pPr>
        <w:spacing w:line="360" w:lineRule="auto"/>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14:paraId="4C2DEDAE">
      <w:pPr>
        <w:spacing w:line="360" w:lineRule="auto"/>
        <w:rPr>
          <w:rFonts w:ascii="仿宋" w:hAnsi="仿宋" w:eastAsia="仿宋" w:cs="仿宋"/>
          <w:color w:val="auto"/>
          <w:sz w:val="24"/>
          <w:highlight w:val="none"/>
          <w:u w:val="dotted"/>
        </w:rPr>
      </w:pPr>
    </w:p>
    <w:p w14:paraId="0B299C4A">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于年月日,就质疑事项作出了答复/没有在法定期限内作出答复。</w:t>
      </w:r>
    </w:p>
    <w:p w14:paraId="7028375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274134F">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p>
    <w:p w14:paraId="03B5A22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p>
    <w:p w14:paraId="4EE9EFF3">
      <w:pPr>
        <w:spacing w:line="360" w:lineRule="auto"/>
        <w:rPr>
          <w:rFonts w:ascii="仿宋" w:hAnsi="仿宋" w:eastAsia="仿宋" w:cs="仿宋"/>
          <w:color w:val="auto"/>
          <w:sz w:val="24"/>
          <w:highlight w:val="none"/>
          <w:u w:val="dotted"/>
        </w:rPr>
      </w:pPr>
    </w:p>
    <w:p w14:paraId="6296EAEE">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14:paraId="53E29889">
      <w:pPr>
        <w:spacing w:line="360" w:lineRule="auto"/>
        <w:rPr>
          <w:rFonts w:ascii="仿宋" w:hAnsi="仿宋" w:eastAsia="仿宋" w:cs="仿宋"/>
          <w:color w:val="auto"/>
          <w:sz w:val="24"/>
          <w:highlight w:val="none"/>
          <w:u w:val="dotted"/>
        </w:rPr>
      </w:pPr>
    </w:p>
    <w:p w14:paraId="1AA25790">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08539C95">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AD91593">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2074AD4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请求：</w:t>
      </w:r>
    </w:p>
    <w:p w14:paraId="6321A4DA">
      <w:pPr>
        <w:spacing w:line="360" w:lineRule="auto"/>
        <w:rPr>
          <w:rFonts w:ascii="仿宋" w:hAnsi="仿宋" w:eastAsia="仿宋" w:cs="仿宋"/>
          <w:color w:val="auto"/>
          <w:sz w:val="24"/>
          <w:highlight w:val="none"/>
          <w:u w:val="single"/>
        </w:rPr>
      </w:pPr>
    </w:p>
    <w:p w14:paraId="6AC70F56">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79FA1A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7E8D13F">
      <w:pPr>
        <w:spacing w:line="360" w:lineRule="auto"/>
        <w:rPr>
          <w:rFonts w:ascii="仿宋" w:hAnsi="仿宋" w:eastAsia="仿宋" w:cs="仿宋"/>
          <w:b/>
          <w:color w:val="auto"/>
          <w:sz w:val="24"/>
          <w:highlight w:val="none"/>
        </w:rPr>
      </w:pPr>
    </w:p>
    <w:p w14:paraId="79F87894">
      <w:pPr>
        <w:spacing w:line="360" w:lineRule="auto"/>
        <w:rPr>
          <w:rFonts w:ascii="仿宋" w:hAnsi="仿宋" w:eastAsia="仿宋" w:cs="仿宋"/>
          <w:b/>
          <w:color w:val="auto"/>
          <w:sz w:val="24"/>
          <w:highlight w:val="none"/>
        </w:rPr>
      </w:pPr>
    </w:p>
    <w:p w14:paraId="28BF9F7A">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6340C0AB">
      <w:pPr>
        <w:widowControl/>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8F0687A">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2943C7E7">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6BC6FCAC">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3CB41153">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3567D70D">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7CA7982C">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D784109">
      <w:pPr>
        <w:rPr>
          <w:rFonts w:ascii="仿宋" w:hAnsi="仿宋" w:eastAsia="仿宋" w:cs="仿宋"/>
          <w:b/>
          <w:color w:val="auto"/>
          <w:sz w:val="24"/>
          <w:highlight w:val="none"/>
        </w:rPr>
      </w:pPr>
    </w:p>
    <w:p w14:paraId="54F190E7">
      <w:pPr>
        <w:widowControl/>
        <w:adjustRightInd/>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06BB0874">
      <w:pPr>
        <w:spacing w:line="360" w:lineRule="auto"/>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附件3：</w:t>
      </w:r>
    </w:p>
    <w:p w14:paraId="66647358">
      <w:pPr>
        <w:spacing w:line="360" w:lineRule="auto"/>
        <w:rPr>
          <w:rFonts w:ascii="仿宋" w:hAnsi="仿宋" w:eastAsia="仿宋" w:cs="仿宋"/>
          <w:b/>
          <w:color w:val="auto"/>
          <w:spacing w:val="6"/>
          <w:sz w:val="32"/>
          <w:szCs w:val="32"/>
          <w:highlight w:val="none"/>
        </w:rPr>
      </w:pPr>
    </w:p>
    <w:p w14:paraId="7F61784F">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p w14:paraId="4B5E7AD8">
      <w:pPr>
        <w:spacing w:line="360" w:lineRule="auto"/>
        <w:rPr>
          <w:rFonts w:ascii="仿宋" w:hAnsi="仿宋" w:eastAsia="仿宋" w:cs="仿宋"/>
          <w:b/>
          <w:color w:val="auto"/>
          <w:spacing w:val="6"/>
          <w:sz w:val="30"/>
          <w:szCs w:val="30"/>
          <w:highlight w:val="none"/>
        </w:rPr>
      </w:pPr>
    </w:p>
    <w:p w14:paraId="472357B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杭州市公安局滨江区分局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lang w:eastAsia="zh-CN"/>
        </w:rPr>
        <w:t>杭州市公安局滨江区分局采购人型机器人服务项目</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32BF053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33CF168F">
      <w:pPr>
        <w:spacing w:line="360" w:lineRule="auto"/>
        <w:ind w:firstLine="480" w:firstLineChars="200"/>
        <w:rPr>
          <w:rFonts w:ascii="仿宋" w:hAnsi="仿宋" w:eastAsia="仿宋" w:cs="仿宋"/>
          <w:color w:val="auto"/>
          <w:sz w:val="24"/>
          <w:highlight w:val="none"/>
        </w:rPr>
      </w:pPr>
    </w:p>
    <w:p w14:paraId="7BDB1B2E">
      <w:pPr>
        <w:spacing w:line="360" w:lineRule="auto"/>
        <w:ind w:firstLine="480" w:firstLineChars="200"/>
        <w:rPr>
          <w:rFonts w:ascii="仿宋" w:hAnsi="仿宋" w:eastAsia="仿宋" w:cs="仿宋"/>
          <w:color w:val="auto"/>
          <w:sz w:val="24"/>
          <w:highlight w:val="none"/>
        </w:rPr>
      </w:pPr>
    </w:p>
    <w:p w14:paraId="050752B8">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单位名称（</w:t>
      </w:r>
      <w:r>
        <w:rPr>
          <w:rFonts w:hint="eastAsia" w:ascii="仿宋" w:hAnsi="仿宋" w:eastAsia="仿宋" w:cs="仿宋"/>
          <w:color w:val="auto"/>
          <w:kern w:val="0"/>
          <w:sz w:val="24"/>
          <w:highlight w:val="none"/>
        </w:rPr>
        <w:t>电子签名</w:t>
      </w:r>
      <w:r>
        <w:rPr>
          <w:rFonts w:hint="eastAsia" w:ascii="仿宋" w:hAnsi="仿宋" w:eastAsia="仿宋" w:cs="仿宋"/>
          <w:color w:val="auto"/>
          <w:sz w:val="24"/>
          <w:highlight w:val="none"/>
        </w:rPr>
        <w:t>）：</w:t>
      </w:r>
    </w:p>
    <w:p w14:paraId="7F7D3197">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030A291A">
      <w:pPr>
        <w:spacing w:line="360" w:lineRule="auto"/>
        <w:ind w:firstLine="480" w:firstLineChars="200"/>
        <w:rPr>
          <w:rFonts w:ascii="仿宋" w:hAnsi="仿宋" w:eastAsia="仿宋" w:cs="仿宋"/>
          <w:color w:val="auto"/>
          <w:sz w:val="24"/>
          <w:highlight w:val="none"/>
        </w:rPr>
      </w:pPr>
    </w:p>
    <w:p w14:paraId="4B659AC8">
      <w:pPr>
        <w:widowControl/>
        <w:adjustRightInd/>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7FEEA0C9">
      <w:pPr>
        <w:autoSpaceDE w:val="0"/>
        <w:autoSpaceDN w:val="0"/>
        <w:jc w:val="left"/>
        <w:rPr>
          <w:rFonts w:ascii="仿宋" w:hAnsi="仿宋" w:eastAsia="仿宋" w:cs="仿宋"/>
          <w:b/>
          <w:color w:val="auto"/>
          <w:sz w:val="24"/>
          <w:highlight w:val="none"/>
        </w:rPr>
      </w:pPr>
      <w:r>
        <w:rPr>
          <w:rFonts w:hint="eastAsia" w:ascii="仿宋" w:hAnsi="仿宋" w:eastAsia="仿宋" w:cs="仿宋"/>
          <w:b/>
          <w:color w:val="auto"/>
          <w:sz w:val="32"/>
          <w:szCs w:val="32"/>
          <w:highlight w:val="none"/>
        </w:rPr>
        <w:t>附件4：</w:t>
      </w:r>
    </w:p>
    <w:p w14:paraId="4EF89B86">
      <w:pPr>
        <w:spacing w:line="360" w:lineRule="auto"/>
        <w:jc w:val="left"/>
        <w:rPr>
          <w:rFonts w:ascii="仿宋" w:hAnsi="仿宋" w:eastAsia="仿宋" w:cs="仿宋"/>
          <w:b/>
          <w:color w:val="auto"/>
          <w:sz w:val="24"/>
          <w:highlight w:val="none"/>
        </w:rPr>
      </w:pPr>
    </w:p>
    <w:p w14:paraId="53DA44A8">
      <w:pPr>
        <w:autoSpaceDE w:val="0"/>
        <w:autoSpaceDN w:val="0"/>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业务专用章使用说明函</w:t>
      </w:r>
    </w:p>
    <w:p w14:paraId="661867B2">
      <w:pPr>
        <w:autoSpaceDE w:val="0"/>
        <w:autoSpaceDN w:val="0"/>
        <w:jc w:val="center"/>
        <w:rPr>
          <w:rFonts w:ascii="仿宋" w:hAnsi="仿宋" w:eastAsia="仿宋" w:cs="仿宋"/>
          <w:b/>
          <w:bCs/>
          <w:color w:val="auto"/>
          <w:sz w:val="32"/>
          <w:szCs w:val="32"/>
          <w:highlight w:val="none"/>
        </w:rPr>
      </w:pPr>
    </w:p>
    <w:p w14:paraId="151B4DCD">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杭州市公安局滨江区分局、浙江信达咨询监理有限公司：</w:t>
      </w:r>
    </w:p>
    <w:p w14:paraId="6FF7627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贵方组织的</w:t>
      </w:r>
      <w:r>
        <w:rPr>
          <w:rFonts w:hint="eastAsia" w:ascii="仿宋" w:hAnsi="仿宋" w:eastAsia="仿宋" w:cs="仿宋"/>
          <w:color w:val="auto"/>
          <w:sz w:val="24"/>
          <w:highlight w:val="none"/>
          <w:lang w:eastAsia="zh-CN"/>
        </w:rPr>
        <w:t>杭州市公安局滨江区分局采购人型机器人服务项目</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BJFJ-2025-01（1）</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采购活动中作如下说明：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3B0DD97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14:paraId="12383248">
      <w:pPr>
        <w:spacing w:line="360" w:lineRule="auto"/>
        <w:ind w:firstLine="494"/>
        <w:rPr>
          <w:rFonts w:ascii="仿宋" w:hAnsi="仿宋" w:eastAsia="仿宋" w:cs="仿宋"/>
          <w:color w:val="auto"/>
          <w:sz w:val="24"/>
          <w:highlight w:val="none"/>
        </w:rPr>
      </w:pPr>
    </w:p>
    <w:p w14:paraId="5103E7EF">
      <w:pPr>
        <w:spacing w:line="360" w:lineRule="auto"/>
        <w:ind w:firstLine="494"/>
        <w:rPr>
          <w:rFonts w:ascii="仿宋" w:hAnsi="仿宋" w:eastAsia="仿宋" w:cs="仿宋"/>
          <w:color w:val="auto"/>
          <w:sz w:val="24"/>
          <w:highlight w:val="none"/>
        </w:rPr>
      </w:pPr>
    </w:p>
    <w:p w14:paraId="03E72A02">
      <w:pPr>
        <w:spacing w:line="360" w:lineRule="auto"/>
        <w:ind w:firstLine="494"/>
        <w:rPr>
          <w:rFonts w:ascii="仿宋" w:hAnsi="仿宋" w:eastAsia="仿宋" w:cs="仿宋"/>
          <w:color w:val="auto"/>
          <w:sz w:val="24"/>
          <w:highlight w:val="none"/>
        </w:rPr>
      </w:pPr>
    </w:p>
    <w:p w14:paraId="4E4A0720">
      <w:pPr>
        <w:spacing w:line="360" w:lineRule="auto"/>
        <w:ind w:firstLine="494"/>
        <w:rPr>
          <w:rFonts w:ascii="仿宋" w:hAnsi="仿宋" w:eastAsia="仿宋" w:cs="仿宋"/>
          <w:color w:val="auto"/>
          <w:sz w:val="24"/>
          <w:highlight w:val="none"/>
        </w:rPr>
      </w:pPr>
    </w:p>
    <w:p w14:paraId="1214925B">
      <w:pPr>
        <w:spacing w:line="360" w:lineRule="auto"/>
        <w:ind w:right="482"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供应商（法定名称章）：</w:t>
      </w:r>
    </w:p>
    <w:p w14:paraId="290D3047">
      <w:pPr>
        <w:spacing w:line="360" w:lineRule="auto"/>
        <w:ind w:right="482"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1110D49B">
      <w:pPr>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14:paraId="07CFA524">
      <w:pPr>
        <w:spacing w:line="360" w:lineRule="auto"/>
        <w:rPr>
          <w:rFonts w:ascii="仿宋" w:hAnsi="仿宋" w:eastAsia="仿宋" w:cs="仿宋"/>
          <w:bCs/>
          <w:color w:val="auto"/>
          <w:sz w:val="24"/>
          <w:highlight w:val="none"/>
        </w:rPr>
      </w:pPr>
      <w:r>
        <w:rPr>
          <w:rFonts w:ascii="仿宋" w:hAnsi="仿宋" w:eastAsia="仿宋" w:cs="仿宋"/>
          <w:color w:val="auto"/>
          <w:highlight w:val="none"/>
        </w:rPr>
        <mc:AlternateContent>
          <mc:Choice Requires="wps">
            <w:drawing>
              <wp:anchor distT="0" distB="0" distL="114300" distR="114300" simplePos="0" relativeHeight="251662336"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4144;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ascii="仿宋" w:hAnsi="仿宋" w:eastAsia="仿宋" w:cs="仿宋"/>
          <w:color w:val="auto"/>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Mq0s6DcCAAB+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0P&#10;lab0yPfkWOf8GsoDuYfQjS1dWlrUgF84a2hkCx4+bwUqzswbRx2YDIbDdsZTMBxd5RTgZWZ9mRFO&#10;ElTBI2fdchG7e7H1qDc1nTRIih3cUNcqnfxs+XWsqA9tQGOZOnK8Qu3cX8ap6s9vY/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KtLOg3AgAAfgQAAA4AAAAAAAAAAQAgAAAAJwEAAGRycy9l&#10;Mm9Eb2MueG1sUEsFBgAAAAAGAAYAWQEAANA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供应商法定名称章（印模）                供应商“XX专用章”（印模）</w:t>
      </w:r>
    </w:p>
    <w:p w14:paraId="4F38E843">
      <w:pPr>
        <w:widowControl/>
        <w:spacing w:line="360" w:lineRule="auto"/>
        <w:ind w:firstLine="480" w:firstLineChars="200"/>
        <w:jc w:val="left"/>
        <w:rPr>
          <w:rFonts w:ascii="仿宋" w:hAnsi="仿宋" w:eastAsia="仿宋" w:cs="仿宋"/>
          <w:color w:val="auto"/>
          <w:kern w:val="0"/>
          <w:sz w:val="24"/>
          <w:highlight w:val="none"/>
        </w:rPr>
      </w:pPr>
    </w:p>
    <w:p w14:paraId="23E2DDC2">
      <w:pPr>
        <w:snapToGrid w:val="0"/>
        <w:spacing w:line="360" w:lineRule="auto"/>
        <w:jc w:val="center"/>
        <w:rPr>
          <w:rFonts w:ascii="仿宋" w:hAnsi="仿宋" w:eastAsia="仿宋" w:cs="仿宋"/>
          <w:b/>
          <w:color w:val="auto"/>
          <w:sz w:val="24"/>
          <w:highlight w:val="none"/>
        </w:rPr>
      </w:pPr>
    </w:p>
    <w:p w14:paraId="108879F4">
      <w:pPr>
        <w:widowControl/>
        <w:adjustRightInd/>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69E40836">
      <w:pPr>
        <w:autoSpaceDE w:val="0"/>
        <w:autoSpaceDN w:val="0"/>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附件5：</w:t>
      </w:r>
    </w:p>
    <w:p w14:paraId="6F7BBBFB">
      <w:pPr>
        <w:spacing w:line="360" w:lineRule="auto"/>
        <w:jc w:val="center"/>
        <w:rPr>
          <w:rFonts w:ascii="仿宋" w:hAnsi="仿宋" w:eastAsia="仿宋" w:cs="仿宋"/>
          <w:b/>
          <w:color w:val="auto"/>
          <w:sz w:val="32"/>
          <w:szCs w:val="32"/>
          <w:highlight w:val="none"/>
        </w:rPr>
      </w:pPr>
    </w:p>
    <w:p w14:paraId="5EF1C7AD">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14:paraId="74BAABDD">
      <w:pPr>
        <w:spacing w:line="360" w:lineRule="auto"/>
        <w:jc w:val="center"/>
        <w:rPr>
          <w:rFonts w:cs="宋体" w:asciiTheme="minorEastAsia" w:hAnsiTheme="minorEastAsia" w:eastAsiaTheme="minorEastAsia"/>
          <w:b/>
          <w:color w:val="auto"/>
          <w:sz w:val="32"/>
          <w:szCs w:val="32"/>
          <w:highlight w:val="none"/>
        </w:rPr>
      </w:pPr>
    </w:p>
    <w:p w14:paraId="56CDBED9">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77EF76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6BF1B8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051A6C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59FC71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008B3FE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2090D646">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3C43ED24">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10E86E7">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1DA55FA6">
      <w:pPr>
        <w:keepNext w:val="0"/>
        <w:keepLines w:val="0"/>
        <w:pageBreakBefore w:val="0"/>
        <w:widowControl/>
        <w:kinsoku/>
        <w:wordWrap/>
        <w:overflowPunct/>
        <w:topLinePunct w:val="0"/>
        <w:autoSpaceDE/>
        <w:autoSpaceDN/>
        <w:bidi w:val="0"/>
        <w:adjustRightInd w:val="0"/>
        <w:spacing w:line="432" w:lineRule="auto"/>
        <w:jc w:val="left"/>
        <w:textAlignment w:val="auto"/>
        <w:rPr>
          <w:rFonts w:ascii="仿宋" w:hAnsi="仿宋" w:eastAsia="仿宋" w:cs="仿宋"/>
          <w:b/>
          <w:color w:val="auto"/>
          <w:sz w:val="24"/>
          <w:highlight w:val="none"/>
        </w:rPr>
      </w:pPr>
    </w:p>
    <w:sectPr>
      <w:pgSz w:w="11906" w:h="16838"/>
      <w:pgMar w:top="777" w:right="1418" w:bottom="471"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00000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2073C">
    <w:pPr>
      <w:rPr>
        <w:rFonts w:ascii="仿宋_GB2312" w:eastAsia="仿宋_GB2312"/>
      </w:rPr>
    </w:pPr>
    <w:r>
      <w:rPr>
        <w:rFonts w:ascii="Calibri"/>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098F959">
                          <w:pPr>
                            <w:pStyle w:val="40"/>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14:paraId="0098F959">
                    <w:pPr>
                      <w:pStyle w:val="40"/>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4ABA8">
    <w:pPr>
      <w:rPr>
        <w:rFonts w:ascii="仿宋_GB2312" w:eastAsia="仿宋_GB2312"/>
      </w:rPr>
    </w:pPr>
    <w:r>
      <w:rPr>
        <w:rFonts w:ascii="Calibri"/>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D88A436">
                          <w:pPr>
                            <w:pStyle w:val="40"/>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0D88A436">
                    <w:pPr>
                      <w:pStyle w:val="40"/>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8563A">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98A785">
    <w:pPr>
      <w:pStyle w:val="40"/>
      <w:framePr w:wrap="around" w:vAnchor="text" w:hAnchor="margin" w:xAlign="right" w:y="1"/>
      <w:rPr>
        <w:rStyle w:val="65"/>
      </w:rPr>
    </w:pPr>
    <w:r>
      <w:fldChar w:fldCharType="begin"/>
    </w:r>
    <w:r>
      <w:rPr>
        <w:rStyle w:val="65"/>
      </w:rPr>
      <w:instrText xml:space="preserve">PAGE  </w:instrText>
    </w:r>
    <w:r>
      <w:fldChar w:fldCharType="end"/>
    </w:r>
  </w:p>
  <w:p w14:paraId="7FDC5DB1">
    <w:pPr>
      <w:pStyle w:val="4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3B0B8">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88" w:name="_Toc131845147"/>
    <w:bookmarkStart w:id="89" w:name="_Toc164085800"/>
    <w:bookmarkStart w:id="90" w:name="_Toc36110187"/>
    <w:bookmarkStart w:id="91" w:name="_Toc91899912"/>
    <w:r>
      <w:rPr>
        <w:rFonts w:hint="eastAsia" w:ascii="仿宋_GB2312" w:eastAsia="仿宋_GB2312"/>
        <w:kern w:val="0"/>
        <w:szCs w:val="21"/>
      </w:rPr>
      <w:t xml:space="preserve"> 页</w:t>
    </w:r>
    <w:bookmarkEnd w:id="88"/>
    <w:bookmarkEnd w:id="89"/>
    <w:bookmarkEnd w:id="90"/>
    <w:bookmarkEnd w:id="9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82C64B">
    <w:pPr>
      <w:pStyle w:val="41"/>
      <w:rPr>
        <w:rFonts w:ascii="仿宋_GB2312" w:eastAsia="仿宋_GB2312"/>
        <w:b/>
        <w:i/>
        <w:u w:val="single"/>
      </w:rPr>
    </w:pPr>
    <w:r>
      <w:t></w:t>
    </w:r>
    <w:r>
      <w:rPr>
        <w:rFonts w:hint="eastAsia"/>
      </w:rPr>
      <w:t xml:space="preserve">                                                     </w:t>
    </w:r>
  </w:p>
  <w:p w14:paraId="45E63C31">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11642">
    <w:pPr>
      <w:pStyle w:val="41"/>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191FC">
    <w:pPr>
      <w:pStyle w:val="41"/>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6D0A4">
    <w:pPr>
      <w:pStyle w:val="4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4D2B8B"/>
    <w:multiLevelType w:val="singleLevel"/>
    <w:tmpl w:val="864D2B8B"/>
    <w:lvl w:ilvl="0" w:tentative="0">
      <w:start w:val="4"/>
      <w:numFmt w:val="chineseCounting"/>
      <w:suff w:val="space"/>
      <w:lvlText w:val="第%1部分"/>
      <w:lvlJc w:val="left"/>
      <w:rPr>
        <w:rFonts w:hint="eastAsia"/>
      </w:rPr>
    </w:lvl>
  </w:abstractNum>
  <w:abstractNum w:abstractNumId="1">
    <w:nsid w:val="954E526D"/>
    <w:multiLevelType w:val="singleLevel"/>
    <w:tmpl w:val="954E526D"/>
    <w:lvl w:ilvl="0" w:tentative="0">
      <w:start w:val="1"/>
      <w:numFmt w:val="decimal"/>
      <w:suff w:val="nothing"/>
      <w:lvlText w:val="（%1）"/>
      <w:lvlJc w:val="left"/>
    </w:lvl>
  </w:abstractNum>
  <w:abstractNum w:abstractNumId="2">
    <w:nsid w:val="AD9C1067"/>
    <w:multiLevelType w:val="singleLevel"/>
    <w:tmpl w:val="AD9C1067"/>
    <w:lvl w:ilvl="0" w:tentative="0">
      <w:start w:val="1"/>
      <w:numFmt w:val="decimal"/>
      <w:lvlText w:val="%1."/>
      <w:lvlJc w:val="left"/>
      <w:pPr>
        <w:tabs>
          <w:tab w:val="left" w:pos="312"/>
        </w:tabs>
      </w:pPr>
    </w:lvl>
  </w:abstractNum>
  <w:abstractNum w:abstractNumId="3">
    <w:nsid w:val="D11354E3"/>
    <w:multiLevelType w:val="singleLevel"/>
    <w:tmpl w:val="D11354E3"/>
    <w:lvl w:ilvl="0" w:tentative="0">
      <w:start w:val="1"/>
      <w:numFmt w:val="decimal"/>
      <w:lvlText w:val="%1."/>
      <w:lvlJc w:val="left"/>
      <w:pPr>
        <w:tabs>
          <w:tab w:val="left" w:pos="312"/>
        </w:tabs>
      </w:pPr>
    </w:lvl>
  </w:abstractNum>
  <w:abstractNum w:abstractNumId="4">
    <w:nsid w:val="D7C5FDFC"/>
    <w:multiLevelType w:val="singleLevel"/>
    <w:tmpl w:val="D7C5FDFC"/>
    <w:lvl w:ilvl="0" w:tentative="0">
      <w:start w:val="1"/>
      <w:numFmt w:val="decimal"/>
      <w:lvlText w:val="%1."/>
      <w:lvlJc w:val="left"/>
      <w:pPr>
        <w:tabs>
          <w:tab w:val="left" w:pos="312"/>
        </w:tabs>
      </w:pPr>
    </w:lvl>
  </w:abstractNum>
  <w:abstractNum w:abstractNumId="5">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6">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7"/>
      <w:lvlText w:val=""/>
      <w:lvlJc w:val="left"/>
      <w:pPr>
        <w:tabs>
          <w:tab w:val="left" w:pos="1260"/>
        </w:tabs>
        <w:ind w:left="1260" w:hanging="420"/>
      </w:pPr>
      <w:rPr>
        <w:rFonts w:hint="default" w:ascii="Wingdings" w:hAnsi="Wingdings"/>
      </w:rPr>
    </w:lvl>
    <w:lvl w:ilvl="2" w:tentative="0">
      <w:start w:val="1"/>
      <w:numFmt w:val="bullet"/>
      <w:pStyle w:val="342"/>
      <w:lvlText w:val=""/>
      <w:lvlJc w:val="left"/>
      <w:pPr>
        <w:tabs>
          <w:tab w:val="left" w:pos="1680"/>
        </w:tabs>
        <w:ind w:left="1680" w:hanging="420"/>
      </w:pPr>
      <w:rPr>
        <w:rFonts w:hint="default" w:ascii="Wingdings" w:hAnsi="Wingdings"/>
      </w:rPr>
    </w:lvl>
    <w:lvl w:ilvl="3" w:tentative="0">
      <w:start w:val="1"/>
      <w:numFmt w:val="bullet"/>
      <w:pStyle w:val="175"/>
      <w:lvlText w:val=""/>
      <w:lvlJc w:val="left"/>
      <w:pPr>
        <w:tabs>
          <w:tab w:val="left" w:pos="2100"/>
        </w:tabs>
        <w:ind w:left="2100" w:hanging="420"/>
      </w:pPr>
      <w:rPr>
        <w:rFonts w:hint="default" w:ascii="Wingdings" w:hAnsi="Wingdings"/>
      </w:rPr>
    </w:lvl>
    <w:lvl w:ilvl="4" w:tentative="0">
      <w:start w:val="1"/>
      <w:numFmt w:val="bullet"/>
      <w:pStyle w:val="411"/>
      <w:lvlText w:val=""/>
      <w:lvlJc w:val="left"/>
      <w:pPr>
        <w:tabs>
          <w:tab w:val="left" w:pos="2520"/>
        </w:tabs>
        <w:ind w:left="2520" w:hanging="420"/>
      </w:pPr>
      <w:rPr>
        <w:rFonts w:hint="default" w:ascii="Wingdings" w:hAnsi="Wingdings"/>
      </w:rPr>
    </w:lvl>
    <w:lvl w:ilvl="5" w:tentative="0">
      <w:start w:val="1"/>
      <w:numFmt w:val="bullet"/>
      <w:pStyle w:val="173"/>
      <w:lvlText w:val=""/>
      <w:lvlJc w:val="left"/>
      <w:pPr>
        <w:tabs>
          <w:tab w:val="left" w:pos="2940"/>
        </w:tabs>
        <w:ind w:left="2940" w:hanging="420"/>
      </w:pPr>
      <w:rPr>
        <w:rFonts w:hint="default" w:ascii="Wingdings" w:hAnsi="Wingdings"/>
      </w:rPr>
    </w:lvl>
    <w:lvl w:ilvl="6" w:tentative="0">
      <w:start w:val="1"/>
      <w:numFmt w:val="bullet"/>
      <w:pStyle w:val="400"/>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3"/>
      <w:lvlText w:val=""/>
      <w:lvlJc w:val="left"/>
      <w:pPr>
        <w:tabs>
          <w:tab w:val="left" w:pos="4200"/>
        </w:tabs>
        <w:ind w:left="4200" w:hanging="420"/>
      </w:pPr>
      <w:rPr>
        <w:rFonts w:hint="default" w:ascii="Wingdings" w:hAnsi="Wingdings"/>
      </w:rPr>
    </w:lvl>
  </w:abstractNum>
  <w:abstractNum w:abstractNumId="7">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8">
    <w:nsid w:val="0C7A6D38"/>
    <w:multiLevelType w:val="singleLevel"/>
    <w:tmpl w:val="0C7A6D38"/>
    <w:lvl w:ilvl="0" w:tentative="0">
      <w:start w:val="1"/>
      <w:numFmt w:val="decimal"/>
      <w:suff w:val="nothing"/>
      <w:lvlText w:val="（%1）"/>
      <w:lvlJc w:val="left"/>
    </w:lvl>
  </w:abstractNum>
  <w:abstractNum w:abstractNumId="9">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10">
    <w:nsid w:val="16414AB9"/>
    <w:multiLevelType w:val="singleLevel"/>
    <w:tmpl w:val="16414AB9"/>
    <w:lvl w:ilvl="0" w:tentative="0">
      <w:start w:val="1"/>
      <w:numFmt w:val="decimal"/>
      <w:lvlText w:val="%1."/>
      <w:lvlJc w:val="left"/>
      <w:pPr>
        <w:tabs>
          <w:tab w:val="left" w:pos="312"/>
        </w:tabs>
      </w:pPr>
    </w:lvl>
  </w:abstractNum>
  <w:abstractNum w:abstractNumId="11">
    <w:nsid w:val="2638120A"/>
    <w:multiLevelType w:val="singleLevel"/>
    <w:tmpl w:val="2638120A"/>
    <w:lvl w:ilvl="0" w:tentative="0">
      <w:start w:val="1"/>
      <w:numFmt w:val="decimal"/>
      <w:lvlText w:val="%1."/>
      <w:lvlJc w:val="left"/>
      <w:pPr>
        <w:tabs>
          <w:tab w:val="left" w:pos="312"/>
        </w:tabs>
      </w:pPr>
    </w:lvl>
  </w:abstractNum>
  <w:abstractNum w:abstractNumId="12">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3">
    <w:nsid w:val="578B3BD2"/>
    <w:multiLevelType w:val="multilevel"/>
    <w:tmpl w:val="578B3BD2"/>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3"/>
      <w:lvlText w:val="%1.%2.%3.%4.%5"/>
      <w:lvlJc w:val="left"/>
      <w:pPr>
        <w:tabs>
          <w:tab w:val="left" w:pos="1080"/>
        </w:tabs>
        <w:ind w:left="1080" w:hanging="1080"/>
      </w:pPr>
      <w:rPr>
        <w:rFonts w:hint="default"/>
      </w:rPr>
    </w:lvl>
    <w:lvl w:ilvl="5" w:tentative="0">
      <w:start w:val="1"/>
      <w:numFmt w:val="decimal"/>
      <w:pStyle w:val="2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4">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5">
    <w:nsid w:val="73596DCC"/>
    <w:multiLevelType w:val="multilevel"/>
    <w:tmpl w:val="73596DCC"/>
    <w:lvl w:ilvl="0" w:tentative="0">
      <w:start w:val="1"/>
      <w:numFmt w:val="bullet"/>
      <w:pStyle w:val="32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9"/>
  </w:num>
  <w:num w:numId="2">
    <w:abstractNumId w:val="7"/>
  </w:num>
  <w:num w:numId="3">
    <w:abstractNumId w:val="5"/>
  </w:num>
  <w:num w:numId="4">
    <w:abstractNumId w:val="6"/>
  </w:num>
  <w:num w:numId="5">
    <w:abstractNumId w:val="13"/>
  </w:num>
  <w:num w:numId="6">
    <w:abstractNumId w:val="15"/>
  </w:num>
  <w:num w:numId="7">
    <w:abstractNumId w:val="1"/>
  </w:num>
  <w:num w:numId="8">
    <w:abstractNumId w:val="3"/>
  </w:num>
  <w:num w:numId="9">
    <w:abstractNumId w:val="11"/>
  </w:num>
  <w:num w:numId="10">
    <w:abstractNumId w:val="4"/>
  </w:num>
  <w:num w:numId="11">
    <w:abstractNumId w:val="0"/>
  </w:num>
  <w:num w:numId="12">
    <w:abstractNumId w:val="8"/>
  </w:num>
  <w:num w:numId="13">
    <w:abstractNumId w:val="12"/>
  </w:num>
  <w:num w:numId="14">
    <w:abstractNumId w:val="14"/>
  </w:num>
  <w:num w:numId="15">
    <w:abstractNumId w:val="2"/>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BjZWRhYWMzOTFhMDgyOGZiNTQ5MTAwOWE5NWJjNTcifQ=="/>
  </w:docVars>
  <w:rsids>
    <w:rsidRoot w:val="00172A27"/>
    <w:rsid w:val="0000133D"/>
    <w:rsid w:val="00003D48"/>
    <w:rsid w:val="00003F31"/>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6747"/>
    <w:rsid w:val="000270F2"/>
    <w:rsid w:val="00027540"/>
    <w:rsid w:val="00030572"/>
    <w:rsid w:val="00030CB3"/>
    <w:rsid w:val="0003206A"/>
    <w:rsid w:val="000325A8"/>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2E44"/>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2C4D"/>
    <w:rsid w:val="000A49BB"/>
    <w:rsid w:val="000A4C67"/>
    <w:rsid w:val="000A5674"/>
    <w:rsid w:val="000A5A46"/>
    <w:rsid w:val="000B0E04"/>
    <w:rsid w:val="000B4B56"/>
    <w:rsid w:val="000B53F1"/>
    <w:rsid w:val="000B54C1"/>
    <w:rsid w:val="000B62AC"/>
    <w:rsid w:val="000B6BDF"/>
    <w:rsid w:val="000B78B7"/>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5E3"/>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388F"/>
    <w:rsid w:val="00104CAD"/>
    <w:rsid w:val="00104E5B"/>
    <w:rsid w:val="00104EEC"/>
    <w:rsid w:val="001050DC"/>
    <w:rsid w:val="001052A9"/>
    <w:rsid w:val="00105482"/>
    <w:rsid w:val="001055F5"/>
    <w:rsid w:val="00105BA9"/>
    <w:rsid w:val="001060C5"/>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0052"/>
    <w:rsid w:val="00151B2F"/>
    <w:rsid w:val="00151D2B"/>
    <w:rsid w:val="001520B6"/>
    <w:rsid w:val="001523CF"/>
    <w:rsid w:val="001524DC"/>
    <w:rsid w:val="001525E5"/>
    <w:rsid w:val="00153859"/>
    <w:rsid w:val="00153ED0"/>
    <w:rsid w:val="00157432"/>
    <w:rsid w:val="00161185"/>
    <w:rsid w:val="00161853"/>
    <w:rsid w:val="00161C7D"/>
    <w:rsid w:val="001644DA"/>
    <w:rsid w:val="0016458C"/>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A7C3C"/>
    <w:rsid w:val="001B13BF"/>
    <w:rsid w:val="001B16F5"/>
    <w:rsid w:val="001B1BD9"/>
    <w:rsid w:val="001B1C1F"/>
    <w:rsid w:val="001B219B"/>
    <w:rsid w:val="001B2703"/>
    <w:rsid w:val="001B2ABD"/>
    <w:rsid w:val="001B3D49"/>
    <w:rsid w:val="001B4272"/>
    <w:rsid w:val="001B46B2"/>
    <w:rsid w:val="001B4CA8"/>
    <w:rsid w:val="001B572D"/>
    <w:rsid w:val="001B64A5"/>
    <w:rsid w:val="001B738E"/>
    <w:rsid w:val="001B7B69"/>
    <w:rsid w:val="001C0616"/>
    <w:rsid w:val="001C0DD2"/>
    <w:rsid w:val="001C10BD"/>
    <w:rsid w:val="001C1109"/>
    <w:rsid w:val="001C1F01"/>
    <w:rsid w:val="001C232F"/>
    <w:rsid w:val="001C31F5"/>
    <w:rsid w:val="001C44BC"/>
    <w:rsid w:val="001C5885"/>
    <w:rsid w:val="001C6698"/>
    <w:rsid w:val="001D1D55"/>
    <w:rsid w:val="001D21EF"/>
    <w:rsid w:val="001D330D"/>
    <w:rsid w:val="001D4AD3"/>
    <w:rsid w:val="001D5A94"/>
    <w:rsid w:val="001E1ABC"/>
    <w:rsid w:val="001E29B0"/>
    <w:rsid w:val="001E59FB"/>
    <w:rsid w:val="001E787E"/>
    <w:rsid w:val="001F087C"/>
    <w:rsid w:val="001F0DA4"/>
    <w:rsid w:val="001F0FD1"/>
    <w:rsid w:val="001F1F18"/>
    <w:rsid w:val="001F2D1E"/>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0137"/>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1E17"/>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24F"/>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177"/>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177"/>
    <w:rsid w:val="00377B26"/>
    <w:rsid w:val="00381014"/>
    <w:rsid w:val="00381F60"/>
    <w:rsid w:val="00382F6C"/>
    <w:rsid w:val="00383AB0"/>
    <w:rsid w:val="00384814"/>
    <w:rsid w:val="00384C0A"/>
    <w:rsid w:val="00385B16"/>
    <w:rsid w:val="0038637D"/>
    <w:rsid w:val="00386C07"/>
    <w:rsid w:val="00386F58"/>
    <w:rsid w:val="0038700D"/>
    <w:rsid w:val="0038701B"/>
    <w:rsid w:val="00390290"/>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5106"/>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0466"/>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5D38"/>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2E"/>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3AF"/>
    <w:rsid w:val="00526429"/>
    <w:rsid w:val="005266C1"/>
    <w:rsid w:val="005267F4"/>
    <w:rsid w:val="00526D6B"/>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680"/>
    <w:rsid w:val="00562FB1"/>
    <w:rsid w:val="00563068"/>
    <w:rsid w:val="00564DA7"/>
    <w:rsid w:val="00564EFA"/>
    <w:rsid w:val="00565204"/>
    <w:rsid w:val="00565473"/>
    <w:rsid w:val="00565DAC"/>
    <w:rsid w:val="00565F0D"/>
    <w:rsid w:val="005662DC"/>
    <w:rsid w:val="00566329"/>
    <w:rsid w:val="005701C2"/>
    <w:rsid w:val="005709ED"/>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046"/>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E77F0"/>
    <w:rsid w:val="005F0857"/>
    <w:rsid w:val="005F2CD5"/>
    <w:rsid w:val="005F403D"/>
    <w:rsid w:val="005F5A0D"/>
    <w:rsid w:val="005F61DF"/>
    <w:rsid w:val="005F77F8"/>
    <w:rsid w:val="005F7F28"/>
    <w:rsid w:val="00600FF9"/>
    <w:rsid w:val="006011E3"/>
    <w:rsid w:val="0060150C"/>
    <w:rsid w:val="00601F66"/>
    <w:rsid w:val="00601F8F"/>
    <w:rsid w:val="00602783"/>
    <w:rsid w:val="00603373"/>
    <w:rsid w:val="006036D0"/>
    <w:rsid w:val="006042CD"/>
    <w:rsid w:val="006054A5"/>
    <w:rsid w:val="006059E4"/>
    <w:rsid w:val="006062A0"/>
    <w:rsid w:val="00606C83"/>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C9B"/>
    <w:rsid w:val="00643F89"/>
    <w:rsid w:val="00644BED"/>
    <w:rsid w:val="00644E2E"/>
    <w:rsid w:val="00645CB4"/>
    <w:rsid w:val="00651F59"/>
    <w:rsid w:val="00652CF5"/>
    <w:rsid w:val="00652F9B"/>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481"/>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9AE"/>
    <w:rsid w:val="00685D65"/>
    <w:rsid w:val="00687031"/>
    <w:rsid w:val="0068790B"/>
    <w:rsid w:val="00687AF2"/>
    <w:rsid w:val="00687DA2"/>
    <w:rsid w:val="00687E87"/>
    <w:rsid w:val="006901AC"/>
    <w:rsid w:val="0069063A"/>
    <w:rsid w:val="00691890"/>
    <w:rsid w:val="0069449D"/>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0D5C"/>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3C26"/>
    <w:rsid w:val="006F41F4"/>
    <w:rsid w:val="006F5813"/>
    <w:rsid w:val="006F58B5"/>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5C07"/>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2B53"/>
    <w:rsid w:val="00734932"/>
    <w:rsid w:val="007364A3"/>
    <w:rsid w:val="007378FD"/>
    <w:rsid w:val="007413EB"/>
    <w:rsid w:val="00742D32"/>
    <w:rsid w:val="00742E9B"/>
    <w:rsid w:val="007444E6"/>
    <w:rsid w:val="0074592C"/>
    <w:rsid w:val="00747578"/>
    <w:rsid w:val="00751073"/>
    <w:rsid w:val="00751D12"/>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790"/>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5779"/>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21CD"/>
    <w:rsid w:val="007E404E"/>
    <w:rsid w:val="007E4EB3"/>
    <w:rsid w:val="007E50B4"/>
    <w:rsid w:val="007E54B8"/>
    <w:rsid w:val="007E54DB"/>
    <w:rsid w:val="007E57F7"/>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4B93"/>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1498"/>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78B"/>
    <w:rsid w:val="00861948"/>
    <w:rsid w:val="00862011"/>
    <w:rsid w:val="0086213D"/>
    <w:rsid w:val="0086290B"/>
    <w:rsid w:val="00862A15"/>
    <w:rsid w:val="00862D8E"/>
    <w:rsid w:val="00862EF2"/>
    <w:rsid w:val="00866453"/>
    <w:rsid w:val="008666C7"/>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144"/>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59FD"/>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241"/>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1EA"/>
    <w:rsid w:val="00901F0E"/>
    <w:rsid w:val="00902617"/>
    <w:rsid w:val="0090408F"/>
    <w:rsid w:val="0090446A"/>
    <w:rsid w:val="00904DC3"/>
    <w:rsid w:val="00905469"/>
    <w:rsid w:val="0090629C"/>
    <w:rsid w:val="009065C6"/>
    <w:rsid w:val="00906EA2"/>
    <w:rsid w:val="00907278"/>
    <w:rsid w:val="009128B8"/>
    <w:rsid w:val="0091328F"/>
    <w:rsid w:val="00913AD7"/>
    <w:rsid w:val="00914FC4"/>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23B"/>
    <w:rsid w:val="009716D8"/>
    <w:rsid w:val="00971F54"/>
    <w:rsid w:val="00972057"/>
    <w:rsid w:val="0097227B"/>
    <w:rsid w:val="0097262E"/>
    <w:rsid w:val="00974022"/>
    <w:rsid w:val="0097564A"/>
    <w:rsid w:val="00975D1B"/>
    <w:rsid w:val="009772F2"/>
    <w:rsid w:val="009778CF"/>
    <w:rsid w:val="00977B97"/>
    <w:rsid w:val="009810BE"/>
    <w:rsid w:val="009819A7"/>
    <w:rsid w:val="00984079"/>
    <w:rsid w:val="009851F5"/>
    <w:rsid w:val="0098534B"/>
    <w:rsid w:val="0098764E"/>
    <w:rsid w:val="00987D58"/>
    <w:rsid w:val="009906D4"/>
    <w:rsid w:val="00990EB7"/>
    <w:rsid w:val="00990F5F"/>
    <w:rsid w:val="00993135"/>
    <w:rsid w:val="00993AC7"/>
    <w:rsid w:val="009957FA"/>
    <w:rsid w:val="00997044"/>
    <w:rsid w:val="0099792B"/>
    <w:rsid w:val="009A106B"/>
    <w:rsid w:val="009A2B9F"/>
    <w:rsid w:val="009A2BF3"/>
    <w:rsid w:val="009A3C3E"/>
    <w:rsid w:val="009A7E7C"/>
    <w:rsid w:val="009B22E3"/>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5C7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162"/>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311"/>
    <w:rsid w:val="00A364BC"/>
    <w:rsid w:val="00A3786A"/>
    <w:rsid w:val="00A402ED"/>
    <w:rsid w:val="00A40685"/>
    <w:rsid w:val="00A41123"/>
    <w:rsid w:val="00A41819"/>
    <w:rsid w:val="00A41C9A"/>
    <w:rsid w:val="00A42F49"/>
    <w:rsid w:val="00A433DA"/>
    <w:rsid w:val="00A433E8"/>
    <w:rsid w:val="00A43CE4"/>
    <w:rsid w:val="00A4424E"/>
    <w:rsid w:val="00A44A45"/>
    <w:rsid w:val="00A4534D"/>
    <w:rsid w:val="00A46BFB"/>
    <w:rsid w:val="00A46C6D"/>
    <w:rsid w:val="00A46F27"/>
    <w:rsid w:val="00A472B8"/>
    <w:rsid w:val="00A502F5"/>
    <w:rsid w:val="00A504F4"/>
    <w:rsid w:val="00A51577"/>
    <w:rsid w:val="00A51B47"/>
    <w:rsid w:val="00A526CE"/>
    <w:rsid w:val="00A54DC0"/>
    <w:rsid w:val="00A550C9"/>
    <w:rsid w:val="00A55228"/>
    <w:rsid w:val="00A5589F"/>
    <w:rsid w:val="00A55D4E"/>
    <w:rsid w:val="00A564DE"/>
    <w:rsid w:val="00A6053C"/>
    <w:rsid w:val="00A61B91"/>
    <w:rsid w:val="00A63335"/>
    <w:rsid w:val="00A63685"/>
    <w:rsid w:val="00A63DDD"/>
    <w:rsid w:val="00A66473"/>
    <w:rsid w:val="00A66E28"/>
    <w:rsid w:val="00A70590"/>
    <w:rsid w:val="00A71542"/>
    <w:rsid w:val="00A71FA0"/>
    <w:rsid w:val="00A72C1A"/>
    <w:rsid w:val="00A73D06"/>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6C2"/>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4E4F"/>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445"/>
    <w:rsid w:val="00B346EA"/>
    <w:rsid w:val="00B356B8"/>
    <w:rsid w:val="00B35C9C"/>
    <w:rsid w:val="00B37B8E"/>
    <w:rsid w:val="00B40222"/>
    <w:rsid w:val="00B404C3"/>
    <w:rsid w:val="00B40BA6"/>
    <w:rsid w:val="00B4280F"/>
    <w:rsid w:val="00B43381"/>
    <w:rsid w:val="00B448BF"/>
    <w:rsid w:val="00B45DE9"/>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063"/>
    <w:rsid w:val="00B72CF0"/>
    <w:rsid w:val="00B740F6"/>
    <w:rsid w:val="00B74615"/>
    <w:rsid w:val="00B75035"/>
    <w:rsid w:val="00B755B6"/>
    <w:rsid w:val="00B76B55"/>
    <w:rsid w:val="00B804F8"/>
    <w:rsid w:val="00B815D3"/>
    <w:rsid w:val="00B81749"/>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94D"/>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1BE6"/>
    <w:rsid w:val="00BE246C"/>
    <w:rsid w:val="00BE2657"/>
    <w:rsid w:val="00BE37AE"/>
    <w:rsid w:val="00BE73C3"/>
    <w:rsid w:val="00BE7B29"/>
    <w:rsid w:val="00BF03C0"/>
    <w:rsid w:val="00BF21D4"/>
    <w:rsid w:val="00BF2941"/>
    <w:rsid w:val="00BF2E46"/>
    <w:rsid w:val="00BF4A15"/>
    <w:rsid w:val="00BF4E27"/>
    <w:rsid w:val="00BF6D77"/>
    <w:rsid w:val="00C01EF2"/>
    <w:rsid w:val="00C02F8F"/>
    <w:rsid w:val="00C0378E"/>
    <w:rsid w:val="00C04258"/>
    <w:rsid w:val="00C05AFD"/>
    <w:rsid w:val="00C06615"/>
    <w:rsid w:val="00C0724C"/>
    <w:rsid w:val="00C07AEF"/>
    <w:rsid w:val="00C07C11"/>
    <w:rsid w:val="00C07CC1"/>
    <w:rsid w:val="00C10015"/>
    <w:rsid w:val="00C12ECB"/>
    <w:rsid w:val="00C14ABD"/>
    <w:rsid w:val="00C151E0"/>
    <w:rsid w:val="00C20051"/>
    <w:rsid w:val="00C20B86"/>
    <w:rsid w:val="00C21145"/>
    <w:rsid w:val="00C22E6F"/>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1BEB"/>
    <w:rsid w:val="00C54C66"/>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4DDD"/>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2D46"/>
    <w:rsid w:val="00CD32C2"/>
    <w:rsid w:val="00CD347C"/>
    <w:rsid w:val="00CD3CAB"/>
    <w:rsid w:val="00CD3FF0"/>
    <w:rsid w:val="00CD4E50"/>
    <w:rsid w:val="00CD64E1"/>
    <w:rsid w:val="00CD699D"/>
    <w:rsid w:val="00CD701B"/>
    <w:rsid w:val="00CD70DB"/>
    <w:rsid w:val="00CD7466"/>
    <w:rsid w:val="00CD7C49"/>
    <w:rsid w:val="00CE1FD2"/>
    <w:rsid w:val="00CE2E2E"/>
    <w:rsid w:val="00CE3A51"/>
    <w:rsid w:val="00CE59F6"/>
    <w:rsid w:val="00CE71C3"/>
    <w:rsid w:val="00CE7ECB"/>
    <w:rsid w:val="00CF0AF0"/>
    <w:rsid w:val="00CF1834"/>
    <w:rsid w:val="00CF192D"/>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148"/>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734"/>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0BD7"/>
    <w:rsid w:val="00DD2C42"/>
    <w:rsid w:val="00DD2D14"/>
    <w:rsid w:val="00DD3A99"/>
    <w:rsid w:val="00DD4344"/>
    <w:rsid w:val="00DD5B8C"/>
    <w:rsid w:val="00DD5DFA"/>
    <w:rsid w:val="00DD67EC"/>
    <w:rsid w:val="00DD6AB8"/>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3A6"/>
    <w:rsid w:val="00E20CE7"/>
    <w:rsid w:val="00E217B1"/>
    <w:rsid w:val="00E222FA"/>
    <w:rsid w:val="00E24A62"/>
    <w:rsid w:val="00E24F52"/>
    <w:rsid w:val="00E279B2"/>
    <w:rsid w:val="00E30BD5"/>
    <w:rsid w:val="00E31143"/>
    <w:rsid w:val="00E31812"/>
    <w:rsid w:val="00E3533E"/>
    <w:rsid w:val="00E35A45"/>
    <w:rsid w:val="00E37C85"/>
    <w:rsid w:val="00E41610"/>
    <w:rsid w:val="00E43006"/>
    <w:rsid w:val="00E43551"/>
    <w:rsid w:val="00E4538C"/>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184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28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43AE"/>
    <w:rsid w:val="00EF547C"/>
    <w:rsid w:val="00EF55E9"/>
    <w:rsid w:val="00EF5B41"/>
    <w:rsid w:val="00EF611C"/>
    <w:rsid w:val="00EF7462"/>
    <w:rsid w:val="00EF768D"/>
    <w:rsid w:val="00F00630"/>
    <w:rsid w:val="00F00922"/>
    <w:rsid w:val="00F011FF"/>
    <w:rsid w:val="00F01BE6"/>
    <w:rsid w:val="00F0217A"/>
    <w:rsid w:val="00F0251B"/>
    <w:rsid w:val="00F029D7"/>
    <w:rsid w:val="00F03E4C"/>
    <w:rsid w:val="00F05F43"/>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5ACC"/>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4E67"/>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4A0E"/>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543"/>
    <w:rsid w:val="00FA7792"/>
    <w:rsid w:val="00FB11FA"/>
    <w:rsid w:val="00FB18F8"/>
    <w:rsid w:val="00FB2B90"/>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1BF2"/>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0A2307"/>
    <w:rsid w:val="01372E8D"/>
    <w:rsid w:val="02DA0C0E"/>
    <w:rsid w:val="038749AC"/>
    <w:rsid w:val="03DD35E4"/>
    <w:rsid w:val="040504B3"/>
    <w:rsid w:val="06337B3D"/>
    <w:rsid w:val="065A6178"/>
    <w:rsid w:val="074F7E61"/>
    <w:rsid w:val="075562B7"/>
    <w:rsid w:val="07F6164B"/>
    <w:rsid w:val="08457624"/>
    <w:rsid w:val="087A1B7A"/>
    <w:rsid w:val="096B2097"/>
    <w:rsid w:val="098734E2"/>
    <w:rsid w:val="0A347112"/>
    <w:rsid w:val="0A5B026E"/>
    <w:rsid w:val="0A5B7E63"/>
    <w:rsid w:val="0BFD71A8"/>
    <w:rsid w:val="0C87121B"/>
    <w:rsid w:val="0D455444"/>
    <w:rsid w:val="0D9E24C7"/>
    <w:rsid w:val="0DF702FE"/>
    <w:rsid w:val="0E3F698B"/>
    <w:rsid w:val="0E5017C8"/>
    <w:rsid w:val="0ECC26B5"/>
    <w:rsid w:val="0F21508F"/>
    <w:rsid w:val="0F816ACD"/>
    <w:rsid w:val="0FB94501"/>
    <w:rsid w:val="102C53C2"/>
    <w:rsid w:val="10B047CF"/>
    <w:rsid w:val="10FC16EA"/>
    <w:rsid w:val="118963A1"/>
    <w:rsid w:val="11F0405A"/>
    <w:rsid w:val="127723A9"/>
    <w:rsid w:val="13072A44"/>
    <w:rsid w:val="145044FA"/>
    <w:rsid w:val="166512FD"/>
    <w:rsid w:val="17524F7E"/>
    <w:rsid w:val="182008DB"/>
    <w:rsid w:val="186742B0"/>
    <w:rsid w:val="1B2A271F"/>
    <w:rsid w:val="1B890139"/>
    <w:rsid w:val="1D266CE1"/>
    <w:rsid w:val="1D3963AF"/>
    <w:rsid w:val="1DDE7DD3"/>
    <w:rsid w:val="1E714A66"/>
    <w:rsid w:val="1F5F7E15"/>
    <w:rsid w:val="1FCD64E7"/>
    <w:rsid w:val="1FE868A9"/>
    <w:rsid w:val="20FC00A7"/>
    <w:rsid w:val="20FF3126"/>
    <w:rsid w:val="211E26D6"/>
    <w:rsid w:val="21283D08"/>
    <w:rsid w:val="21BF6A73"/>
    <w:rsid w:val="22133BD7"/>
    <w:rsid w:val="231C6111"/>
    <w:rsid w:val="23796D8B"/>
    <w:rsid w:val="23DD2269"/>
    <w:rsid w:val="249F10B3"/>
    <w:rsid w:val="25B440B3"/>
    <w:rsid w:val="265B7DDF"/>
    <w:rsid w:val="270B5BBD"/>
    <w:rsid w:val="27584E24"/>
    <w:rsid w:val="27AA3A18"/>
    <w:rsid w:val="28E027E6"/>
    <w:rsid w:val="2AA1365A"/>
    <w:rsid w:val="2CF1528D"/>
    <w:rsid w:val="2D776609"/>
    <w:rsid w:val="2DD15014"/>
    <w:rsid w:val="2EB455F1"/>
    <w:rsid w:val="2F61390B"/>
    <w:rsid w:val="2FAE0A94"/>
    <w:rsid w:val="2FD25781"/>
    <w:rsid w:val="30C1532F"/>
    <w:rsid w:val="319C6071"/>
    <w:rsid w:val="32DB72BE"/>
    <w:rsid w:val="342E63AB"/>
    <w:rsid w:val="345D260B"/>
    <w:rsid w:val="35F85377"/>
    <w:rsid w:val="36017451"/>
    <w:rsid w:val="365302AE"/>
    <w:rsid w:val="37F142D2"/>
    <w:rsid w:val="39A13F14"/>
    <w:rsid w:val="3A1019BE"/>
    <w:rsid w:val="3AEE102D"/>
    <w:rsid w:val="3C5F759A"/>
    <w:rsid w:val="3D0A6B06"/>
    <w:rsid w:val="3D5C78D4"/>
    <w:rsid w:val="3DB81305"/>
    <w:rsid w:val="3DE722EA"/>
    <w:rsid w:val="3E3D21C7"/>
    <w:rsid w:val="3F520ACF"/>
    <w:rsid w:val="3F650802"/>
    <w:rsid w:val="3FF218E7"/>
    <w:rsid w:val="3FFF72A6"/>
    <w:rsid w:val="400D5600"/>
    <w:rsid w:val="40D00480"/>
    <w:rsid w:val="41A76EB0"/>
    <w:rsid w:val="4223043F"/>
    <w:rsid w:val="42E017B1"/>
    <w:rsid w:val="42E1381E"/>
    <w:rsid w:val="43FB717C"/>
    <w:rsid w:val="44943676"/>
    <w:rsid w:val="451E447A"/>
    <w:rsid w:val="45345B76"/>
    <w:rsid w:val="47307808"/>
    <w:rsid w:val="475D6979"/>
    <w:rsid w:val="47E66258"/>
    <w:rsid w:val="486F747C"/>
    <w:rsid w:val="491466AE"/>
    <w:rsid w:val="49766060"/>
    <w:rsid w:val="49BC2984"/>
    <w:rsid w:val="4BC468B1"/>
    <w:rsid w:val="4D861CF6"/>
    <w:rsid w:val="4D9D7511"/>
    <w:rsid w:val="4DF34D70"/>
    <w:rsid w:val="4F787FEA"/>
    <w:rsid w:val="509A46B5"/>
    <w:rsid w:val="51A0432A"/>
    <w:rsid w:val="51E06116"/>
    <w:rsid w:val="527140E5"/>
    <w:rsid w:val="528B7EC7"/>
    <w:rsid w:val="5292508F"/>
    <w:rsid w:val="52A96B6F"/>
    <w:rsid w:val="53C349AF"/>
    <w:rsid w:val="5406215C"/>
    <w:rsid w:val="550764A4"/>
    <w:rsid w:val="551926E0"/>
    <w:rsid w:val="561279B9"/>
    <w:rsid w:val="56515F3B"/>
    <w:rsid w:val="567F44B2"/>
    <w:rsid w:val="56B04179"/>
    <w:rsid w:val="572B71CA"/>
    <w:rsid w:val="578E5585"/>
    <w:rsid w:val="57944254"/>
    <w:rsid w:val="57C672C9"/>
    <w:rsid w:val="58AE4F0C"/>
    <w:rsid w:val="58CD5003"/>
    <w:rsid w:val="58EF353A"/>
    <w:rsid w:val="59737717"/>
    <w:rsid w:val="59B2381D"/>
    <w:rsid w:val="5A2A7C7B"/>
    <w:rsid w:val="5B1641AF"/>
    <w:rsid w:val="5C80234E"/>
    <w:rsid w:val="5DAA0B36"/>
    <w:rsid w:val="5E261785"/>
    <w:rsid w:val="5E4035A8"/>
    <w:rsid w:val="5FCC5339"/>
    <w:rsid w:val="5FE70807"/>
    <w:rsid w:val="60E53485"/>
    <w:rsid w:val="60E9400F"/>
    <w:rsid w:val="61054A27"/>
    <w:rsid w:val="611D2366"/>
    <w:rsid w:val="613263BD"/>
    <w:rsid w:val="61D84274"/>
    <w:rsid w:val="62477501"/>
    <w:rsid w:val="62885958"/>
    <w:rsid w:val="62E53C0C"/>
    <w:rsid w:val="63A0583A"/>
    <w:rsid w:val="643C2281"/>
    <w:rsid w:val="64CE2EAA"/>
    <w:rsid w:val="65E010B5"/>
    <w:rsid w:val="662E75B1"/>
    <w:rsid w:val="66342C2E"/>
    <w:rsid w:val="663E784C"/>
    <w:rsid w:val="67513A23"/>
    <w:rsid w:val="67666721"/>
    <w:rsid w:val="676D2F28"/>
    <w:rsid w:val="685867EC"/>
    <w:rsid w:val="686A608F"/>
    <w:rsid w:val="6ABE29C2"/>
    <w:rsid w:val="6C5703B0"/>
    <w:rsid w:val="6D0A5187"/>
    <w:rsid w:val="6D5D0B6C"/>
    <w:rsid w:val="6D9F0A23"/>
    <w:rsid w:val="6DFC1240"/>
    <w:rsid w:val="6E7D0E15"/>
    <w:rsid w:val="6E8E12EF"/>
    <w:rsid w:val="6EAB2308"/>
    <w:rsid w:val="6EB76799"/>
    <w:rsid w:val="6EDD1894"/>
    <w:rsid w:val="71D43752"/>
    <w:rsid w:val="72701E17"/>
    <w:rsid w:val="72866E17"/>
    <w:rsid w:val="7298446F"/>
    <w:rsid w:val="72D32A79"/>
    <w:rsid w:val="73DD6243"/>
    <w:rsid w:val="747B6402"/>
    <w:rsid w:val="749C4185"/>
    <w:rsid w:val="74C263F8"/>
    <w:rsid w:val="7559570A"/>
    <w:rsid w:val="75DA2C18"/>
    <w:rsid w:val="775319EF"/>
    <w:rsid w:val="786A6587"/>
    <w:rsid w:val="789F50AD"/>
    <w:rsid w:val="78BF1695"/>
    <w:rsid w:val="790F1C77"/>
    <w:rsid w:val="7A67303B"/>
    <w:rsid w:val="7A720E4D"/>
    <w:rsid w:val="7A9448DC"/>
    <w:rsid w:val="7AAB1D04"/>
    <w:rsid w:val="7ABA4368"/>
    <w:rsid w:val="7AD0790A"/>
    <w:rsid w:val="7B257FFD"/>
    <w:rsid w:val="7B9103B5"/>
    <w:rsid w:val="7C2B1DA5"/>
    <w:rsid w:val="7C8376BB"/>
    <w:rsid w:val="7D573EFA"/>
    <w:rsid w:val="7DF4317E"/>
    <w:rsid w:val="7E0326CF"/>
    <w:rsid w:val="7E0B4FE1"/>
    <w:rsid w:val="7E64308B"/>
    <w:rsid w:val="7FA464E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tabs>
        <w:tab w:val="left" w:pos="432"/>
      </w:tabs>
      <w:spacing w:before="260" w:after="260" w:line="416" w:lineRule="auto"/>
      <w:outlineLvl w:val="2"/>
    </w:pPr>
    <w:rPr>
      <w:b/>
      <w:bCs/>
      <w:sz w:val="32"/>
      <w:szCs w:val="32"/>
    </w:rPr>
  </w:style>
  <w:style w:type="paragraph" w:styleId="5">
    <w:name w:val="heading 4"/>
    <w:basedOn w:val="1"/>
    <w:next w:val="1"/>
    <w:link w:val="600"/>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4"/>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3"/>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2"/>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2"/>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20"/>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autoRedefine/>
    <w:semiHidden/>
    <w:unhideWhenUsed/>
    <w:qFormat/>
    <w:uiPriority w:val="1"/>
  </w:style>
  <w:style w:type="table" w:default="1" w:styleId="61">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614"/>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5"/>
    <w:autoRedefine/>
    <w:qFormat/>
    <w:uiPriority w:val="99"/>
    <w:pPr>
      <w:jc w:val="left"/>
    </w:pPr>
  </w:style>
  <w:style w:type="paragraph" w:styleId="20">
    <w:name w:val="Salutation"/>
    <w:basedOn w:val="1"/>
    <w:next w:val="1"/>
    <w:link w:val="483"/>
    <w:autoRedefine/>
    <w:qFormat/>
    <w:uiPriority w:val="0"/>
    <w:rPr>
      <w:rFonts w:ascii="仿宋_GB2312" w:eastAsia="仿宋_GB2312"/>
      <w:sz w:val="28"/>
      <w:szCs w:val="20"/>
    </w:rPr>
  </w:style>
  <w:style w:type="paragraph" w:styleId="21">
    <w:name w:val="Body Text 3"/>
    <w:basedOn w:val="1"/>
    <w:link w:val="582"/>
    <w:autoRedefine/>
    <w:qFormat/>
    <w:uiPriority w:val="0"/>
    <w:pPr>
      <w:jc w:val="center"/>
    </w:pPr>
    <w:rPr>
      <w:szCs w:val="20"/>
    </w:rPr>
  </w:style>
  <w:style w:type="paragraph" w:styleId="22">
    <w:name w:val="Body Text"/>
    <w:basedOn w:val="1"/>
    <w:next w:val="23"/>
    <w:link w:val="513"/>
    <w:autoRedefine/>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546"/>
    <w:autoRedefine/>
    <w:qFormat/>
    <w:uiPriority w:val="0"/>
    <w:pPr>
      <w:ind w:firstLine="420"/>
    </w:pPr>
    <w:rPr>
      <w:szCs w:val="20"/>
    </w:rPr>
  </w:style>
  <w:style w:type="paragraph" w:styleId="24">
    <w:name w:val="toc 6"/>
    <w:basedOn w:val="1"/>
    <w:next w:val="1"/>
    <w:autoRedefine/>
    <w:qFormat/>
    <w:uiPriority w:val="0"/>
    <w:pPr>
      <w:ind w:left="2100" w:leftChars="1000"/>
    </w:pPr>
  </w:style>
  <w:style w:type="paragraph" w:styleId="25">
    <w:name w:val="Body Text Indent"/>
    <w:basedOn w:val="1"/>
    <w:next w:val="26"/>
    <w:link w:val="476"/>
    <w:autoRedefine/>
    <w:qFormat/>
    <w:uiPriority w:val="0"/>
    <w:pPr>
      <w:spacing w:line="480" w:lineRule="exact"/>
      <w:ind w:firstLine="480" w:firstLineChars="200"/>
    </w:pPr>
    <w:rPr>
      <w:rFonts w:ascii="宋体" w:hAnsi="宋体"/>
      <w:sz w:val="24"/>
    </w:rPr>
  </w:style>
  <w:style w:type="paragraph" w:customStyle="1" w:styleId="26">
    <w:name w:val="正文文本首行缩进 21"/>
    <w:basedOn w:val="25"/>
    <w:autoRedefine/>
    <w:qFormat/>
    <w:uiPriority w:val="99"/>
    <w:pPr>
      <w:spacing w:line="200" w:lineRule="atLeast"/>
      <w:ind w:firstLine="420"/>
    </w:pPr>
    <w:rPr>
      <w:rFonts w:hAnsi="Courier New"/>
      <w:spacing w:val="-4"/>
      <w:sz w:val="18"/>
    </w:rPr>
  </w:style>
  <w:style w:type="paragraph" w:styleId="27">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2"/>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490"/>
    <w:autoRedefine/>
    <w:qFormat/>
    <w:uiPriority w:val="99"/>
    <w:rPr>
      <w:rFonts w:ascii="宋体" w:hAnsi="Courier New"/>
      <w:szCs w:val="20"/>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599"/>
    <w:autoRedefine/>
    <w:qFormat/>
    <w:uiPriority w:val="0"/>
    <w:pPr>
      <w:ind w:left="100" w:leftChars="2500"/>
    </w:pPr>
    <w:rPr>
      <w:rFonts w:ascii="宋体"/>
      <w:sz w:val="24"/>
      <w:szCs w:val="21"/>
      <w:lang w:val="zh-CN"/>
    </w:rPr>
  </w:style>
  <w:style w:type="paragraph" w:styleId="38">
    <w:name w:val="Body Text Indent 2"/>
    <w:basedOn w:val="1"/>
    <w:link w:val="504"/>
    <w:autoRedefine/>
    <w:qFormat/>
    <w:uiPriority w:val="0"/>
    <w:pPr>
      <w:spacing w:line="360" w:lineRule="auto"/>
      <w:ind w:firstLine="601"/>
      <w:textAlignment w:val="baseline"/>
    </w:pPr>
    <w:rPr>
      <w:rFonts w:ascii="宋体"/>
      <w:kern w:val="0"/>
      <w:sz w:val="28"/>
      <w:szCs w:val="20"/>
    </w:rPr>
  </w:style>
  <w:style w:type="paragraph" w:styleId="39">
    <w:name w:val="Balloon Text"/>
    <w:basedOn w:val="1"/>
    <w:link w:val="616"/>
    <w:autoRedefine/>
    <w:semiHidden/>
    <w:qFormat/>
    <w:uiPriority w:val="0"/>
    <w:rPr>
      <w:sz w:val="18"/>
      <w:szCs w:val="18"/>
    </w:rPr>
  </w:style>
  <w:style w:type="paragraph" w:styleId="40">
    <w:name w:val="footer"/>
    <w:basedOn w:val="1"/>
    <w:autoRedefine/>
    <w:qFormat/>
    <w:uiPriority w:val="99"/>
    <w:pPr>
      <w:tabs>
        <w:tab w:val="center" w:pos="4153"/>
        <w:tab w:val="right" w:pos="8306"/>
      </w:tabs>
      <w:snapToGrid w:val="0"/>
      <w:jc w:val="left"/>
    </w:pPr>
    <w:rPr>
      <w:sz w:val="18"/>
      <w:szCs w:val="18"/>
    </w:rPr>
  </w:style>
  <w:style w:type="paragraph" w:styleId="41">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6"/>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489"/>
    <w:autoRedefine/>
    <w:qFormat/>
    <w:uiPriority w:val="11"/>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5"/>
    <w:link w:val="474"/>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589"/>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autoRedefine/>
    <w:qFormat/>
    <w:uiPriority w:val="0"/>
    <w:pPr>
      <w:spacing w:after="120" w:line="480" w:lineRule="auto"/>
    </w:pPr>
  </w:style>
  <w:style w:type="paragraph" w:styleId="56">
    <w:name w:val="HTML Preformatted"/>
    <w:basedOn w:val="1"/>
    <w:link w:val="544"/>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autoRedefine/>
    <w:semiHidden/>
    <w:qFormat/>
    <w:uiPriority w:val="0"/>
    <w:rPr>
      <w:b/>
      <w:bCs/>
    </w:rPr>
  </w:style>
  <w:style w:type="paragraph" w:styleId="60">
    <w:name w:val="Body Text First Indent 2"/>
    <w:basedOn w:val="25"/>
    <w:next w:val="1"/>
    <w:link w:val="503"/>
    <w:autoRedefine/>
    <w:qFormat/>
    <w:uiPriority w:val="0"/>
    <w:pPr>
      <w:adjustRightInd/>
      <w:spacing w:after="120" w:line="240" w:lineRule="auto"/>
      <w:ind w:left="420" w:leftChars="200" w:firstLine="210"/>
    </w:pPr>
    <w:rPr>
      <w:sz w:val="21"/>
    </w:rPr>
  </w:style>
  <w:style w:type="table" w:styleId="62">
    <w:name w:val="Table Grid"/>
    <w:basedOn w:val="61"/>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autoRedefine/>
    <w:qFormat/>
    <w:uiPriority w:val="22"/>
    <w:rPr>
      <w:b/>
      <w:bCs/>
    </w:rPr>
  </w:style>
  <w:style w:type="character" w:styleId="65">
    <w:name w:val="page number"/>
    <w:basedOn w:val="63"/>
    <w:autoRedefine/>
    <w:qFormat/>
    <w:uiPriority w:val="0"/>
  </w:style>
  <w:style w:type="character" w:styleId="66">
    <w:name w:val="FollowedHyperlink"/>
    <w:autoRedefine/>
    <w:qFormat/>
    <w:uiPriority w:val="0"/>
    <w:rPr>
      <w:rFonts w:ascii="Arial" w:hAnsi="Arial" w:eastAsia="黑体" w:cs="Arial"/>
      <w:snapToGrid w:val="0"/>
      <w:color w:val="000000"/>
      <w:kern w:val="0"/>
      <w:sz w:val="18"/>
      <w:szCs w:val="18"/>
      <w:u w:val="none"/>
    </w:rPr>
  </w:style>
  <w:style w:type="character" w:styleId="67">
    <w:name w:val="Emphasis"/>
    <w:autoRedefine/>
    <w:qFormat/>
    <w:uiPriority w:val="0"/>
    <w:rPr>
      <w:color w:val="CC0033"/>
    </w:rPr>
  </w:style>
  <w:style w:type="character" w:styleId="68">
    <w:name w:val="line number"/>
    <w:basedOn w:val="63"/>
    <w:autoRedefine/>
    <w:qFormat/>
    <w:uiPriority w:val="0"/>
  </w:style>
  <w:style w:type="character" w:styleId="69">
    <w:name w:val="Hyperlink"/>
    <w:autoRedefine/>
    <w:qFormat/>
    <w:uiPriority w:val="0"/>
    <w:rPr>
      <w:rFonts w:ascii="Arial" w:hAnsi="Arial" w:eastAsia="黑体" w:cs="Arial"/>
      <w:snapToGrid w:val="0"/>
      <w:color w:val="000000"/>
      <w:kern w:val="0"/>
      <w:sz w:val="18"/>
      <w:szCs w:val="18"/>
      <w:u w:val="none"/>
    </w:rPr>
  </w:style>
  <w:style w:type="character" w:styleId="70">
    <w:name w:val="HTML Code"/>
    <w:autoRedefine/>
    <w:qFormat/>
    <w:uiPriority w:val="0"/>
    <w:rPr>
      <w:rFonts w:ascii="黑体" w:hAnsi="Courier New" w:eastAsia="黑体" w:cs="楷体_GB2312"/>
      <w:sz w:val="20"/>
      <w:szCs w:val="20"/>
    </w:rPr>
  </w:style>
  <w:style w:type="character" w:styleId="71">
    <w:name w:val="annotation reference"/>
    <w:autoRedefine/>
    <w:qFormat/>
    <w:uiPriority w:val="99"/>
    <w:rPr>
      <w:sz w:val="21"/>
      <w:szCs w:val="21"/>
    </w:rPr>
  </w:style>
  <w:style w:type="paragraph" w:customStyle="1" w:styleId="7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3">
    <w:name w:val="Default"/>
    <w:link w:val="628"/>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4">
    <w:name w:val="[Normal]"/>
    <w:autoRedefine/>
    <w:qFormat/>
    <w:uiPriority w:val="0"/>
    <w:rPr>
      <w:rFonts w:ascii="宋体" w:hAnsi="宋体" w:eastAsia="宋体" w:cs="Times New Roman"/>
      <w:sz w:val="24"/>
      <w:szCs w:val="22"/>
      <w:lang w:val="zh-CN" w:eastAsia="zh-CN" w:bidi="ar-SA"/>
    </w:rPr>
  </w:style>
  <w:style w:type="paragraph" w:customStyle="1" w:styleId="7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6">
    <w:name w:val="冯"/>
    <w:basedOn w:val="1"/>
    <w:link w:val="517"/>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7">
    <w:name w:val="样式3"/>
    <w:basedOn w:val="78"/>
    <w:autoRedefine/>
    <w:qFormat/>
    <w:uiPriority w:val="0"/>
    <w:pPr>
      <w:tabs>
        <w:tab w:val="left" w:pos="2790"/>
        <w:tab w:val="left" w:pos="4230"/>
      </w:tabs>
      <w:spacing w:beforeLines="100"/>
      <w:jc w:val="left"/>
    </w:pPr>
  </w:style>
  <w:style w:type="paragraph" w:customStyle="1" w:styleId="7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9">
    <w:name w:val="P1"/>
    <w:basedOn w:val="1"/>
    <w:autoRedefine/>
    <w:qFormat/>
    <w:uiPriority w:val="0"/>
    <w:pPr>
      <w:adjustRightInd/>
      <w:spacing w:line="288" w:lineRule="auto"/>
      <w:ind w:firstLine="425" w:firstLineChars="200"/>
    </w:pPr>
  </w:style>
  <w:style w:type="paragraph" w:customStyle="1" w:styleId="80">
    <w:name w:val="Char1 Char Char Char"/>
    <w:basedOn w:val="1"/>
    <w:autoRedefine/>
    <w:qFormat/>
    <w:uiPriority w:val="0"/>
    <w:rPr>
      <w:rFonts w:ascii="Tahoma" w:hAnsi="Tahoma"/>
      <w:sz w:val="24"/>
      <w:szCs w:val="20"/>
    </w:rPr>
  </w:style>
  <w:style w:type="paragraph" w:customStyle="1" w:styleId="8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2">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3">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4">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5">
    <w:name w:val="样式7"/>
    <w:basedOn w:val="86"/>
    <w:next w:val="1"/>
    <w:autoRedefine/>
    <w:qFormat/>
    <w:uiPriority w:val="0"/>
    <w:pPr>
      <w:spacing w:afterLines="50"/>
      <w:jc w:val="left"/>
      <w:outlineLvl w:val="3"/>
    </w:pPr>
    <w:rPr>
      <w:sz w:val="24"/>
      <w:szCs w:val="24"/>
    </w:rPr>
  </w:style>
  <w:style w:type="paragraph" w:customStyle="1" w:styleId="8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7">
    <w:name w:val="Bulleted List"/>
    <w:basedOn w:val="1"/>
    <w:autoRedefine/>
    <w:qFormat/>
    <w:uiPriority w:val="0"/>
    <w:pPr>
      <w:numPr>
        <w:ilvl w:val="1"/>
        <w:numId w:val="4"/>
      </w:numPr>
      <w:adjustRightInd/>
    </w:pPr>
  </w:style>
  <w:style w:type="paragraph" w:customStyle="1" w:styleId="88">
    <w:name w:val="Char3"/>
    <w:basedOn w:val="1"/>
    <w:autoRedefine/>
    <w:qFormat/>
    <w:uiPriority w:val="0"/>
    <w:pPr>
      <w:adjustRightInd/>
    </w:pPr>
    <w:rPr>
      <w:rFonts w:ascii="仿宋_GB2312" w:eastAsia="仿宋_GB2312"/>
      <w:b/>
      <w:sz w:val="32"/>
      <w:szCs w:val="32"/>
    </w:rPr>
  </w:style>
  <w:style w:type="paragraph" w:customStyle="1" w:styleId="89">
    <w:name w:val="Char Char1 Char Char Char Char Char Char"/>
    <w:basedOn w:val="1"/>
    <w:autoRedefine/>
    <w:qFormat/>
    <w:uiPriority w:val="0"/>
    <w:rPr>
      <w:rFonts w:ascii="仿宋_GB2312" w:eastAsia="仿宋_GB2312"/>
      <w:b/>
      <w:sz w:val="32"/>
      <w:szCs w:val="20"/>
    </w:rPr>
  </w:style>
  <w:style w:type="paragraph" w:customStyle="1" w:styleId="90">
    <w:name w:val="文本正文 Char"/>
    <w:basedOn w:val="1"/>
    <w:autoRedefine/>
    <w:qFormat/>
    <w:uiPriority w:val="0"/>
    <w:pPr>
      <w:spacing w:line="360" w:lineRule="auto"/>
      <w:ind w:firstLine="200" w:firstLineChars="200"/>
    </w:pPr>
    <w:rPr>
      <w:kern w:val="0"/>
      <w:sz w:val="24"/>
      <w:szCs w:val="20"/>
    </w:rPr>
  </w:style>
  <w:style w:type="paragraph" w:customStyle="1" w:styleId="9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2">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4">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9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6">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7">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8">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100">
    <w:name w:val="Char1"/>
    <w:basedOn w:val="1"/>
    <w:autoRedefine/>
    <w:qFormat/>
    <w:uiPriority w:val="0"/>
    <w:rPr>
      <w:rFonts w:ascii="仿宋_GB2312" w:eastAsia="仿宋_GB2312"/>
      <w:b/>
      <w:sz w:val="32"/>
      <w:szCs w:val="32"/>
    </w:rPr>
  </w:style>
  <w:style w:type="paragraph" w:customStyle="1" w:styleId="101">
    <w:name w:val="CM14"/>
    <w:basedOn w:val="73"/>
    <w:next w:val="73"/>
    <w:autoRedefine/>
    <w:qFormat/>
    <w:uiPriority w:val="0"/>
    <w:pPr>
      <w:spacing w:after="68"/>
    </w:pPr>
    <w:rPr>
      <w:rFonts w:ascii="FHLHE E+ Futura Bk" w:eastAsia="FHLHE E+ Futura Bk" w:cs="Times New Roman"/>
      <w:color w:val="auto"/>
    </w:rPr>
  </w:style>
  <w:style w:type="paragraph" w:customStyle="1" w:styleId="102">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7">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8">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109">
    <w:name w:val="Char2 Char Char Char"/>
    <w:basedOn w:val="1"/>
    <w:autoRedefine/>
    <w:qFormat/>
    <w:uiPriority w:val="0"/>
    <w:rPr>
      <w:rFonts w:ascii="仿宋_GB2312" w:eastAsia="仿宋_GB2312"/>
      <w:b/>
      <w:sz w:val="32"/>
      <w:szCs w:val="32"/>
    </w:rPr>
  </w:style>
  <w:style w:type="paragraph" w:customStyle="1" w:styleId="110">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1">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2">
    <w:name w:val="Char Char Char"/>
    <w:basedOn w:val="1"/>
    <w:autoRedefine/>
    <w:qFormat/>
    <w:uiPriority w:val="0"/>
    <w:rPr>
      <w:rFonts w:ascii="Tahoma" w:hAnsi="Tahoma"/>
      <w:sz w:val="24"/>
      <w:szCs w:val="20"/>
    </w:rPr>
  </w:style>
  <w:style w:type="paragraph" w:customStyle="1" w:styleId="1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4">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5">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6">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7">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8">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1">
    <w:name w:val="FA正文"/>
    <w:basedOn w:val="1"/>
    <w:autoRedefine/>
    <w:qFormat/>
    <w:uiPriority w:val="0"/>
    <w:pPr>
      <w:spacing w:line="360" w:lineRule="auto"/>
      <w:ind w:firstLine="480" w:firstLineChars="200"/>
    </w:pPr>
    <w:rPr>
      <w:rFonts w:hAnsi="宋体"/>
      <w:sz w:val="24"/>
      <w:szCs w:val="20"/>
    </w:rPr>
  </w:style>
  <w:style w:type="paragraph" w:customStyle="1" w:styleId="122">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3">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4">
    <w:name w:val="有符号正文"/>
    <w:basedOn w:val="1"/>
    <w:autoRedefine/>
    <w:qFormat/>
    <w:uiPriority w:val="0"/>
    <w:pPr>
      <w:adjustRightInd/>
      <w:spacing w:line="400" w:lineRule="exact"/>
      <w:ind w:firstLine="200" w:firstLineChars="200"/>
    </w:pPr>
    <w:rPr>
      <w:rFonts w:ascii="Arial" w:hAnsi="Arial"/>
    </w:rPr>
  </w:style>
  <w:style w:type="paragraph" w:customStyle="1" w:styleId="125">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6">
    <w:name w:val="默认段落字体 Para Char"/>
    <w:basedOn w:val="1"/>
    <w:autoRedefine/>
    <w:qFormat/>
    <w:uiPriority w:val="0"/>
    <w:rPr>
      <w:rFonts w:ascii="Tahoma" w:hAnsi="Tahoma"/>
      <w:sz w:val="24"/>
      <w:szCs w:val="20"/>
    </w:rPr>
  </w:style>
  <w:style w:type="paragraph" w:customStyle="1" w:styleId="127">
    <w:name w:val="Char1 Char Char Char2"/>
    <w:basedOn w:val="1"/>
    <w:autoRedefine/>
    <w:qFormat/>
    <w:uiPriority w:val="0"/>
    <w:pPr>
      <w:adjustRightInd/>
      <w:ind w:firstLine="200" w:firstLineChars="200"/>
    </w:pPr>
    <w:rPr>
      <w:rFonts w:ascii="Tahoma" w:hAnsi="Tahoma"/>
      <w:sz w:val="24"/>
      <w:szCs w:val="20"/>
    </w:rPr>
  </w:style>
  <w:style w:type="paragraph" w:customStyle="1" w:styleId="128">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9">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0">
    <w:name w:val="注释"/>
    <w:basedOn w:val="1"/>
    <w:autoRedefine/>
    <w:qFormat/>
    <w:uiPriority w:val="0"/>
    <w:pPr>
      <w:adjustRightInd/>
      <w:spacing w:line="360" w:lineRule="auto"/>
      <w:ind w:firstLine="480"/>
    </w:pPr>
    <w:rPr>
      <w:sz w:val="24"/>
    </w:rPr>
  </w:style>
  <w:style w:type="paragraph" w:customStyle="1" w:styleId="13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2">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3">
    <w:name w:val="trademark"/>
    <w:autoRedefine/>
    <w:qFormat/>
    <w:uiPriority w:val="0"/>
    <w:pPr>
      <w:spacing w:after="60"/>
    </w:pPr>
    <w:rPr>
      <w:rFonts w:ascii="Futura Bk" w:hAnsi="Futura Bk" w:eastAsia="宋体" w:cs="Times New Roman"/>
      <w:sz w:val="15"/>
      <w:lang w:val="en-US" w:eastAsia="en-US" w:bidi="ar-SA"/>
    </w:rPr>
  </w:style>
  <w:style w:type="paragraph" w:customStyle="1" w:styleId="134">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5">
    <w:name w:val="EB_表格"/>
    <w:basedOn w:val="1"/>
    <w:autoRedefine/>
    <w:qFormat/>
    <w:uiPriority w:val="0"/>
    <w:pPr>
      <w:adjustRightInd/>
      <w:spacing w:line="300" w:lineRule="auto"/>
      <w:jc w:val="center"/>
    </w:pPr>
  </w:style>
  <w:style w:type="paragraph" w:customStyle="1" w:styleId="136">
    <w:name w:val="Char Char Char1 Char"/>
    <w:basedOn w:val="1"/>
    <w:autoRedefine/>
    <w:qFormat/>
    <w:uiPriority w:val="0"/>
    <w:rPr>
      <w:szCs w:val="20"/>
    </w:rPr>
  </w:style>
  <w:style w:type="paragraph" w:customStyle="1" w:styleId="13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9">
    <w:name w:val="章标题"/>
    <w:next w:val="140"/>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1">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142">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4">
    <w:name w:val="表文字"/>
    <w:autoRedefine/>
    <w:qFormat/>
    <w:uiPriority w:val="0"/>
    <w:rPr>
      <w:rFonts w:ascii="宋体" w:hAnsi="Times New Roman" w:eastAsia="宋体" w:cs="Times New Roman"/>
      <w:kern w:val="2"/>
      <w:lang w:val="en-US" w:eastAsia="zh-CN" w:bidi="ar-SA"/>
    </w:rPr>
  </w:style>
  <w:style w:type="paragraph" w:customStyle="1" w:styleId="145">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6">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8">
    <w:name w:val="列表内容"/>
    <w:basedOn w:val="1"/>
    <w:next w:val="1"/>
    <w:autoRedefine/>
    <w:qFormat/>
    <w:uiPriority w:val="0"/>
    <w:pPr>
      <w:widowControl/>
      <w:tabs>
        <w:tab w:val="left" w:pos="840"/>
      </w:tabs>
      <w:ind w:left="840" w:hanging="420"/>
      <w:jc w:val="left"/>
    </w:pPr>
    <w:rPr>
      <w:kern w:val="0"/>
      <w:sz w:val="18"/>
    </w:rPr>
  </w:style>
  <w:style w:type="paragraph" w:customStyle="1" w:styleId="14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50">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1">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2">
    <w:name w:val="Char2 Char Char"/>
    <w:basedOn w:val="1"/>
    <w:autoRedefine/>
    <w:qFormat/>
    <w:uiPriority w:val="0"/>
    <w:pPr>
      <w:adjustRightInd/>
    </w:pPr>
    <w:rPr>
      <w:rFonts w:ascii="Tahoma" w:hAnsi="Tahoma"/>
      <w:sz w:val="24"/>
      <w:szCs w:val="20"/>
    </w:rPr>
  </w:style>
  <w:style w:type="paragraph" w:customStyle="1" w:styleId="15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4">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7">
    <w:name w:val="Char Char1 Char Char Char"/>
    <w:basedOn w:val="1"/>
    <w:autoRedefine/>
    <w:qFormat/>
    <w:uiPriority w:val="0"/>
    <w:rPr>
      <w:rFonts w:ascii="仿宋_GB2312" w:eastAsia="仿宋_GB2312"/>
      <w:b/>
      <w:sz w:val="32"/>
      <w:szCs w:val="20"/>
    </w:rPr>
  </w:style>
  <w:style w:type="paragraph" w:customStyle="1" w:styleId="158">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9">
    <w:name w:val="WW-正文文字缩进 2"/>
    <w:basedOn w:val="1"/>
    <w:autoRedefine/>
    <w:qFormat/>
    <w:uiPriority w:val="0"/>
    <w:pPr>
      <w:suppressAutoHyphens/>
      <w:adjustRightInd/>
      <w:ind w:firstLine="420"/>
    </w:pPr>
    <w:rPr>
      <w:kern w:val="1"/>
      <w:szCs w:val="20"/>
    </w:rPr>
  </w:style>
  <w:style w:type="paragraph" w:customStyle="1" w:styleId="16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2">
    <w:name w:val="默认段落字体 Para Char Char Char Char"/>
    <w:basedOn w:val="1"/>
    <w:autoRedefine/>
    <w:qFormat/>
    <w:uiPriority w:val="0"/>
    <w:pPr>
      <w:spacing w:line="360" w:lineRule="auto"/>
    </w:pPr>
    <w:rPr>
      <w:szCs w:val="20"/>
    </w:rPr>
  </w:style>
  <w:style w:type="paragraph" w:customStyle="1" w:styleId="163">
    <w:name w:val="Char Char11 Char Char Char"/>
    <w:basedOn w:val="1"/>
    <w:autoRedefine/>
    <w:qFormat/>
    <w:uiPriority w:val="0"/>
    <w:pPr>
      <w:spacing w:line="360" w:lineRule="auto"/>
    </w:pPr>
    <w:rPr>
      <w:szCs w:val="20"/>
    </w:rPr>
  </w:style>
  <w:style w:type="paragraph" w:customStyle="1" w:styleId="16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6">
    <w:name w:val="左对齐表格文字"/>
    <w:basedOn w:val="1"/>
    <w:autoRedefine/>
    <w:qFormat/>
    <w:uiPriority w:val="0"/>
    <w:pPr>
      <w:adjustRightInd/>
      <w:ind w:firstLine="200" w:firstLineChars="200"/>
      <w:jc w:val="right"/>
    </w:pPr>
  </w:style>
  <w:style w:type="paragraph" w:customStyle="1" w:styleId="167">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8">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9">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170">
    <w:name w:val="无间隔1"/>
    <w:link w:val="532"/>
    <w:autoRedefine/>
    <w:qFormat/>
    <w:uiPriority w:val="1"/>
    <w:rPr>
      <w:rFonts w:ascii="Calibri" w:hAnsi="Calibri" w:eastAsia="宋体" w:cs="Times New Roman"/>
      <w:sz w:val="22"/>
      <w:szCs w:val="22"/>
      <w:lang w:val="en-US" w:eastAsia="zh-CN" w:bidi="ar-SA"/>
    </w:rPr>
  </w:style>
  <w:style w:type="paragraph" w:customStyle="1" w:styleId="171">
    <w:name w:val="样式 样式 标题 4h4H4Fab-4T5Ref Heading 1rh1Heading sqlsect 1.2.3.... +..."/>
    <w:basedOn w:val="172"/>
    <w:link w:val="610"/>
    <w:autoRedefine/>
    <w:qFormat/>
    <w:uiPriority w:val="0"/>
    <w:pPr>
      <w:tabs>
        <w:tab w:val="left" w:pos="2356"/>
      </w:tabs>
    </w:pPr>
  </w:style>
  <w:style w:type="paragraph" w:customStyle="1" w:styleId="172">
    <w:name w:val="样式 标题 4h4H4Fab-4T5Ref Heading 1rh1Heading sqlsect 1.2.3...."/>
    <w:basedOn w:val="5"/>
    <w:link w:val="560"/>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3">
    <w:name w:val="四级条标题"/>
    <w:basedOn w:val="174"/>
    <w:next w:val="140"/>
    <w:autoRedefine/>
    <w:qFormat/>
    <w:uiPriority w:val="0"/>
    <w:pPr>
      <w:numPr>
        <w:ilvl w:val="5"/>
        <w:numId w:val="4"/>
      </w:numPr>
      <w:tabs>
        <w:tab w:val="left" w:pos="1680"/>
        <w:tab w:val="left" w:pos="2100"/>
        <w:tab w:val="left" w:pos="2520"/>
      </w:tabs>
      <w:outlineLvl w:val="5"/>
    </w:pPr>
  </w:style>
  <w:style w:type="paragraph" w:customStyle="1" w:styleId="174">
    <w:name w:val="三级条标题"/>
    <w:basedOn w:val="175"/>
    <w:next w:val="140"/>
    <w:autoRedefine/>
    <w:qFormat/>
    <w:uiPriority w:val="0"/>
    <w:pPr>
      <w:numPr>
        <w:ilvl w:val="0"/>
        <w:numId w:val="0"/>
      </w:numPr>
      <w:tabs>
        <w:tab w:val="left" w:pos="1680"/>
        <w:tab w:val="left" w:pos="2100"/>
        <w:tab w:val="left" w:pos="2520"/>
      </w:tabs>
      <w:ind w:left="2520" w:hanging="420"/>
      <w:outlineLvl w:val="4"/>
    </w:pPr>
  </w:style>
  <w:style w:type="paragraph" w:customStyle="1" w:styleId="175">
    <w:name w:val="二级条标题"/>
    <w:basedOn w:val="176"/>
    <w:next w:val="140"/>
    <w:autoRedefine/>
    <w:qFormat/>
    <w:uiPriority w:val="0"/>
    <w:pPr>
      <w:numPr>
        <w:ilvl w:val="3"/>
        <w:numId w:val="4"/>
      </w:numPr>
      <w:tabs>
        <w:tab w:val="left" w:pos="1680"/>
      </w:tabs>
      <w:ind w:left="0"/>
      <w:outlineLvl w:val="3"/>
    </w:pPr>
  </w:style>
  <w:style w:type="paragraph" w:customStyle="1" w:styleId="176">
    <w:name w:val="一级条标题"/>
    <w:basedOn w:val="139"/>
    <w:next w:val="140"/>
    <w:autoRedefine/>
    <w:qFormat/>
    <w:uiPriority w:val="0"/>
    <w:pPr>
      <w:tabs>
        <w:tab w:val="left" w:pos="1680"/>
        <w:tab w:val="clear" w:pos="1260"/>
      </w:tabs>
      <w:spacing w:beforeLines="0" w:afterLines="0"/>
      <w:ind w:left="1680"/>
      <w:outlineLvl w:val="2"/>
    </w:pPr>
  </w:style>
  <w:style w:type="paragraph" w:customStyle="1" w:styleId="17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8">
    <w:name w:val="标准小四"/>
    <w:basedOn w:val="1"/>
    <w:autoRedefine/>
    <w:qFormat/>
    <w:uiPriority w:val="0"/>
    <w:pPr>
      <w:spacing w:line="360" w:lineRule="auto"/>
      <w:ind w:firstLine="480" w:firstLineChars="200"/>
    </w:pPr>
    <w:rPr>
      <w:rFonts w:ascii="Arial" w:hAnsi="Arial"/>
      <w:sz w:val="24"/>
      <w:szCs w:val="21"/>
    </w:rPr>
  </w:style>
  <w:style w:type="paragraph" w:customStyle="1" w:styleId="179">
    <w:name w:val="表格"/>
    <w:basedOn w:val="1"/>
    <w:autoRedefine/>
    <w:qFormat/>
    <w:uiPriority w:val="0"/>
    <w:pPr>
      <w:snapToGrid w:val="0"/>
      <w:ind w:firstLine="42" w:firstLineChars="21"/>
    </w:pPr>
    <w:rPr>
      <w:rFonts w:ascii="宋体" w:hAnsi="宋体"/>
      <w:kern w:val="0"/>
      <w:sz w:val="20"/>
      <w:szCs w:val="20"/>
    </w:rPr>
  </w:style>
  <w:style w:type="paragraph" w:customStyle="1" w:styleId="180">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1">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4">
    <w:name w:val="Char2 Char Char Char1"/>
    <w:basedOn w:val="1"/>
    <w:autoRedefine/>
    <w:qFormat/>
    <w:uiPriority w:val="0"/>
    <w:rPr>
      <w:rFonts w:ascii="仿宋_GB2312" w:eastAsia="仿宋_GB2312"/>
      <w:b/>
      <w:sz w:val="32"/>
      <w:szCs w:val="32"/>
    </w:rPr>
  </w:style>
  <w:style w:type="paragraph" w:customStyle="1" w:styleId="1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8">
    <w:name w:val="Char2"/>
    <w:basedOn w:val="1"/>
    <w:autoRedefine/>
    <w:qFormat/>
    <w:uiPriority w:val="0"/>
    <w:rPr>
      <w:rFonts w:ascii="仿宋_GB2312" w:eastAsia="仿宋_GB2312"/>
      <w:b/>
      <w:sz w:val="32"/>
      <w:szCs w:val="32"/>
    </w:rPr>
  </w:style>
  <w:style w:type="paragraph" w:customStyle="1" w:styleId="18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0">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2">
    <w:name w:val="Char Char Char Char Char Char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3">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4">
    <w:name w:val="Char Char4 Char Char"/>
    <w:basedOn w:val="1"/>
    <w:autoRedefine/>
    <w:qFormat/>
    <w:uiPriority w:val="0"/>
    <w:pPr>
      <w:widowControl/>
      <w:adjustRightInd/>
      <w:spacing w:after="160" w:line="240" w:lineRule="exact"/>
      <w:jc w:val="left"/>
    </w:pPr>
  </w:style>
  <w:style w:type="paragraph" w:customStyle="1" w:styleId="195">
    <w:name w:val="Char2 Char Char1"/>
    <w:basedOn w:val="1"/>
    <w:autoRedefine/>
    <w:qFormat/>
    <w:uiPriority w:val="0"/>
    <w:pPr>
      <w:adjustRightInd/>
    </w:pPr>
    <w:rPr>
      <w:rFonts w:ascii="Tahoma" w:hAnsi="Tahoma"/>
      <w:sz w:val="24"/>
      <w:szCs w:val="20"/>
    </w:rPr>
  </w:style>
  <w:style w:type="paragraph" w:customStyle="1" w:styleId="196">
    <w:name w:val="默认段落字体 Para Char Char Char Char Char Char Char"/>
    <w:basedOn w:val="1"/>
    <w:autoRedefine/>
    <w:qFormat/>
    <w:uiPriority w:val="0"/>
    <w:rPr>
      <w:rFonts w:eastAsia="仿宋_GB2312"/>
      <w:sz w:val="28"/>
      <w:szCs w:val="20"/>
    </w:rPr>
  </w:style>
  <w:style w:type="paragraph" w:customStyle="1" w:styleId="197">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8">
    <w:name w:val="正文21"/>
    <w:basedOn w:val="1"/>
    <w:autoRedefine/>
    <w:qFormat/>
    <w:uiPriority w:val="0"/>
    <w:pPr>
      <w:adjustRightInd/>
      <w:spacing w:before="156" w:line="360" w:lineRule="auto"/>
      <w:ind w:firstLine="510" w:firstLineChars="200"/>
    </w:pPr>
    <w:rPr>
      <w:sz w:val="24"/>
      <w:szCs w:val="20"/>
    </w:rPr>
  </w:style>
  <w:style w:type="paragraph" w:customStyle="1" w:styleId="199">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200">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201">
    <w:name w:val="标题五"/>
    <w:basedOn w:val="1"/>
    <w:autoRedefine/>
    <w:qFormat/>
    <w:uiPriority w:val="0"/>
    <w:pPr>
      <w:adjustRightInd/>
      <w:spacing w:beforeLines="50" w:line="360" w:lineRule="auto"/>
    </w:pPr>
    <w:rPr>
      <w:b/>
      <w:sz w:val="24"/>
    </w:rPr>
  </w:style>
  <w:style w:type="paragraph" w:customStyle="1" w:styleId="202">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3">
    <w:name w:val="Char Char11"/>
    <w:basedOn w:val="1"/>
    <w:autoRedefine/>
    <w:qFormat/>
    <w:uiPriority w:val="0"/>
    <w:pPr>
      <w:spacing w:line="360" w:lineRule="auto"/>
    </w:pPr>
    <w:rPr>
      <w:szCs w:val="20"/>
    </w:rPr>
  </w:style>
  <w:style w:type="paragraph" w:customStyle="1" w:styleId="20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6">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Char Char1 Char Char Char1"/>
    <w:basedOn w:val="1"/>
    <w:qFormat/>
    <w:uiPriority w:val="0"/>
    <w:rPr>
      <w:rFonts w:ascii="仿宋_GB2312" w:eastAsia="仿宋_GB2312"/>
      <w:b/>
      <w:sz w:val="32"/>
      <w:szCs w:val="32"/>
    </w:rPr>
  </w:style>
  <w:style w:type="paragraph" w:customStyle="1" w:styleId="211">
    <w:name w:val="样式 标题 4PIM 4H4h4bulletblbbH41H42H43H44H45H46H47H48...1"/>
    <w:basedOn w:val="5"/>
    <w:qFormat/>
    <w:uiPriority w:val="0"/>
    <w:pPr>
      <w:widowControl/>
      <w:jc w:val="left"/>
    </w:pPr>
    <w:rPr>
      <w:rFonts w:cs="宋体"/>
      <w:sz w:val="24"/>
      <w:szCs w:val="20"/>
    </w:rPr>
  </w:style>
  <w:style w:type="paragraph" w:customStyle="1" w:styleId="21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3">
    <w:name w:val="表格标题2"/>
    <w:basedOn w:val="214"/>
    <w:qFormat/>
    <w:uiPriority w:val="0"/>
    <w:rPr>
      <w:b/>
    </w:rPr>
  </w:style>
  <w:style w:type="paragraph" w:customStyle="1" w:styleId="214">
    <w:name w:val="表格内文"/>
    <w:basedOn w:val="1"/>
    <w:qFormat/>
    <w:uiPriority w:val="0"/>
    <w:pPr>
      <w:adjustRightInd/>
      <w:spacing w:line="360" w:lineRule="auto"/>
    </w:pPr>
    <w:rPr>
      <w:rFonts w:ascii="宋体" w:hAnsi="宋体" w:cs="宋体"/>
      <w:color w:val="000000"/>
      <w:szCs w:val="20"/>
    </w:rPr>
  </w:style>
  <w:style w:type="paragraph" w:customStyle="1" w:styleId="215">
    <w:name w:val="Char Char Char Char Char Char Char"/>
    <w:basedOn w:val="1"/>
    <w:qFormat/>
    <w:uiPriority w:val="0"/>
    <w:rPr>
      <w:rFonts w:ascii="仿宋_GB2312" w:eastAsia="仿宋_GB2312"/>
      <w:b/>
      <w:sz w:val="32"/>
      <w:szCs w:val="32"/>
    </w:rPr>
  </w:style>
  <w:style w:type="paragraph" w:customStyle="1" w:styleId="21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7">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9">
    <w:name w:val="列出段落2"/>
    <w:basedOn w:val="1"/>
    <w:qFormat/>
    <w:uiPriority w:val="0"/>
    <w:pPr>
      <w:adjustRightInd/>
      <w:ind w:firstLine="420" w:firstLineChars="200"/>
    </w:pPr>
    <w:rPr>
      <w:rFonts w:ascii="宋体" w:hAnsi="宋体"/>
      <w:sz w:val="24"/>
    </w:rPr>
  </w:style>
  <w:style w:type="paragraph" w:customStyle="1" w:styleId="22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1">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3">
    <w:name w:val="正文 首行缩进:  2 字符 Char"/>
    <w:basedOn w:val="1"/>
    <w:qFormat/>
    <w:uiPriority w:val="0"/>
    <w:pPr>
      <w:adjustRightInd/>
      <w:spacing w:line="360" w:lineRule="auto"/>
      <w:ind w:firstLine="480"/>
    </w:pPr>
    <w:rPr>
      <w:rFonts w:cs="宋体"/>
      <w:sz w:val="24"/>
      <w:szCs w:val="20"/>
    </w:rPr>
  </w:style>
  <w:style w:type="paragraph" w:customStyle="1" w:styleId="2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5">
    <w:name w:val="Table Text"/>
    <w:basedOn w:val="1"/>
    <w:qFormat/>
    <w:uiPriority w:val="0"/>
    <w:pPr>
      <w:widowControl/>
      <w:spacing w:before="60" w:after="60"/>
      <w:jc w:val="left"/>
    </w:pPr>
    <w:rPr>
      <w:kern w:val="0"/>
      <w:sz w:val="24"/>
    </w:rPr>
  </w:style>
  <w:style w:type="paragraph" w:customStyle="1" w:styleId="22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8">
    <w:name w:val="Char Char Char Char Char Char Char Char Char Char"/>
    <w:basedOn w:val="1"/>
    <w:qFormat/>
    <w:uiPriority w:val="0"/>
    <w:rPr>
      <w:rFonts w:ascii="仿宋_GB2312" w:eastAsia="仿宋_GB2312"/>
      <w:b/>
      <w:sz w:val="32"/>
      <w:szCs w:val="32"/>
    </w:rPr>
  </w:style>
  <w:style w:type="paragraph" w:customStyle="1" w:styleId="22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0">
    <w:name w:val="正文文字表格居中"/>
    <w:basedOn w:val="1"/>
    <w:next w:val="55"/>
    <w:qFormat/>
    <w:uiPriority w:val="0"/>
    <w:pPr>
      <w:snapToGrid w:val="0"/>
      <w:spacing w:line="360" w:lineRule="auto"/>
    </w:pPr>
    <w:rPr>
      <w:rFonts w:ascii="宋体"/>
      <w:b/>
      <w:sz w:val="24"/>
      <w:szCs w:val="20"/>
    </w:rPr>
  </w:style>
  <w:style w:type="paragraph" w:customStyle="1" w:styleId="231">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23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5">
    <w:name w:val="Char"/>
    <w:basedOn w:val="1"/>
    <w:qFormat/>
    <w:uiPriority w:val="0"/>
    <w:rPr>
      <w:rFonts w:ascii="仿宋_GB2312" w:eastAsia="仿宋_GB2312"/>
      <w:b/>
      <w:sz w:val="32"/>
      <w:szCs w:val="32"/>
    </w:rPr>
  </w:style>
  <w:style w:type="paragraph" w:customStyle="1" w:styleId="236">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7">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8">
    <w:name w:val="Char31"/>
    <w:basedOn w:val="1"/>
    <w:qFormat/>
    <w:uiPriority w:val="0"/>
    <w:pPr>
      <w:adjustRightInd/>
      <w:ind w:firstLine="200" w:firstLineChars="200"/>
    </w:pPr>
    <w:rPr>
      <w:rFonts w:ascii="Tahoma" w:hAnsi="Tahoma"/>
      <w:sz w:val="24"/>
      <w:szCs w:val="20"/>
    </w:rPr>
  </w:style>
  <w:style w:type="paragraph" w:customStyle="1" w:styleId="239">
    <w:name w:val="Char Char11 Char Char Char1"/>
    <w:basedOn w:val="1"/>
    <w:qFormat/>
    <w:uiPriority w:val="0"/>
    <w:pPr>
      <w:spacing w:line="360" w:lineRule="auto"/>
    </w:pPr>
    <w:rPr>
      <w:szCs w:val="20"/>
    </w:rPr>
  </w:style>
  <w:style w:type="paragraph" w:customStyle="1" w:styleId="24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1">
    <w:name w:val="_Style 236"/>
    <w:qFormat/>
    <w:uiPriority w:val="0"/>
    <w:rPr>
      <w:rFonts w:ascii="Times New Roman" w:hAnsi="Times New Roman" w:eastAsia="宋体" w:cs="Times New Roman"/>
      <w:kern w:val="2"/>
      <w:sz w:val="21"/>
      <w:lang w:val="en-US" w:eastAsia="zh-CN" w:bidi="ar-SA"/>
    </w:rPr>
  </w:style>
  <w:style w:type="paragraph" w:customStyle="1" w:styleId="2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4">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7">
    <w:name w:val="文章标题"/>
    <w:next w:val="18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8">
    <w:name w:val="4"/>
    <w:basedOn w:val="1"/>
    <w:next w:val="38"/>
    <w:qFormat/>
    <w:uiPriority w:val="0"/>
    <w:pPr>
      <w:spacing w:after="120" w:line="480" w:lineRule="auto"/>
      <w:ind w:left="420" w:leftChars="200"/>
    </w:pPr>
    <w:rPr>
      <w:sz w:val="24"/>
      <w:szCs w:val="20"/>
    </w:rPr>
  </w:style>
  <w:style w:type="paragraph" w:customStyle="1" w:styleId="24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qFormat/>
    <w:uiPriority w:val="0"/>
    <w:pPr>
      <w:adjustRightInd/>
    </w:pPr>
    <w:rPr>
      <w:rFonts w:ascii="Tahoma" w:hAnsi="Tahoma"/>
      <w:sz w:val="24"/>
    </w:rPr>
  </w:style>
  <w:style w:type="paragraph" w:customStyle="1" w:styleId="25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2">
    <w:name w:val="标书表格字体格式"/>
    <w:next w:val="156"/>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3"/>
    <w:next w:val="1"/>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90"/>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73"/>
    <w:next w:val="73"/>
    <w:qFormat/>
    <w:uiPriority w:val="0"/>
    <w:rPr>
      <w:rFonts w:ascii="宋体" w:eastAsia="宋体" w:cs="Times New Roman"/>
      <w:color w:val="auto"/>
    </w:rPr>
  </w:style>
  <w:style w:type="paragraph" w:customStyle="1" w:styleId="258">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60">
    <w:name w:val="Char5"/>
    <w:basedOn w:val="1"/>
    <w:qFormat/>
    <w:uiPriority w:val="0"/>
    <w:rPr>
      <w:rFonts w:ascii="仿宋_GB2312" w:eastAsia="仿宋_GB2312"/>
      <w:b/>
      <w:sz w:val="32"/>
      <w:szCs w:val="32"/>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qFormat/>
    <w:uiPriority w:val="0"/>
    <w:rPr>
      <w:rFonts w:ascii="仿宋_GB2312" w:eastAsia="仿宋_GB2312"/>
      <w:b/>
      <w:sz w:val="32"/>
      <w:szCs w:val="20"/>
    </w:rPr>
  </w:style>
  <w:style w:type="paragraph" w:customStyle="1" w:styleId="269">
    <w:name w:val="Char Char Char Char Char Char Char Char Char Char Char Char1 Char"/>
    <w:basedOn w:val="1"/>
    <w:qFormat/>
    <w:uiPriority w:val="0"/>
    <w:rPr>
      <w:rFonts w:ascii="Tahoma" w:hAnsi="Tahoma" w:cs="仿宋_GB2312"/>
      <w:sz w:val="24"/>
      <w:szCs w:val="20"/>
    </w:rPr>
  </w:style>
  <w:style w:type="paragraph" w:customStyle="1" w:styleId="27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2">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qFormat/>
    <w:uiPriority w:val="0"/>
    <w:pPr>
      <w:adjustRightInd/>
      <w:ind w:left="420" w:leftChars="200"/>
      <w:jc w:val="left"/>
    </w:pPr>
    <w:rPr>
      <w:sz w:val="28"/>
      <w:szCs w:val="20"/>
      <w:lang w:eastAsia="zh-TW"/>
    </w:rPr>
  </w:style>
  <w:style w:type="paragraph" w:customStyle="1" w:styleId="275">
    <w:name w:val="Char1 Char Char Char3"/>
    <w:basedOn w:val="1"/>
    <w:qFormat/>
    <w:uiPriority w:val="0"/>
    <w:pPr>
      <w:adjustRightInd/>
      <w:ind w:firstLine="200" w:firstLineChars="200"/>
    </w:pPr>
    <w:rPr>
      <w:rFonts w:ascii="Tahoma" w:hAnsi="Tahoma"/>
      <w:sz w:val="24"/>
      <w:szCs w:val="20"/>
    </w:rPr>
  </w:style>
  <w:style w:type="paragraph" w:customStyle="1" w:styleId="276">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qFormat/>
    <w:uiPriority w:val="0"/>
    <w:rPr>
      <w:rFonts w:ascii="Tahoma" w:hAnsi="Tahoma" w:cs="仿宋_GB2312"/>
      <w:sz w:val="24"/>
      <w:szCs w:val="20"/>
    </w:rPr>
  </w:style>
  <w:style w:type="paragraph" w:customStyle="1" w:styleId="278">
    <w:name w:val="Char Char1 Char1"/>
    <w:basedOn w:val="1"/>
    <w:qFormat/>
    <w:uiPriority w:val="0"/>
    <w:rPr>
      <w:rFonts w:ascii="仿宋_GB2312" w:eastAsia="仿宋_GB2312"/>
      <w:b/>
      <w:sz w:val="32"/>
      <w:szCs w:val="32"/>
    </w:rPr>
  </w:style>
  <w:style w:type="paragraph" w:customStyle="1" w:styleId="279">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qFormat/>
    <w:uiPriority w:val="0"/>
    <w:pPr>
      <w:widowControl/>
      <w:spacing w:after="160" w:line="240" w:lineRule="exact"/>
      <w:jc w:val="left"/>
    </w:pPr>
    <w:rPr>
      <w:rFonts w:eastAsia="仿宋_GB2312"/>
      <w:sz w:val="28"/>
    </w:rPr>
  </w:style>
  <w:style w:type="paragraph" w:customStyle="1" w:styleId="283">
    <w:name w:val="单元格居中"/>
    <w:basedOn w:val="1"/>
    <w:qFormat/>
    <w:uiPriority w:val="0"/>
    <w:pPr>
      <w:adjustRightInd/>
      <w:spacing w:line="360" w:lineRule="auto"/>
      <w:jc w:val="center"/>
    </w:pPr>
    <w:rPr>
      <w:sz w:val="24"/>
    </w:rPr>
  </w:style>
  <w:style w:type="paragraph" w:customStyle="1" w:styleId="28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qFormat/>
    <w:uiPriority w:val="0"/>
    <w:pPr>
      <w:adjustRightInd/>
    </w:p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qFormat/>
    <w:uiPriority w:val="0"/>
    <w:rPr>
      <w:rFonts w:ascii="仿宋_GB2312" w:eastAsia="仿宋_GB2312"/>
      <w:b/>
      <w:sz w:val="32"/>
      <w:szCs w:val="32"/>
    </w:rPr>
  </w:style>
  <w:style w:type="paragraph" w:customStyle="1" w:styleId="2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qFormat/>
    <w:uiPriority w:val="0"/>
    <w:pPr>
      <w:spacing w:line="240" w:lineRule="atLeast"/>
      <w:ind w:left="420" w:firstLine="420"/>
    </w:pPr>
    <w:rPr>
      <w:sz w:val="24"/>
    </w:rPr>
  </w:style>
  <w:style w:type="paragraph" w:styleId="29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qFormat/>
    <w:uiPriority w:val="0"/>
    <w:pPr>
      <w:adjustRightInd/>
      <w:ind w:firstLine="200" w:firstLineChars="200"/>
    </w:pPr>
    <w:rPr>
      <w:rFonts w:ascii="Tahoma" w:hAnsi="Tahoma"/>
      <w:sz w:val="24"/>
      <w:szCs w:val="20"/>
    </w:rPr>
  </w:style>
  <w:style w:type="paragraph" w:customStyle="1" w:styleId="300">
    <w:name w:val="Char Char Char Char Char Char Char1"/>
    <w:basedOn w:val="1"/>
    <w:qFormat/>
    <w:uiPriority w:val="0"/>
    <w:rPr>
      <w:rFonts w:ascii="仿宋_GB2312" w:eastAsia="仿宋_GB2312"/>
      <w:b/>
      <w:sz w:val="32"/>
      <w:szCs w:val="32"/>
    </w:rPr>
  </w:style>
  <w:style w:type="paragraph" w:customStyle="1" w:styleId="30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qFormat/>
    <w:uiPriority w:val="0"/>
    <w:pPr>
      <w:adjustRightInd/>
      <w:spacing w:line="360" w:lineRule="auto"/>
    </w:pPr>
    <w:rPr>
      <w:rFonts w:ascii="宋体" w:hAnsi="宋体"/>
      <w:szCs w:val="20"/>
    </w:rPr>
  </w:style>
  <w:style w:type="paragraph" w:customStyle="1" w:styleId="30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首行缩进"/>
    <w:basedOn w:val="1"/>
    <w:qFormat/>
    <w:uiPriority w:val="0"/>
    <w:pPr>
      <w:spacing w:line="360" w:lineRule="auto"/>
      <w:ind w:firstLine="480" w:firstLineChars="200"/>
    </w:pPr>
    <w:rPr>
      <w:rFonts w:ascii="宋体"/>
      <w:sz w:val="24"/>
      <w:szCs w:val="20"/>
    </w:rPr>
  </w:style>
  <w:style w:type="paragraph" w:customStyle="1" w:styleId="308">
    <w:name w:val="Char1 Char Char Char1"/>
    <w:basedOn w:val="1"/>
    <w:qFormat/>
    <w:uiPriority w:val="0"/>
    <w:pPr>
      <w:adjustRightInd/>
      <w:ind w:firstLine="200" w:firstLineChars="200"/>
    </w:pPr>
    <w:rPr>
      <w:rFonts w:ascii="Tahoma" w:hAnsi="Tahoma"/>
      <w:sz w:val="24"/>
      <w:szCs w:val="20"/>
    </w:rPr>
  </w:style>
  <w:style w:type="paragraph" w:customStyle="1" w:styleId="309">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1">
    <w:name w:val="样式 样式2 + 左侧:  1 字符 右侧:  1 字符"/>
    <w:basedOn w:val="7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2">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4">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5">
    <w:name w:val="List Paragraph1"/>
    <w:basedOn w:val="1"/>
    <w:qFormat/>
    <w:uiPriority w:val="34"/>
    <w:pPr>
      <w:spacing w:line="360" w:lineRule="auto"/>
      <w:ind w:firstLine="200" w:firstLineChars="200"/>
    </w:pPr>
    <w:rPr>
      <w:rFonts w:eastAsia="楷体_GB2312" w:cs="Lucida Sans"/>
      <w:sz w:val="24"/>
    </w:rPr>
  </w:style>
  <w:style w:type="paragraph" w:customStyle="1" w:styleId="31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9">
    <w:name w:val="Char Char11 Char Char Char Char Char Char Char Char Char1"/>
    <w:basedOn w:val="1"/>
    <w:qFormat/>
    <w:uiPriority w:val="0"/>
    <w:pPr>
      <w:spacing w:line="360" w:lineRule="auto"/>
    </w:pPr>
    <w:rPr>
      <w:szCs w:val="20"/>
    </w:rPr>
  </w:style>
  <w:style w:type="paragraph" w:customStyle="1" w:styleId="32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项目2"/>
    <w:basedOn w:val="322"/>
    <w:qFormat/>
    <w:uiPriority w:val="0"/>
    <w:pPr>
      <w:numPr>
        <w:ilvl w:val="0"/>
        <w:numId w:val="6"/>
      </w:numPr>
      <w:tabs>
        <w:tab w:val="left" w:pos="840"/>
      </w:tabs>
      <w:spacing w:after="0"/>
    </w:pPr>
  </w:style>
  <w:style w:type="paragraph" w:customStyle="1" w:styleId="32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3">
    <w:name w:val="Char Char Char1 Char1"/>
    <w:basedOn w:val="1"/>
    <w:qFormat/>
    <w:uiPriority w:val="0"/>
    <w:rPr>
      <w:szCs w:val="20"/>
    </w:rPr>
  </w:style>
  <w:style w:type="paragraph" w:customStyle="1" w:styleId="32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6">
    <w:name w:val="封面"/>
    <w:basedOn w:val="1"/>
    <w:qFormat/>
    <w:uiPriority w:val="0"/>
    <w:pPr>
      <w:spacing w:line="360" w:lineRule="atLeast"/>
      <w:jc w:val="right"/>
      <w:textAlignment w:val="baseline"/>
    </w:pPr>
    <w:rPr>
      <w:rFonts w:ascii="Symbol" w:hAnsi="Symbol"/>
      <w:kern w:val="0"/>
      <w:szCs w:val="20"/>
    </w:rPr>
  </w:style>
  <w:style w:type="paragraph" w:customStyle="1" w:styleId="327">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8">
    <w:name w:val="数字标题3"/>
    <w:basedOn w:val="4"/>
    <w:next w:val="1"/>
    <w:qFormat/>
    <w:uiPriority w:val="0"/>
    <w:pPr>
      <w:numPr>
        <w:numId w:val="0"/>
      </w:numPr>
      <w:spacing w:line="240" w:lineRule="auto"/>
    </w:pPr>
    <w:rPr>
      <w:sz w:val="28"/>
      <w:szCs w:val="28"/>
    </w:rPr>
  </w:style>
  <w:style w:type="paragraph" w:customStyle="1" w:styleId="32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1">
    <w:name w:val="正文（首行缩进2字符）"/>
    <w:basedOn w:val="1"/>
    <w:qFormat/>
    <w:uiPriority w:val="0"/>
    <w:pPr>
      <w:adjustRightInd/>
      <w:spacing w:line="360" w:lineRule="auto"/>
      <w:ind w:firstLine="480" w:firstLineChars="200"/>
    </w:pPr>
    <w:rPr>
      <w:sz w:val="24"/>
      <w:szCs w:val="20"/>
    </w:rPr>
  </w:style>
  <w:style w:type="paragraph" w:customStyle="1" w:styleId="3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3">
    <w:name w:val="正文段"/>
    <w:basedOn w:val="1"/>
    <w:qFormat/>
    <w:uiPriority w:val="0"/>
    <w:pPr>
      <w:widowControl/>
      <w:snapToGrid w:val="0"/>
      <w:spacing w:afterLines="50"/>
      <w:ind w:firstLine="200" w:firstLineChars="200"/>
    </w:pPr>
    <w:rPr>
      <w:kern w:val="0"/>
      <w:sz w:val="24"/>
      <w:szCs w:val="20"/>
    </w:rPr>
  </w:style>
  <w:style w:type="paragraph" w:customStyle="1" w:styleId="33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5">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6">
    <w:name w:val="彩色列表 - 强调文字颜色 11"/>
    <w:basedOn w:val="1"/>
    <w:qFormat/>
    <w:uiPriority w:val="0"/>
    <w:pPr>
      <w:adjustRightInd/>
      <w:ind w:firstLine="420" w:firstLineChars="200"/>
    </w:pPr>
    <w:rPr>
      <w:rFonts w:ascii="Calibri" w:hAnsi="Calibri"/>
      <w:szCs w:val="22"/>
    </w:rPr>
  </w:style>
  <w:style w:type="paragraph" w:customStyle="1" w:styleId="337">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9">
    <w:name w:val="样式1 + (中宋体"/>
    <w:basedOn w:val="16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0">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1">
    <w:name w:val="正文（标题三）"/>
    <w:basedOn w:val="1"/>
    <w:qFormat/>
    <w:uiPriority w:val="0"/>
    <w:pPr>
      <w:spacing w:line="360" w:lineRule="auto"/>
      <w:ind w:firstLine="200" w:firstLineChars="200"/>
    </w:pPr>
    <w:rPr>
      <w:sz w:val="24"/>
    </w:rPr>
  </w:style>
  <w:style w:type="paragraph" w:customStyle="1" w:styleId="342">
    <w:name w:val="MM Topic 3"/>
    <w:basedOn w:val="4"/>
    <w:qFormat/>
    <w:uiPriority w:val="0"/>
    <w:pPr>
      <w:numPr>
        <w:numId w:val="4"/>
      </w:numPr>
      <w:tabs>
        <w:tab w:val="left" w:pos="840"/>
        <w:tab w:val="left" w:pos="1680"/>
        <w:tab w:val="clear" w:pos="900"/>
      </w:tabs>
      <w:adjustRightInd/>
    </w:pPr>
  </w:style>
  <w:style w:type="paragraph" w:customStyle="1" w:styleId="3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4">
    <w:name w:val="图中文字"/>
    <w:basedOn w:val="1"/>
    <w:qFormat/>
    <w:uiPriority w:val="0"/>
    <w:pPr>
      <w:snapToGrid w:val="0"/>
      <w:spacing w:line="0" w:lineRule="atLeast"/>
      <w:ind w:firstLine="200" w:firstLineChars="200"/>
      <w:jc w:val="center"/>
    </w:pPr>
    <w:rPr>
      <w:sz w:val="24"/>
      <w:szCs w:val="20"/>
    </w:rPr>
  </w:style>
  <w:style w:type="paragraph" w:customStyle="1" w:styleId="345">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6">
    <w:name w:val="Char21"/>
    <w:basedOn w:val="1"/>
    <w:qFormat/>
    <w:uiPriority w:val="0"/>
    <w:pPr>
      <w:adjustRightInd/>
      <w:ind w:firstLine="200" w:firstLineChars="200"/>
    </w:pPr>
    <w:rPr>
      <w:rFonts w:ascii="仿宋_GB2312" w:eastAsia="仿宋_GB2312"/>
      <w:b/>
      <w:sz w:val="32"/>
      <w:szCs w:val="32"/>
    </w:rPr>
  </w:style>
  <w:style w:type="paragraph" w:customStyle="1" w:styleId="34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8">
    <w:name w:val="标题4-dyf"/>
    <w:basedOn w:val="5"/>
    <w:link w:val="55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9">
    <w:name w:val="Char1 Char Char Char4"/>
    <w:basedOn w:val="1"/>
    <w:qFormat/>
    <w:uiPriority w:val="0"/>
    <w:pPr>
      <w:adjustRightInd/>
      <w:ind w:firstLine="200" w:firstLineChars="200"/>
    </w:pPr>
    <w:rPr>
      <w:rFonts w:ascii="Tahoma" w:hAnsi="Tahoma"/>
      <w:sz w:val="24"/>
      <w:szCs w:val="20"/>
    </w:rPr>
  </w:style>
  <w:style w:type="paragraph" w:customStyle="1" w:styleId="35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2">
    <w:name w:val="Char23"/>
    <w:basedOn w:val="1"/>
    <w:qFormat/>
    <w:uiPriority w:val="0"/>
    <w:rPr>
      <w:rFonts w:ascii="仿宋_GB2312" w:eastAsia="仿宋_GB2312"/>
      <w:b/>
      <w:sz w:val="32"/>
      <w:szCs w:val="32"/>
    </w:rPr>
  </w:style>
  <w:style w:type="paragraph" w:customStyle="1" w:styleId="3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6">
    <w:name w:val="此正文"/>
    <w:basedOn w:val="1"/>
    <w:link w:val="441"/>
    <w:qFormat/>
    <w:uiPriority w:val="0"/>
    <w:pPr>
      <w:adjustRightInd/>
      <w:spacing w:line="360" w:lineRule="auto"/>
      <w:ind w:firstLine="200" w:firstLineChars="200"/>
    </w:pPr>
    <w:rPr>
      <w:sz w:val="24"/>
    </w:rPr>
  </w:style>
  <w:style w:type="paragraph" w:customStyle="1" w:styleId="3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9">
    <w:name w:val="Char3 Char Char Char"/>
    <w:basedOn w:val="1"/>
    <w:qFormat/>
    <w:uiPriority w:val="0"/>
    <w:pPr>
      <w:widowControl/>
      <w:adjustRightInd/>
      <w:spacing w:after="160" w:line="240" w:lineRule="exact"/>
      <w:jc w:val="left"/>
    </w:pPr>
    <w:rPr>
      <w:szCs w:val="20"/>
    </w:rPr>
  </w:style>
  <w:style w:type="paragraph" w:customStyle="1" w:styleId="360">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1">
    <w:name w:val="Normal0"/>
    <w:qFormat/>
    <w:uiPriority w:val="0"/>
    <w:rPr>
      <w:rFonts w:ascii="Times New Roman" w:hAnsi="Times New Roman" w:eastAsia="宋体" w:cs="Times New Roman"/>
      <w:lang w:val="en-US" w:eastAsia="en-US" w:bidi="ar-SA"/>
    </w:rPr>
  </w:style>
  <w:style w:type="paragraph" w:customStyle="1" w:styleId="36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3">
    <w:name w:val="a1"/>
    <w:basedOn w:val="1"/>
    <w:qFormat/>
    <w:uiPriority w:val="0"/>
    <w:pPr>
      <w:widowControl/>
      <w:spacing w:line="300" w:lineRule="atLeast"/>
      <w:jc w:val="left"/>
    </w:pPr>
    <w:rPr>
      <w:rFonts w:ascii="宋体" w:hAnsi="宋体"/>
      <w:kern w:val="0"/>
      <w:sz w:val="18"/>
      <w:szCs w:val="20"/>
    </w:rPr>
  </w:style>
  <w:style w:type="paragraph" w:customStyle="1" w:styleId="36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6">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7">
    <w:name w:val="Thf"/>
    <w:basedOn w:val="93"/>
    <w:qFormat/>
    <w:uiPriority w:val="0"/>
    <w:pPr>
      <w:ind w:left="0"/>
    </w:pPr>
  </w:style>
  <w:style w:type="paragraph" w:customStyle="1" w:styleId="3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_Style 12"/>
    <w:basedOn w:val="18"/>
    <w:qFormat/>
    <w:uiPriority w:val="0"/>
    <w:pPr>
      <w:snapToGrid w:val="0"/>
      <w:spacing w:line="360" w:lineRule="auto"/>
    </w:pPr>
  </w:style>
  <w:style w:type="paragraph" w:customStyle="1" w:styleId="373">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5">
    <w:name w:val="标书标题2"/>
    <w:basedOn w:val="3"/>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6">
    <w:name w:val="Char Char"/>
    <w:basedOn w:val="1"/>
    <w:qFormat/>
    <w:uiPriority w:val="0"/>
    <w:pPr>
      <w:spacing w:line="360" w:lineRule="auto"/>
    </w:pPr>
    <w:rPr>
      <w:rFonts w:ascii="Tahoma" w:hAnsi="Tahoma"/>
      <w:sz w:val="24"/>
      <w:szCs w:val="20"/>
    </w:rPr>
  </w:style>
  <w:style w:type="paragraph" w:customStyle="1" w:styleId="377">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8">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9">
    <w:name w:val="彩色列表 - 强调文字颜色 12"/>
    <w:basedOn w:val="1"/>
    <w:autoRedefine/>
    <w:qFormat/>
    <w:uiPriority w:val="0"/>
    <w:pPr>
      <w:adjustRightInd/>
      <w:ind w:firstLine="420" w:firstLineChars="200"/>
    </w:pPr>
    <w:rPr>
      <w:rFonts w:ascii="Calibri" w:hAnsi="Calibri"/>
      <w:szCs w:val="22"/>
    </w:rPr>
  </w:style>
  <w:style w:type="paragraph" w:customStyle="1" w:styleId="38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1">
    <w:name w:val="Char19"/>
    <w:basedOn w:val="1"/>
    <w:qFormat/>
    <w:uiPriority w:val="0"/>
    <w:pPr>
      <w:adjustRightInd/>
    </w:pPr>
    <w:rPr>
      <w:szCs w:val="20"/>
    </w:rPr>
  </w:style>
  <w:style w:type="paragraph" w:customStyle="1" w:styleId="382">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3">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5">
    <w:name w:val="表格（小）"/>
    <w:basedOn w:val="1"/>
    <w:qFormat/>
    <w:uiPriority w:val="0"/>
    <w:pPr>
      <w:adjustRightInd/>
      <w:snapToGrid w:val="0"/>
      <w:spacing w:line="300" w:lineRule="auto"/>
    </w:pPr>
    <w:rPr>
      <w:rFonts w:eastAsia="仿宋"/>
      <w:szCs w:val="21"/>
    </w:rPr>
  </w:style>
  <w:style w:type="paragraph" w:customStyle="1" w:styleId="3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0">
    <w:name w:val="Char Char Char Char2"/>
    <w:basedOn w:val="1"/>
    <w:qFormat/>
    <w:uiPriority w:val="0"/>
    <w:rPr>
      <w:rFonts w:ascii="Tahoma" w:hAnsi="Tahoma"/>
      <w:sz w:val="24"/>
      <w:szCs w:val="20"/>
    </w:rPr>
  </w:style>
  <w:style w:type="paragraph" w:customStyle="1" w:styleId="391">
    <w:name w:val="p0"/>
    <w:basedOn w:val="1"/>
    <w:qFormat/>
    <w:uiPriority w:val="0"/>
    <w:pPr>
      <w:widowControl/>
      <w:adjustRightInd/>
    </w:pPr>
    <w:rPr>
      <w:kern w:val="0"/>
      <w:szCs w:val="21"/>
    </w:rPr>
  </w:style>
  <w:style w:type="paragraph" w:customStyle="1" w:styleId="39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4">
    <w:name w:val="默认段落样式"/>
    <w:basedOn w:val="395"/>
    <w:qFormat/>
    <w:uiPriority w:val="0"/>
    <w:pPr>
      <w:spacing w:before="0"/>
      <w:ind w:firstLine="480"/>
      <w:outlineLvl w:val="2"/>
    </w:pPr>
    <w:rPr>
      <w:rFonts w:ascii="仿宋_GB2312" w:hAnsi="宋体" w:eastAsia="仿宋_GB2312"/>
      <w:color w:val="000000"/>
      <w:szCs w:val="24"/>
    </w:rPr>
  </w:style>
  <w:style w:type="paragraph" w:customStyle="1" w:styleId="395">
    <w:name w:val="正文2"/>
    <w:basedOn w:val="1"/>
    <w:link w:val="448"/>
    <w:qFormat/>
    <w:uiPriority w:val="0"/>
    <w:pPr>
      <w:spacing w:before="156" w:line="360" w:lineRule="auto"/>
      <w:ind w:firstLine="510" w:firstLineChars="200"/>
    </w:pPr>
    <w:rPr>
      <w:sz w:val="24"/>
      <w:szCs w:val="20"/>
    </w:rPr>
  </w:style>
  <w:style w:type="paragraph" w:customStyle="1" w:styleId="3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9">
    <w:name w:val="bullet"/>
    <w:basedOn w:val="1"/>
    <w:qFormat/>
    <w:uiPriority w:val="0"/>
    <w:pPr>
      <w:tabs>
        <w:tab w:val="left" w:pos="840"/>
      </w:tabs>
      <w:adjustRightInd/>
      <w:ind w:left="840" w:hanging="420"/>
    </w:pPr>
  </w:style>
  <w:style w:type="paragraph" w:customStyle="1" w:styleId="400">
    <w:name w:val="五级条标题"/>
    <w:basedOn w:val="173"/>
    <w:next w:val="140"/>
    <w:qFormat/>
    <w:uiPriority w:val="0"/>
    <w:pPr>
      <w:numPr>
        <w:ilvl w:val="6"/>
      </w:numPr>
      <w:tabs>
        <w:tab w:val="clear" w:pos="2940"/>
      </w:tabs>
      <w:outlineLvl w:val="6"/>
    </w:pPr>
  </w:style>
  <w:style w:type="paragraph" w:customStyle="1" w:styleId="401">
    <w:name w:val="Char Char Char Char Char Char Char Char"/>
    <w:basedOn w:val="1"/>
    <w:qFormat/>
    <w:uiPriority w:val="0"/>
    <w:pPr>
      <w:tabs>
        <w:tab w:val="left" w:pos="360"/>
      </w:tabs>
    </w:pPr>
    <w:rPr>
      <w:sz w:val="24"/>
      <w:szCs w:val="20"/>
    </w:rPr>
  </w:style>
  <w:style w:type="paragraph" w:customStyle="1" w:styleId="4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3">
    <w:name w:val="数字标题5"/>
    <w:basedOn w:val="6"/>
    <w:next w:val="1"/>
    <w:qFormat/>
    <w:uiPriority w:val="0"/>
    <w:pPr>
      <w:numPr>
        <w:numId w:val="5"/>
      </w:numPr>
      <w:tabs>
        <w:tab w:val="left" w:pos="480"/>
        <w:tab w:val="left" w:pos="1080"/>
        <w:tab w:val="clear" w:pos="1008"/>
      </w:tabs>
    </w:pPr>
  </w:style>
  <w:style w:type="paragraph" w:customStyle="1" w:styleId="4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5">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6"/>
    <w:qFormat/>
    <w:uiPriority w:val="0"/>
    <w:pPr>
      <w:numPr>
        <w:numId w:val="4"/>
      </w:numPr>
      <w:tabs>
        <w:tab w:val="left" w:pos="840"/>
        <w:tab w:val="left" w:pos="2520"/>
        <w:tab w:val="clear" w:pos="1008"/>
      </w:tabs>
      <w:adjustRightInd/>
    </w:pPr>
  </w:style>
  <w:style w:type="paragraph" w:customStyle="1" w:styleId="412">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2"/>
    <w:next w:val="1"/>
    <w:qFormat/>
    <w:uiPriority w:val="0"/>
    <w:pPr>
      <w:numPr>
        <w:numId w:val="5"/>
      </w:numPr>
      <w:tabs>
        <w:tab w:val="left" w:pos="480"/>
        <w:tab w:val="clear" w:pos="432"/>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2"/>
    <w:qFormat/>
    <w:uiPriority w:val="0"/>
    <w:pPr>
      <w:numPr>
        <w:numId w:val="0"/>
      </w:numPr>
      <w:tabs>
        <w:tab w:val="left" w:pos="840"/>
        <w:tab w:val="clear" w:pos="432"/>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Lines="50"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字符"/>
    <w:link w:val="42"/>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6"/>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5"/>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3"/>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0"/>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字符"/>
    <w:link w:val="9"/>
    <w:qFormat/>
    <w:uiPriority w:val="0"/>
    <w:rPr>
      <w:rFonts w:ascii="Arial" w:hAnsi="Arial" w:eastAsia="黑体"/>
      <w:kern w:val="2"/>
      <w:sz w:val="24"/>
      <w:szCs w:val="24"/>
    </w:rPr>
  </w:style>
  <w:style w:type="character" w:customStyle="1" w:styleId="473">
    <w:name w:val="冯广丽 Char"/>
    <w:link w:val="236"/>
    <w:qFormat/>
    <w:uiPriority w:val="0"/>
    <w:rPr>
      <w:rFonts w:ascii="宋体" w:hAnsi="宋体"/>
      <w:kern w:val="2"/>
      <w:sz w:val="24"/>
      <w:szCs w:val="22"/>
    </w:rPr>
  </w:style>
  <w:style w:type="character" w:customStyle="1" w:styleId="474">
    <w:name w:val="脚注文本 字符"/>
    <w:link w:val="50"/>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字符"/>
    <w:link w:val="25"/>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3"/>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字符"/>
    <w:link w:val="8"/>
    <w:qFormat/>
    <w:uiPriority w:val="0"/>
    <w:rPr>
      <w:b/>
      <w:bCs/>
      <w:kern w:val="2"/>
      <w:sz w:val="24"/>
      <w:szCs w:val="24"/>
    </w:rPr>
  </w:style>
  <w:style w:type="character" w:customStyle="1" w:styleId="483">
    <w:name w:val="称呼 字符"/>
    <w:link w:val="20"/>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字符"/>
    <w:link w:val="47"/>
    <w:qFormat/>
    <w:uiPriority w:val="11"/>
    <w:rPr>
      <w:rFonts w:ascii="Arial" w:hAnsi="Arial" w:eastAsia="隶书"/>
      <w:b/>
      <w:bCs/>
      <w:kern w:val="28"/>
      <w:sz w:val="44"/>
      <w:szCs w:val="32"/>
      <w:lang w:val="en-US" w:eastAsia="zh-CN" w:bidi="ar-SA"/>
    </w:rPr>
  </w:style>
  <w:style w:type="character" w:customStyle="1" w:styleId="490">
    <w:name w:val="纯文本 字符"/>
    <w:link w:val="34"/>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4"/>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文本首行缩进 2 字符"/>
    <w:link w:val="60"/>
    <w:qFormat/>
    <w:uiPriority w:val="0"/>
    <w:rPr>
      <w:rFonts w:ascii="宋体" w:hAnsi="宋体"/>
      <w:kern w:val="2"/>
      <w:sz w:val="21"/>
      <w:szCs w:val="24"/>
    </w:rPr>
  </w:style>
  <w:style w:type="character" w:customStyle="1" w:styleId="504">
    <w:name w:val="正文文本缩进 2 字符"/>
    <w:link w:val="38"/>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字符"/>
    <w:link w:val="22"/>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6"/>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字符"/>
    <w:link w:val="10"/>
    <w:qFormat/>
    <w:uiPriority w:val="0"/>
    <w:rPr>
      <w:rFonts w:ascii="Arial" w:hAnsi="Arial" w:eastAsia="黑体"/>
      <w:kern w:val="2"/>
      <w:sz w:val="21"/>
      <w:szCs w:val="21"/>
    </w:rPr>
  </w:style>
  <w:style w:type="character" w:customStyle="1" w:styleId="521">
    <w:name w:val="md"/>
    <w:basedOn w:val="63"/>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0"/>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3"/>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字符"/>
    <w:link w:val="56"/>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文本首行缩进 字符"/>
    <w:link w:val="23"/>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字符"/>
    <w:link w:val="2"/>
    <w:qFormat/>
    <w:uiPriority w:val="0"/>
    <w:rPr>
      <w:b/>
      <w:bCs/>
      <w:kern w:val="44"/>
      <w:sz w:val="44"/>
      <w:szCs w:val="44"/>
    </w:rPr>
  </w:style>
  <w:style w:type="character" w:customStyle="1" w:styleId="551">
    <w:name w:val="页眉 Char"/>
    <w:qFormat/>
    <w:uiPriority w:val="99"/>
    <w:rPr>
      <w:rFonts w:eastAsia="仿宋_GB2312"/>
      <w:kern w:val="2"/>
      <w:sz w:val="18"/>
      <w:lang w:val="en-US" w:eastAsia="zh-CN"/>
    </w:rPr>
  </w:style>
  <w:style w:type="character" w:customStyle="1" w:styleId="552">
    <w:name w:val="b11_01b Char"/>
    <w:link w:val="410"/>
    <w:qFormat/>
    <w:uiPriority w:val="0"/>
    <w:rPr>
      <w:rFonts w:ascii="Verdana" w:hAnsi="Verdana"/>
      <w:b/>
      <w:bCs/>
      <w:color w:val="4A82CA"/>
      <w:sz w:val="17"/>
      <w:szCs w:val="17"/>
    </w:rPr>
  </w:style>
  <w:style w:type="character" w:customStyle="1" w:styleId="553">
    <w:name w:val="标题4-dyf Char"/>
    <w:link w:val="348"/>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2"/>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locked/>
    <w:uiPriority w:val="0"/>
    <w:rPr>
      <w:rFonts w:ascii="宋体" w:hAnsi="宋体" w:eastAsia="宋体"/>
      <w:b/>
      <w:kern w:val="2"/>
      <w:sz w:val="24"/>
      <w:szCs w:val="24"/>
      <w:lang w:val="en-US" w:eastAsia="zh-CN" w:bidi="ar-SA"/>
    </w:rPr>
  </w:style>
  <w:style w:type="character" w:customStyle="1" w:styleId="563">
    <w:name w:val="Document Map Char"/>
    <w:semiHidden/>
    <w:qFormat/>
    <w:locked/>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locked/>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字符"/>
    <w:link w:val="31"/>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字符"/>
    <w:link w:val="6"/>
    <w:qFormat/>
    <w:uiPriority w:val="0"/>
    <w:rPr>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semiHidden/>
    <w:qFormat/>
    <w:uiPriority w:val="0"/>
    <w:rPr>
      <w:rFonts w:eastAsia="宋体"/>
      <w:kern w:val="2"/>
      <w:sz w:val="21"/>
      <w:szCs w:val="24"/>
      <w:lang w:val="en-US" w:eastAsia="zh-CN" w:bidi="ar-SA"/>
    </w:rPr>
  </w:style>
  <w:style w:type="character" w:customStyle="1" w:styleId="578">
    <w:name w:val="hui"/>
    <w:basedOn w:val="63"/>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字符"/>
    <w:link w:val="21"/>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7"/>
    <w:qFormat/>
    <w:uiPriority w:val="0"/>
    <w:rPr>
      <w:rFonts w:ascii="宋体"/>
    </w:rPr>
  </w:style>
  <w:style w:type="character" w:customStyle="1" w:styleId="588">
    <w:name w:val="页脚 Char"/>
    <w:qFormat/>
    <w:uiPriority w:val="99"/>
    <w:rPr>
      <w:rFonts w:eastAsia="仿宋_GB2312"/>
      <w:kern w:val="2"/>
      <w:sz w:val="18"/>
      <w:lang w:val="en-US" w:eastAsia="zh-CN"/>
    </w:rPr>
  </w:style>
  <w:style w:type="character" w:customStyle="1" w:styleId="589">
    <w:name w:val="正文文本缩进 3 字符"/>
    <w:link w:val="52"/>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3"/>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字符"/>
    <w:link w:val="37"/>
    <w:qFormat/>
    <w:uiPriority w:val="0"/>
    <w:rPr>
      <w:rFonts w:ascii="宋体"/>
      <w:kern w:val="2"/>
      <w:sz w:val="24"/>
      <w:szCs w:val="21"/>
      <w:lang w:val="zh-CN"/>
    </w:rPr>
  </w:style>
  <w:style w:type="character" w:customStyle="1" w:styleId="600">
    <w:name w:val="标题 4 字符"/>
    <w:link w:val="5"/>
    <w:qFormat/>
    <w:uiPriority w:val="0"/>
    <w:rPr>
      <w:rFonts w:ascii="Arial" w:hAnsi="Arial" w:eastAsia="黑体"/>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semiHidden/>
    <w:qFormat/>
    <w:uiPriority w:val="0"/>
    <w:rPr>
      <w:rFonts w:ascii="Times New Roman" w:hAnsi="Times New Roman" w:eastAsia="宋体" w:cs="Times New Roman"/>
      <w:sz w:val="20"/>
      <w:szCs w:val="20"/>
    </w:rPr>
  </w:style>
  <w:style w:type="character" w:customStyle="1" w:styleId="6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1"/>
    <w:qFormat/>
    <w:uiPriority w:val="0"/>
    <w:rPr>
      <w:rFonts w:ascii="微软雅黑" w:hAnsi="微软雅黑" w:eastAsia="微软雅黑"/>
      <w:b/>
      <w:bCs/>
      <w:kern w:val="2"/>
      <w:sz w:val="24"/>
      <w:szCs w:val="28"/>
    </w:rPr>
  </w:style>
  <w:style w:type="character" w:customStyle="1" w:styleId="611">
    <w:name w:val="标题 4 Char1"/>
    <w:semiHidden/>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字符"/>
    <w:link w:val="7"/>
    <w:qFormat/>
    <w:uiPriority w:val="0"/>
    <w:rPr>
      <w:rFonts w:ascii="Arial" w:hAnsi="Arial" w:eastAsia="黑体"/>
      <w:b/>
      <w:bCs/>
      <w:kern w:val="2"/>
      <w:sz w:val="24"/>
      <w:szCs w:val="24"/>
    </w:rPr>
  </w:style>
  <w:style w:type="character" w:customStyle="1" w:styleId="614">
    <w:name w:val="正文缩进 字符"/>
    <w:link w:val="15"/>
    <w:qFormat/>
    <w:uiPriority w:val="0"/>
    <w:rPr>
      <w:rFonts w:ascii="宋体" w:eastAsia="宋体"/>
      <w:snapToGrid w:val="0"/>
      <w:color w:val="000000"/>
      <w:kern w:val="28"/>
      <w:sz w:val="28"/>
      <w:lang w:val="en-US" w:eastAsia="zh-CN" w:bidi="ar-SA"/>
    </w:rPr>
  </w:style>
  <w:style w:type="character" w:customStyle="1" w:styleId="615">
    <w:name w:val="批注文字 字符"/>
    <w:link w:val="19"/>
    <w:qFormat/>
    <w:uiPriority w:val="99"/>
    <w:rPr>
      <w:kern w:val="2"/>
      <w:sz w:val="21"/>
      <w:szCs w:val="24"/>
    </w:rPr>
  </w:style>
  <w:style w:type="character" w:customStyle="1" w:styleId="616">
    <w:name w:val="批注框文本 字符"/>
    <w:link w:val="39"/>
    <w:semiHidden/>
    <w:qFormat/>
    <w:uiPriority w:val="0"/>
    <w:rPr>
      <w:kern w:val="2"/>
      <w:sz w:val="18"/>
      <w:szCs w:val="18"/>
    </w:rPr>
  </w:style>
  <w:style w:type="character" w:customStyle="1" w:styleId="617">
    <w:name w:val="Footer Char"/>
    <w:qFormat/>
    <w:locked/>
    <w:uiPriority w:val="0"/>
    <w:rPr>
      <w:rFonts w:eastAsia="宋体"/>
      <w:kern w:val="2"/>
      <w:sz w:val="18"/>
      <w:lang w:val="en-US" w:eastAsia="zh-CN" w:bidi="ar-SA"/>
    </w:rPr>
  </w:style>
  <w:style w:type="paragraph" w:customStyle="1" w:styleId="61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9">
    <w:name w:val="索引 11"/>
    <w:basedOn w:val="1"/>
    <w:next w:val="1"/>
    <w:qFormat/>
    <w:uiPriority w:val="0"/>
    <w:pPr>
      <w:adjustRightInd/>
      <w:spacing w:line="360" w:lineRule="auto"/>
    </w:pPr>
    <w:rPr>
      <w:rFonts w:ascii="仿宋_GB2312" w:eastAsia="仿宋_GB2312"/>
      <w:sz w:val="24"/>
      <w:szCs w:val="20"/>
    </w:rPr>
  </w:style>
  <w:style w:type="paragraph" w:customStyle="1" w:styleId="620">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1">
    <w:name w:val="纯文本_0_0"/>
    <w:basedOn w:val="1"/>
    <w:link w:val="622"/>
    <w:qFormat/>
    <w:uiPriority w:val="0"/>
    <w:pPr>
      <w:adjustRightInd/>
    </w:pPr>
    <w:rPr>
      <w:rFonts w:ascii="宋体" w:hAnsi="Courier New"/>
      <w:szCs w:val="21"/>
    </w:rPr>
  </w:style>
  <w:style w:type="character" w:customStyle="1" w:styleId="622">
    <w:name w:val="纯文本 Char_0"/>
    <w:link w:val="621"/>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73"/>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列表段落1"/>
    <w:basedOn w:val="1"/>
    <w:qFormat/>
    <w:uiPriority w:val="0"/>
    <w:pPr>
      <w:adjustRightInd/>
      <w:ind w:right="238" w:firstLine="420"/>
    </w:pPr>
    <w:rPr>
      <w:rFonts w:ascii="Calibri" w:hAnsi="Calibri"/>
      <w:sz w:val="24"/>
    </w:rPr>
  </w:style>
  <w:style w:type="paragraph" w:customStyle="1" w:styleId="634">
    <w:name w:val="目录 21"/>
    <w:next w:val="1"/>
    <w:qFormat/>
    <w:uiPriority w:val="0"/>
    <w:pPr>
      <w:wordWrap w:val="0"/>
      <w:ind w:left="425"/>
      <w:jc w:val="both"/>
    </w:pPr>
    <w:rPr>
      <w:rFonts w:ascii="Times New Roman" w:hAnsi="Times New Roman" w:eastAsia="宋体" w:cs="Times New Roman"/>
      <w:sz w:val="21"/>
      <w:lang w:val="en-US" w:eastAsia="zh-CN" w:bidi="ar-SA"/>
    </w:rPr>
  </w:style>
  <w:style w:type="character" w:customStyle="1" w:styleId="635">
    <w:name w:val="font31"/>
    <w:basedOn w:val="63"/>
    <w:qFormat/>
    <w:uiPriority w:val="0"/>
    <w:rPr>
      <w:rFonts w:hint="eastAsia" w:ascii="仿宋" w:hAnsi="仿宋" w:eastAsia="仿宋" w:cs="仿宋"/>
      <w:color w:val="000000"/>
      <w:sz w:val="20"/>
      <w:szCs w:val="20"/>
      <w:u w:val="none"/>
    </w:rPr>
  </w:style>
  <w:style w:type="paragraph" w:customStyle="1" w:styleId="636">
    <w:name w:val="Heading5"/>
    <w:basedOn w:val="1"/>
    <w:next w:val="1"/>
    <w:autoRedefine/>
    <w:qFormat/>
    <w:uiPriority w:val="0"/>
    <w:pPr>
      <w:keepNext/>
      <w:keepLines/>
      <w:spacing w:after="120"/>
      <w:textAlignment w:val="baseline"/>
    </w:pPr>
    <w:rPr>
      <w:rFonts w:ascii="Times New Roman" w:hAnsi="Times New Roman" w:eastAsia="微软雅黑"/>
      <w:b/>
      <w:bCs/>
    </w:rPr>
  </w:style>
  <w:style w:type="paragraph" w:customStyle="1" w:styleId="637">
    <w:name w:val="￥正文"/>
    <w:basedOn w:val="1"/>
    <w:autoRedefine/>
    <w:qFormat/>
    <w:uiPriority w:val="0"/>
    <w:pPr>
      <w:spacing w:line="360" w:lineRule="auto"/>
      <w:ind w:firstLine="200" w:firstLineChars="200"/>
    </w:pPr>
  </w:style>
  <w:style w:type="paragraph" w:customStyle="1" w:styleId="638">
    <w:name w:val="正文空2字"/>
    <w:basedOn w:val="639"/>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9">
    <w:name w:val="左对齐正文"/>
    <w:qFormat/>
    <w:uiPriority w:val="99"/>
    <w:rPr>
      <w:rFonts w:ascii="Calibri" w:hAnsi="Calibri" w:eastAsia="仿宋_GB2312" w:cs="Calibri"/>
      <w:kern w:val="2"/>
      <w:sz w:val="32"/>
      <w:szCs w:val="32"/>
      <w:lang w:val="en-US" w:eastAsia="zh-CN" w:bidi="ar-SA"/>
    </w:rPr>
  </w:style>
  <w:style w:type="paragraph" w:customStyle="1" w:styleId="640">
    <w:name w:val="正文文本首行缩进 22"/>
    <w:basedOn w:val="25"/>
    <w:qFormat/>
    <w:uiPriority w:val="0"/>
    <w:pPr>
      <w:spacing w:line="200" w:lineRule="atLeast"/>
      <w:ind w:firstLine="420"/>
    </w:pPr>
    <w:rPr>
      <w:rFonts w:hAnsi="Courier New" w:eastAsia="宋体" w:cs="Times New Roman"/>
      <w:spacing w:val="-4"/>
      <w:sz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15798</Words>
  <Characters>16772</Characters>
  <Lines>244</Lines>
  <Paragraphs>68</Paragraphs>
  <TotalTime>42</TotalTime>
  <ScaleCrop>false</ScaleCrop>
  <LinksUpToDate>false</LinksUpToDate>
  <CharactersWithSpaces>16934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七彩沙漠</cp:lastModifiedBy>
  <cp:lastPrinted>2021-10-22T18:37:00Z</cp:lastPrinted>
  <dcterms:modified xsi:type="dcterms:W3CDTF">2025-04-02T06:50:23Z</dcterms:modified>
  <dc:title>杭州市市民卡扩大发卡工程</dc:title>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5BB537E74BEA403FBD64717412D3AF76_13</vt:lpwstr>
  </property>
  <property fmtid="{D5CDD505-2E9C-101B-9397-08002B2CF9AE}" pid="4" name="KSOTemplateDocerSaveRecord">
    <vt:lpwstr>eyJoZGlkIjoiYzBjZWRhYWMzOTFhMDgyOGZiNTQ5MTAwOWE5NWJjNTciLCJ1c2VySWQiOiI0NjE5NTk4MDUifQ==</vt:lpwstr>
  </property>
</Properties>
</file>