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0161A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pacing w:val="-6"/>
          <w:sz w:val="84"/>
          <w:szCs w:val="84"/>
          <w:highlight w:val="none"/>
        </w:rPr>
      </w:pPr>
    </w:p>
    <w:p w14:paraId="7FFF8BE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pacing w:val="-6"/>
          <w:sz w:val="84"/>
          <w:szCs w:val="84"/>
          <w:highlight w:val="none"/>
        </w:rPr>
      </w:pPr>
    </w:p>
    <w:p w14:paraId="50C6C6D3">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ascii="仿宋" w:hAnsi="仿宋" w:eastAsia="仿宋" w:cs="仿宋"/>
          <w:b/>
          <w:color w:val="auto"/>
          <w:spacing w:val="-6"/>
          <w:sz w:val="84"/>
          <w:szCs w:val="84"/>
          <w:highlight w:val="none"/>
        </w:rPr>
      </w:pPr>
      <w:r>
        <w:rPr>
          <w:rFonts w:hint="eastAsia" w:ascii="仿宋" w:hAnsi="仿宋" w:eastAsia="仿宋" w:cs="仿宋"/>
          <w:b/>
          <w:color w:val="auto"/>
          <w:spacing w:val="-6"/>
          <w:sz w:val="84"/>
          <w:szCs w:val="84"/>
          <w:highlight w:val="none"/>
        </w:rPr>
        <w:t>浙江工业大学</w:t>
      </w:r>
    </w:p>
    <w:p w14:paraId="56C5EEB3">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r>
        <w:rPr>
          <w:rFonts w:hint="eastAsia" w:ascii="仿宋" w:hAnsi="仿宋" w:eastAsia="仿宋" w:cs="仿宋"/>
          <w:b/>
          <w:color w:val="auto"/>
          <w:spacing w:val="-6"/>
          <w:sz w:val="72"/>
          <w:szCs w:val="72"/>
          <w:highlight w:val="none"/>
          <w:lang w:eastAsia="zh-CN"/>
        </w:rPr>
        <w:t>能碳管理显示系统</w:t>
      </w:r>
    </w:p>
    <w:p w14:paraId="3266DAD9">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p>
    <w:p w14:paraId="3C5406E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ascii="仿宋" w:hAnsi="仿宋" w:eastAsia="仿宋" w:cs="仿宋"/>
          <w:b/>
          <w:color w:val="auto"/>
          <w:spacing w:val="-6"/>
          <w:sz w:val="72"/>
          <w:szCs w:val="72"/>
          <w:highlight w:val="none"/>
        </w:rPr>
      </w:pPr>
      <w:r>
        <w:rPr>
          <w:rFonts w:hint="eastAsia" w:ascii="仿宋" w:hAnsi="仿宋" w:eastAsia="仿宋" w:cs="仿宋"/>
          <w:b/>
          <w:color w:val="auto"/>
          <w:spacing w:val="-6"/>
          <w:sz w:val="72"/>
          <w:szCs w:val="72"/>
          <w:highlight w:val="none"/>
        </w:rPr>
        <w:t>招 标 文 件</w:t>
      </w:r>
    </w:p>
    <w:p w14:paraId="108B3E0C">
      <w:pPr>
        <w:widowControl/>
        <w:adjustRightInd w:val="0"/>
        <w:snapToGrid w:val="0"/>
        <w:spacing w:line="288" w:lineRule="auto"/>
        <w:ind w:right="-2"/>
        <w:jc w:val="center"/>
        <w:rPr>
          <w:rFonts w:ascii="仿宋" w:hAnsi="仿宋" w:eastAsia="仿宋" w:cs="仿宋"/>
          <w:b/>
          <w:color w:val="auto"/>
          <w:sz w:val="36"/>
          <w:szCs w:val="24"/>
          <w:highlight w:val="none"/>
        </w:rPr>
      </w:pPr>
      <w:r>
        <w:rPr>
          <w:rFonts w:hint="eastAsia" w:ascii="仿宋" w:hAnsi="仿宋" w:eastAsia="仿宋" w:cs="仿宋"/>
          <w:b/>
          <w:color w:val="auto"/>
          <w:sz w:val="36"/>
          <w:szCs w:val="24"/>
          <w:highlight w:val="none"/>
        </w:rPr>
        <w:t>（线上电子招投标）</w:t>
      </w:r>
    </w:p>
    <w:p w14:paraId="52757BA5">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p>
    <w:p w14:paraId="037E842C">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p>
    <w:p w14:paraId="7299BA05">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项目名称：</w:t>
      </w:r>
      <w:r>
        <w:rPr>
          <w:rFonts w:hint="eastAsia" w:ascii="仿宋" w:hAnsi="仿宋" w:eastAsia="仿宋" w:cs="仿宋"/>
          <w:b/>
          <w:color w:val="auto"/>
          <w:spacing w:val="-6"/>
          <w:sz w:val="30"/>
          <w:szCs w:val="30"/>
          <w:highlight w:val="none"/>
          <w:lang w:eastAsia="zh-CN"/>
        </w:rPr>
        <w:t>浙江工业大学能碳管理显示系统</w:t>
      </w:r>
    </w:p>
    <w:p w14:paraId="5B6C58BB">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项目编号：</w:t>
      </w:r>
      <w:r>
        <w:rPr>
          <w:rFonts w:hint="eastAsia" w:ascii="仿宋" w:hAnsi="仿宋" w:eastAsia="仿宋" w:cs="仿宋"/>
          <w:b/>
          <w:color w:val="auto"/>
          <w:spacing w:val="-6"/>
          <w:sz w:val="30"/>
          <w:szCs w:val="30"/>
          <w:highlight w:val="none"/>
          <w:lang w:eastAsia="zh-CN"/>
        </w:rPr>
        <w:t>QSZB-Z(H)-H25019(GK)</w:t>
      </w:r>
    </w:p>
    <w:p w14:paraId="19C7127B">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 购 人：浙江工业大学</w:t>
      </w:r>
    </w:p>
    <w:p w14:paraId="3F68BFB2">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采购代理机构：浙江求是招标代理有限公司</w:t>
      </w:r>
    </w:p>
    <w:p w14:paraId="12F04A0D">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采购计划文号：</w:t>
      </w:r>
      <w:r>
        <w:rPr>
          <w:rFonts w:hint="eastAsia" w:ascii="仿宋" w:hAnsi="仿宋" w:eastAsia="仿宋" w:cs="仿宋"/>
          <w:b/>
          <w:color w:val="auto"/>
          <w:spacing w:val="-6"/>
          <w:sz w:val="30"/>
          <w:szCs w:val="30"/>
          <w:highlight w:val="none"/>
          <w:lang w:eastAsia="zh-CN"/>
        </w:rPr>
        <w:t>[2024]66055号</w:t>
      </w:r>
    </w:p>
    <w:p w14:paraId="5ACFC10D">
      <w:pPr>
        <w:adjustRightInd w:val="0"/>
        <w:snapToGrid w:val="0"/>
        <w:jc w:val="center"/>
        <w:rPr>
          <w:rFonts w:ascii="仿宋" w:hAnsi="仿宋" w:eastAsia="仿宋" w:cs="仿宋"/>
          <w:b/>
          <w:color w:val="auto"/>
          <w:sz w:val="32"/>
          <w:szCs w:val="32"/>
          <w:highlight w:val="none"/>
        </w:rPr>
        <w:sectPr>
          <w:headerReference r:id="rId3" w:type="default"/>
          <w:footerReference r:id="rId4" w:type="default"/>
          <w:pgSz w:w="11906" w:h="16838"/>
          <w:pgMar w:top="1440" w:right="1247" w:bottom="1440" w:left="1247" w:header="340" w:footer="850" w:gutter="0"/>
          <w:pgNumType w:start="1"/>
          <w:cols w:space="0" w:num="1"/>
          <w:rtlGutter w:val="0"/>
          <w:docGrid w:linePitch="381" w:charSpace="0"/>
        </w:sectPr>
      </w:pPr>
    </w:p>
    <w:p w14:paraId="48C46A64">
      <w:pPr>
        <w:adjustRightInd w:val="0"/>
        <w:snapToGrid w:val="0"/>
        <w:ind w:left="0" w:leftChars="0" w:right="0" w:rightChars="0" w:firstLine="0" w:firstLineChars="0"/>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目  录</w:t>
      </w:r>
    </w:p>
    <w:p w14:paraId="30B61840">
      <w:pPr>
        <w:adjustRightInd w:val="0"/>
        <w:snapToGrid w:val="0"/>
        <w:jc w:val="center"/>
        <w:rPr>
          <w:rFonts w:ascii="仿宋" w:hAnsi="仿宋" w:eastAsia="仿宋" w:cs="仿宋"/>
          <w:b/>
          <w:color w:val="auto"/>
          <w:spacing w:val="-6"/>
          <w:sz w:val="30"/>
          <w:szCs w:val="30"/>
          <w:highlight w:val="none"/>
        </w:rPr>
      </w:pPr>
    </w:p>
    <w:p w14:paraId="3AD1F85C">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第一章  投标邀请</w:t>
      </w:r>
    </w:p>
    <w:p w14:paraId="2944EAB4">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第二章  采购需求</w:t>
      </w:r>
    </w:p>
    <w:p w14:paraId="661508EF">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第三章  投标人须知</w:t>
      </w:r>
    </w:p>
    <w:p w14:paraId="321C9347">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 xml:space="preserve">第四章  </w:t>
      </w:r>
      <w:r>
        <w:rPr>
          <w:rFonts w:hint="eastAsia" w:ascii="仿宋" w:hAnsi="仿宋" w:eastAsia="仿宋" w:cs="仿宋"/>
          <w:b/>
          <w:color w:val="auto"/>
          <w:spacing w:val="-6"/>
          <w:sz w:val="30"/>
          <w:szCs w:val="30"/>
          <w:highlight w:val="none"/>
          <w:lang w:eastAsia="zh-CN"/>
        </w:rPr>
        <w:t>评标方法和评标标准</w:t>
      </w:r>
    </w:p>
    <w:p w14:paraId="4C8FD8D8">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第五章  拟签订的合同文本</w:t>
      </w:r>
    </w:p>
    <w:p w14:paraId="11A4D23A">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hint="eastAsia"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第六章  投标文件格式</w:t>
      </w:r>
    </w:p>
    <w:p w14:paraId="4381345B">
      <w:pPr>
        <w:adjustRightInd w:val="0"/>
        <w:snapToGrid w:val="0"/>
        <w:spacing w:line="360" w:lineRule="auto"/>
        <w:ind w:left="0" w:leftChars="0" w:right="0" w:rightChars="0" w:firstLine="0" w:firstLineChars="0"/>
        <w:jc w:val="center"/>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br w:type="page"/>
      </w:r>
    </w:p>
    <w:p w14:paraId="31FCFE5D">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第一章  投标邀请</w:t>
      </w:r>
    </w:p>
    <w:tbl>
      <w:tblPr>
        <w:tblStyle w:val="25"/>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14:paraId="353C8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628" w:type="dxa"/>
          </w:tcPr>
          <w:p w14:paraId="06F53247">
            <w:pPr>
              <w:adjustRightInd w:val="0"/>
              <w:snapToGrid w:val="0"/>
              <w:ind w:firstLine="422" w:firstLineChars="200"/>
              <w:rPr>
                <w:rFonts w:ascii="仿宋" w:hAnsi="仿宋" w:eastAsia="仿宋" w:cs="仿宋"/>
                <w:b/>
                <w:color w:val="auto"/>
                <w:szCs w:val="21"/>
                <w:highlight w:val="none"/>
              </w:rPr>
            </w:pPr>
            <w:bookmarkStart w:id="0" w:name="_Toc35393790"/>
            <w:bookmarkStart w:id="1" w:name="_Toc35393621"/>
            <w:bookmarkStart w:id="2" w:name="_Toc28359079"/>
            <w:bookmarkStart w:id="3" w:name="_Toc28359002"/>
            <w:bookmarkStart w:id="4" w:name="_Hlk24379207"/>
            <w:r>
              <w:rPr>
                <w:rFonts w:hint="eastAsia" w:ascii="仿宋" w:hAnsi="仿宋" w:eastAsia="仿宋" w:cs="仿宋"/>
                <w:b/>
                <w:color w:val="auto"/>
                <w:szCs w:val="21"/>
                <w:highlight w:val="none"/>
              </w:rPr>
              <w:t>项目概况</w:t>
            </w:r>
          </w:p>
          <w:p w14:paraId="02CFB3E8">
            <w:pPr>
              <w:adjustRightInd w:val="0"/>
              <w:snapToGrid w:val="0"/>
              <w:ind w:firstLine="422" w:firstLineChars="200"/>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浙江工业大学能碳管理显示系统</w:t>
            </w:r>
            <w:r>
              <w:rPr>
                <w:rFonts w:hint="eastAsia" w:ascii="仿宋" w:hAnsi="仿宋" w:eastAsia="仿宋" w:cs="仿宋"/>
                <w:b/>
                <w:color w:val="auto"/>
                <w:szCs w:val="21"/>
                <w:highlight w:val="none"/>
              </w:rPr>
              <w:t>招标项目的潜在投标人应在政府采购云平台（https://www.zcygov.cn）获取（下载）招标文件，并于</w:t>
            </w:r>
            <w:r>
              <w:rPr>
                <w:rFonts w:hint="eastAsia" w:ascii="仿宋" w:hAnsi="仿宋" w:eastAsia="仿宋" w:cs="仿宋"/>
                <w:b/>
                <w:color w:val="auto"/>
                <w:szCs w:val="21"/>
                <w:highlight w:val="none"/>
                <w:lang w:eastAsia="zh-CN"/>
              </w:rPr>
              <w:t>2025年04月25日上午09:30:00（北京时间）</w:t>
            </w:r>
            <w:r>
              <w:rPr>
                <w:rFonts w:hint="eastAsia" w:ascii="仿宋" w:hAnsi="仿宋" w:eastAsia="仿宋" w:cs="仿宋"/>
                <w:b/>
                <w:color w:val="auto"/>
                <w:szCs w:val="21"/>
                <w:highlight w:val="none"/>
              </w:rPr>
              <w:t>前递交（上传）投标文件。</w:t>
            </w:r>
          </w:p>
        </w:tc>
      </w:tr>
    </w:tbl>
    <w:p w14:paraId="273BF6E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p>
    <w:p w14:paraId="6F4CFEC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一、项目基本情况</w:t>
      </w:r>
      <w:bookmarkEnd w:id="0"/>
      <w:bookmarkEnd w:id="1"/>
      <w:bookmarkEnd w:id="2"/>
      <w:bookmarkEnd w:id="3"/>
    </w:p>
    <w:p w14:paraId="1CF6A50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lang w:eastAsia="zh-CN"/>
        </w:rPr>
        <w:t>QSZB-Z(H)-H25019(GK)</w:t>
      </w:r>
    </w:p>
    <w:p w14:paraId="3E2A7E1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lang w:eastAsia="zh-CN"/>
        </w:rPr>
        <w:t>浙江工业大学能碳管理显示系统</w:t>
      </w:r>
    </w:p>
    <w:bookmarkEnd w:id="4"/>
    <w:p w14:paraId="595B340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预算金额（元）：3600000</w:t>
      </w:r>
    </w:p>
    <w:p w14:paraId="5C9AB14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最高限价（元）：</w:t>
      </w:r>
      <w:r>
        <w:rPr>
          <w:rFonts w:hint="eastAsia" w:ascii="仿宋" w:hAnsi="仿宋" w:eastAsia="仿宋" w:cs="仿宋"/>
          <w:color w:val="auto"/>
          <w:szCs w:val="21"/>
          <w:highlight w:val="none"/>
          <w:lang w:val="en-US" w:eastAsia="zh-CN"/>
        </w:rPr>
        <w:t>/</w:t>
      </w:r>
    </w:p>
    <w:p w14:paraId="5A0B9933">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采购需求：</w:t>
      </w:r>
    </w:p>
    <w:tbl>
      <w:tblPr>
        <w:tblStyle w:val="24"/>
        <w:tblW w:w="96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264"/>
        <w:gridCol w:w="742"/>
        <w:gridCol w:w="742"/>
        <w:gridCol w:w="3277"/>
        <w:gridCol w:w="1591"/>
      </w:tblGrid>
      <w:tr w14:paraId="397226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3264" w:type="dxa"/>
            <w:tcBorders>
              <w:left w:val="single" w:color="auto" w:sz="4" w:space="0"/>
              <w:right w:val="single" w:color="auto" w:sz="4" w:space="0"/>
              <w:tl2br w:val="nil"/>
              <w:tr2bl w:val="nil"/>
            </w:tcBorders>
            <w:vAlign w:val="center"/>
          </w:tcPr>
          <w:p w14:paraId="55F32513">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名称</w:t>
            </w:r>
          </w:p>
        </w:tc>
        <w:tc>
          <w:tcPr>
            <w:tcW w:w="742" w:type="dxa"/>
            <w:tcBorders>
              <w:tl2br w:val="nil"/>
              <w:tr2bl w:val="nil"/>
            </w:tcBorders>
            <w:vAlign w:val="center"/>
          </w:tcPr>
          <w:p w14:paraId="4950BF64">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数量</w:t>
            </w:r>
          </w:p>
        </w:tc>
        <w:tc>
          <w:tcPr>
            <w:tcW w:w="742" w:type="dxa"/>
            <w:tcBorders>
              <w:tl2br w:val="nil"/>
              <w:tr2bl w:val="nil"/>
            </w:tcBorders>
            <w:vAlign w:val="center"/>
          </w:tcPr>
          <w:p w14:paraId="75E492B1">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单位</w:t>
            </w:r>
          </w:p>
        </w:tc>
        <w:tc>
          <w:tcPr>
            <w:tcW w:w="3277" w:type="dxa"/>
            <w:tcBorders>
              <w:right w:val="single" w:color="auto" w:sz="4" w:space="0"/>
              <w:tl2br w:val="nil"/>
              <w:tr2bl w:val="nil"/>
            </w:tcBorders>
            <w:vAlign w:val="center"/>
          </w:tcPr>
          <w:p w14:paraId="4087307D">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简要技术需求</w:t>
            </w:r>
          </w:p>
        </w:tc>
        <w:tc>
          <w:tcPr>
            <w:tcW w:w="1591" w:type="dxa"/>
            <w:tcBorders>
              <w:right w:val="single" w:color="auto" w:sz="4" w:space="0"/>
              <w:tl2br w:val="nil"/>
              <w:tr2bl w:val="nil"/>
            </w:tcBorders>
            <w:vAlign w:val="center"/>
          </w:tcPr>
          <w:p w14:paraId="719E0DC5">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是否允许采购</w:t>
            </w:r>
          </w:p>
          <w:p w14:paraId="5B894697">
            <w:pPr>
              <w:keepNext w:val="0"/>
              <w:keepLines w:val="0"/>
              <w:pageBreakBefore w:val="0"/>
              <w:widowControl w:val="0"/>
              <w:kinsoku/>
              <w:wordWrap/>
              <w:overflowPunct/>
              <w:topLinePunct w:val="0"/>
              <w:autoSpaceDE/>
              <w:autoSpaceDN/>
              <w:bidi w:val="0"/>
              <w:adjustRightInd w:val="0"/>
              <w:snapToGrid w:val="0"/>
              <w:jc w:val="center"/>
              <w:textAlignment w:val="auto"/>
              <w:rPr>
                <w:rFonts w:ascii="仿宋" w:hAnsi="仿宋" w:eastAsia="仿宋" w:cs="仿宋"/>
                <w:b/>
                <w:bCs/>
                <w:color w:val="auto"/>
                <w:szCs w:val="21"/>
                <w:highlight w:val="none"/>
              </w:rPr>
            </w:pPr>
            <w:r>
              <w:rPr>
                <w:rFonts w:hint="eastAsia" w:ascii="仿宋" w:hAnsi="仿宋" w:eastAsia="仿宋" w:cs="仿宋"/>
                <w:b/>
                <w:color w:val="auto"/>
                <w:szCs w:val="21"/>
                <w:highlight w:val="none"/>
              </w:rPr>
              <w:t>进口产品</w:t>
            </w:r>
          </w:p>
        </w:tc>
      </w:tr>
      <w:tr w14:paraId="7593A1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3264" w:type="dxa"/>
            <w:tcBorders>
              <w:left w:val="single" w:color="auto" w:sz="4" w:space="0"/>
              <w:right w:val="single" w:color="auto" w:sz="4" w:space="0"/>
              <w:tl2br w:val="nil"/>
              <w:tr2bl w:val="nil"/>
            </w:tcBorders>
            <w:vAlign w:val="center"/>
          </w:tcPr>
          <w:p w14:paraId="19FF59D5">
            <w:pPr>
              <w:ind w:left="0" w:leftChars="0" w:right="0" w:rightChars="0" w:firstLine="0" w:firstLineChars="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能碳管理显示系统</w:t>
            </w:r>
          </w:p>
        </w:tc>
        <w:tc>
          <w:tcPr>
            <w:tcW w:w="742" w:type="dxa"/>
            <w:tcBorders>
              <w:tl2br w:val="nil"/>
              <w:tr2bl w:val="nil"/>
            </w:tcBorders>
            <w:vAlign w:val="center"/>
          </w:tcPr>
          <w:p w14:paraId="7E3ACC5A">
            <w:pPr>
              <w:ind w:left="0" w:leftChars="0" w:right="0" w:rightChars="0" w:firstLine="0" w:firstLineChars="0"/>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w:t>
            </w:r>
          </w:p>
        </w:tc>
        <w:tc>
          <w:tcPr>
            <w:tcW w:w="742" w:type="dxa"/>
            <w:tcBorders>
              <w:tl2br w:val="nil"/>
              <w:tr2bl w:val="nil"/>
            </w:tcBorders>
            <w:vAlign w:val="center"/>
          </w:tcPr>
          <w:p w14:paraId="7B194670">
            <w:pPr>
              <w:ind w:left="0" w:leftChars="0" w:right="0" w:rightChars="0" w:firstLine="0" w:firstLineChars="0"/>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w:t>
            </w:r>
          </w:p>
        </w:tc>
        <w:tc>
          <w:tcPr>
            <w:tcW w:w="3277" w:type="dxa"/>
            <w:tcBorders>
              <w:right w:val="single" w:color="auto" w:sz="4" w:space="0"/>
              <w:tl2br w:val="nil"/>
              <w:tr2bl w:val="nil"/>
            </w:tcBorders>
            <w:vAlign w:val="center"/>
          </w:tcPr>
          <w:p w14:paraId="3F11251F">
            <w:pPr>
              <w:ind w:left="0" w:leftChars="0" w:right="0" w:rightChars="0" w:firstLine="0" w:firstLineChars="0"/>
              <w:jc w:val="center"/>
              <w:rPr>
                <w:rFonts w:hint="default" w:eastAsia="仿宋"/>
                <w:color w:val="auto"/>
                <w:highlight w:val="none"/>
                <w:lang w:val="en-US" w:eastAsia="zh-CN"/>
              </w:rPr>
            </w:pPr>
            <w:r>
              <w:rPr>
                <w:rFonts w:hint="default" w:eastAsia="仿宋"/>
                <w:color w:val="auto"/>
                <w:highlight w:val="none"/>
                <w:lang w:val="en-US" w:eastAsia="zh-CN"/>
              </w:rPr>
              <w:t>交钥匙项目</w:t>
            </w:r>
          </w:p>
        </w:tc>
        <w:tc>
          <w:tcPr>
            <w:tcW w:w="1591" w:type="dxa"/>
            <w:tcBorders>
              <w:right w:val="single" w:color="auto" w:sz="4" w:space="0"/>
              <w:tl2br w:val="nil"/>
              <w:tr2bl w:val="nil"/>
            </w:tcBorders>
            <w:vAlign w:val="center"/>
          </w:tcPr>
          <w:p w14:paraId="32FBDC1B">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否</w:t>
            </w:r>
          </w:p>
        </w:tc>
      </w:tr>
    </w:tbl>
    <w:p w14:paraId="4618DD4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5" w:name="_Toc35393622"/>
      <w:bookmarkStart w:id="6" w:name="_Toc28359003"/>
      <w:bookmarkStart w:id="7" w:name="_Toc35393791"/>
      <w:bookmarkStart w:id="8" w:name="_Toc28359080"/>
    </w:p>
    <w:p w14:paraId="1578A1E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备注：</w:t>
      </w:r>
      <w:r>
        <w:rPr>
          <w:rFonts w:hint="eastAsia" w:ascii="仿宋" w:hAnsi="仿宋" w:eastAsia="仿宋" w:cs="仿宋"/>
          <w:color w:val="auto"/>
          <w:szCs w:val="21"/>
          <w:highlight w:val="none"/>
          <w:lang w:val="en-US" w:eastAsia="zh-CN"/>
        </w:rPr>
        <w:t>/</w:t>
      </w:r>
    </w:p>
    <w:p w14:paraId="1589E30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u w:val="single"/>
          <w:lang w:eastAsia="zh-CN"/>
        </w:rPr>
      </w:pPr>
      <w:r>
        <w:rPr>
          <w:rFonts w:hint="eastAsia" w:ascii="仿宋" w:hAnsi="仿宋" w:eastAsia="仿宋" w:cs="仿宋"/>
          <w:color w:val="auto"/>
          <w:szCs w:val="21"/>
          <w:highlight w:val="none"/>
        </w:rPr>
        <w:t>合同履约期限：</w:t>
      </w:r>
      <w:r>
        <w:rPr>
          <w:rFonts w:hint="eastAsia" w:ascii="仿宋" w:hAnsi="仿宋" w:eastAsia="仿宋" w:cs="仿宋"/>
          <w:szCs w:val="21"/>
          <w:highlight w:val="none"/>
          <w:lang w:eastAsia="zh-CN"/>
        </w:rPr>
        <w:t>自合同签订生效之日起30日内交付</w:t>
      </w:r>
    </w:p>
    <w:p w14:paraId="7710744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
          <w:color w:val="auto"/>
          <w:szCs w:val="21"/>
          <w:highlight w:val="none"/>
        </w:rPr>
      </w:pPr>
      <w:r>
        <w:rPr>
          <w:rFonts w:hint="eastAsia" w:ascii="仿宋" w:hAnsi="仿宋" w:eastAsia="仿宋" w:cs="仿宋"/>
          <w:bCs/>
          <w:color w:val="auto"/>
          <w:szCs w:val="21"/>
          <w:highlight w:val="none"/>
        </w:rPr>
        <w:t>本项目（</w:t>
      </w:r>
      <w:r>
        <w:rPr>
          <w:rFonts w:hint="eastAsia" w:ascii="仿宋" w:hAnsi="仿宋" w:eastAsia="仿宋" w:cs="仿宋"/>
          <w:bCs/>
          <w:color w:val="auto"/>
          <w:szCs w:val="21"/>
          <w:highlight w:val="none"/>
          <w:lang w:val="en-US" w:eastAsia="zh-CN"/>
        </w:rPr>
        <w:t>是</w:t>
      </w:r>
      <w:r>
        <w:rPr>
          <w:rFonts w:hint="eastAsia" w:ascii="仿宋" w:hAnsi="仿宋" w:eastAsia="仿宋" w:cs="仿宋"/>
          <w:bCs/>
          <w:color w:val="auto"/>
          <w:szCs w:val="21"/>
          <w:highlight w:val="none"/>
        </w:rPr>
        <w:t>）接受联合体投标。</w:t>
      </w:r>
    </w:p>
    <w:p w14:paraId="0B06FB6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二、申请人的资格要求：</w:t>
      </w:r>
      <w:bookmarkEnd w:id="5"/>
      <w:bookmarkEnd w:id="6"/>
      <w:bookmarkEnd w:id="7"/>
      <w:bookmarkEnd w:id="8"/>
    </w:p>
    <w:p w14:paraId="1313C93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9" w:name="_Toc28359004"/>
      <w:bookmarkStart w:id="10" w:name="_Toc28359081"/>
      <w:r>
        <w:rPr>
          <w:rFonts w:hint="eastAsia" w:ascii="仿宋" w:hAnsi="仿宋" w:eastAsia="仿宋" w:cs="仿宋"/>
          <w:color w:val="auto"/>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EA01AD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2.落实政府采购政策需满足的资格要求：</w:t>
      </w:r>
      <w:r>
        <w:rPr>
          <w:rFonts w:hint="eastAsia" w:ascii="仿宋" w:hAnsi="仿宋" w:eastAsia="仿宋" w:cs="仿宋"/>
          <w:color w:val="auto"/>
          <w:szCs w:val="21"/>
          <w:highlight w:val="none"/>
          <w:lang w:val="en-US" w:eastAsia="zh-CN"/>
        </w:rPr>
        <w:t>无</w:t>
      </w:r>
    </w:p>
    <w:p w14:paraId="5171B12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3.本项目的特定资格要求：无</w:t>
      </w:r>
    </w:p>
    <w:p w14:paraId="64AD5990">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11" w:name="_Toc35393792"/>
      <w:bookmarkStart w:id="12" w:name="_Toc35393623"/>
      <w:r>
        <w:rPr>
          <w:rFonts w:hint="eastAsia" w:ascii="仿宋" w:hAnsi="仿宋" w:eastAsia="仿宋" w:cs="仿宋"/>
          <w:b/>
          <w:color w:val="auto"/>
          <w:szCs w:val="21"/>
          <w:highlight w:val="none"/>
        </w:rPr>
        <w:t>三、获取招标文件</w:t>
      </w:r>
      <w:bookmarkEnd w:id="9"/>
      <w:bookmarkEnd w:id="10"/>
      <w:bookmarkEnd w:id="11"/>
      <w:bookmarkEnd w:id="12"/>
    </w:p>
    <w:p w14:paraId="763A3D4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13" w:name="_Toc35393624"/>
      <w:bookmarkStart w:id="14" w:name="_Toc35393793"/>
      <w:bookmarkStart w:id="15" w:name="_Toc28359005"/>
      <w:bookmarkStart w:id="16" w:name="_Toc28359082"/>
      <w:r>
        <w:rPr>
          <w:rFonts w:hint="eastAsia" w:ascii="仿宋" w:hAnsi="仿宋" w:eastAsia="仿宋" w:cs="仿宋"/>
          <w:color w:val="auto"/>
          <w:szCs w:val="21"/>
          <w:highlight w:val="none"/>
        </w:rPr>
        <w:t>时间：</w:t>
      </w:r>
      <w:r>
        <w:rPr>
          <w:rFonts w:hint="eastAsia" w:ascii="仿宋" w:hAnsi="仿宋" w:eastAsia="仿宋" w:cs="仿宋"/>
          <w:color w:val="auto"/>
          <w:szCs w:val="21"/>
          <w:highlight w:val="none"/>
          <w:lang w:eastAsia="zh-CN"/>
        </w:rPr>
        <w:t>2025年</w:t>
      </w:r>
      <w:r>
        <w:rPr>
          <w:rFonts w:hint="eastAsia" w:ascii="仿宋" w:hAnsi="仿宋" w:eastAsia="仿宋" w:cs="仿宋"/>
          <w:color w:val="auto"/>
          <w:szCs w:val="21"/>
          <w:highlight w:val="none"/>
          <w:lang w:val="en-US" w:eastAsia="zh-CN"/>
        </w:rPr>
        <w:t>04</w:t>
      </w:r>
      <w:r>
        <w:rPr>
          <w:rFonts w:hint="eastAsia" w:ascii="仿宋" w:hAnsi="仿宋" w:eastAsia="仿宋" w:cs="仿宋"/>
          <w:color w:val="auto"/>
          <w:szCs w:val="21"/>
          <w:highlight w:val="none"/>
          <w:lang w:eastAsia="zh-CN"/>
        </w:rPr>
        <w:t>月</w:t>
      </w:r>
      <w:r>
        <w:rPr>
          <w:rFonts w:hint="eastAsia" w:ascii="仿宋" w:hAnsi="仿宋" w:eastAsia="仿宋" w:cs="仿宋"/>
          <w:color w:val="auto"/>
          <w:szCs w:val="21"/>
          <w:highlight w:val="none"/>
          <w:lang w:val="en-US" w:eastAsia="zh-CN"/>
        </w:rPr>
        <w:t>03</w:t>
      </w:r>
      <w:r>
        <w:rPr>
          <w:rFonts w:hint="eastAsia" w:ascii="仿宋" w:hAnsi="仿宋" w:eastAsia="仿宋" w:cs="仿宋"/>
          <w:color w:val="auto"/>
          <w:szCs w:val="21"/>
          <w:highlight w:val="none"/>
          <w:lang w:eastAsia="zh-CN"/>
        </w:rPr>
        <w:t>日至2025年04月25日</w:t>
      </w:r>
      <w:r>
        <w:rPr>
          <w:rFonts w:hint="eastAsia" w:ascii="仿宋" w:hAnsi="仿宋" w:eastAsia="仿宋" w:cs="仿宋"/>
          <w:color w:val="auto"/>
          <w:szCs w:val="21"/>
          <w:highlight w:val="none"/>
        </w:rPr>
        <w:t>，</w:t>
      </w:r>
      <w:r>
        <w:rPr>
          <w:rFonts w:hint="eastAsia" w:ascii="仿宋" w:hAnsi="仿宋" w:eastAsia="仿宋" w:cs="仿宋"/>
          <w:bCs/>
          <w:color w:val="auto"/>
          <w:szCs w:val="21"/>
          <w:highlight w:val="none"/>
        </w:rPr>
        <w:t>上午00:00至12:00，下午12:00至23:59（北京时间，线上获取法定节假日均可，线下获取文件法定节假日除外）</w:t>
      </w:r>
    </w:p>
    <w:p w14:paraId="73B2BB9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地点（网址）：政府采购云平台（https://www.zcygov.cn）</w:t>
      </w:r>
    </w:p>
    <w:p w14:paraId="255416A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方式：供应商登录政采云平台（https://www.zcygov.cn）在线申请获取采购文件（进入“项目采购”应用，在获取采购文件菜单中选择项目，申请获取采购文件）。</w:t>
      </w:r>
    </w:p>
    <w:p w14:paraId="0CF17FC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售价（元）：0</w:t>
      </w:r>
    </w:p>
    <w:p w14:paraId="0944482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四、</w:t>
      </w:r>
      <w:bookmarkEnd w:id="13"/>
      <w:bookmarkEnd w:id="14"/>
      <w:bookmarkEnd w:id="15"/>
      <w:bookmarkEnd w:id="16"/>
      <w:r>
        <w:rPr>
          <w:rFonts w:hint="eastAsia" w:ascii="仿宋" w:hAnsi="仿宋" w:eastAsia="仿宋" w:cs="仿宋"/>
          <w:b/>
          <w:color w:val="auto"/>
          <w:szCs w:val="21"/>
          <w:highlight w:val="none"/>
        </w:rPr>
        <w:t>提交投标文件截止时间、开标时间和地点</w:t>
      </w:r>
    </w:p>
    <w:p w14:paraId="0FFED28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bookmarkStart w:id="17" w:name="_Hlk81212057"/>
      <w:r>
        <w:rPr>
          <w:rFonts w:hint="eastAsia" w:ascii="仿宋" w:hAnsi="仿宋" w:eastAsia="仿宋" w:cs="仿宋"/>
          <w:bCs/>
          <w:color w:val="auto"/>
          <w:szCs w:val="21"/>
          <w:highlight w:val="none"/>
        </w:rPr>
        <w:t>提交投标文件截止时间：</w:t>
      </w:r>
      <w:r>
        <w:rPr>
          <w:rFonts w:hint="eastAsia" w:ascii="仿宋" w:hAnsi="仿宋" w:eastAsia="仿宋" w:cs="仿宋"/>
          <w:bCs/>
          <w:color w:val="auto"/>
          <w:szCs w:val="21"/>
          <w:highlight w:val="none"/>
          <w:lang w:eastAsia="zh-CN"/>
        </w:rPr>
        <w:t>2025年04月25日上午09:30:00（北京时间）</w:t>
      </w:r>
    </w:p>
    <w:p w14:paraId="56CB8BD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r>
        <w:rPr>
          <w:rFonts w:hint="eastAsia" w:ascii="仿宋" w:hAnsi="仿宋" w:eastAsia="仿宋" w:cs="仿宋"/>
          <w:bCs/>
          <w:color w:val="auto"/>
          <w:szCs w:val="21"/>
          <w:highlight w:val="none"/>
        </w:rPr>
        <w:t>投标地点（网址）：</w:t>
      </w:r>
      <w:r>
        <w:rPr>
          <w:rFonts w:hint="eastAsia" w:ascii="仿宋" w:hAnsi="仿宋" w:eastAsia="仿宋" w:cs="仿宋"/>
          <w:color w:val="auto"/>
          <w:szCs w:val="21"/>
          <w:highlight w:val="none"/>
        </w:rPr>
        <w:t>政府采购云平台（https://www.zcygov.cn）</w:t>
      </w:r>
    </w:p>
    <w:p w14:paraId="67AE886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r>
        <w:rPr>
          <w:rFonts w:hint="eastAsia" w:ascii="仿宋" w:hAnsi="仿宋" w:eastAsia="仿宋" w:cs="仿宋"/>
          <w:bCs/>
          <w:color w:val="auto"/>
          <w:szCs w:val="21"/>
          <w:highlight w:val="none"/>
        </w:rPr>
        <w:t>开标时间：</w:t>
      </w:r>
      <w:r>
        <w:rPr>
          <w:rFonts w:hint="eastAsia" w:ascii="仿宋" w:hAnsi="仿宋" w:eastAsia="仿宋" w:cs="仿宋"/>
          <w:bCs/>
          <w:color w:val="auto"/>
          <w:szCs w:val="21"/>
          <w:highlight w:val="none"/>
          <w:lang w:eastAsia="zh-CN"/>
        </w:rPr>
        <w:t>2025年04月25日上午09:30:00（北京时间）</w:t>
      </w:r>
    </w:p>
    <w:p w14:paraId="3B6906C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开标地点（网址）：</w:t>
      </w:r>
      <w:r>
        <w:rPr>
          <w:rFonts w:hint="eastAsia" w:ascii="仿宋" w:hAnsi="仿宋" w:eastAsia="仿宋" w:cs="仿宋"/>
          <w:color w:val="auto"/>
          <w:szCs w:val="21"/>
          <w:highlight w:val="none"/>
          <w:lang w:eastAsia="zh-CN"/>
        </w:rPr>
        <w:t>政府采购云平台（https://www.zcygov.cn）/杭州市西湖区玉古路173号中田大厦</w:t>
      </w:r>
      <w:r>
        <w:rPr>
          <w:rFonts w:hint="eastAsia" w:ascii="仿宋" w:hAnsi="仿宋" w:eastAsia="仿宋" w:cs="仿宋"/>
          <w:color w:val="auto"/>
          <w:szCs w:val="21"/>
          <w:highlight w:val="none"/>
          <w:lang w:val="en-US" w:eastAsia="zh-CN"/>
        </w:rPr>
        <w:t>21</w:t>
      </w:r>
      <w:r>
        <w:rPr>
          <w:rFonts w:hint="eastAsia" w:ascii="仿宋" w:hAnsi="仿宋" w:eastAsia="仿宋" w:cs="仿宋"/>
          <w:color w:val="auto"/>
          <w:szCs w:val="21"/>
          <w:highlight w:val="none"/>
          <w:lang w:eastAsia="zh-CN"/>
        </w:rPr>
        <w:t>楼求是招标会议室</w:t>
      </w:r>
      <w:r>
        <w:rPr>
          <w:rFonts w:hint="eastAsia" w:ascii="仿宋" w:hAnsi="仿宋" w:eastAsia="仿宋" w:cs="仿宋"/>
          <w:color w:val="auto"/>
          <w:szCs w:val="21"/>
          <w:highlight w:val="none"/>
          <w:lang w:val="en-US" w:eastAsia="zh-CN"/>
        </w:rPr>
        <w:t>4</w:t>
      </w:r>
      <w:bookmarkEnd w:id="17"/>
    </w:p>
    <w:p w14:paraId="127C4E14">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18" w:name="_Toc28359007"/>
      <w:bookmarkStart w:id="19" w:name="_Toc35393794"/>
      <w:bookmarkStart w:id="20" w:name="_Toc28359084"/>
      <w:bookmarkStart w:id="21" w:name="_Toc35393625"/>
      <w:r>
        <w:rPr>
          <w:rFonts w:hint="eastAsia" w:ascii="仿宋" w:hAnsi="仿宋" w:eastAsia="仿宋" w:cs="仿宋"/>
          <w:b/>
          <w:color w:val="auto"/>
          <w:szCs w:val="21"/>
          <w:highlight w:val="none"/>
        </w:rPr>
        <w:t>五、公告期限</w:t>
      </w:r>
      <w:bookmarkEnd w:id="18"/>
      <w:bookmarkEnd w:id="19"/>
      <w:bookmarkEnd w:id="20"/>
      <w:bookmarkEnd w:id="21"/>
    </w:p>
    <w:p w14:paraId="244182A8">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自本公告发布之日起5个工作日。</w:t>
      </w:r>
    </w:p>
    <w:p w14:paraId="41C64C7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22" w:name="_Toc35393795"/>
      <w:bookmarkStart w:id="23" w:name="_Toc35393626"/>
      <w:r>
        <w:rPr>
          <w:rFonts w:hint="eastAsia" w:ascii="仿宋" w:hAnsi="仿宋" w:eastAsia="仿宋" w:cs="仿宋"/>
          <w:b/>
          <w:color w:val="auto"/>
          <w:szCs w:val="21"/>
          <w:highlight w:val="none"/>
        </w:rPr>
        <w:t>六、其他补充事宜</w:t>
      </w:r>
      <w:bookmarkEnd w:id="22"/>
      <w:bookmarkEnd w:id="23"/>
    </w:p>
    <w:p w14:paraId="7A5C7AD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24" w:name="_Hlk92271231"/>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w:t>
      </w:r>
      <w:r>
        <w:rPr>
          <w:rFonts w:hint="eastAsia" w:ascii="仿宋" w:hAnsi="仿宋" w:eastAsia="仿宋" w:cs="仿宋"/>
          <w:color w:val="auto"/>
          <w:szCs w:val="21"/>
          <w:highlight w:val="none"/>
        </w:rPr>
        <w:t>，此前有关规定与上述文件内容不一致的，按上述文件要求执行。</w:t>
      </w:r>
    </w:p>
    <w:p w14:paraId="5FF1A79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89DC27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w:t>
      </w:r>
      <w:r>
        <w:rPr>
          <w:rFonts w:hint="eastAsia" w:ascii="仿宋" w:hAnsi="仿宋" w:eastAsia="仿宋" w:cs="仿宋"/>
          <w:color w:val="auto"/>
          <w:szCs w:val="21"/>
          <w:highlight w:val="none"/>
          <w:lang w:eastAsia="zh-CN"/>
        </w:rPr>
        <w:t>同级政府采购监督管理部门</w:t>
      </w:r>
      <w:r>
        <w:rPr>
          <w:rFonts w:hint="eastAsia" w:ascii="仿宋" w:hAnsi="仿宋" w:eastAsia="仿宋" w:cs="仿宋"/>
          <w:color w:val="auto"/>
          <w:szCs w:val="21"/>
          <w:highlight w:val="none"/>
        </w:rPr>
        <w:t>投诉。质疑函范本、投诉书范本请到浙江政府采购网下载专区下载。</w:t>
      </w:r>
    </w:p>
    <w:p w14:paraId="127D5FC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4.其他事项：</w:t>
      </w:r>
      <w:bookmarkStart w:id="25" w:name="_Hlk92271331"/>
      <w:r>
        <w:rPr>
          <w:rFonts w:hint="eastAsia" w:ascii="仿宋" w:hAnsi="仿宋" w:eastAsia="仿宋" w:cs="仿宋"/>
          <w:color w:val="auto"/>
          <w:szCs w:val="21"/>
          <w:highlight w:val="none"/>
        </w:rPr>
        <w:t>（1）需要落实的政府采购政策：包括节约资源、保护环境、支持科技创新、促进中小企业发展等，具体详见招标文件第三章“</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九</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采购项目需要落实的政府采购政策”；▲</w:t>
      </w:r>
      <w:bookmarkStart w:id="26" w:name="_Hlk92271072"/>
      <w:r>
        <w:rPr>
          <w:rFonts w:hint="eastAsia" w:ascii="仿宋" w:hAnsi="仿宋" w:eastAsia="仿宋" w:cs="仿宋"/>
          <w:color w:val="auto"/>
          <w:szCs w:val="21"/>
          <w:highlight w:val="none"/>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6"/>
    </w:p>
    <w:bookmarkEnd w:id="24"/>
    <w:bookmarkEnd w:id="25"/>
    <w:p w14:paraId="1182EB5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27" w:name="_Toc35393796"/>
      <w:bookmarkStart w:id="28" w:name="_Toc28359085"/>
      <w:bookmarkStart w:id="29" w:name="_Toc35393627"/>
      <w:bookmarkStart w:id="30" w:name="_Toc28359008"/>
      <w:r>
        <w:rPr>
          <w:rFonts w:hint="eastAsia" w:ascii="仿宋" w:hAnsi="仿宋" w:eastAsia="仿宋" w:cs="仿宋"/>
          <w:b/>
          <w:color w:val="auto"/>
          <w:szCs w:val="21"/>
          <w:highlight w:val="none"/>
        </w:rPr>
        <w:t>七、对本次采购提出询问、质疑、投诉，请按以下方式联系</w:t>
      </w:r>
      <w:bookmarkEnd w:id="27"/>
      <w:bookmarkEnd w:id="28"/>
      <w:bookmarkEnd w:id="29"/>
      <w:bookmarkEnd w:id="30"/>
      <w:r>
        <w:rPr>
          <w:rFonts w:hint="eastAsia" w:ascii="仿宋" w:hAnsi="仿宋" w:eastAsia="仿宋" w:cs="仿宋"/>
          <w:b/>
          <w:color w:val="auto"/>
          <w:szCs w:val="21"/>
          <w:highlight w:val="none"/>
        </w:rPr>
        <w:t>：</w:t>
      </w:r>
    </w:p>
    <w:p w14:paraId="6CB473D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1.采购人信息</w:t>
      </w:r>
    </w:p>
    <w:p w14:paraId="22DC309A">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名称：浙江工业大学</w:t>
      </w:r>
    </w:p>
    <w:p w14:paraId="361192E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地址：杭州市潮王路18号</w:t>
      </w:r>
    </w:p>
    <w:p w14:paraId="5479D775">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传真：/</w:t>
      </w:r>
    </w:p>
    <w:p w14:paraId="64729495">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项目联系人（询问）：尹</w:t>
      </w:r>
      <w:r>
        <w:rPr>
          <w:rFonts w:hint="eastAsia" w:ascii="仿宋" w:hAnsi="仿宋" w:eastAsia="仿宋" w:cs="仿宋"/>
          <w:color w:val="auto"/>
          <w:szCs w:val="21"/>
          <w:highlight w:val="none"/>
          <w:lang w:val="en-US" w:eastAsia="zh-CN"/>
        </w:rPr>
        <w:t>老师</w:t>
      </w:r>
    </w:p>
    <w:p w14:paraId="3E4190CC">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rPr>
      </w:pPr>
      <w:r>
        <w:rPr>
          <w:rFonts w:hint="eastAsia" w:ascii="仿宋" w:hAnsi="仿宋" w:eastAsia="仿宋" w:cs="仿宋"/>
          <w:color w:val="auto"/>
          <w:szCs w:val="21"/>
          <w:highlight w:val="none"/>
        </w:rPr>
        <w:t>项目联系方式（询问）：0571-88320116</w:t>
      </w:r>
    </w:p>
    <w:p w14:paraId="5BB377CB">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质疑联系人：马老师</w:t>
      </w:r>
    </w:p>
    <w:p w14:paraId="5E2E9BA3">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质疑联系方式：0571-88320626</w:t>
      </w:r>
    </w:p>
    <w:p w14:paraId="7BC6772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p>
    <w:p w14:paraId="07F6FB0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2.采购代理机构信息</w:t>
      </w:r>
    </w:p>
    <w:p w14:paraId="1E12AFE1">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名称：浙江求是招标代理有限公司</w:t>
      </w:r>
    </w:p>
    <w:p w14:paraId="4E435A3B">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地址：杭州市西湖区玉古路173号</w:t>
      </w:r>
      <w:r>
        <w:rPr>
          <w:rFonts w:hint="eastAsia" w:ascii="仿宋" w:hAnsi="仿宋" w:eastAsia="仿宋" w:cs="仿宋"/>
          <w:color w:val="auto"/>
          <w:szCs w:val="21"/>
          <w:highlight w:val="none"/>
          <w:lang w:eastAsia="zh-CN"/>
        </w:rPr>
        <w:t>中田大厦21楼</w:t>
      </w:r>
    </w:p>
    <w:p w14:paraId="2F1E9A3C">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传真：/</w:t>
      </w:r>
    </w:p>
    <w:p w14:paraId="2ADFB9FA">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项目联系人（询问）：</w:t>
      </w:r>
      <w:r>
        <w:rPr>
          <w:rFonts w:hint="eastAsia" w:ascii="仿宋" w:hAnsi="仿宋" w:eastAsia="仿宋" w:cs="仿宋"/>
          <w:color w:val="auto"/>
          <w:szCs w:val="21"/>
          <w:highlight w:val="none"/>
          <w:lang w:val="en-US" w:eastAsia="zh-CN"/>
        </w:rPr>
        <w:t>叶鲁茂、冯增伟</w:t>
      </w:r>
    </w:p>
    <w:p w14:paraId="1443E2D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项目联系方式（询问）：0571-87679349</w:t>
      </w:r>
    </w:p>
    <w:p w14:paraId="6299793F">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质疑联系人：</w:t>
      </w:r>
      <w:r>
        <w:rPr>
          <w:rFonts w:hint="eastAsia" w:ascii="仿宋" w:hAnsi="仿宋" w:eastAsia="仿宋" w:cs="仿宋"/>
          <w:color w:val="auto"/>
          <w:szCs w:val="21"/>
          <w:highlight w:val="none"/>
          <w:lang w:val="en-US" w:eastAsia="zh-CN"/>
        </w:rPr>
        <w:t>周安琪</w:t>
      </w:r>
    </w:p>
    <w:p w14:paraId="37BB2234">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质疑联系方式：0571-81110356</w:t>
      </w:r>
    </w:p>
    <w:p w14:paraId="02157448">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质疑邮箱：jdkh@qszb.net</w:t>
      </w:r>
    </w:p>
    <w:p w14:paraId="154E29A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p>
    <w:p w14:paraId="0768D6F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3.</w:t>
      </w:r>
      <w:r>
        <w:rPr>
          <w:rFonts w:hint="eastAsia" w:ascii="仿宋" w:hAnsi="仿宋" w:eastAsia="仿宋" w:cs="仿宋"/>
          <w:color w:val="auto"/>
          <w:szCs w:val="21"/>
          <w:highlight w:val="none"/>
          <w:lang w:eastAsia="zh-CN"/>
        </w:rPr>
        <w:t>同级政府采购监督管理部门</w:t>
      </w:r>
    </w:p>
    <w:p w14:paraId="11137A6F">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名称：浙江省财政厅政府采购监管处、浙江省政府采购行政裁决服务中心（杭州）</w:t>
      </w:r>
    </w:p>
    <w:p w14:paraId="69D8832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地址：杭州市上城区清泰街549号城建综合大楼11楼（快递仅限ems或顺丰）</w:t>
      </w:r>
    </w:p>
    <w:p w14:paraId="0861193E">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传真：/</w:t>
      </w:r>
    </w:p>
    <w:p w14:paraId="12CF5794">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联系人：朱老师、王老师、匡老师</w:t>
      </w:r>
    </w:p>
    <w:p w14:paraId="42494C69">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监督投诉电话：0571-87800218，0571-87227671</w:t>
      </w:r>
    </w:p>
    <w:p w14:paraId="579B70DF">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政策咨询：何一平、冯华，0571-87058424、87055741</w:t>
      </w:r>
    </w:p>
    <w:p w14:paraId="19F0A99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p>
    <w:p w14:paraId="15BC90A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若对项目采购电子交易系统操作有疑问，可登录政采云（https://www.zcygov.cn/），点击右侧咨询小采，获取采小蜜智能服务管家帮助，或拨打政采云服务热线95763获取热线服务帮助。</w:t>
      </w:r>
    </w:p>
    <w:p w14:paraId="5445A1E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CA问题联系电话（人工）：汇信CA</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400-888-4636；天谷CA</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400-087-8198。</w:t>
      </w:r>
    </w:p>
    <w:p w14:paraId="3F726B34">
      <w:pPr>
        <w:ind w:left="0" w:leftChars="0" w:right="0" w:rightChars="0" w:firstLine="0" w:firstLine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16EBE169">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bCs/>
          <w:color w:val="auto"/>
          <w:sz w:val="32"/>
          <w:szCs w:val="32"/>
          <w:highlight w:val="none"/>
        </w:rPr>
      </w:pPr>
      <w:r>
        <w:rPr>
          <w:rFonts w:hint="eastAsia" w:ascii="仿宋" w:hAnsi="仿宋" w:eastAsia="仿宋" w:cs="仿宋"/>
          <w:b/>
          <w:color w:val="auto"/>
          <w:sz w:val="32"/>
          <w:szCs w:val="32"/>
          <w:highlight w:val="none"/>
        </w:rPr>
        <w:t xml:space="preserve">第二章  </w:t>
      </w:r>
      <w:r>
        <w:rPr>
          <w:rFonts w:hint="eastAsia" w:ascii="仿宋" w:hAnsi="仿宋" w:eastAsia="仿宋" w:cs="仿宋"/>
          <w:b/>
          <w:bCs/>
          <w:color w:val="auto"/>
          <w:sz w:val="32"/>
          <w:szCs w:val="32"/>
          <w:highlight w:val="none"/>
        </w:rPr>
        <w:t>采购需求</w:t>
      </w:r>
    </w:p>
    <w:p w14:paraId="6C3DDC9E">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一、为落实政府采购政策需满足的要求</w:t>
      </w:r>
    </w:p>
    <w:tbl>
      <w:tblPr>
        <w:tblStyle w:val="24"/>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7"/>
        <w:gridCol w:w="3042"/>
        <w:gridCol w:w="5927"/>
      </w:tblGrid>
      <w:tr w14:paraId="764E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341" w:type="pct"/>
            <w:vAlign w:val="center"/>
          </w:tcPr>
          <w:p w14:paraId="421EAF7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bookmarkStart w:id="31" w:name="_Hlk45005599"/>
            <w:r>
              <w:rPr>
                <w:rFonts w:hint="eastAsia" w:ascii="仿宋" w:hAnsi="仿宋" w:eastAsia="仿宋" w:cs="仿宋"/>
                <w:b/>
                <w:bCs/>
                <w:color w:val="auto"/>
                <w:szCs w:val="21"/>
                <w:highlight w:val="none"/>
              </w:rPr>
              <w:t>序号</w:t>
            </w:r>
          </w:p>
        </w:tc>
        <w:tc>
          <w:tcPr>
            <w:tcW w:w="1580" w:type="pct"/>
            <w:vAlign w:val="center"/>
          </w:tcPr>
          <w:p w14:paraId="7C179E5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政策名称</w:t>
            </w:r>
          </w:p>
        </w:tc>
        <w:tc>
          <w:tcPr>
            <w:tcW w:w="3078" w:type="pct"/>
            <w:vAlign w:val="center"/>
          </w:tcPr>
          <w:p w14:paraId="527C22AD">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内容</w:t>
            </w:r>
          </w:p>
        </w:tc>
      </w:tr>
      <w:tr w14:paraId="4DA08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341" w:type="pct"/>
            <w:vAlign w:val="center"/>
          </w:tcPr>
          <w:p w14:paraId="3E3166D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1</w:t>
            </w:r>
          </w:p>
        </w:tc>
        <w:tc>
          <w:tcPr>
            <w:tcW w:w="1580" w:type="pct"/>
            <w:vAlign w:val="center"/>
          </w:tcPr>
          <w:p w14:paraId="537C86A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政府采购进口产品</w:t>
            </w:r>
          </w:p>
        </w:tc>
        <w:tc>
          <w:tcPr>
            <w:tcW w:w="3078" w:type="pct"/>
            <w:vAlign w:val="center"/>
          </w:tcPr>
          <w:p w14:paraId="050F5C8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不允许采购进口产品</w:t>
            </w:r>
          </w:p>
        </w:tc>
      </w:tr>
      <w:tr w14:paraId="1F253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341" w:type="pct"/>
            <w:vAlign w:val="center"/>
          </w:tcPr>
          <w:p w14:paraId="0EB967EA">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2</w:t>
            </w:r>
          </w:p>
        </w:tc>
        <w:tc>
          <w:tcPr>
            <w:tcW w:w="1580" w:type="pct"/>
            <w:vAlign w:val="center"/>
          </w:tcPr>
          <w:p w14:paraId="4916A0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政府强制采购节能产品</w:t>
            </w:r>
          </w:p>
        </w:tc>
        <w:tc>
          <w:tcPr>
            <w:tcW w:w="3078" w:type="pct"/>
            <w:vAlign w:val="center"/>
          </w:tcPr>
          <w:p w14:paraId="5FB0F574">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商务和技术</w:t>
            </w:r>
            <w:r>
              <w:rPr>
                <w:rFonts w:hint="eastAsia" w:ascii="仿宋" w:hAnsi="仿宋" w:eastAsia="仿宋" w:cs="仿宋"/>
                <w:color w:val="auto"/>
                <w:szCs w:val="21"/>
                <w:highlight w:val="none"/>
              </w:rPr>
              <w:t>文件”</w:t>
            </w:r>
          </w:p>
        </w:tc>
      </w:tr>
      <w:tr w14:paraId="5ACA5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341" w:type="pct"/>
            <w:vAlign w:val="center"/>
          </w:tcPr>
          <w:p w14:paraId="79B5596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3</w:t>
            </w:r>
          </w:p>
        </w:tc>
        <w:tc>
          <w:tcPr>
            <w:tcW w:w="1580" w:type="pct"/>
            <w:vAlign w:val="center"/>
          </w:tcPr>
          <w:p w14:paraId="0FE72C8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政府优先采购节能、环保产品</w:t>
            </w:r>
          </w:p>
        </w:tc>
        <w:tc>
          <w:tcPr>
            <w:tcW w:w="3078" w:type="pct"/>
            <w:vAlign w:val="center"/>
          </w:tcPr>
          <w:p w14:paraId="5825ADFD">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商务和技术</w:t>
            </w:r>
            <w:r>
              <w:rPr>
                <w:rFonts w:hint="eastAsia" w:ascii="仿宋" w:hAnsi="仿宋" w:eastAsia="仿宋" w:cs="仿宋"/>
                <w:color w:val="auto"/>
                <w:szCs w:val="21"/>
                <w:highlight w:val="none"/>
              </w:rPr>
              <w:t>文件”</w:t>
            </w:r>
          </w:p>
        </w:tc>
      </w:tr>
      <w:tr w14:paraId="2288B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341" w:type="pct"/>
            <w:vAlign w:val="center"/>
          </w:tcPr>
          <w:p w14:paraId="7CBEF0C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4</w:t>
            </w:r>
          </w:p>
        </w:tc>
        <w:tc>
          <w:tcPr>
            <w:tcW w:w="1580" w:type="pct"/>
            <w:vAlign w:val="center"/>
          </w:tcPr>
          <w:p w14:paraId="03A14AE7">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rPr>
              <w:t>政府采购</w:t>
            </w:r>
            <w:r>
              <w:rPr>
                <w:rFonts w:hint="eastAsia" w:ascii="仿宋" w:hAnsi="仿宋" w:eastAsia="仿宋" w:cs="仿宋"/>
                <w:b/>
                <w:bCs/>
                <w:color w:val="auto"/>
                <w:szCs w:val="21"/>
                <w:highlight w:val="none"/>
                <w:lang w:eastAsia="zh-CN"/>
              </w:rPr>
              <w:t>支持科技创新</w:t>
            </w:r>
          </w:p>
        </w:tc>
        <w:tc>
          <w:tcPr>
            <w:tcW w:w="3078" w:type="pct"/>
            <w:vAlign w:val="center"/>
          </w:tcPr>
          <w:p w14:paraId="30A7D61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商务和技术</w:t>
            </w:r>
            <w:r>
              <w:rPr>
                <w:rFonts w:hint="eastAsia" w:ascii="仿宋" w:hAnsi="仿宋" w:eastAsia="仿宋" w:cs="仿宋"/>
                <w:color w:val="auto"/>
                <w:szCs w:val="21"/>
                <w:highlight w:val="none"/>
              </w:rPr>
              <w:t>文件”</w:t>
            </w:r>
          </w:p>
        </w:tc>
      </w:tr>
      <w:tr w14:paraId="7165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341" w:type="pct"/>
            <w:vAlign w:val="center"/>
          </w:tcPr>
          <w:p w14:paraId="7DF9A03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5</w:t>
            </w:r>
          </w:p>
        </w:tc>
        <w:tc>
          <w:tcPr>
            <w:tcW w:w="1580" w:type="pct"/>
            <w:vAlign w:val="center"/>
          </w:tcPr>
          <w:p w14:paraId="076985F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政府采购促进中小企业发展</w:t>
            </w:r>
          </w:p>
        </w:tc>
        <w:tc>
          <w:tcPr>
            <w:tcW w:w="3078" w:type="pct"/>
            <w:vAlign w:val="center"/>
          </w:tcPr>
          <w:p w14:paraId="6E7A923F">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报价文件</w:t>
            </w:r>
            <w:r>
              <w:rPr>
                <w:rFonts w:hint="eastAsia" w:ascii="仿宋" w:hAnsi="仿宋" w:eastAsia="仿宋" w:cs="仿宋"/>
                <w:color w:val="auto"/>
                <w:szCs w:val="21"/>
                <w:highlight w:val="none"/>
              </w:rPr>
              <w:t>”</w:t>
            </w:r>
          </w:p>
          <w:p w14:paraId="4454F52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本项目</w:t>
            </w:r>
            <w:r>
              <w:rPr>
                <w:rFonts w:hint="eastAsia" w:ascii="仿宋" w:hAnsi="仿宋" w:eastAsia="仿宋" w:cs="仿宋"/>
                <w:b/>
                <w:bCs/>
                <w:color w:val="auto"/>
                <w:szCs w:val="21"/>
                <w:highlight w:val="none"/>
                <w:lang w:val="en-US" w:eastAsia="zh-CN"/>
              </w:rPr>
              <w:t>属性：</w:t>
            </w:r>
            <w:r>
              <w:rPr>
                <w:rFonts w:hint="eastAsia" w:ascii="仿宋" w:hAnsi="仿宋" w:eastAsia="仿宋" w:cs="仿宋"/>
                <w:b/>
                <w:bCs/>
                <w:color w:val="auto"/>
                <w:szCs w:val="21"/>
                <w:highlight w:val="none"/>
              </w:rPr>
              <w:t>货物</w:t>
            </w:r>
          </w:p>
          <w:p w14:paraId="140B88D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采购标的对应的中小企业划分标准所属行业</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工业</w:t>
            </w:r>
          </w:p>
          <w:p w14:paraId="3BCAF30E">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中小企业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131C7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341" w:type="pct"/>
            <w:vAlign w:val="center"/>
          </w:tcPr>
          <w:p w14:paraId="6D9AC34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6</w:t>
            </w:r>
          </w:p>
        </w:tc>
        <w:tc>
          <w:tcPr>
            <w:tcW w:w="1580" w:type="pct"/>
            <w:vAlign w:val="center"/>
          </w:tcPr>
          <w:p w14:paraId="710A4828">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政府采购支持监狱企业发展</w:t>
            </w:r>
          </w:p>
        </w:tc>
        <w:tc>
          <w:tcPr>
            <w:tcW w:w="3078" w:type="pct"/>
            <w:vAlign w:val="center"/>
          </w:tcPr>
          <w:p w14:paraId="68EBAF8F">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视同小微企业，</w:t>
            </w: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报价文件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w:t>
            </w:r>
          </w:p>
        </w:tc>
      </w:tr>
      <w:tr w14:paraId="73F54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341" w:type="pct"/>
            <w:vAlign w:val="center"/>
          </w:tcPr>
          <w:p w14:paraId="6822411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7</w:t>
            </w:r>
          </w:p>
        </w:tc>
        <w:tc>
          <w:tcPr>
            <w:tcW w:w="1580" w:type="pct"/>
            <w:vAlign w:val="center"/>
          </w:tcPr>
          <w:p w14:paraId="2BA0245B">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政府采购促进残疾人就业</w:t>
            </w:r>
          </w:p>
        </w:tc>
        <w:tc>
          <w:tcPr>
            <w:tcW w:w="3078" w:type="pct"/>
            <w:vAlign w:val="center"/>
          </w:tcPr>
          <w:p w14:paraId="54BAF185">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视同小微企业，</w:t>
            </w: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报价文件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w:t>
            </w:r>
          </w:p>
        </w:tc>
      </w:tr>
      <w:bookmarkEnd w:id="31"/>
    </w:tbl>
    <w:p w14:paraId="7843FBC2">
      <w:pPr>
        <w:adjustRightInd w:val="0"/>
        <w:snapToGrid w:val="0"/>
        <w:spacing w:line="288" w:lineRule="auto"/>
        <w:rPr>
          <w:rFonts w:ascii="仿宋" w:hAnsi="仿宋" w:eastAsia="仿宋" w:cs="仿宋"/>
          <w:b/>
          <w:color w:val="auto"/>
          <w:spacing w:val="-4"/>
          <w:szCs w:val="21"/>
          <w:highlight w:val="none"/>
        </w:rPr>
      </w:pPr>
    </w:p>
    <w:p w14:paraId="26E09167">
      <w:pPr>
        <w:adjustRightInd w:val="0"/>
        <w:snapToGrid w:val="0"/>
        <w:spacing w:line="288" w:lineRule="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二、采购资金的支付方式、时间、条件</w:t>
      </w:r>
    </w:p>
    <w:tbl>
      <w:tblPr>
        <w:tblStyle w:val="24"/>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8"/>
        <w:gridCol w:w="7280"/>
      </w:tblGrid>
      <w:tr w14:paraId="5BA796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192FC81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支付方式</w:t>
            </w:r>
          </w:p>
        </w:tc>
        <w:tc>
          <w:tcPr>
            <w:tcW w:w="3780" w:type="pct"/>
            <w:tcBorders>
              <w:top w:val="single" w:color="auto" w:sz="4" w:space="0"/>
              <w:left w:val="single" w:color="auto" w:sz="4" w:space="0"/>
              <w:bottom w:val="single" w:color="auto" w:sz="4" w:space="0"/>
              <w:right w:val="single" w:color="auto" w:sz="4" w:space="0"/>
            </w:tcBorders>
            <w:vAlign w:val="center"/>
          </w:tcPr>
          <w:p w14:paraId="43FDD6CF">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银行转账</w:t>
            </w:r>
          </w:p>
        </w:tc>
      </w:tr>
      <w:tr w14:paraId="413B13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05CDC486">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▲支付时间及条件</w:t>
            </w:r>
          </w:p>
        </w:tc>
        <w:tc>
          <w:tcPr>
            <w:tcW w:w="3780" w:type="pct"/>
            <w:tcBorders>
              <w:top w:val="single" w:color="auto" w:sz="4" w:space="0"/>
              <w:left w:val="single" w:color="auto" w:sz="4" w:space="0"/>
              <w:bottom w:val="single" w:color="auto" w:sz="4" w:space="0"/>
              <w:right w:val="single" w:color="auto" w:sz="4" w:space="0"/>
            </w:tcBorders>
            <w:vAlign w:val="center"/>
          </w:tcPr>
          <w:p w14:paraId="5D3C4BAD">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highlight w:val="none"/>
              </w:rPr>
            </w:pPr>
            <w:r>
              <w:rPr>
                <w:rFonts w:hint="eastAsia" w:ascii="仿宋" w:hAnsi="仿宋" w:eastAsia="仿宋" w:cs="仿宋"/>
                <w:highlight w:val="none"/>
              </w:rPr>
              <w:t>合同生效以及具备实施条件后7个工作日内</w:t>
            </w:r>
            <w:r>
              <w:rPr>
                <w:rFonts w:hint="eastAsia" w:ascii="仿宋" w:hAnsi="仿宋" w:eastAsia="仿宋" w:cs="仿宋"/>
                <w:highlight w:val="none"/>
                <w:lang w:eastAsia="zh-CN"/>
              </w:rPr>
              <w:t>，</w:t>
            </w:r>
            <w:r>
              <w:rPr>
                <w:rFonts w:hint="eastAsia" w:ascii="仿宋" w:hAnsi="仿宋" w:eastAsia="仿宋" w:cs="仿宋"/>
                <w:highlight w:val="none"/>
              </w:rPr>
              <w:t>采购人向中标人支付合同总价的40%作为预付款，合同货物送达采购人指定地点，</w:t>
            </w:r>
            <w:r>
              <w:rPr>
                <w:rFonts w:hint="eastAsia" w:ascii="仿宋" w:hAnsi="仿宋" w:eastAsia="仿宋" w:cs="仿宋"/>
                <w:highlight w:val="none"/>
                <w:lang w:eastAsia="zh-CN"/>
              </w:rPr>
              <w:t>安装调试成功并经校级验收合格且收到中标人开具的增值税专用发票后</w:t>
            </w:r>
            <w:r>
              <w:rPr>
                <w:rFonts w:hint="eastAsia" w:ascii="仿宋" w:hAnsi="仿宋" w:eastAsia="仿宋" w:cs="仿宋"/>
                <w:highlight w:val="none"/>
              </w:rPr>
              <w:t>，采购人于7个工作日内向中标人支付剩余合同价款。</w:t>
            </w:r>
          </w:p>
          <w:p w14:paraId="168AB643">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宋体" w:cs="仿宋"/>
                <w:color w:val="auto"/>
                <w:highlight w:val="none"/>
                <w:lang w:eastAsia="zh-CN"/>
              </w:rPr>
            </w:pPr>
            <w:r>
              <w:rPr>
                <w:rFonts w:hint="eastAsia" w:ascii="仿宋" w:hAnsi="仿宋" w:eastAsia="仿宋" w:cs="仿宋"/>
                <w:b/>
                <w:bCs/>
                <w:sz w:val="18"/>
                <w:szCs w:val="18"/>
                <w:highlight w:val="none"/>
              </w:rPr>
              <w:t>备注：在签订合同时，中标人明确表示无需预付款或主动要求降低预付款比例的，</w:t>
            </w:r>
            <w:r>
              <w:rPr>
                <w:rFonts w:hint="eastAsia" w:ascii="仿宋" w:hAnsi="仿宋" w:eastAsia="仿宋" w:cs="仿宋"/>
                <w:b/>
                <w:bCs/>
                <w:sz w:val="18"/>
                <w:szCs w:val="18"/>
                <w:highlight w:val="none"/>
                <w:lang w:eastAsia="zh-CN"/>
              </w:rPr>
              <w:t>可降低预付款比例；</w:t>
            </w:r>
            <w:r>
              <w:rPr>
                <w:rFonts w:hint="eastAsia" w:ascii="仿宋" w:hAnsi="仿宋" w:eastAsia="仿宋" w:cs="仿宋"/>
                <w:b/>
                <w:bCs/>
                <w:sz w:val="18"/>
                <w:szCs w:val="18"/>
                <w:highlight w:val="none"/>
              </w:rPr>
              <w:t>联合体</w:t>
            </w:r>
            <w:r>
              <w:rPr>
                <w:rFonts w:hint="eastAsia" w:ascii="仿宋" w:hAnsi="仿宋" w:eastAsia="仿宋" w:cs="仿宋"/>
                <w:b/>
                <w:bCs/>
                <w:sz w:val="18"/>
                <w:szCs w:val="18"/>
                <w:highlight w:val="none"/>
                <w:lang w:val="en-US" w:eastAsia="zh-CN"/>
              </w:rPr>
              <w:t>投标</w:t>
            </w:r>
            <w:r>
              <w:rPr>
                <w:rFonts w:hint="eastAsia" w:ascii="仿宋" w:hAnsi="仿宋" w:eastAsia="仿宋" w:cs="仿宋"/>
                <w:b/>
                <w:bCs/>
                <w:sz w:val="18"/>
                <w:szCs w:val="18"/>
                <w:highlight w:val="none"/>
              </w:rPr>
              <w:t>的预付款、</w:t>
            </w:r>
            <w:r>
              <w:rPr>
                <w:rFonts w:hint="eastAsia" w:ascii="仿宋" w:hAnsi="仿宋" w:eastAsia="仿宋" w:cs="仿宋"/>
                <w:b/>
                <w:bCs/>
                <w:sz w:val="18"/>
                <w:szCs w:val="18"/>
                <w:highlight w:val="none"/>
                <w:lang w:val="en-US" w:eastAsia="zh-CN"/>
              </w:rPr>
              <w:t>货款</w:t>
            </w:r>
            <w:r>
              <w:rPr>
                <w:rFonts w:hint="eastAsia" w:ascii="仿宋" w:hAnsi="仿宋" w:eastAsia="仿宋" w:cs="仿宋"/>
                <w:b/>
                <w:bCs/>
                <w:sz w:val="18"/>
                <w:szCs w:val="18"/>
                <w:highlight w:val="none"/>
              </w:rPr>
              <w:t>均由采购人支付给联合体牵头人，联合体成员与联合体牵头人的付款方式以双方约定的为准，与采购人无涉。</w:t>
            </w:r>
          </w:p>
        </w:tc>
      </w:tr>
      <w:tr w14:paraId="167F45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694BC1D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▲履约保证金</w:t>
            </w:r>
          </w:p>
        </w:tc>
        <w:tc>
          <w:tcPr>
            <w:tcW w:w="3780" w:type="pct"/>
            <w:tcBorders>
              <w:top w:val="single" w:color="auto" w:sz="4" w:space="0"/>
              <w:left w:val="single" w:color="auto" w:sz="4" w:space="0"/>
              <w:bottom w:val="single" w:color="auto" w:sz="4" w:space="0"/>
              <w:right w:val="single" w:color="auto" w:sz="4" w:space="0"/>
            </w:tcBorders>
            <w:vAlign w:val="center"/>
          </w:tcPr>
          <w:p w14:paraId="02191BFA">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rPr>
            </w:pPr>
            <w:r>
              <w:rPr>
                <w:rFonts w:hint="eastAsia" w:ascii="仿宋" w:hAnsi="仿宋" w:eastAsia="仿宋" w:cs="仿宋"/>
                <w:color w:val="auto"/>
                <w:highlight w:val="none"/>
              </w:rPr>
              <w:t>1.比例：</w:t>
            </w:r>
            <w:r>
              <w:rPr>
                <w:rFonts w:hint="eastAsia" w:ascii="仿宋" w:hAnsi="仿宋" w:eastAsia="仿宋" w:cs="仿宋"/>
                <w:color w:val="auto"/>
                <w:highlight w:val="none"/>
                <w:lang w:eastAsia="zh-CN"/>
              </w:rPr>
              <w:t>合同金额的1%</w:t>
            </w:r>
            <w:r>
              <w:rPr>
                <w:rFonts w:hint="eastAsia" w:ascii="仿宋" w:hAnsi="仿宋" w:eastAsia="仿宋" w:cs="仿宋"/>
                <w:color w:val="auto"/>
                <w:highlight w:val="none"/>
              </w:rPr>
              <w:t>；</w:t>
            </w:r>
          </w:p>
          <w:p w14:paraId="0EA2FD0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rPr>
            </w:pPr>
            <w:r>
              <w:rPr>
                <w:rFonts w:hint="eastAsia" w:ascii="仿宋" w:hAnsi="仿宋" w:eastAsia="仿宋" w:cs="仿宋"/>
                <w:color w:val="auto"/>
                <w:highlight w:val="none"/>
              </w:rPr>
              <w:t>2.提交方式：支票、汇票、本票或者金融机构、担保机构出具的保函等非现金形式；</w:t>
            </w:r>
          </w:p>
          <w:p w14:paraId="56AD4A3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highlight w:val="none"/>
              </w:rPr>
            </w:pPr>
            <w:r>
              <w:rPr>
                <w:rFonts w:hint="eastAsia" w:ascii="仿宋" w:hAnsi="仿宋" w:eastAsia="仿宋" w:cs="仿宋"/>
                <w:color w:val="auto"/>
                <w:highlight w:val="none"/>
              </w:rPr>
              <w:t>3.提交时间：收到采购人发出的签订合同要约后7天内；</w:t>
            </w:r>
          </w:p>
          <w:p w14:paraId="2048EEAB">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highlight w:val="none"/>
                <w:lang w:val="en-US"/>
              </w:rPr>
            </w:pPr>
            <w:r>
              <w:rPr>
                <w:rFonts w:hint="eastAsia" w:ascii="仿宋" w:hAnsi="仿宋" w:eastAsia="仿宋" w:cs="仿宋"/>
                <w:color w:val="auto"/>
                <w:highlight w:val="none"/>
              </w:rPr>
              <w:t>4.退还时间及条件：合同履约期间无违约情形的，</w:t>
            </w:r>
            <w:r>
              <w:rPr>
                <w:rFonts w:hint="eastAsia" w:ascii="仿宋" w:hAnsi="仿宋" w:eastAsia="仿宋" w:cs="仿宋"/>
                <w:color w:val="auto"/>
                <w:highlight w:val="none"/>
                <w:lang w:eastAsia="zh-CN"/>
              </w:rPr>
              <w:t>项目经校级验收合格后</w:t>
            </w:r>
            <w:r>
              <w:rPr>
                <w:rFonts w:hint="eastAsia" w:ascii="仿宋" w:hAnsi="仿宋" w:eastAsia="仿宋" w:cs="仿宋"/>
                <w:color w:val="auto"/>
                <w:highlight w:val="none"/>
                <w:lang w:val="en-US" w:eastAsia="zh-CN"/>
              </w:rPr>
              <w:t>浙江工业大学</w:t>
            </w:r>
            <w:r>
              <w:rPr>
                <w:rFonts w:hint="eastAsia" w:ascii="仿宋" w:hAnsi="仿宋" w:eastAsia="仿宋" w:cs="仿宋"/>
                <w:color w:val="auto"/>
                <w:highlight w:val="none"/>
                <w:lang w:eastAsia="zh-CN"/>
              </w:rPr>
              <w:t>财务部门及时无息退还。如校级验收未通过，履约保证金不予退还。</w:t>
            </w:r>
          </w:p>
        </w:tc>
      </w:tr>
    </w:tbl>
    <w:p w14:paraId="6BD48257">
      <w:pPr>
        <w:adjustRightInd w:val="0"/>
        <w:snapToGrid w:val="0"/>
        <w:spacing w:line="288" w:lineRule="auto"/>
        <w:rPr>
          <w:rFonts w:ascii="仿宋" w:hAnsi="仿宋" w:eastAsia="仿宋" w:cs="仿宋"/>
          <w:color w:val="auto"/>
          <w:spacing w:val="-4"/>
          <w:szCs w:val="21"/>
          <w:highlight w:val="none"/>
        </w:rPr>
      </w:pPr>
    </w:p>
    <w:p w14:paraId="4779CB3B">
      <w:pPr>
        <w:adjustRightInd w:val="0"/>
        <w:snapToGrid w:val="0"/>
        <w:spacing w:line="288" w:lineRule="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三、服务要求（技术要求里另有注明的以技术要求为准）</w:t>
      </w:r>
    </w:p>
    <w:tbl>
      <w:tblPr>
        <w:tblStyle w:val="24"/>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8"/>
        <w:gridCol w:w="7280"/>
      </w:tblGrid>
      <w:tr w14:paraId="5B2D76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36A6F95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交付时间</w:t>
            </w:r>
          </w:p>
        </w:tc>
        <w:tc>
          <w:tcPr>
            <w:tcW w:w="3780" w:type="pct"/>
            <w:tcBorders>
              <w:top w:val="single" w:color="auto" w:sz="4" w:space="0"/>
              <w:left w:val="single" w:color="auto" w:sz="4" w:space="0"/>
              <w:bottom w:val="single" w:color="auto" w:sz="4" w:space="0"/>
              <w:right w:val="single" w:color="auto" w:sz="4" w:space="0"/>
            </w:tcBorders>
            <w:vAlign w:val="center"/>
          </w:tcPr>
          <w:p w14:paraId="56A584CA">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自合同签订生效之日起30日内交付</w:t>
            </w:r>
          </w:p>
        </w:tc>
      </w:tr>
      <w:tr w14:paraId="04B339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7017652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交付地点</w:t>
            </w:r>
          </w:p>
        </w:tc>
        <w:tc>
          <w:tcPr>
            <w:tcW w:w="3780" w:type="pct"/>
            <w:tcBorders>
              <w:top w:val="single" w:color="auto" w:sz="4" w:space="0"/>
              <w:left w:val="single" w:color="auto" w:sz="4" w:space="0"/>
              <w:bottom w:val="single" w:color="auto" w:sz="4" w:space="0"/>
              <w:right w:val="single" w:color="auto" w:sz="4" w:space="0"/>
            </w:tcBorders>
            <w:vAlign w:val="center"/>
          </w:tcPr>
          <w:p w14:paraId="003B8C07">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采购人指定地点</w:t>
            </w:r>
          </w:p>
        </w:tc>
      </w:tr>
      <w:tr w14:paraId="1AF868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63C768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质保期</w:t>
            </w:r>
          </w:p>
        </w:tc>
        <w:tc>
          <w:tcPr>
            <w:tcW w:w="3780" w:type="pct"/>
            <w:tcBorders>
              <w:top w:val="single" w:color="auto" w:sz="4" w:space="0"/>
              <w:left w:val="single" w:color="auto" w:sz="4" w:space="0"/>
              <w:bottom w:val="single" w:color="auto" w:sz="4" w:space="0"/>
              <w:right w:val="single" w:color="auto" w:sz="4" w:space="0"/>
            </w:tcBorders>
            <w:vAlign w:val="center"/>
          </w:tcPr>
          <w:p w14:paraId="0ED8A17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lang w:eastAsia="zh-CN"/>
              </w:rPr>
              <w:t>项目经校级验收合格后</w:t>
            </w:r>
            <w:r>
              <w:rPr>
                <w:rFonts w:hint="eastAsia" w:ascii="仿宋" w:hAnsi="仿宋" w:eastAsia="仿宋" w:cs="仿宋"/>
                <w:color w:val="auto"/>
                <w:szCs w:val="21"/>
                <w:highlight w:val="none"/>
              </w:rPr>
              <w:t>开始计算）</w:t>
            </w:r>
          </w:p>
        </w:tc>
      </w:tr>
      <w:tr w14:paraId="2A1C52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73014A5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服务标准、期限、效率</w:t>
            </w:r>
          </w:p>
        </w:tc>
        <w:tc>
          <w:tcPr>
            <w:tcW w:w="3780" w:type="pct"/>
            <w:tcBorders>
              <w:top w:val="single" w:color="auto" w:sz="4" w:space="0"/>
              <w:left w:val="single" w:color="auto" w:sz="4" w:space="0"/>
              <w:bottom w:val="single" w:color="auto" w:sz="4" w:space="0"/>
              <w:right w:val="single" w:color="auto" w:sz="4" w:space="0"/>
            </w:tcBorders>
            <w:vAlign w:val="center"/>
          </w:tcPr>
          <w:p w14:paraId="7103F39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highlight w:val="none"/>
              </w:rPr>
            </w:pPr>
            <w:r>
              <w:rPr>
                <w:rFonts w:hint="eastAsia" w:ascii="仿宋" w:hAnsi="仿宋" w:eastAsia="仿宋" w:cs="仿宋"/>
                <w:highlight w:val="none"/>
              </w:rPr>
              <w:t>1.质量保证：最新生产的符合国家技术规格和质量标准的出厂原装合格产品；</w:t>
            </w:r>
          </w:p>
          <w:p w14:paraId="7DCCDA3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highlight w:val="none"/>
              </w:rPr>
            </w:pPr>
            <w:r>
              <w:rPr>
                <w:rFonts w:hint="eastAsia" w:ascii="仿宋" w:hAnsi="仿宋" w:eastAsia="仿宋" w:cs="仿宋"/>
                <w:highlight w:val="none"/>
                <w:lang w:val="en-US" w:eastAsia="zh-CN"/>
              </w:rPr>
              <w:t>2.</w:t>
            </w:r>
            <w:r>
              <w:rPr>
                <w:rFonts w:hint="eastAsia" w:ascii="仿宋" w:hAnsi="仿宋" w:eastAsia="仿宋" w:cs="仿宋"/>
                <w:highlight w:val="none"/>
              </w:rPr>
              <w:t>如招标文件中遗漏必备的设备、配件或服务，投标人</w:t>
            </w:r>
            <w:r>
              <w:rPr>
                <w:rFonts w:hint="eastAsia" w:ascii="仿宋" w:hAnsi="仿宋" w:eastAsia="仿宋" w:cs="仿宋"/>
                <w:highlight w:val="none"/>
                <w:lang w:eastAsia="zh-CN"/>
              </w:rPr>
              <w:t>需</w:t>
            </w:r>
            <w:r>
              <w:rPr>
                <w:rFonts w:hint="eastAsia" w:ascii="仿宋" w:hAnsi="仿宋" w:eastAsia="仿宋" w:cs="仿宋"/>
                <w:highlight w:val="none"/>
              </w:rPr>
              <w:t>在投标文件中指出并提出解决方案供采购人参考；</w:t>
            </w:r>
          </w:p>
          <w:p w14:paraId="4AD0D37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w:t>
            </w:r>
            <w:r>
              <w:rPr>
                <w:rFonts w:hint="eastAsia" w:ascii="仿宋" w:hAnsi="仿宋" w:eastAsia="仿宋" w:cs="仿宋"/>
                <w:highlight w:val="none"/>
              </w:rPr>
              <w:t>保证采购人产品需求</w:t>
            </w:r>
            <w:r>
              <w:rPr>
                <w:rFonts w:hint="eastAsia" w:ascii="仿宋" w:hAnsi="仿宋" w:eastAsia="仿宋" w:cs="仿宋"/>
                <w:highlight w:val="none"/>
                <w:lang w:val="en-US" w:eastAsia="zh-CN"/>
              </w:rPr>
              <w:t>的</w:t>
            </w:r>
            <w:r>
              <w:rPr>
                <w:rFonts w:hint="eastAsia" w:ascii="仿宋" w:hAnsi="仿宋" w:eastAsia="仿宋" w:cs="仿宋"/>
                <w:highlight w:val="none"/>
              </w:rPr>
              <w:t>完整性，如项目实施过程中因缺少必备的设备、配件或服务导致产品无法正常运行的</w:t>
            </w:r>
            <w:r>
              <w:rPr>
                <w:rFonts w:hint="eastAsia" w:ascii="仿宋" w:hAnsi="仿宋" w:eastAsia="仿宋" w:cs="仿宋"/>
                <w:highlight w:val="none"/>
                <w:lang w:val="en-US" w:eastAsia="zh-CN"/>
              </w:rPr>
              <w:t>则</w:t>
            </w:r>
            <w:r>
              <w:rPr>
                <w:rFonts w:hint="eastAsia" w:ascii="仿宋" w:hAnsi="仿宋" w:eastAsia="仿宋" w:cs="仿宋"/>
                <w:highlight w:val="none"/>
              </w:rPr>
              <w:t>中标人</w:t>
            </w:r>
            <w:r>
              <w:rPr>
                <w:rFonts w:hint="eastAsia" w:ascii="仿宋" w:hAnsi="仿宋" w:eastAsia="仿宋" w:cs="仿宋"/>
                <w:highlight w:val="none"/>
                <w:lang w:eastAsia="zh-CN"/>
              </w:rPr>
              <w:t>需</w:t>
            </w:r>
            <w:r>
              <w:rPr>
                <w:rFonts w:hint="eastAsia" w:ascii="仿宋" w:hAnsi="仿宋" w:eastAsia="仿宋" w:cs="仿宋"/>
                <w:highlight w:val="none"/>
              </w:rPr>
              <w:t>补足</w:t>
            </w:r>
            <w:r>
              <w:rPr>
                <w:rFonts w:hint="eastAsia" w:ascii="仿宋" w:hAnsi="仿宋" w:eastAsia="仿宋" w:cs="仿宋"/>
                <w:highlight w:val="none"/>
                <w:lang w:eastAsia="zh-CN"/>
              </w:rPr>
              <w:t>（</w:t>
            </w:r>
            <w:r>
              <w:rPr>
                <w:rFonts w:hint="eastAsia" w:ascii="仿宋" w:hAnsi="仿宋" w:eastAsia="仿宋" w:cs="仿宋"/>
                <w:highlight w:val="none"/>
              </w:rPr>
              <w:t>费用包含在投标总价中</w:t>
            </w:r>
            <w:r>
              <w:rPr>
                <w:rFonts w:hint="eastAsia" w:ascii="仿宋" w:hAnsi="仿宋" w:eastAsia="仿宋" w:cs="仿宋"/>
                <w:highlight w:val="none"/>
                <w:lang w:eastAsia="zh-CN"/>
              </w:rPr>
              <w:t>）；</w:t>
            </w:r>
          </w:p>
          <w:p w14:paraId="125ABDBA">
            <w:pPr>
              <w:rPr>
                <w:rFonts w:ascii="仿宋" w:hAnsi="仿宋" w:eastAsia="仿宋" w:cs="仿宋"/>
                <w:color w:val="auto"/>
                <w:highlight w:val="none"/>
              </w:rPr>
            </w:pPr>
            <w:r>
              <w:rPr>
                <w:rFonts w:hint="eastAsia" w:ascii="仿宋" w:hAnsi="仿宋" w:eastAsia="仿宋" w:cs="仿宋"/>
                <w:color w:val="auto"/>
                <w:highlight w:val="none"/>
              </w:rPr>
              <w:t>4.安装调试（若需要安装调试）</w:t>
            </w:r>
          </w:p>
          <w:p w14:paraId="1AD77FE3">
            <w:pPr>
              <w:rPr>
                <w:rFonts w:ascii="仿宋" w:hAnsi="仿宋" w:eastAsia="仿宋" w:cs="仿宋"/>
                <w:color w:val="auto"/>
                <w:szCs w:val="21"/>
                <w:highlight w:val="none"/>
              </w:rPr>
            </w:pPr>
            <w:r>
              <w:rPr>
                <w:rFonts w:hint="eastAsia" w:ascii="仿宋" w:hAnsi="仿宋" w:eastAsia="仿宋" w:cs="仿宋"/>
                <w:color w:val="auto"/>
                <w:szCs w:val="21"/>
                <w:highlight w:val="none"/>
              </w:rPr>
              <w:t>4.1 安装地点：采购人指定地点；</w:t>
            </w:r>
          </w:p>
          <w:p w14:paraId="62323006">
            <w:pPr>
              <w:rPr>
                <w:rFonts w:ascii="仿宋" w:hAnsi="仿宋" w:eastAsia="仿宋" w:cs="仿宋"/>
                <w:color w:val="auto"/>
                <w:szCs w:val="21"/>
                <w:highlight w:val="none"/>
              </w:rPr>
            </w:pPr>
            <w:r>
              <w:rPr>
                <w:rFonts w:hint="eastAsia" w:ascii="仿宋" w:hAnsi="仿宋" w:eastAsia="仿宋" w:cs="仿宋"/>
                <w:color w:val="auto"/>
                <w:szCs w:val="21"/>
                <w:highlight w:val="none"/>
              </w:rPr>
              <w:t>4.2 完成时间：接到采购人通知后在规定时间内完成安装调试，如在规定时间内由于中标人原因不能完成安装调试，中标人承担由此给采购人造成的损失；</w:t>
            </w:r>
          </w:p>
          <w:p w14:paraId="21ABFCB0">
            <w:pPr>
              <w:rPr>
                <w:rFonts w:ascii="仿宋" w:hAnsi="仿宋" w:eastAsia="仿宋" w:cs="仿宋"/>
                <w:color w:val="auto"/>
                <w:szCs w:val="21"/>
                <w:highlight w:val="none"/>
              </w:rPr>
            </w:pPr>
            <w:r>
              <w:rPr>
                <w:rFonts w:hint="eastAsia" w:ascii="仿宋" w:hAnsi="仿宋" w:eastAsia="仿宋" w:cs="仿宋"/>
                <w:color w:val="auto"/>
                <w:szCs w:val="21"/>
                <w:highlight w:val="none"/>
              </w:rPr>
              <w:t>4.3 如中标人委托国内代理（或其他机构）负责安装或配合安装</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在签约时指明，但中标人仍要对合同货物及其安装质量负全部责任；</w:t>
            </w:r>
          </w:p>
          <w:p w14:paraId="554F2F1D">
            <w:pPr>
              <w:rPr>
                <w:rFonts w:ascii="仿宋" w:hAnsi="仿宋" w:eastAsia="仿宋" w:cs="仿宋"/>
                <w:color w:val="auto"/>
                <w:szCs w:val="21"/>
                <w:highlight w:val="none"/>
              </w:rPr>
            </w:pPr>
            <w:r>
              <w:rPr>
                <w:rFonts w:hint="eastAsia" w:ascii="仿宋" w:hAnsi="仿宋" w:eastAsia="仿宋" w:cs="仿宋"/>
                <w:color w:val="auto"/>
                <w:szCs w:val="21"/>
                <w:highlight w:val="none"/>
              </w:rPr>
              <w:t>4.4 安装标准：符合我国国家有关技术规范要求和技术标准，所有软件和硬件保证同时安装到位；</w:t>
            </w:r>
          </w:p>
          <w:p w14:paraId="588160AF">
            <w:pPr>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4.5 </w:t>
            </w:r>
            <w:r>
              <w:rPr>
                <w:rFonts w:hint="eastAsia" w:ascii="仿宋" w:hAnsi="仿宋" w:eastAsia="仿宋" w:cs="仿宋"/>
                <w:highlight w:val="none"/>
              </w:rPr>
              <w:t>费用</w:t>
            </w:r>
            <w:r>
              <w:rPr>
                <w:rFonts w:hint="eastAsia" w:ascii="仿宋" w:hAnsi="仿宋" w:eastAsia="仿宋" w:cs="仿宋"/>
                <w:highlight w:val="none"/>
                <w:lang w:eastAsia="zh-CN"/>
              </w:rPr>
              <w:t>：</w:t>
            </w:r>
            <w:r>
              <w:rPr>
                <w:rFonts w:hint="eastAsia" w:ascii="仿宋" w:hAnsi="仿宋" w:eastAsia="仿宋" w:cs="仿宋"/>
                <w:highlight w:val="none"/>
              </w:rPr>
              <w:t>包含在投标总价中</w:t>
            </w:r>
            <w:r>
              <w:rPr>
                <w:rFonts w:hint="eastAsia" w:ascii="仿宋" w:hAnsi="仿宋" w:eastAsia="仿宋" w:cs="仿宋"/>
                <w:color w:val="auto"/>
                <w:szCs w:val="21"/>
                <w:highlight w:val="none"/>
              </w:rPr>
              <w:t>；</w:t>
            </w:r>
          </w:p>
          <w:p w14:paraId="20C325CC">
            <w:pPr>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4.6 </w:t>
            </w:r>
            <w:r>
              <w:rPr>
                <w:rFonts w:hint="eastAsia" w:ascii="仿宋" w:hAnsi="仿宋" w:eastAsia="仿宋" w:cs="仿宋"/>
                <w:color w:val="auto"/>
                <w:szCs w:val="21"/>
                <w:highlight w:val="none"/>
                <w:lang w:eastAsia="zh-CN"/>
              </w:rPr>
              <w:t>投标文件中</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提供项目实施</w:t>
            </w:r>
            <w:r>
              <w:rPr>
                <w:rFonts w:hint="eastAsia" w:ascii="仿宋" w:hAnsi="仿宋" w:eastAsia="仿宋" w:cs="仿宋"/>
                <w:color w:val="auto"/>
                <w:szCs w:val="21"/>
                <w:highlight w:val="none"/>
                <w:lang w:val="en-US" w:eastAsia="zh-CN"/>
              </w:rPr>
              <w:t>方案</w:t>
            </w:r>
            <w:r>
              <w:rPr>
                <w:rFonts w:hint="eastAsia" w:ascii="仿宋" w:hAnsi="仿宋" w:eastAsia="仿宋" w:cs="仿宋"/>
                <w:color w:val="auto"/>
                <w:szCs w:val="21"/>
                <w:highlight w:val="none"/>
              </w:rPr>
              <w:t>（总体设想、实施计划、设计与安装调试及展陈施工配合协调措施、新技术/新产品/新工艺/新材料应用等）。</w:t>
            </w:r>
          </w:p>
          <w:p w14:paraId="23B02A86">
            <w:pPr>
              <w:rPr>
                <w:rFonts w:ascii="仿宋" w:hAnsi="仿宋" w:eastAsia="仿宋" w:cs="仿宋"/>
                <w:color w:val="auto"/>
                <w:szCs w:val="21"/>
                <w:highlight w:val="none"/>
              </w:rPr>
            </w:pPr>
            <w:r>
              <w:rPr>
                <w:rFonts w:hint="eastAsia" w:ascii="仿宋" w:hAnsi="仿宋" w:eastAsia="仿宋" w:cs="仿宋"/>
                <w:color w:val="auto"/>
                <w:szCs w:val="21"/>
                <w:highlight w:val="none"/>
              </w:rPr>
              <w:t>5.培训</w:t>
            </w:r>
          </w:p>
          <w:p w14:paraId="5658DFA3">
            <w:pPr>
              <w:rPr>
                <w:rFonts w:ascii="仿宋" w:hAnsi="仿宋" w:eastAsia="仿宋" w:cs="仿宋"/>
                <w:color w:val="auto"/>
                <w:szCs w:val="21"/>
                <w:highlight w:val="none"/>
              </w:rPr>
            </w:pPr>
            <w:r>
              <w:rPr>
                <w:rFonts w:hint="eastAsia" w:ascii="仿宋" w:hAnsi="仿宋" w:eastAsia="仿宋" w:cs="仿宋"/>
                <w:color w:val="auto"/>
                <w:szCs w:val="21"/>
                <w:highlight w:val="none"/>
              </w:rPr>
              <w:t>5.1 中标人</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对采购人的操作人员、维修人员进行培训，直至能熟练操作为止；</w:t>
            </w:r>
          </w:p>
          <w:p w14:paraId="34543FB8">
            <w:pPr>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5.2 </w:t>
            </w:r>
            <w:r>
              <w:rPr>
                <w:rFonts w:hint="eastAsia" w:ascii="仿宋" w:hAnsi="仿宋" w:eastAsia="仿宋" w:cs="仿宋"/>
                <w:highlight w:val="none"/>
              </w:rPr>
              <w:t>费用</w:t>
            </w:r>
            <w:r>
              <w:rPr>
                <w:rFonts w:hint="eastAsia" w:ascii="仿宋" w:hAnsi="仿宋" w:eastAsia="仿宋" w:cs="仿宋"/>
                <w:highlight w:val="none"/>
                <w:lang w:eastAsia="zh-CN"/>
              </w:rPr>
              <w:t>：</w:t>
            </w:r>
            <w:r>
              <w:rPr>
                <w:rFonts w:hint="eastAsia" w:ascii="仿宋" w:hAnsi="仿宋" w:eastAsia="仿宋" w:cs="仿宋"/>
                <w:highlight w:val="none"/>
              </w:rPr>
              <w:t>包含在投标总价中</w:t>
            </w:r>
            <w:r>
              <w:rPr>
                <w:rFonts w:hint="eastAsia" w:ascii="仿宋" w:hAnsi="仿宋" w:eastAsia="仿宋" w:cs="仿宋"/>
                <w:highlight w:val="none"/>
                <w:lang w:eastAsia="zh-CN"/>
              </w:rPr>
              <w:t>；</w:t>
            </w:r>
          </w:p>
          <w:p w14:paraId="1B617E8F">
            <w:pP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5.</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eastAsia="zh-CN"/>
              </w:rPr>
              <w:t>投标文件中</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提供相应的培训计划</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包括培训流程、培训方式、培训对象、培训内容、培训日程等</w:t>
            </w:r>
            <w:r>
              <w:rPr>
                <w:rFonts w:hint="eastAsia" w:ascii="仿宋" w:hAnsi="仿宋" w:eastAsia="仿宋" w:cs="仿宋"/>
                <w:color w:val="auto"/>
                <w:sz w:val="21"/>
                <w:szCs w:val="21"/>
                <w:highlight w:val="none"/>
                <w:lang w:eastAsia="zh-CN"/>
              </w:rPr>
              <w:t>）。</w:t>
            </w:r>
          </w:p>
          <w:p w14:paraId="32F81E43">
            <w:pPr>
              <w:rPr>
                <w:rFonts w:ascii="仿宋" w:hAnsi="仿宋" w:eastAsia="仿宋" w:cs="仿宋"/>
                <w:color w:val="auto"/>
                <w:szCs w:val="21"/>
                <w:highlight w:val="none"/>
              </w:rPr>
            </w:pPr>
            <w:r>
              <w:rPr>
                <w:rFonts w:hint="eastAsia" w:ascii="仿宋" w:hAnsi="仿宋" w:eastAsia="仿宋" w:cs="仿宋"/>
                <w:color w:val="auto"/>
                <w:szCs w:val="21"/>
                <w:highlight w:val="none"/>
              </w:rPr>
              <w:t>6.售后服务</w:t>
            </w:r>
          </w:p>
          <w:p w14:paraId="3CFCBE5E">
            <w:pPr>
              <w:rPr>
                <w:rFonts w:ascii="仿宋" w:hAnsi="仿宋" w:eastAsia="仿宋" w:cs="仿宋"/>
                <w:color w:val="auto"/>
                <w:szCs w:val="21"/>
                <w:highlight w:val="none"/>
              </w:rPr>
            </w:pPr>
            <w:r>
              <w:rPr>
                <w:rFonts w:hint="eastAsia" w:ascii="仿宋" w:hAnsi="仿宋" w:eastAsia="仿宋" w:cs="仿宋"/>
                <w:color w:val="auto"/>
                <w:szCs w:val="21"/>
                <w:highlight w:val="none"/>
              </w:rPr>
              <w:t>6.1 质保期内：因不能排除的故障而影响工作的情况每发生一次，其质保期相应延长</w:t>
            </w:r>
            <w:r>
              <w:rPr>
                <w:rFonts w:hint="eastAsia" w:ascii="仿宋" w:hAnsi="仿宋" w:eastAsia="仿宋" w:cs="仿宋"/>
                <w:color w:val="auto"/>
                <w:szCs w:val="21"/>
                <w:highlight w:val="none"/>
                <w:lang w:val="en-US" w:eastAsia="zh-CN"/>
              </w:rPr>
              <w:t>90</w:t>
            </w:r>
            <w:r>
              <w:rPr>
                <w:rFonts w:hint="eastAsia" w:ascii="仿宋" w:hAnsi="仿宋" w:eastAsia="仿宋" w:cs="仿宋"/>
                <w:color w:val="auto"/>
                <w:szCs w:val="21"/>
                <w:highlight w:val="none"/>
              </w:rPr>
              <w:t>天，因货物本身缺陷造成各种故障</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由中标人免费予以更换，否则采购人有权按照“违约责任”条款的约定要求中标人承担相应违约责任；</w:t>
            </w:r>
          </w:p>
          <w:p w14:paraId="2006E15D">
            <w:pP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6.2 质保期外：实行有偿服务，仅收取成本费（按一定折扣的优惠价格），免人工费、差旅费</w:t>
            </w:r>
            <w:r>
              <w:rPr>
                <w:rFonts w:hint="eastAsia" w:ascii="仿宋" w:hAnsi="仿宋" w:eastAsia="仿宋" w:cs="仿宋"/>
                <w:color w:val="auto"/>
                <w:szCs w:val="21"/>
                <w:highlight w:val="none"/>
                <w:lang w:eastAsia="zh-CN"/>
              </w:rPr>
              <w:t>；</w:t>
            </w:r>
          </w:p>
          <w:p w14:paraId="7B176EC3">
            <w:pPr>
              <w:rPr>
                <w:rFonts w:ascii="仿宋" w:hAnsi="仿宋" w:eastAsia="仿宋" w:cs="仿宋"/>
                <w:color w:val="auto"/>
                <w:szCs w:val="21"/>
                <w:highlight w:val="none"/>
              </w:rPr>
            </w:pPr>
            <w:r>
              <w:rPr>
                <w:rFonts w:hint="eastAsia" w:ascii="仿宋" w:hAnsi="仿宋" w:eastAsia="仿宋" w:cs="仿宋"/>
                <w:color w:val="auto"/>
                <w:szCs w:val="21"/>
                <w:highlight w:val="none"/>
              </w:rPr>
              <w:t>6.3 响应时间</w:t>
            </w:r>
          </w:p>
          <w:p w14:paraId="2567504E">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(1)维修响应时间：接到采购人通知</w:t>
            </w:r>
            <w:r>
              <w:rPr>
                <w:rFonts w:hint="eastAsia" w:ascii="仿宋" w:hAnsi="仿宋" w:eastAsia="仿宋" w:cs="仿宋"/>
                <w:color w:val="auto"/>
                <w:szCs w:val="21"/>
                <w:highlight w:val="none"/>
                <w:lang w:val="en-US" w:eastAsia="zh-CN"/>
              </w:rPr>
              <w:t>24</w:t>
            </w:r>
            <w:r>
              <w:rPr>
                <w:rFonts w:hint="eastAsia" w:ascii="仿宋" w:hAnsi="仿宋" w:eastAsia="仿宋" w:cs="仿宋"/>
                <w:color w:val="auto"/>
                <w:szCs w:val="21"/>
                <w:highlight w:val="none"/>
              </w:rPr>
              <w:t>小时内响应、</w:t>
            </w:r>
            <w:r>
              <w:rPr>
                <w:rFonts w:hint="eastAsia" w:ascii="仿宋" w:hAnsi="仿宋" w:eastAsia="仿宋" w:cs="仿宋"/>
                <w:color w:val="auto"/>
                <w:szCs w:val="21"/>
                <w:highlight w:val="none"/>
                <w:lang w:val="en-US" w:eastAsia="zh-CN"/>
              </w:rPr>
              <w:t>2日</w:t>
            </w:r>
            <w:r>
              <w:rPr>
                <w:rFonts w:hint="eastAsia" w:ascii="仿宋" w:hAnsi="仿宋" w:eastAsia="仿宋" w:cs="仿宋"/>
                <w:color w:val="auto"/>
                <w:szCs w:val="21"/>
                <w:highlight w:val="none"/>
              </w:rPr>
              <w:t>内到达采购人现场；</w:t>
            </w:r>
          </w:p>
          <w:p w14:paraId="673B5B5C">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(2)解决问题时间：一般问题在</w:t>
            </w:r>
            <w:r>
              <w:rPr>
                <w:rFonts w:hint="eastAsia" w:ascii="仿宋" w:hAnsi="仿宋" w:eastAsia="仿宋" w:cs="仿宋"/>
                <w:color w:val="auto"/>
                <w:szCs w:val="21"/>
                <w:highlight w:val="none"/>
                <w:lang w:val="en-US" w:eastAsia="zh-CN"/>
              </w:rPr>
              <w:t>48</w:t>
            </w:r>
            <w:r>
              <w:rPr>
                <w:rFonts w:hint="eastAsia" w:ascii="仿宋" w:hAnsi="仿宋" w:eastAsia="仿宋" w:cs="仿宋"/>
                <w:color w:val="auto"/>
                <w:szCs w:val="21"/>
                <w:highlight w:val="none"/>
              </w:rPr>
              <w:t>小时内解决、重大问题或其它无法迅速解决的问题在一周内解决或提出明确的解决方案；</w:t>
            </w:r>
          </w:p>
          <w:p w14:paraId="67879D5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r>
              <w:rPr>
                <w:rFonts w:hint="eastAsia" w:ascii="仿宋" w:hAnsi="仿宋" w:eastAsia="仿宋" w:cs="仿宋"/>
                <w:color w:val="auto"/>
                <w:szCs w:val="21"/>
                <w:highlight w:val="none"/>
                <w:lang w:val="en-US" w:eastAsia="zh-CN"/>
              </w:rPr>
              <w:t>72</w:t>
            </w:r>
            <w:r>
              <w:rPr>
                <w:rFonts w:hint="eastAsia" w:ascii="仿宋" w:hAnsi="仿宋" w:eastAsia="仿宋" w:cs="仿宋"/>
                <w:color w:val="auto"/>
                <w:szCs w:val="21"/>
                <w:highlight w:val="none"/>
              </w:rPr>
              <w:t>小时内无法修复的提供解决方案（如提供备机等）。</w:t>
            </w:r>
          </w:p>
          <w:p w14:paraId="02EC6803">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Cs w:val="21"/>
                <w:highlight w:val="none"/>
                <w:lang w:val="en-US" w:eastAsia="zh-CN"/>
              </w:rPr>
              <w:t xml:space="preserve">6.4 </w:t>
            </w:r>
            <w:r>
              <w:rPr>
                <w:rFonts w:hint="eastAsia" w:ascii="仿宋" w:hAnsi="仿宋" w:eastAsia="仿宋" w:cs="仿宋"/>
                <w:color w:val="auto"/>
                <w:szCs w:val="21"/>
                <w:highlight w:val="none"/>
                <w:lang w:eastAsia="zh-CN"/>
              </w:rPr>
              <w:t>投标文件中</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提供相应的</w:t>
            </w:r>
            <w:r>
              <w:rPr>
                <w:rFonts w:hint="eastAsia" w:ascii="仿宋" w:hAnsi="仿宋" w:eastAsia="仿宋" w:cs="仿宋"/>
                <w:color w:val="auto"/>
                <w:sz w:val="21"/>
                <w:szCs w:val="21"/>
                <w:highlight w:val="none"/>
              </w:rPr>
              <w:t>售后服务方案</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包括</w:t>
            </w:r>
            <w:r>
              <w:rPr>
                <w:rFonts w:hint="eastAsia" w:ascii="仿宋" w:hAnsi="仿宋" w:eastAsia="仿宋" w:cs="仿宋"/>
                <w:color w:val="auto"/>
                <w:sz w:val="21"/>
                <w:szCs w:val="21"/>
                <w:highlight w:val="none"/>
                <w:lang w:eastAsia="zh-CN"/>
              </w:rPr>
              <w:t>服务机构、服务内容、服务承诺</w:t>
            </w:r>
            <w:r>
              <w:rPr>
                <w:rFonts w:hint="eastAsia" w:ascii="仿宋" w:hAnsi="仿宋" w:eastAsia="仿宋" w:cs="仿宋"/>
                <w:color w:val="auto"/>
                <w:sz w:val="21"/>
                <w:szCs w:val="21"/>
                <w:highlight w:val="none"/>
              </w:rPr>
              <w:t>、响应时间、服务方式、人员配备</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应急服务等</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及</w:t>
            </w:r>
            <w:r>
              <w:rPr>
                <w:rFonts w:hint="eastAsia" w:ascii="仿宋" w:hAnsi="仿宋" w:eastAsia="仿宋" w:cs="仿宋"/>
                <w:color w:val="auto"/>
                <w:sz w:val="21"/>
                <w:szCs w:val="21"/>
                <w:highlight w:val="none"/>
                <w:lang w:eastAsia="zh-CN"/>
              </w:rPr>
              <w:t>随机标准附件、备品备件、易损件、零配件、专用工具等准备和保障措施；</w:t>
            </w:r>
          </w:p>
          <w:p w14:paraId="462AA6E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6.</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lang w:eastAsia="zh-CN"/>
              </w:rPr>
              <w:t xml:space="preserve"> 质保期内重大活动期间提供现场保障服务每年≥3场次，重大活动前根据采购人要求安排相对固定技术人员在规定时间内进行设备检测和调试，重大活动当天安排与检测和调试相同技术人员在规定时间内到现场提供技术保障服务，所需费用包含在投标总价中。</w:t>
            </w:r>
          </w:p>
          <w:p w14:paraId="11B00E60">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highlight w:val="none"/>
                <w:lang w:val="en-US" w:eastAsia="zh-CN"/>
              </w:rPr>
            </w:pPr>
            <w:r>
              <w:rPr>
                <w:rFonts w:hint="eastAsia" w:ascii="仿宋" w:hAnsi="仿宋" w:eastAsia="仿宋" w:cs="仿宋"/>
                <w:color w:val="auto"/>
                <w:sz w:val="21"/>
                <w:szCs w:val="21"/>
                <w:highlight w:val="none"/>
                <w:lang w:val="en-US" w:eastAsia="zh-CN"/>
              </w:rPr>
              <w:t>7.与</w:t>
            </w:r>
            <w:r>
              <w:rPr>
                <w:rFonts w:hint="eastAsia" w:ascii="仿宋" w:hAnsi="仿宋" w:eastAsia="仿宋" w:cs="仿宋"/>
                <w:color w:val="auto"/>
                <w:szCs w:val="21"/>
                <w:highlight w:val="none"/>
                <w:lang w:val="en-US" w:eastAsia="zh-CN"/>
              </w:rPr>
              <w:t>展陈施工单位（浙江嘉诺会展有限公司）配合协调，做好</w:t>
            </w:r>
            <w:r>
              <w:rPr>
                <w:rFonts w:hint="eastAsia" w:ascii="仿宋" w:hAnsi="仿宋" w:eastAsia="仿宋" w:cs="仿宋"/>
                <w:b w:val="0"/>
                <w:bCs/>
                <w:sz w:val="21"/>
                <w:szCs w:val="21"/>
                <w:highlight w:val="none"/>
                <w:lang w:val="en-US" w:eastAsia="zh-CN"/>
              </w:rPr>
              <w:t>系统及硬件设备的调试呈现工作。</w:t>
            </w:r>
          </w:p>
        </w:tc>
      </w:tr>
      <w:tr w14:paraId="758971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3F42EBD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其他技术、服务要求</w:t>
            </w:r>
          </w:p>
        </w:tc>
        <w:tc>
          <w:tcPr>
            <w:tcW w:w="7280" w:type="dxa"/>
            <w:tcBorders>
              <w:top w:val="single" w:color="auto" w:sz="4" w:space="0"/>
              <w:left w:val="single" w:color="auto" w:sz="4" w:space="0"/>
              <w:bottom w:val="single" w:color="auto" w:sz="4" w:space="0"/>
              <w:right w:val="single" w:color="auto" w:sz="4" w:space="0"/>
            </w:tcBorders>
            <w:vAlign w:val="center"/>
          </w:tcPr>
          <w:p w14:paraId="04F9FA3C">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1.技术支持：</w:t>
            </w:r>
            <w:r>
              <w:rPr>
                <w:rFonts w:hint="eastAsia" w:ascii="仿宋" w:hAnsi="仿宋" w:eastAsia="仿宋" w:cs="仿宋"/>
                <w:color w:val="auto"/>
                <w:szCs w:val="21"/>
                <w:highlight w:val="none"/>
                <w:lang w:val="en-US" w:eastAsia="zh-CN"/>
              </w:rPr>
              <w:t>质保期内外</w:t>
            </w:r>
            <w:r>
              <w:rPr>
                <w:rFonts w:hint="eastAsia" w:ascii="仿宋" w:hAnsi="仿宋" w:eastAsia="仿宋" w:cs="仿宋"/>
                <w:color w:val="auto"/>
                <w:szCs w:val="21"/>
                <w:highlight w:val="none"/>
              </w:rPr>
              <w:t>中标人</w:t>
            </w:r>
            <w:r>
              <w:rPr>
                <w:rFonts w:hint="eastAsia" w:ascii="仿宋" w:hAnsi="仿宋" w:eastAsia="仿宋" w:cs="仿宋"/>
                <w:color w:val="auto"/>
                <w:szCs w:val="21"/>
                <w:highlight w:val="none"/>
                <w:lang w:val="en-US" w:eastAsia="zh-CN"/>
              </w:rPr>
              <w:t>均需</w:t>
            </w:r>
            <w:r>
              <w:rPr>
                <w:rFonts w:hint="eastAsia" w:ascii="仿宋" w:hAnsi="仿宋" w:eastAsia="仿宋" w:cs="仿宋"/>
                <w:color w:val="auto"/>
                <w:szCs w:val="21"/>
                <w:highlight w:val="none"/>
              </w:rPr>
              <w:t>及时提供合同货物软件</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升级</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硬件支持情况下）及</w:t>
            </w:r>
            <w:r>
              <w:rPr>
                <w:rFonts w:hint="eastAsia" w:ascii="仿宋" w:hAnsi="仿宋" w:eastAsia="仿宋" w:cs="仿宋"/>
                <w:color w:val="auto"/>
                <w:szCs w:val="21"/>
                <w:highlight w:val="none"/>
              </w:rPr>
              <w:t>新功能和应用的资料</w:t>
            </w:r>
            <w:r>
              <w:rPr>
                <w:rFonts w:hint="eastAsia" w:ascii="仿宋" w:hAnsi="仿宋" w:eastAsia="仿宋" w:cs="仿宋"/>
                <w:color w:val="auto"/>
                <w:szCs w:val="21"/>
                <w:highlight w:val="none"/>
                <w:lang w:eastAsia="zh-CN"/>
              </w:rPr>
              <w:t>，费用包含在投标总价中</w:t>
            </w:r>
            <w:r>
              <w:rPr>
                <w:rFonts w:hint="eastAsia" w:ascii="仿宋" w:hAnsi="仿宋" w:eastAsia="仿宋" w:cs="仿宋"/>
                <w:color w:val="auto"/>
                <w:szCs w:val="21"/>
                <w:highlight w:val="none"/>
              </w:rPr>
              <w:t>；</w:t>
            </w:r>
          </w:p>
          <w:p w14:paraId="0E55E0E7">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2.供货时提供有关的全套技术文件（如产品说明书、参数标准、质量保证书、保修证明、操作维修保养说明、相关配套使用手册等）；</w:t>
            </w:r>
          </w:p>
          <w:p w14:paraId="3F150A0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.保证所提供的货物或与该货物有关的一切权利均不会侵犯任何第三方的知识产权</w:t>
            </w:r>
            <w:r>
              <w:rPr>
                <w:rFonts w:hint="eastAsia" w:ascii="仿宋" w:hAnsi="仿宋" w:eastAsia="仿宋" w:cs="仿宋"/>
                <w:color w:val="auto"/>
                <w:szCs w:val="21"/>
                <w:highlight w:val="none"/>
                <w:lang w:eastAsia="zh-CN"/>
              </w:rPr>
              <w:t>；</w:t>
            </w:r>
          </w:p>
          <w:p w14:paraId="0B1370A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.对中标产品使用的安全性、有效性及可靠性承担全部责任，保证在合同验收阶段的性能检验与投标文件明确的技术指标一致；</w:t>
            </w:r>
          </w:p>
          <w:p w14:paraId="006C3B6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.工作条件：投标产品能在采购人所处的条件下正常工作，可通过现场踏勘进行了解；</w:t>
            </w:r>
          </w:p>
          <w:p w14:paraId="0E9D798B">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.环境要求：投标产品安装运行对环境的要求能满足采购人的现有条件，如对环境有特别要求，则在投标文件中进行明确，否则，未适应产品安装运行所要具备的环境条件的营造费用由投标人承担，</w:t>
            </w:r>
            <w:r>
              <w:rPr>
                <w:rFonts w:hint="eastAsia" w:ascii="仿宋" w:hAnsi="仿宋" w:eastAsia="仿宋" w:cs="仿宋"/>
                <w:color w:val="auto"/>
                <w:szCs w:val="21"/>
                <w:highlight w:val="none"/>
                <w:lang w:val="en-US" w:eastAsia="zh-CN"/>
              </w:rPr>
              <w:t>可</w:t>
            </w:r>
            <w:r>
              <w:rPr>
                <w:rFonts w:hint="eastAsia" w:ascii="仿宋" w:hAnsi="仿宋" w:eastAsia="仿宋" w:cs="仿宋"/>
                <w:color w:val="auto"/>
                <w:szCs w:val="21"/>
                <w:highlight w:val="none"/>
              </w:rPr>
              <w:t>通过现场踏勘了解采购人能够提供的现有条件；</w:t>
            </w:r>
          </w:p>
          <w:p w14:paraId="5B6BC46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.产品本体：产品在工作条件和环境条件具备的前提下正常运行即能达到投标文件承诺的技术指标及性能，不需要另外配置其他物品；</w:t>
            </w:r>
          </w:p>
          <w:p w14:paraId="45A2F3E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随机配送的备品备件、易损件、零配件、专用工具：与产品相关的辅助性物品，为方便采购人使用而提供的、不会影响产品本身正常运行，包括采购人要求随机配送或产品自身随机配送的物品，在投标文件中列出各种随机配送的备品备件、易损件、零配件、专用工具的规格、用途、数量、单价和总价，费用包含在投标总价中；</w:t>
            </w:r>
          </w:p>
          <w:p w14:paraId="685107DF">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选配件及其他：为保证产品长期工作，在投标文件中列举与产品配套的选配件及其他设备的清单，具体包括选配件及其他设备的规格、用途、数量供采购人按需选购，并在今后一段时间内保持供应、价格不上涨，该项费用不包括在本次投标报价内；</w:t>
            </w:r>
          </w:p>
          <w:p w14:paraId="4287A7E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10</w:t>
            </w:r>
            <w:r>
              <w:rPr>
                <w:rFonts w:hint="eastAsia" w:ascii="仿宋" w:hAnsi="仿宋" w:eastAsia="仿宋" w:cs="仿宋"/>
                <w:color w:val="auto"/>
                <w:szCs w:val="21"/>
                <w:highlight w:val="none"/>
              </w:rPr>
              <w:t>.工作范围：按国家有关标准及规范完成招标文件规定的所有工作内容，包括完成所有产品供货、履行所有规定服务、产品及服务达到招标文件规定的质量标准及使用要求等</w:t>
            </w:r>
            <w:r>
              <w:rPr>
                <w:rFonts w:hint="eastAsia" w:ascii="仿宋" w:hAnsi="仿宋" w:eastAsia="仿宋" w:cs="仿宋"/>
                <w:color w:val="auto"/>
                <w:szCs w:val="21"/>
                <w:highlight w:val="none"/>
                <w:lang w:eastAsia="zh-CN"/>
              </w:rPr>
              <w:t>；</w:t>
            </w:r>
          </w:p>
          <w:p w14:paraId="3881FDBE">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000000"/>
                <w:sz w:val="21"/>
                <w:szCs w:val="21"/>
                <w:highlight w:val="none"/>
                <w:lang w:val="en-US" w:eastAsia="zh-CN"/>
              </w:rPr>
              <w:t>11.</w:t>
            </w:r>
            <w:r>
              <w:rPr>
                <w:rFonts w:hint="eastAsia" w:ascii="仿宋" w:hAnsi="仿宋" w:eastAsia="仿宋" w:cs="仿宋"/>
                <w:color w:val="000000"/>
                <w:sz w:val="21"/>
                <w:szCs w:val="21"/>
                <w:highlight w:val="none"/>
              </w:rPr>
              <w:t>安装过程中安装服务提供方或其聘请的雇员遭受人身损害或安装服务提供方或其聘请的雇员令采购人或第三方遭受人身损害或财产损失，由此引起的一切法律责任由中标人全部承担，若采购人因此为中标人垫付任何款项，采购人有权要求中标人据实立即支付，且有权从应付中标人的价款中将上述款项自行扣除。</w:t>
            </w:r>
          </w:p>
        </w:tc>
      </w:tr>
      <w:tr w14:paraId="486FBB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55C02E6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验收标准</w:t>
            </w:r>
          </w:p>
        </w:tc>
        <w:tc>
          <w:tcPr>
            <w:tcW w:w="3780" w:type="pct"/>
            <w:tcBorders>
              <w:top w:val="single" w:color="auto" w:sz="4" w:space="0"/>
              <w:left w:val="single" w:color="auto" w:sz="4" w:space="0"/>
              <w:bottom w:val="single" w:color="auto" w:sz="4" w:space="0"/>
              <w:right w:val="single" w:color="auto" w:sz="4" w:space="0"/>
            </w:tcBorders>
            <w:vAlign w:val="center"/>
          </w:tcPr>
          <w:p w14:paraId="114BA86C">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1.验收由采购人负责实施；</w:t>
            </w:r>
          </w:p>
          <w:p w14:paraId="34D5FB91">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2.验收依据</w:t>
            </w:r>
          </w:p>
          <w:p w14:paraId="68CA28FD">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2.1 合同、招标文件、投标文件；</w:t>
            </w:r>
          </w:p>
          <w:p w14:paraId="5A721CF5">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2.2 中标人提供的技术规格、经采购人认可的合同货物的有效检验文件；</w:t>
            </w:r>
          </w:p>
          <w:p w14:paraId="2A65E321">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2.3 中标人投标文件中提供的经采购人认可的合同货物的验收标准（符合中国有关的国家、地方、行业标准）和检测办法及相应检测手段。</w:t>
            </w:r>
          </w:p>
          <w:p w14:paraId="13568F2B">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3.中标人</w:t>
            </w:r>
            <w:r>
              <w:rPr>
                <w:rFonts w:hint="eastAsia" w:ascii="仿宋" w:hAnsi="仿宋" w:eastAsia="仿宋" w:cs="仿宋"/>
                <w:color w:val="auto"/>
                <w:szCs w:val="21"/>
                <w:highlight w:val="none"/>
                <w:lang w:val="en-US" w:eastAsia="zh-CN"/>
              </w:rPr>
              <w:t>需</w:t>
            </w:r>
            <w:r>
              <w:rPr>
                <w:rFonts w:hint="eastAsia" w:ascii="仿宋" w:hAnsi="仿宋" w:eastAsia="仿宋" w:cs="仿宋"/>
                <w:color w:val="auto"/>
                <w:szCs w:val="21"/>
                <w:highlight w:val="none"/>
              </w:rPr>
              <w:t>派员在所供货物到采购人指定地点时进行到货验收，有需要时能联系产品制造商到场共同验收，若发现任何损坏及质量问题，中标人负责妥善处理直至采购人满意，由此产生的费用由中标人承担；</w:t>
            </w:r>
          </w:p>
          <w:p w14:paraId="12C13B62">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4.验收合格的条件</w:t>
            </w:r>
          </w:p>
          <w:p w14:paraId="7AAB3BCE">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4.1 所供货物符合产品标准和招标文件及合同的要求；</w:t>
            </w:r>
          </w:p>
          <w:p w14:paraId="0F354CCC">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4.2 在进行测试和验收过程中发现的问题已被解决并得到采购人的认可；</w:t>
            </w:r>
          </w:p>
          <w:p w14:paraId="0FF6791F">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4.3 合同中规定的所有货物和材料均已交付；</w:t>
            </w:r>
          </w:p>
          <w:p w14:paraId="78C69F20">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4.4 所供货物已通过使用单位组织的验收；</w:t>
            </w:r>
          </w:p>
          <w:p w14:paraId="5D2D733C">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4.5 所有相关的技术文件及资料均已提交并得到接受。</w:t>
            </w:r>
          </w:p>
        </w:tc>
      </w:tr>
      <w:tr w14:paraId="0B89A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7FE7CA0D">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其他</w:t>
            </w:r>
          </w:p>
        </w:tc>
        <w:tc>
          <w:tcPr>
            <w:tcW w:w="3780" w:type="pct"/>
            <w:tcBorders>
              <w:top w:val="single" w:color="auto" w:sz="4" w:space="0"/>
              <w:left w:val="single" w:color="auto" w:sz="4" w:space="0"/>
              <w:bottom w:val="single" w:color="auto" w:sz="4" w:space="0"/>
              <w:right w:val="single" w:color="auto" w:sz="4" w:space="0"/>
            </w:tcBorders>
            <w:vAlign w:val="center"/>
          </w:tcPr>
          <w:p w14:paraId="5FB73732">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提交投标文件截止时间后三个工作日内中标人需提供“《浙江省财政厅关于进一步规范政府采购秩序促进公平竞争的通知》浙财采监〔2025〕2号政策解读”中需采购人或采购代理机构复核的证明材料原件（可事先在公开官网查询、核对的除外）给采购代理机构</w:t>
            </w:r>
          </w:p>
        </w:tc>
      </w:tr>
    </w:tbl>
    <w:p w14:paraId="11229475">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p>
    <w:p w14:paraId="2B13176E">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1"/>
        <w:rPr>
          <w:rFonts w:ascii="仿宋" w:hAnsi="仿宋" w:eastAsia="仿宋" w:cs="仿宋"/>
          <w:color w:val="auto"/>
          <w:szCs w:val="21"/>
          <w:highlight w:val="none"/>
        </w:rPr>
      </w:pPr>
      <w:r>
        <w:rPr>
          <w:rFonts w:hint="eastAsia" w:ascii="仿宋" w:hAnsi="仿宋" w:eastAsia="仿宋" w:cs="仿宋"/>
          <w:b/>
          <w:color w:val="auto"/>
          <w:szCs w:val="21"/>
          <w:highlight w:val="none"/>
        </w:rPr>
        <w:t>四、技术要求</w:t>
      </w:r>
      <w:bookmarkStart w:id="32" w:name="_Hlk45005556"/>
    </w:p>
    <w:bookmarkEnd w:id="32"/>
    <w:p w14:paraId="22E41FC7">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rPr>
          <w:rFonts w:hint="eastAsia" w:ascii="仿宋" w:hAnsi="仿宋" w:eastAsia="仿宋" w:cs="仿宋"/>
          <w:b/>
          <w:bCs/>
          <w:color w:val="auto"/>
          <w:szCs w:val="21"/>
          <w:highlight w:val="none"/>
        </w:rPr>
      </w:pPr>
      <w:bookmarkStart w:id="33" w:name="_Hlk92271413"/>
      <w:r>
        <w:rPr>
          <w:rFonts w:hint="eastAsia" w:ascii="仿宋" w:hAnsi="仿宋" w:eastAsia="仿宋" w:cs="仿宋"/>
          <w:b/>
          <w:bCs/>
          <w:color w:val="auto"/>
          <w:szCs w:val="21"/>
          <w:highlight w:val="none"/>
        </w:rPr>
        <w:t>1.需执行的国家相关标准、行业标准、地方标准或者其他标准、规范</w:t>
      </w:r>
    </w:p>
    <w:p w14:paraId="1E42F7DD">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1.1 如涉及国家标准及规范、行业标准及规范、</w:t>
      </w:r>
      <w:r>
        <w:rPr>
          <w:rFonts w:hint="eastAsia" w:ascii="仿宋" w:hAnsi="仿宋" w:eastAsia="仿宋" w:cs="仿宋"/>
          <w:color w:val="auto"/>
          <w:szCs w:val="21"/>
          <w:highlight w:val="none"/>
          <w:lang w:val="en-US" w:eastAsia="zh-CN"/>
        </w:rPr>
        <w:t>地方</w:t>
      </w:r>
      <w:r>
        <w:rPr>
          <w:rFonts w:hint="eastAsia" w:ascii="仿宋" w:hAnsi="仿宋" w:eastAsia="仿宋" w:cs="仿宋"/>
          <w:color w:val="auto"/>
          <w:szCs w:val="21"/>
          <w:highlight w:val="none"/>
        </w:rPr>
        <w:t>标准及规范</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其它标准及规范，则按最新相关标准及规范执行，上述标准及规范如有不一致，则以更严格者为准；</w:t>
      </w:r>
    </w:p>
    <w:p w14:paraId="3EE40E3D">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color w:val="auto"/>
          <w:szCs w:val="21"/>
          <w:highlight w:val="none"/>
        </w:rPr>
        <w:t>1.2 产品本体、零部件、配件产品质量符合中华人民共和国有关质量标准，上述标准如有不一致，则以更严格者为准</w:t>
      </w:r>
      <w:r>
        <w:rPr>
          <w:rFonts w:hint="eastAsia" w:ascii="仿宋" w:hAnsi="仿宋" w:eastAsia="仿宋" w:cs="仿宋"/>
          <w:color w:val="auto"/>
          <w:szCs w:val="21"/>
          <w:highlight w:val="none"/>
          <w:lang w:val="en-US" w:eastAsia="zh-CN"/>
        </w:rPr>
        <w:t>。</w:t>
      </w:r>
    </w:p>
    <w:bookmarkEnd w:id="33"/>
    <w:p w14:paraId="12DBF2E6">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2.需实现的功能或者目标</w:t>
      </w:r>
    </w:p>
    <w:p w14:paraId="66D107A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highlight w:val="none"/>
        </w:rPr>
      </w:pPr>
      <w:r>
        <w:rPr>
          <w:rFonts w:hint="eastAsia" w:ascii="仿宋" w:hAnsi="仿宋" w:eastAsia="仿宋" w:cs="仿宋"/>
          <w:szCs w:val="21"/>
          <w:highlight w:val="none"/>
          <w:lang w:val="en-US" w:eastAsia="zh-CN"/>
        </w:rPr>
        <w:t xml:space="preserve">2.1 </w:t>
      </w:r>
      <w:r>
        <w:rPr>
          <w:rFonts w:hint="eastAsia" w:ascii="仿宋" w:hAnsi="仿宋" w:eastAsia="仿宋" w:cs="仿宋"/>
          <w:szCs w:val="21"/>
          <w:highlight w:val="none"/>
        </w:rPr>
        <w:t>交钥匙项目</w:t>
      </w:r>
      <w:r>
        <w:rPr>
          <w:rFonts w:hint="eastAsia" w:ascii="仿宋" w:hAnsi="仿宋" w:eastAsia="仿宋" w:cs="仿宋"/>
          <w:szCs w:val="21"/>
          <w:highlight w:val="none"/>
          <w:lang w:eastAsia="zh-CN"/>
        </w:rPr>
        <w:t>，</w:t>
      </w:r>
      <w:r>
        <w:rPr>
          <w:rFonts w:hint="eastAsia" w:ascii="仿宋" w:hAnsi="仿宋" w:eastAsia="仿宋" w:cs="仿宋"/>
          <w:szCs w:val="21"/>
          <w:highlight w:val="none"/>
        </w:rPr>
        <w:t>采购人在招标文件中未列明的所需辅材、附件、配件、线缆等后续将不再单独支付费用，招标文件未提及但完备</w:t>
      </w:r>
      <w:r>
        <w:rPr>
          <w:rFonts w:hint="eastAsia" w:ascii="仿宋" w:hAnsi="仿宋" w:eastAsia="仿宋" w:cs="仿宋"/>
          <w:szCs w:val="21"/>
          <w:highlight w:val="none"/>
          <w:lang w:val="en-US" w:eastAsia="zh-CN"/>
        </w:rPr>
        <w:t>产品</w:t>
      </w:r>
      <w:r>
        <w:rPr>
          <w:rFonts w:hint="eastAsia" w:ascii="仿宋" w:hAnsi="仿宋" w:eastAsia="仿宋" w:cs="仿宋"/>
          <w:szCs w:val="21"/>
          <w:highlight w:val="none"/>
        </w:rPr>
        <w:t>运行所需的其它软硬件和改造内容均由中标人提供</w:t>
      </w:r>
      <w:r>
        <w:rPr>
          <w:rFonts w:hint="eastAsia" w:ascii="仿宋" w:hAnsi="仿宋" w:eastAsia="仿宋" w:cs="仿宋"/>
          <w:szCs w:val="21"/>
          <w:highlight w:val="none"/>
          <w:lang w:eastAsia="zh-CN"/>
        </w:rPr>
        <w:t>（</w:t>
      </w:r>
      <w:r>
        <w:rPr>
          <w:rFonts w:hint="eastAsia" w:ascii="仿宋" w:hAnsi="仿宋" w:eastAsia="仿宋" w:cs="仿宋"/>
          <w:color w:val="auto"/>
          <w:szCs w:val="21"/>
          <w:highlight w:val="none"/>
          <w:lang w:eastAsia="zh-CN"/>
        </w:rPr>
        <w:t>费用包含在投标总价中）</w:t>
      </w:r>
      <w:r>
        <w:rPr>
          <w:rFonts w:hint="eastAsia" w:ascii="仿宋" w:hAnsi="仿宋" w:eastAsia="仿宋" w:cs="仿宋"/>
          <w:szCs w:val="21"/>
          <w:highlight w:val="none"/>
        </w:rPr>
        <w:t>并提供同等维保服务；</w:t>
      </w:r>
    </w:p>
    <w:p w14:paraId="20BE1835">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lang w:val="en-US" w:eastAsia="zh-CN"/>
        </w:rPr>
      </w:pPr>
      <w:r>
        <w:rPr>
          <w:rFonts w:hint="eastAsia" w:ascii="仿宋" w:hAnsi="仿宋" w:eastAsia="仿宋" w:cs="仿宋"/>
          <w:szCs w:val="21"/>
          <w:highlight w:val="none"/>
          <w:lang w:val="en-US" w:eastAsia="zh-CN"/>
        </w:rPr>
        <w:t xml:space="preserve">2.2 </w:t>
      </w:r>
      <w:r>
        <w:rPr>
          <w:rFonts w:hint="eastAsia" w:ascii="仿宋" w:hAnsi="仿宋" w:eastAsia="仿宋" w:cs="仿宋"/>
          <w:b w:val="0"/>
          <w:bCs w:val="0"/>
          <w:color w:val="auto"/>
          <w:szCs w:val="21"/>
          <w:highlight w:val="none"/>
          <w:lang w:val="en-US" w:eastAsia="zh-CN"/>
        </w:rPr>
        <w:t>系统</w:t>
      </w:r>
      <w:r>
        <w:rPr>
          <w:rFonts w:hint="eastAsia" w:ascii="仿宋" w:hAnsi="仿宋" w:eastAsia="仿宋" w:cs="仿宋"/>
          <w:b w:val="0"/>
          <w:bCs w:val="0"/>
          <w:color w:val="auto"/>
          <w:szCs w:val="21"/>
          <w:highlight w:val="none"/>
        </w:rPr>
        <w:t>设计</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lang w:val="en-US" w:eastAsia="zh-CN"/>
        </w:rPr>
        <w:t>含深化设计</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rPr>
        <w:t>方案经采购人确认通过后方可实施，所需费用包含在</w:t>
      </w:r>
      <w:r>
        <w:rPr>
          <w:rFonts w:hint="eastAsia" w:ascii="仿宋" w:hAnsi="仿宋" w:eastAsia="仿宋" w:cs="仿宋"/>
          <w:b w:val="0"/>
          <w:bCs w:val="0"/>
          <w:color w:val="auto"/>
          <w:szCs w:val="21"/>
          <w:highlight w:val="none"/>
          <w:lang w:val="en-US" w:eastAsia="zh-CN"/>
        </w:rPr>
        <w:t>投标</w:t>
      </w:r>
      <w:r>
        <w:rPr>
          <w:rFonts w:hint="eastAsia" w:ascii="仿宋" w:hAnsi="仿宋" w:eastAsia="仿宋" w:cs="仿宋"/>
          <w:b w:val="0"/>
          <w:bCs w:val="0"/>
          <w:color w:val="auto"/>
          <w:szCs w:val="21"/>
          <w:highlight w:val="none"/>
        </w:rPr>
        <w:t>总价中</w:t>
      </w:r>
      <w:r>
        <w:rPr>
          <w:rFonts w:hint="eastAsia" w:ascii="仿宋" w:hAnsi="仿宋" w:eastAsia="仿宋" w:cs="仿宋"/>
          <w:b w:val="0"/>
          <w:bCs w:val="0"/>
          <w:color w:val="auto"/>
          <w:szCs w:val="21"/>
          <w:highlight w:val="none"/>
          <w:lang w:eastAsia="zh-CN"/>
        </w:rPr>
        <w:t>。</w:t>
      </w:r>
    </w:p>
    <w:p w14:paraId="6A715F10">
      <w:pPr>
        <w:keepNext w:val="0"/>
        <w:keepLines w:val="0"/>
        <w:pageBreakBefore w:val="0"/>
        <w:widowControl w:val="0"/>
        <w:kinsoku/>
        <w:wordWrap/>
        <w:overflowPunct/>
        <w:topLinePunct w:val="0"/>
        <w:autoSpaceDE/>
        <w:autoSpaceDN/>
        <w:bidi w:val="0"/>
        <w:adjustRightInd w:val="0"/>
        <w:snapToGrid w:val="0"/>
        <w:spacing w:line="288" w:lineRule="auto"/>
        <w:ind w:firstLine="406" w:firstLineChars="200"/>
        <w:textAlignment w:val="auto"/>
        <w:rPr>
          <w:rFonts w:hint="eastAsia" w:ascii="仿宋" w:hAnsi="仿宋" w:eastAsia="仿宋" w:cs="仿宋"/>
          <w:b/>
          <w:bCs/>
          <w:color w:val="auto"/>
          <w:spacing w:val="-4"/>
          <w:szCs w:val="21"/>
          <w:highlight w:val="none"/>
        </w:rPr>
        <w:sectPr>
          <w:footerReference r:id="rId5" w:type="default"/>
          <w:pgSz w:w="11906" w:h="16838"/>
          <w:pgMar w:top="1440" w:right="1247" w:bottom="1440" w:left="1247" w:header="340" w:footer="850" w:gutter="0"/>
          <w:pgNumType w:start="1"/>
          <w:cols w:space="0" w:num="1"/>
          <w:rtlGutter w:val="0"/>
          <w:docGrid w:linePitch="381" w:charSpace="0"/>
        </w:sectPr>
      </w:pPr>
    </w:p>
    <w:p w14:paraId="2BA81BF0">
      <w:pPr>
        <w:keepNext w:val="0"/>
        <w:keepLines w:val="0"/>
        <w:pageBreakBefore w:val="0"/>
        <w:widowControl w:val="0"/>
        <w:kinsoku/>
        <w:wordWrap/>
        <w:overflowPunct/>
        <w:topLinePunct w:val="0"/>
        <w:autoSpaceDE/>
        <w:autoSpaceDN/>
        <w:bidi w:val="0"/>
        <w:adjustRightInd w:val="0"/>
        <w:snapToGrid w:val="0"/>
        <w:spacing w:line="288" w:lineRule="auto"/>
        <w:ind w:firstLine="406" w:firstLineChars="200"/>
        <w:textAlignment w:val="auto"/>
        <w:rPr>
          <w:rFonts w:hint="eastAsia" w:ascii="仿宋" w:hAnsi="仿宋" w:eastAsia="仿宋" w:cs="仿宋"/>
          <w:b/>
          <w:bCs/>
          <w:color w:val="auto"/>
          <w:spacing w:val="-4"/>
          <w:szCs w:val="21"/>
          <w:highlight w:val="none"/>
        </w:rPr>
        <w:sectPr>
          <w:type w:val="continuous"/>
          <w:pgSz w:w="11906" w:h="16838"/>
          <w:pgMar w:top="1440" w:right="1247" w:bottom="1440" w:left="1247" w:header="340" w:footer="850" w:gutter="0"/>
          <w:pgNumType w:start="1"/>
          <w:cols w:space="0" w:num="1"/>
          <w:rtlGutter w:val="0"/>
          <w:docGrid w:linePitch="381" w:charSpace="0"/>
        </w:sectPr>
      </w:pPr>
    </w:p>
    <w:p w14:paraId="34A11C00">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bCs/>
          <w:color w:val="auto"/>
          <w:spacing w:val="-4"/>
          <w:szCs w:val="21"/>
          <w:highlight w:val="none"/>
        </w:rPr>
      </w:pPr>
      <w:r>
        <w:rPr>
          <w:rFonts w:hint="eastAsia" w:ascii="仿宋" w:hAnsi="仿宋" w:eastAsia="仿宋" w:cs="仿宋"/>
          <w:b/>
          <w:bCs/>
          <w:color w:val="auto"/>
          <w:spacing w:val="-4"/>
          <w:szCs w:val="21"/>
          <w:highlight w:val="none"/>
        </w:rPr>
        <w:t>3.需满足的质量、安全、技术规格、物理特性等要求</w:t>
      </w:r>
    </w:p>
    <w:tbl>
      <w:tblPr>
        <w:tblStyle w:val="24"/>
        <w:tblW w:w="561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7"/>
        <w:gridCol w:w="1556"/>
        <w:gridCol w:w="738"/>
        <w:gridCol w:w="694"/>
        <w:gridCol w:w="12304"/>
      </w:tblGrid>
      <w:tr w14:paraId="03865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blHeader/>
          <w:jc w:val="center"/>
        </w:trPr>
        <w:tc>
          <w:tcPr>
            <w:tcW w:w="194" w:type="pct"/>
            <w:vAlign w:val="center"/>
          </w:tcPr>
          <w:p w14:paraId="1A4D55DE">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序号</w:t>
            </w:r>
          </w:p>
        </w:tc>
        <w:tc>
          <w:tcPr>
            <w:tcW w:w="489" w:type="pct"/>
            <w:vAlign w:val="center"/>
          </w:tcPr>
          <w:p w14:paraId="1DE8073C">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标的</w:t>
            </w:r>
            <w:r>
              <w:rPr>
                <w:rFonts w:hint="eastAsia" w:ascii="仿宋" w:hAnsi="仿宋" w:eastAsia="仿宋" w:cs="仿宋"/>
                <w:b/>
                <w:bCs/>
                <w:color w:val="auto"/>
                <w:sz w:val="18"/>
                <w:szCs w:val="18"/>
                <w:highlight w:val="none"/>
              </w:rPr>
              <w:t>名称</w:t>
            </w:r>
          </w:p>
        </w:tc>
        <w:tc>
          <w:tcPr>
            <w:tcW w:w="232" w:type="pct"/>
            <w:vAlign w:val="center"/>
          </w:tcPr>
          <w:p w14:paraId="5B3F5E78">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数量</w:t>
            </w:r>
          </w:p>
        </w:tc>
        <w:tc>
          <w:tcPr>
            <w:tcW w:w="218" w:type="pct"/>
            <w:vAlign w:val="center"/>
          </w:tcPr>
          <w:p w14:paraId="470E077C">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单位</w:t>
            </w:r>
          </w:p>
        </w:tc>
        <w:tc>
          <w:tcPr>
            <w:tcW w:w="3864" w:type="pct"/>
            <w:vAlign w:val="center"/>
          </w:tcPr>
          <w:p w14:paraId="483553BF">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要求</w:t>
            </w:r>
          </w:p>
        </w:tc>
      </w:tr>
      <w:tr w14:paraId="503F7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vAlign w:val="center"/>
          </w:tcPr>
          <w:p w14:paraId="2CFD101B">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val="0"/>
                <w:bCs w:val="0"/>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网络系统</w:t>
            </w:r>
          </w:p>
        </w:tc>
      </w:tr>
      <w:tr w14:paraId="073C4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353061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489" w:type="pct"/>
            <w:shd w:val="clear" w:color="auto" w:fill="auto"/>
            <w:vAlign w:val="center"/>
          </w:tcPr>
          <w:p w14:paraId="67AFD84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AC</w:t>
            </w:r>
          </w:p>
        </w:tc>
        <w:tc>
          <w:tcPr>
            <w:tcW w:w="232" w:type="pct"/>
            <w:shd w:val="clear" w:color="auto" w:fill="auto"/>
            <w:vAlign w:val="center"/>
          </w:tcPr>
          <w:p w14:paraId="5A47A2E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6BD1531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2533365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1.一体化路由器，≥8口千兆以太网口、≥1个千兆SFP光口，支持≥2个WAN口；</w:t>
            </w:r>
          </w:p>
          <w:p w14:paraId="626166E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2.最大支持≥150个AP（不区分吸顶与面板），最大并发≥600个终端，支持双WAN、上网行为管理、智能流控、认证服务及策略随行、简单防护、VPN、云管理；</w:t>
            </w:r>
          </w:p>
          <w:p w14:paraId="561DCFD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3.配置Ipsec VPN模块；</w:t>
            </w:r>
          </w:p>
          <w:p w14:paraId="2167ACA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4.支持查看实时流量收发状态、在线状态、认证类型、在线时长、VLAN信息、终端信息、接入位置等信息；</w:t>
            </w:r>
          </w:p>
          <w:p w14:paraId="794F254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5.支持OPEN、WPA-PSK/WPA2-PSK混合加密；</w:t>
            </w:r>
          </w:p>
          <w:p w14:paraId="6098B05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6.支持批量创建≥600个终端认证授权、批量导入账号及描述信息，具有首次登录后强制修改密码等账号管理运维功能；</w:t>
            </w:r>
          </w:p>
          <w:p w14:paraId="282199D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7.支持绑定终端设备的MAC；</w:t>
            </w:r>
          </w:p>
          <w:p w14:paraId="76B7091E">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8.与POE交换机、吸顶AP、接入交换机兼容并统一管理。</w:t>
            </w:r>
          </w:p>
        </w:tc>
      </w:tr>
      <w:tr w14:paraId="746B6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7471FD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w:t>
            </w:r>
          </w:p>
        </w:tc>
        <w:tc>
          <w:tcPr>
            <w:tcW w:w="489" w:type="pct"/>
            <w:shd w:val="clear" w:color="auto" w:fill="auto"/>
            <w:vAlign w:val="center"/>
          </w:tcPr>
          <w:p w14:paraId="24ADD0AD">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POE交换机1</w:t>
            </w:r>
          </w:p>
        </w:tc>
        <w:tc>
          <w:tcPr>
            <w:tcW w:w="232" w:type="pct"/>
            <w:shd w:val="clear" w:color="auto" w:fill="auto"/>
            <w:vAlign w:val="center"/>
          </w:tcPr>
          <w:p w14:paraId="71267A0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4BE5A6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777BB70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1.千兆POE电口≥16个、千兆SFP光口≥2个；</w:t>
            </w:r>
          </w:p>
          <w:p w14:paraId="4745640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2.工作温度：0~45℃；</w:t>
            </w:r>
          </w:p>
          <w:p w14:paraId="17570EB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3.交换性能≥192Gbps，包转发率≥40Mpps；</w:t>
            </w:r>
          </w:p>
          <w:p w14:paraId="79349E2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4.与AC、吸顶AP、接入交换机兼容并统一管理。</w:t>
            </w:r>
          </w:p>
        </w:tc>
      </w:tr>
      <w:tr w14:paraId="1D546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F1A271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w:t>
            </w:r>
          </w:p>
        </w:tc>
        <w:tc>
          <w:tcPr>
            <w:tcW w:w="489" w:type="pct"/>
            <w:shd w:val="clear" w:color="auto" w:fill="auto"/>
            <w:vAlign w:val="center"/>
          </w:tcPr>
          <w:p w14:paraId="17C0C01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吸顶AP</w:t>
            </w:r>
          </w:p>
        </w:tc>
        <w:tc>
          <w:tcPr>
            <w:tcW w:w="232" w:type="pct"/>
            <w:shd w:val="clear" w:color="auto" w:fill="auto"/>
            <w:vAlign w:val="center"/>
          </w:tcPr>
          <w:p w14:paraId="26D601E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w:t>
            </w:r>
          </w:p>
        </w:tc>
        <w:tc>
          <w:tcPr>
            <w:tcW w:w="218" w:type="pct"/>
            <w:shd w:val="clear" w:color="auto" w:fill="auto"/>
            <w:vAlign w:val="center"/>
          </w:tcPr>
          <w:p w14:paraId="3BA405C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BEBF61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1.支持802.11ax协议（兼容802.11a/b/g/n/ac协议）及2.4G和5G同时工作；</w:t>
            </w:r>
          </w:p>
          <w:p w14:paraId="7B3A98A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2.支持2.4G 1*1条流及5G 2*2条流，2.4G最大传输速率≥287Mbps、5G最大传输速率≥1201Mbps，整机最大传输速率≥1.488Gbps；</w:t>
            </w:r>
          </w:p>
          <w:p w14:paraId="3957E1E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3.千兆以太网口：≥2个；</w:t>
            </w:r>
          </w:p>
          <w:p w14:paraId="5F16740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4.支持802.3at标准的PoE供电和本地电源适配器供电；</w:t>
            </w:r>
          </w:p>
          <w:p w14:paraId="478824B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5.AP发射功率≤20dBm（最大≤100mW）且功率可调，调节粒度1dBm、调节范围1~20dBm；</w:t>
            </w:r>
          </w:p>
          <w:p w14:paraId="7148466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6.支持虚拟AP技术，单射频SSID数量≥16、整机≥32；</w:t>
            </w:r>
          </w:p>
          <w:p w14:paraId="5750935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7.支持802.1x、MAC地址、PSK、Portal认证等；</w:t>
            </w:r>
          </w:p>
          <w:p w14:paraId="607D29F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8.支持AES、TKIP等加密方式；</w:t>
            </w:r>
          </w:p>
          <w:p w14:paraId="2DE146E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9.支持将内网终端用于的IP扫描、端口扫描达到阈值后告警或进入动态黑名单；</w:t>
            </w:r>
          </w:p>
          <w:p w14:paraId="544544A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10.融合有线无线双重保障；</w:t>
            </w:r>
          </w:p>
          <w:p w14:paraId="20FC160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11.支持802.11h动态频率选择、信道自动扫描；</w:t>
            </w:r>
          </w:p>
          <w:p w14:paraId="2A8A372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12.支持无线带宽平均分配，不同协商速率的终端占用相等的无线信道时间；</w:t>
            </w:r>
          </w:p>
          <w:p w14:paraId="2D9BF2B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13.支持基于STA数、信号强度、信道利用率的智能负载均衡，自动平衡各AP间的接入压力；</w:t>
            </w:r>
          </w:p>
          <w:p w14:paraId="2B49FB5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14.与AC、POE交换机、接入交换机兼容并统一管理。</w:t>
            </w:r>
          </w:p>
        </w:tc>
      </w:tr>
      <w:tr w14:paraId="27343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195851C">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w:t>
            </w:r>
          </w:p>
        </w:tc>
        <w:tc>
          <w:tcPr>
            <w:tcW w:w="489" w:type="pct"/>
            <w:shd w:val="clear" w:color="auto" w:fill="auto"/>
            <w:vAlign w:val="center"/>
          </w:tcPr>
          <w:p w14:paraId="6A490B4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接入交换机</w:t>
            </w:r>
          </w:p>
        </w:tc>
        <w:tc>
          <w:tcPr>
            <w:tcW w:w="232" w:type="pct"/>
            <w:shd w:val="clear" w:color="auto" w:fill="auto"/>
            <w:vAlign w:val="center"/>
          </w:tcPr>
          <w:p w14:paraId="1D100FF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371A21D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EDEFBE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1.≥24口千兆以太网口、≥2个千兆光口，容量≥256Gbps，包转发率≥48Mpps，支持端口状态/流量查询、端口远程重启、交换机远程重启、VLAN隔离、端口隔离、环路保护、DHCP Snooping等及一机成网管理、PoE供电与管理；</w:t>
            </w:r>
          </w:p>
          <w:p w14:paraId="3796824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2.与AC、POE交换机、吸顶AP兼容并统一管理。</w:t>
            </w:r>
          </w:p>
        </w:tc>
      </w:tr>
      <w:tr w14:paraId="45A01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FDA619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w:t>
            </w:r>
          </w:p>
        </w:tc>
        <w:tc>
          <w:tcPr>
            <w:tcW w:w="489" w:type="pct"/>
            <w:shd w:val="clear" w:color="auto" w:fill="auto"/>
            <w:vAlign w:val="center"/>
          </w:tcPr>
          <w:p w14:paraId="59C77433">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机柜1</w:t>
            </w:r>
          </w:p>
        </w:tc>
        <w:tc>
          <w:tcPr>
            <w:tcW w:w="232" w:type="pct"/>
            <w:shd w:val="clear" w:color="auto" w:fill="auto"/>
            <w:vAlign w:val="center"/>
          </w:tcPr>
          <w:p w14:paraId="5FBE6CF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w:t>
            </w:r>
          </w:p>
        </w:tc>
        <w:tc>
          <w:tcPr>
            <w:tcW w:w="218" w:type="pct"/>
            <w:shd w:val="clear" w:color="auto" w:fill="auto"/>
            <w:vAlign w:val="center"/>
          </w:tcPr>
          <w:p w14:paraId="0D02CDB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C0967F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规格（宽*深*高）：600*800*2000mm</w:t>
            </w:r>
          </w:p>
          <w:p w14:paraId="61ED3A9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1.弧形网孔门；</w:t>
            </w:r>
          </w:p>
          <w:p w14:paraId="08FE318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2.顶部LED门控照明，内置恒流电源，高品质LED芯片，无暗区、无频闪、高亮度、节能环保；</w:t>
            </w:r>
          </w:p>
          <w:p w14:paraId="06FDF5D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3.前门带透气孔、后门为平板；</w:t>
            </w:r>
          </w:p>
          <w:p w14:paraId="4775055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4.带三块承板、四位风扇组、PDU电源；</w:t>
            </w:r>
          </w:p>
          <w:p w14:paraId="0BDB805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5.可关闭的上部、下部多处走线通道，底部大走线孔规格可按需调整；</w:t>
            </w:r>
          </w:p>
          <w:p w14:paraId="01726C8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6.可方便拆卸的左右侧门和前后门，全方位操作、多方位察看、高效坚固的并柜连接方式；</w:t>
            </w:r>
          </w:p>
          <w:p w14:paraId="7D86A42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7.可同时安装脚轮和支撑脚，最大静载≥800kg；</w:t>
            </w:r>
          </w:p>
          <w:p w14:paraId="119B12A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8.旋把门锁；</w:t>
            </w:r>
          </w:p>
          <w:p w14:paraId="4E9326D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9.外壳脱脂、酸洗、防锈磷化、纯水清洗处理，静电喷塑符合环保标准；</w:t>
            </w:r>
          </w:p>
          <w:p w14:paraId="4066A7C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10.优质冷轧钢板制作，框架≥1.2mm厚、方孔条≥2mm厚；</w:t>
            </w:r>
          </w:p>
          <w:p w14:paraId="649AE8B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11.工作温度：-5℃~+40℃。</w:t>
            </w:r>
          </w:p>
        </w:tc>
      </w:tr>
      <w:tr w14:paraId="6645D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679216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6</w:t>
            </w:r>
          </w:p>
        </w:tc>
        <w:tc>
          <w:tcPr>
            <w:tcW w:w="489" w:type="pct"/>
            <w:shd w:val="clear" w:color="auto" w:fill="auto"/>
            <w:vAlign w:val="center"/>
          </w:tcPr>
          <w:p w14:paraId="09AD1F0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六类非屏蔽网络跳线</w:t>
            </w:r>
          </w:p>
        </w:tc>
        <w:tc>
          <w:tcPr>
            <w:tcW w:w="232" w:type="pct"/>
            <w:shd w:val="clear" w:color="auto" w:fill="auto"/>
            <w:vAlign w:val="center"/>
          </w:tcPr>
          <w:p w14:paraId="26BC38F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30</w:t>
            </w:r>
          </w:p>
        </w:tc>
        <w:tc>
          <w:tcPr>
            <w:tcW w:w="218" w:type="pct"/>
            <w:shd w:val="clear" w:color="auto" w:fill="auto"/>
            <w:vAlign w:val="center"/>
          </w:tcPr>
          <w:p w14:paraId="36A297C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条</w:t>
            </w:r>
          </w:p>
        </w:tc>
        <w:tc>
          <w:tcPr>
            <w:tcW w:w="3864" w:type="pct"/>
            <w:shd w:val="clear" w:color="auto" w:fill="auto"/>
            <w:vAlign w:val="center"/>
          </w:tcPr>
          <w:p w14:paraId="54ACA92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1.插头保护装置全透明设计，尾部高韧性长柄支撑，免高温注塑工艺；</w:t>
            </w:r>
          </w:p>
          <w:p w14:paraId="36321EA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2.多股绞合铜软导体，线规24AWG；</w:t>
            </w:r>
          </w:p>
          <w:p w14:paraId="5B77B85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3.线对十字骨架隔离工艺；</w:t>
            </w:r>
          </w:p>
          <w:p w14:paraId="47D75FE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4.水晶头前端分线部分较短，三叉水晶头簧片；</w:t>
            </w:r>
          </w:p>
          <w:p w14:paraId="1C0549B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5.支持带宽：≥250MHz；</w:t>
            </w:r>
          </w:p>
          <w:p w14:paraId="4D04512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6.插头接插次数：≥1000次；</w:t>
            </w:r>
          </w:p>
          <w:p w14:paraId="5FC4CF6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7.工作温度：-10℃~+60℃；</w:t>
            </w:r>
          </w:p>
          <w:p w14:paraId="4CAC1821">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8.长度可根据需求定制。</w:t>
            </w:r>
          </w:p>
        </w:tc>
      </w:tr>
      <w:tr w14:paraId="3392A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B7A10D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w:t>
            </w:r>
          </w:p>
        </w:tc>
        <w:tc>
          <w:tcPr>
            <w:tcW w:w="489" w:type="pct"/>
            <w:shd w:val="clear" w:color="auto" w:fill="auto"/>
            <w:vAlign w:val="center"/>
          </w:tcPr>
          <w:p w14:paraId="24ECF28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配线架</w:t>
            </w:r>
          </w:p>
        </w:tc>
        <w:tc>
          <w:tcPr>
            <w:tcW w:w="232" w:type="pct"/>
            <w:shd w:val="clear" w:color="auto" w:fill="auto"/>
            <w:vAlign w:val="center"/>
          </w:tcPr>
          <w:p w14:paraId="65C7BAC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3E070C7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个</w:t>
            </w:r>
          </w:p>
        </w:tc>
        <w:tc>
          <w:tcPr>
            <w:tcW w:w="3864" w:type="pct"/>
            <w:shd w:val="clear" w:color="auto" w:fill="auto"/>
            <w:vAlign w:val="center"/>
          </w:tcPr>
          <w:p w14:paraId="2AE2524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1.19英寸1U标准高度安装，可拆卸式模块化设计，正面带透明标签盖和标识纸、背面有理线支架固定线缆；</w:t>
            </w:r>
          </w:p>
          <w:p w14:paraId="534BE77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2.端口数：24口满配；</w:t>
            </w:r>
          </w:p>
          <w:p w14:paraId="09C98CD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3.打线方式：180度；</w:t>
            </w:r>
          </w:p>
          <w:p w14:paraId="33F22E9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4.支持卡接22~24AWG实心或多股双绞线；</w:t>
            </w:r>
          </w:p>
          <w:p w14:paraId="58146EA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5.金针：镀金≥50μm；</w:t>
            </w:r>
          </w:p>
          <w:p w14:paraId="3DEBCAD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6.支持≥250MHz带宽，满足IEEE 802.3 1000BASE-T应用；</w:t>
            </w:r>
          </w:p>
          <w:p w14:paraId="12BE561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7.插拔次数：≥1000次；</w:t>
            </w:r>
          </w:p>
          <w:p w14:paraId="7721F8F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8.导线端接次数：≥250次；</w:t>
            </w:r>
          </w:p>
          <w:p w14:paraId="29AE730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9.工作温度：-40℃~+70℃。</w:t>
            </w:r>
          </w:p>
        </w:tc>
      </w:tr>
      <w:tr w14:paraId="5E3A9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175887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w:t>
            </w:r>
          </w:p>
        </w:tc>
        <w:tc>
          <w:tcPr>
            <w:tcW w:w="489" w:type="pct"/>
            <w:shd w:val="clear" w:color="auto" w:fill="auto"/>
            <w:vAlign w:val="center"/>
          </w:tcPr>
          <w:p w14:paraId="0744937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理线器</w:t>
            </w:r>
          </w:p>
        </w:tc>
        <w:tc>
          <w:tcPr>
            <w:tcW w:w="232" w:type="pct"/>
            <w:shd w:val="clear" w:color="auto" w:fill="auto"/>
            <w:vAlign w:val="center"/>
          </w:tcPr>
          <w:p w14:paraId="2F40481A">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w:t>
            </w:r>
          </w:p>
        </w:tc>
        <w:tc>
          <w:tcPr>
            <w:tcW w:w="218" w:type="pct"/>
            <w:shd w:val="clear" w:color="auto" w:fill="auto"/>
            <w:vAlign w:val="center"/>
          </w:tcPr>
          <w:p w14:paraId="7356B8A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个</w:t>
            </w:r>
          </w:p>
        </w:tc>
        <w:tc>
          <w:tcPr>
            <w:tcW w:w="3864" w:type="pct"/>
            <w:shd w:val="clear" w:color="auto" w:fill="auto"/>
            <w:vAlign w:val="center"/>
          </w:tcPr>
          <w:p w14:paraId="5F61552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1.安装方式：1U机架式安装；</w:t>
            </w:r>
          </w:p>
          <w:p w14:paraId="4AC1BFF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2.上下各12槽位（24口）、上下各24槽位（48口）供选择；</w:t>
            </w:r>
          </w:p>
          <w:p w14:paraId="61A8D80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3.板厚：≥1.2mm；</w:t>
            </w:r>
          </w:p>
          <w:p w14:paraId="4752EC6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4.卡接式盖板（扣板）；</w:t>
            </w:r>
          </w:p>
          <w:p w14:paraId="4547EC9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5.整体烤漆，SECC冷轧钢。</w:t>
            </w:r>
          </w:p>
        </w:tc>
      </w:tr>
      <w:tr w14:paraId="2EF18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5F25C3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9</w:t>
            </w:r>
          </w:p>
        </w:tc>
        <w:tc>
          <w:tcPr>
            <w:tcW w:w="489" w:type="pct"/>
            <w:shd w:val="clear" w:color="auto" w:fill="auto"/>
            <w:vAlign w:val="center"/>
          </w:tcPr>
          <w:p w14:paraId="116C29C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PDU</w:t>
            </w:r>
          </w:p>
        </w:tc>
        <w:tc>
          <w:tcPr>
            <w:tcW w:w="232" w:type="pct"/>
            <w:shd w:val="clear" w:color="auto" w:fill="auto"/>
            <w:vAlign w:val="center"/>
          </w:tcPr>
          <w:p w14:paraId="449704B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w:t>
            </w:r>
          </w:p>
        </w:tc>
        <w:tc>
          <w:tcPr>
            <w:tcW w:w="218" w:type="pct"/>
            <w:shd w:val="clear" w:color="auto" w:fill="auto"/>
            <w:vAlign w:val="center"/>
          </w:tcPr>
          <w:p w14:paraId="1F32DD3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个</w:t>
            </w:r>
          </w:p>
        </w:tc>
        <w:tc>
          <w:tcPr>
            <w:tcW w:w="3864" w:type="pct"/>
            <w:shd w:val="clear" w:color="auto" w:fill="auto"/>
            <w:vAlign w:val="center"/>
          </w:tcPr>
          <w:p w14:paraId="0605C0D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双断开关，输入10A、输出10A，线长2m，8孔位。</w:t>
            </w:r>
          </w:p>
        </w:tc>
      </w:tr>
      <w:tr w14:paraId="1E2C3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04F8CA9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中控系统</w:t>
            </w:r>
          </w:p>
        </w:tc>
      </w:tr>
      <w:tr w14:paraId="6364E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A1C82D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w:t>
            </w:r>
          </w:p>
        </w:tc>
        <w:tc>
          <w:tcPr>
            <w:tcW w:w="489" w:type="pct"/>
            <w:shd w:val="clear" w:color="auto" w:fill="auto"/>
            <w:vAlign w:val="center"/>
          </w:tcPr>
          <w:p w14:paraId="1853914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智能照明</w:t>
            </w:r>
          </w:p>
          <w:p w14:paraId="464CAE4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时控模块</w:t>
            </w:r>
          </w:p>
        </w:tc>
        <w:tc>
          <w:tcPr>
            <w:tcW w:w="232" w:type="pct"/>
            <w:shd w:val="clear" w:color="auto" w:fill="auto"/>
            <w:vAlign w:val="center"/>
          </w:tcPr>
          <w:p w14:paraId="04B404C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B5D0AD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0BD8190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1.具有定时、经纬时控、光控、消防联动及红外、雷达、光照等传感器联动功能；</w:t>
            </w:r>
          </w:p>
          <w:p w14:paraId="10C11DB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2.同时具备LCD液晶显示屏和LED回路指示灯；</w:t>
            </w:r>
          </w:p>
          <w:p w14:paraId="3C798E7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3.通信：CAN通讯、RS485通讯；</w:t>
            </w:r>
          </w:p>
          <w:p w14:paraId="5CF0FF4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4.年月日模式，≥8组时间段设置；</w:t>
            </w:r>
          </w:p>
          <w:p w14:paraId="794D86A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5.天文时钟、假日模式及经纬度修正、自动/手动开关事件记录查询；</w:t>
            </w:r>
          </w:p>
          <w:p w14:paraId="0E85645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6.工作电压：AC220V 50Hz、DC12V；</w:t>
            </w:r>
          </w:p>
          <w:p w14:paraId="1ACF648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7.回路输出：≥16路；</w:t>
            </w:r>
          </w:p>
          <w:p w14:paraId="42425A0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8.安装方式：35mm导轨安装。</w:t>
            </w:r>
          </w:p>
        </w:tc>
      </w:tr>
      <w:tr w14:paraId="1DF5C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937399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w:t>
            </w:r>
          </w:p>
        </w:tc>
        <w:tc>
          <w:tcPr>
            <w:tcW w:w="489" w:type="pct"/>
            <w:shd w:val="clear" w:color="auto" w:fill="auto"/>
            <w:vAlign w:val="center"/>
          </w:tcPr>
          <w:p w14:paraId="3D4E3E6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中控编程主机</w:t>
            </w:r>
          </w:p>
        </w:tc>
        <w:tc>
          <w:tcPr>
            <w:tcW w:w="232" w:type="pct"/>
            <w:shd w:val="clear" w:color="auto" w:fill="auto"/>
            <w:vAlign w:val="center"/>
          </w:tcPr>
          <w:p w14:paraId="4562CE0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3A6313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F2AD211">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w:t>
            </w:r>
            <w:r>
              <w:rPr>
                <w:rFonts w:hint="eastAsia" w:ascii="仿宋" w:hAnsi="仿宋" w:eastAsia="仿宋" w:cs="仿宋"/>
                <w:color w:val="auto"/>
                <w:sz w:val="18"/>
                <w:szCs w:val="18"/>
              </w:rPr>
              <w:t>国产RISC架构双核冗余处理器</w:t>
            </w:r>
            <w:r>
              <w:rPr>
                <w:rFonts w:hint="eastAsia" w:ascii="仿宋" w:hAnsi="仿宋" w:eastAsia="仿宋" w:cs="仿宋"/>
                <w:color w:val="auto"/>
                <w:sz w:val="18"/>
                <w:szCs w:val="18"/>
                <w:lang w:eastAsia="zh-CN"/>
              </w:rPr>
              <w:t>；</w:t>
            </w:r>
          </w:p>
          <w:p w14:paraId="494A6625">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≥256Mb DDR3内存</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≥128Mb eFlash</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内置1TB内部TF存储扩展</w:t>
            </w:r>
            <w:r>
              <w:rPr>
                <w:rFonts w:hint="eastAsia" w:ascii="仿宋" w:hAnsi="仿宋" w:eastAsia="仿宋" w:cs="仿宋"/>
                <w:color w:val="auto"/>
                <w:sz w:val="18"/>
                <w:szCs w:val="18"/>
                <w:lang w:eastAsia="zh-CN"/>
              </w:rPr>
              <w:t>）；</w:t>
            </w:r>
          </w:p>
          <w:p w14:paraId="41153029">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3.</w:t>
            </w:r>
            <w:r>
              <w:rPr>
                <w:rFonts w:hint="eastAsia" w:ascii="仿宋" w:hAnsi="仿宋" w:eastAsia="仿宋" w:cs="仿宋"/>
                <w:color w:val="auto"/>
                <w:sz w:val="18"/>
                <w:szCs w:val="18"/>
              </w:rPr>
              <w:t>网口</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≥4路10/100Mbps端口</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可扩展无线AP/WIFI接口</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支持2.4G/5.8G通讯</w:t>
            </w:r>
            <w:r>
              <w:rPr>
                <w:rFonts w:hint="eastAsia" w:ascii="仿宋" w:hAnsi="仿宋" w:eastAsia="仿宋" w:cs="仿宋"/>
                <w:color w:val="auto"/>
                <w:sz w:val="18"/>
                <w:szCs w:val="18"/>
                <w:lang w:eastAsia="zh-CN"/>
              </w:rPr>
              <w:t>；</w:t>
            </w:r>
          </w:p>
          <w:p w14:paraId="03ACA1E7">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4.至少</w:t>
            </w:r>
            <w:r>
              <w:rPr>
                <w:rFonts w:hint="eastAsia" w:ascii="仿宋" w:hAnsi="仿宋" w:eastAsia="仿宋" w:cs="仿宋"/>
                <w:color w:val="auto"/>
                <w:sz w:val="18"/>
                <w:szCs w:val="18"/>
              </w:rPr>
              <w:t>满足sBUS/POE总线*1</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RS485*1</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CAN总线*1</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支持总线供电</w:t>
            </w:r>
            <w:r>
              <w:rPr>
                <w:rFonts w:hint="eastAsia" w:ascii="仿宋" w:hAnsi="仿宋" w:eastAsia="仿宋" w:cs="仿宋"/>
                <w:color w:val="auto"/>
                <w:sz w:val="18"/>
                <w:szCs w:val="18"/>
                <w:lang w:eastAsia="zh-CN"/>
              </w:rPr>
              <w:t>；</w:t>
            </w:r>
          </w:p>
          <w:p w14:paraId="168B80FE">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5.</w:t>
            </w:r>
            <w:r>
              <w:rPr>
                <w:rFonts w:hint="eastAsia" w:ascii="仿宋" w:hAnsi="仿宋" w:eastAsia="仿宋" w:cs="仿宋"/>
                <w:color w:val="auto"/>
                <w:sz w:val="18"/>
                <w:szCs w:val="18"/>
              </w:rPr>
              <w:t>串口</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8</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256路全双向RS232/RS485端口</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可插卡自由扩展</w:t>
            </w:r>
            <w:r>
              <w:rPr>
                <w:rFonts w:hint="eastAsia" w:ascii="仿宋" w:hAnsi="仿宋" w:eastAsia="仿宋" w:cs="仿宋"/>
                <w:color w:val="auto"/>
                <w:sz w:val="18"/>
                <w:szCs w:val="18"/>
                <w:lang w:eastAsia="zh-CN"/>
              </w:rPr>
              <w:t>）；</w:t>
            </w:r>
          </w:p>
          <w:p w14:paraId="5E963232">
            <w:pPr>
              <w:keepNext w:val="0"/>
              <w:keepLines w:val="0"/>
              <w:widowControl/>
              <w:suppressLineNumbers w:val="0"/>
              <w:jc w:val="left"/>
              <w:textAlignment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lang w:val="en-US" w:eastAsia="zh-CN"/>
              </w:rPr>
              <w:t>6.红外：≥8路红外发射+内建≥1路红外学习</w:t>
            </w:r>
          </w:p>
          <w:p w14:paraId="2DC6A1D7">
            <w:pPr>
              <w:keepNext w:val="0"/>
              <w:keepLines w:val="0"/>
              <w:widowControl/>
              <w:suppressLineNumbers w:val="0"/>
              <w:jc w:val="left"/>
              <w:textAlignment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lang w:val="en-US" w:eastAsia="zh-CN"/>
              </w:rPr>
              <w:t>7.IO口：≥8路弱电继电器+≥8路IO；</w:t>
            </w:r>
          </w:p>
          <w:p w14:paraId="01CACEA7">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8.</w:t>
            </w:r>
            <w:r>
              <w:rPr>
                <w:rFonts w:hint="eastAsia" w:ascii="仿宋" w:hAnsi="仿宋" w:eastAsia="仿宋" w:cs="仿宋"/>
                <w:color w:val="auto"/>
                <w:sz w:val="18"/>
                <w:szCs w:val="18"/>
              </w:rPr>
              <w:t>面板自带≥10个情景模式按键</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支持短按</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长按和双击</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可自定义功能</w:t>
            </w:r>
            <w:r>
              <w:rPr>
                <w:rFonts w:hint="eastAsia" w:ascii="仿宋" w:hAnsi="仿宋" w:eastAsia="仿宋" w:cs="仿宋"/>
                <w:color w:val="auto"/>
                <w:sz w:val="18"/>
                <w:szCs w:val="18"/>
                <w:lang w:eastAsia="zh-CN"/>
              </w:rPr>
              <w:t>；</w:t>
            </w:r>
          </w:p>
          <w:p w14:paraId="783A13A6">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9.</w:t>
            </w:r>
            <w:r>
              <w:rPr>
                <w:rFonts w:hint="eastAsia" w:ascii="仿宋" w:hAnsi="仿宋" w:eastAsia="仿宋" w:cs="仿宋"/>
                <w:color w:val="auto"/>
                <w:sz w:val="18"/>
                <w:szCs w:val="18"/>
              </w:rPr>
              <w:t>所有通讯接口统一</w:t>
            </w:r>
            <w:r>
              <w:rPr>
                <w:rFonts w:hint="eastAsia" w:ascii="仿宋" w:hAnsi="仿宋" w:eastAsia="仿宋" w:cs="仿宋"/>
                <w:color w:val="auto"/>
                <w:sz w:val="18"/>
                <w:szCs w:val="18"/>
                <w:lang w:val="en-US" w:eastAsia="zh-CN"/>
              </w:rPr>
              <w:t>采用</w:t>
            </w:r>
            <w:r>
              <w:rPr>
                <w:rFonts w:hint="eastAsia" w:ascii="仿宋" w:hAnsi="仿宋" w:eastAsia="仿宋" w:cs="仿宋"/>
                <w:color w:val="auto"/>
                <w:sz w:val="18"/>
                <w:szCs w:val="18"/>
              </w:rPr>
              <w:t>RJ45物理网线</w:t>
            </w:r>
            <w:r>
              <w:rPr>
                <w:rFonts w:hint="eastAsia" w:ascii="仿宋" w:hAnsi="仿宋" w:eastAsia="仿宋" w:cs="仿宋"/>
                <w:color w:val="auto"/>
                <w:sz w:val="18"/>
                <w:szCs w:val="18"/>
                <w:lang w:eastAsia="zh-CN"/>
              </w:rPr>
              <w:t>；</w:t>
            </w:r>
          </w:p>
          <w:p w14:paraId="2E646159">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10.</w:t>
            </w:r>
            <w:r>
              <w:rPr>
                <w:rFonts w:hint="eastAsia" w:ascii="仿宋" w:hAnsi="仿宋" w:eastAsia="仿宋" w:cs="仿宋"/>
                <w:color w:val="auto"/>
                <w:sz w:val="18"/>
                <w:szCs w:val="18"/>
              </w:rPr>
              <w:t>操作系统满足嵌入式Linux系统+内建Web服务器+SimPRO在线编译平台</w:t>
            </w:r>
            <w:r>
              <w:rPr>
                <w:rFonts w:hint="eastAsia" w:ascii="仿宋" w:hAnsi="仿宋" w:eastAsia="仿宋" w:cs="仿宋"/>
                <w:color w:val="auto"/>
                <w:sz w:val="18"/>
                <w:szCs w:val="18"/>
                <w:lang w:eastAsia="zh-CN"/>
              </w:rPr>
              <w:t>；</w:t>
            </w:r>
          </w:p>
          <w:p w14:paraId="06D0C951">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11.</w:t>
            </w:r>
            <w:r>
              <w:rPr>
                <w:rFonts w:hint="eastAsia" w:ascii="仿宋" w:hAnsi="仿宋" w:eastAsia="仿宋" w:cs="仿宋"/>
                <w:color w:val="auto"/>
                <w:sz w:val="18"/>
                <w:szCs w:val="18"/>
              </w:rPr>
              <w:t>支持TCP/UDP/HTTP/Pjlink/MQTT/osc/art-net/dmx512/ModBus编程协议</w:t>
            </w:r>
            <w:r>
              <w:rPr>
                <w:rFonts w:hint="eastAsia" w:ascii="仿宋" w:hAnsi="仿宋" w:eastAsia="仿宋" w:cs="仿宋"/>
                <w:color w:val="auto"/>
                <w:sz w:val="18"/>
                <w:szCs w:val="18"/>
                <w:lang w:eastAsia="zh-CN"/>
              </w:rPr>
              <w:t>；</w:t>
            </w:r>
          </w:p>
          <w:p w14:paraId="7860F739">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12.</w:t>
            </w:r>
            <w:r>
              <w:rPr>
                <w:rFonts w:hint="eastAsia" w:ascii="仿宋" w:hAnsi="仿宋" w:eastAsia="仿宋" w:cs="仿宋"/>
                <w:color w:val="auto"/>
                <w:sz w:val="18"/>
                <w:szCs w:val="18"/>
              </w:rPr>
              <w:t>支持离线AI语音识别控制</w:t>
            </w:r>
            <w:r>
              <w:rPr>
                <w:rFonts w:hint="eastAsia" w:ascii="仿宋" w:hAnsi="仿宋" w:eastAsia="仿宋" w:cs="仿宋"/>
                <w:color w:val="auto"/>
                <w:sz w:val="18"/>
                <w:szCs w:val="18"/>
                <w:lang w:eastAsia="zh-CN"/>
              </w:rPr>
              <w:t>；</w:t>
            </w:r>
          </w:p>
          <w:p w14:paraId="78BBE48D">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13.</w:t>
            </w:r>
            <w:r>
              <w:rPr>
                <w:rFonts w:hint="eastAsia" w:ascii="仿宋" w:hAnsi="仿宋" w:eastAsia="仿宋" w:cs="仿宋"/>
                <w:color w:val="auto"/>
                <w:sz w:val="18"/>
                <w:szCs w:val="18"/>
              </w:rPr>
              <w:t>支持云端控制</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MQTT物联网协议</w:t>
            </w:r>
            <w:r>
              <w:rPr>
                <w:rFonts w:hint="eastAsia" w:ascii="仿宋" w:hAnsi="仿宋" w:eastAsia="仿宋" w:cs="仿宋"/>
                <w:color w:val="auto"/>
                <w:sz w:val="18"/>
                <w:szCs w:val="18"/>
                <w:lang w:val="en-US" w:eastAsia="zh-CN"/>
              </w:rPr>
              <w:t>及</w:t>
            </w:r>
            <w:r>
              <w:rPr>
                <w:rFonts w:hint="eastAsia" w:ascii="仿宋" w:hAnsi="仿宋" w:eastAsia="仿宋" w:cs="仿宋"/>
                <w:color w:val="auto"/>
                <w:sz w:val="18"/>
                <w:szCs w:val="18"/>
              </w:rPr>
              <w:t>接入AI音箱</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阿里云等平台</w:t>
            </w:r>
            <w:r>
              <w:rPr>
                <w:rFonts w:hint="eastAsia" w:ascii="仿宋" w:hAnsi="仿宋" w:eastAsia="仿宋" w:cs="仿宋"/>
                <w:color w:val="auto"/>
                <w:sz w:val="18"/>
                <w:szCs w:val="18"/>
                <w:lang w:eastAsia="zh-CN"/>
              </w:rPr>
              <w:t>；</w:t>
            </w:r>
          </w:p>
          <w:p w14:paraId="30F65827">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14.</w:t>
            </w:r>
            <w:r>
              <w:rPr>
                <w:rFonts w:hint="eastAsia" w:ascii="仿宋" w:hAnsi="仿宋" w:eastAsia="仿宋" w:cs="仿宋"/>
                <w:color w:val="auto"/>
                <w:sz w:val="18"/>
                <w:szCs w:val="18"/>
              </w:rPr>
              <w:t>支持自定义API接口</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可供Unity3d</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C#等第三方软件和硬件接入和控制</w:t>
            </w:r>
            <w:r>
              <w:rPr>
                <w:rFonts w:hint="eastAsia" w:ascii="仿宋" w:hAnsi="仿宋" w:eastAsia="仿宋" w:cs="仿宋"/>
                <w:color w:val="auto"/>
                <w:sz w:val="18"/>
                <w:szCs w:val="18"/>
                <w:lang w:eastAsia="zh-CN"/>
              </w:rPr>
              <w:t>；</w:t>
            </w:r>
          </w:p>
          <w:p w14:paraId="670AF02F">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15.</w:t>
            </w:r>
            <w:r>
              <w:rPr>
                <w:rFonts w:hint="eastAsia" w:ascii="仿宋" w:hAnsi="仿宋" w:eastAsia="仿宋" w:cs="仿宋"/>
                <w:color w:val="auto"/>
                <w:sz w:val="18"/>
                <w:szCs w:val="18"/>
              </w:rPr>
              <w:t>支持通过手机</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平板等扫描中控生成的二维码进行应急控制</w:t>
            </w:r>
            <w:r>
              <w:rPr>
                <w:rFonts w:hint="eastAsia" w:ascii="仿宋" w:hAnsi="仿宋" w:eastAsia="仿宋" w:cs="仿宋"/>
                <w:color w:val="auto"/>
                <w:sz w:val="18"/>
                <w:szCs w:val="18"/>
                <w:lang w:eastAsia="zh-CN"/>
              </w:rPr>
              <w:t>；</w:t>
            </w:r>
          </w:p>
          <w:p w14:paraId="6944D948">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16.</w:t>
            </w:r>
            <w:r>
              <w:rPr>
                <w:rFonts w:hint="eastAsia" w:ascii="仿宋" w:hAnsi="仿宋" w:eastAsia="仿宋" w:cs="仿宋"/>
                <w:color w:val="auto"/>
                <w:sz w:val="18"/>
                <w:szCs w:val="18"/>
              </w:rPr>
              <w:t>支持程序本地备份和恢复</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具有</w:t>
            </w:r>
            <w:r>
              <w:rPr>
                <w:rFonts w:hint="eastAsia" w:ascii="仿宋" w:hAnsi="仿宋" w:eastAsia="仿宋" w:cs="仿宋"/>
                <w:color w:val="auto"/>
                <w:sz w:val="18"/>
                <w:szCs w:val="18"/>
              </w:rPr>
              <w:t>远程云端备份和恢复功能</w:t>
            </w:r>
            <w:r>
              <w:rPr>
                <w:rFonts w:hint="eastAsia" w:ascii="仿宋" w:hAnsi="仿宋" w:eastAsia="仿宋" w:cs="仿宋"/>
                <w:color w:val="auto"/>
                <w:sz w:val="18"/>
                <w:szCs w:val="18"/>
                <w:lang w:eastAsia="zh-CN"/>
              </w:rPr>
              <w:t>；</w:t>
            </w:r>
          </w:p>
          <w:p w14:paraId="2C5CCF06">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color w:val="auto"/>
                <w:sz w:val="18"/>
                <w:szCs w:val="18"/>
                <w:lang w:val="en-US" w:eastAsia="zh-CN"/>
              </w:rPr>
              <w:t>17.</w:t>
            </w:r>
            <w:r>
              <w:rPr>
                <w:rFonts w:hint="eastAsia" w:ascii="仿宋" w:hAnsi="仿宋" w:eastAsia="仿宋" w:cs="仿宋"/>
                <w:color w:val="auto"/>
                <w:sz w:val="18"/>
                <w:szCs w:val="18"/>
              </w:rPr>
              <w:t>单</w:t>
            </w:r>
            <w:r>
              <w:rPr>
                <w:rFonts w:hint="eastAsia" w:ascii="仿宋" w:hAnsi="仿宋" w:eastAsia="仿宋" w:cs="仿宋"/>
                <w:color w:val="auto"/>
                <w:sz w:val="18"/>
                <w:szCs w:val="18"/>
                <w:lang w:val="en-US" w:eastAsia="zh-CN"/>
              </w:rPr>
              <w:t>台</w:t>
            </w:r>
            <w:r>
              <w:rPr>
                <w:rFonts w:hint="eastAsia" w:ascii="仿宋" w:hAnsi="仿宋" w:eastAsia="仿宋" w:cs="仿宋"/>
                <w:color w:val="auto"/>
                <w:sz w:val="18"/>
                <w:szCs w:val="18"/>
              </w:rPr>
              <w:t>支持≥65530个Socket</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支持控制≥65535台投影机及其它网络设备</w:t>
            </w:r>
            <w:r>
              <w:rPr>
                <w:rFonts w:hint="eastAsia" w:ascii="仿宋" w:hAnsi="仿宋" w:eastAsia="仿宋" w:cs="仿宋"/>
                <w:color w:val="auto"/>
                <w:sz w:val="18"/>
                <w:szCs w:val="18"/>
                <w:lang w:eastAsia="zh-CN"/>
              </w:rPr>
              <w:t>。</w:t>
            </w:r>
          </w:p>
        </w:tc>
      </w:tr>
      <w:tr w14:paraId="33FF9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899A46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12</w:t>
            </w:r>
          </w:p>
        </w:tc>
        <w:tc>
          <w:tcPr>
            <w:tcW w:w="489" w:type="pct"/>
            <w:shd w:val="clear" w:color="auto" w:fill="auto"/>
            <w:vAlign w:val="center"/>
          </w:tcPr>
          <w:p w14:paraId="395C86F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RS485级联器</w:t>
            </w:r>
          </w:p>
        </w:tc>
        <w:tc>
          <w:tcPr>
            <w:tcW w:w="232" w:type="pct"/>
            <w:shd w:val="clear" w:color="auto" w:fill="auto"/>
            <w:vAlign w:val="center"/>
          </w:tcPr>
          <w:p w14:paraId="059289C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0D2E3F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0A78EFE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RS485级联转USB、5m</w:t>
            </w:r>
          </w:p>
        </w:tc>
      </w:tr>
      <w:tr w14:paraId="47949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3C975C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w:t>
            </w:r>
          </w:p>
        </w:tc>
        <w:tc>
          <w:tcPr>
            <w:tcW w:w="489" w:type="pct"/>
            <w:shd w:val="clear" w:color="auto" w:fill="auto"/>
            <w:vAlign w:val="center"/>
          </w:tcPr>
          <w:p w14:paraId="74444DA6">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控制平板1</w:t>
            </w:r>
          </w:p>
        </w:tc>
        <w:tc>
          <w:tcPr>
            <w:tcW w:w="232" w:type="pct"/>
            <w:shd w:val="clear" w:color="auto" w:fill="auto"/>
            <w:vAlign w:val="center"/>
          </w:tcPr>
          <w:p w14:paraId="6E8D1DD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BAC277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C43CD0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1.系统内存：≥8GB；</w:t>
            </w:r>
          </w:p>
          <w:p w14:paraId="112AC34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2.存储容量：≥128GB且不支持扩展；</w:t>
            </w:r>
          </w:p>
          <w:p w14:paraId="43A633E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3.屏幕</w:t>
            </w:r>
          </w:p>
          <w:p w14:paraId="1FE2101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3.1 尺寸：≥11英寸且＜11.6英寸；</w:t>
            </w:r>
          </w:p>
          <w:p w14:paraId="70BE56C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3.2 类型：LCD（或优于）；</w:t>
            </w:r>
          </w:p>
          <w:p w14:paraId="6E1FF0B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3.3 分辨率：≥2800*1840；</w:t>
            </w:r>
          </w:p>
          <w:p w14:paraId="5DD3B9C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3.4 像素密度：≥274PPI；</w:t>
            </w:r>
          </w:p>
          <w:p w14:paraId="4861939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3.5 DCI-P3广色域，≥92%屏占比，≥10.7亿色，≥120Hz刷新率，≥1440Hz高频PWM调光。</w:t>
            </w:r>
          </w:p>
          <w:p w14:paraId="5D46BEB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4.支持802.11a/b/g/n/ac/ax、MIMO、VHT80、HE80；</w:t>
            </w:r>
          </w:p>
          <w:p w14:paraId="3B64670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5.支持蓝牙5.1模块；</w:t>
            </w:r>
          </w:p>
          <w:p w14:paraId="7315878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6.支持GPS/AGPS/Glonass/北斗/伽利略/QZSS；</w:t>
            </w:r>
          </w:p>
          <w:p w14:paraId="1931392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7.感应器：环境光传感器、霍尔传感器、陀螺仪、指南针、重力传感器；</w:t>
            </w:r>
          </w:p>
          <w:p w14:paraId="6842B2E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8.支持多屏协同、平行视界、智慧多窗；</w:t>
            </w:r>
          </w:p>
          <w:p w14:paraId="65DC164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9.内置六声道扬声器、四颗麦克风；</w:t>
            </w:r>
          </w:p>
          <w:p w14:paraId="618A6DF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10.双摄像头</w:t>
            </w:r>
          </w:p>
          <w:p w14:paraId="3A99B12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10.1 前置：≥800万像素，f/2.2光圈，固定焦距，最大可支持4608*3456像素照片分辨率、1920*1080像素摄像分辨率；</w:t>
            </w:r>
          </w:p>
          <w:p w14:paraId="06F34E8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10.2 后置：≥1300万像素，f/1.8+f/2.2光圈，自动对焦，支持闪光灯、相位对焦，最大可支持4208*3120像素照片分辨率、3840*2160像素摄像分辨率。</w:t>
            </w:r>
          </w:p>
          <w:p w14:paraId="0962C43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11.支持MP3、MP4、JPEG、GIF、BMP、TXT等格式；</w:t>
            </w:r>
          </w:p>
          <w:p w14:paraId="79E838F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12.USB Type-C接口；</w:t>
            </w:r>
          </w:p>
          <w:p w14:paraId="27EB8EA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13.电池</w:t>
            </w:r>
          </w:p>
          <w:p w14:paraId="063E696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13.1 类型：锂聚合物电池；</w:t>
            </w:r>
          </w:p>
          <w:p w14:paraId="56E5CF3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13.2 容量：≥7250mAh；</w:t>
            </w:r>
          </w:p>
          <w:p w14:paraId="1E46F7E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13.3 续航时间：≥11小时视频播放。</w:t>
            </w:r>
          </w:p>
          <w:p w14:paraId="566D6BB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14.电源适配器：支持40W有线快充。</w:t>
            </w:r>
          </w:p>
        </w:tc>
      </w:tr>
      <w:tr w14:paraId="642B4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AC068BD">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w:t>
            </w:r>
          </w:p>
        </w:tc>
        <w:tc>
          <w:tcPr>
            <w:tcW w:w="489" w:type="pct"/>
            <w:shd w:val="clear" w:color="auto" w:fill="auto"/>
            <w:vAlign w:val="center"/>
          </w:tcPr>
          <w:p w14:paraId="2936D5B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强电控制单元</w:t>
            </w:r>
          </w:p>
        </w:tc>
        <w:tc>
          <w:tcPr>
            <w:tcW w:w="232" w:type="pct"/>
            <w:shd w:val="clear" w:color="auto" w:fill="auto"/>
            <w:vAlign w:val="center"/>
          </w:tcPr>
          <w:p w14:paraId="00C2E19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w:t>
            </w:r>
          </w:p>
        </w:tc>
        <w:tc>
          <w:tcPr>
            <w:tcW w:w="218" w:type="pct"/>
            <w:shd w:val="clear" w:color="auto" w:fill="auto"/>
            <w:vAlign w:val="center"/>
          </w:tcPr>
          <w:p w14:paraId="3DA8531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2655E3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1.强电控制器，每路峰值50A电流，平均控制电流24A，带手动机械按键、安全开关，支持开关状态检测、磁保持，带XZCAN总线接口及温度和电流保护；</w:t>
            </w:r>
          </w:p>
          <w:p w14:paraId="3F75186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2.前面板有≥0.96寸OLED屏幕，可自定义Logo。</w:t>
            </w:r>
          </w:p>
        </w:tc>
      </w:tr>
      <w:tr w14:paraId="551AE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623B6D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w:t>
            </w:r>
          </w:p>
        </w:tc>
        <w:tc>
          <w:tcPr>
            <w:tcW w:w="489" w:type="pct"/>
            <w:shd w:val="clear" w:color="auto" w:fill="auto"/>
            <w:vAlign w:val="center"/>
          </w:tcPr>
          <w:p w14:paraId="6BE3CAE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信号控制单元</w:t>
            </w:r>
          </w:p>
        </w:tc>
        <w:tc>
          <w:tcPr>
            <w:tcW w:w="232" w:type="pct"/>
            <w:shd w:val="clear" w:color="auto" w:fill="auto"/>
            <w:vAlign w:val="center"/>
          </w:tcPr>
          <w:p w14:paraId="76AD367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w:t>
            </w:r>
          </w:p>
        </w:tc>
        <w:tc>
          <w:tcPr>
            <w:tcW w:w="218" w:type="pct"/>
            <w:shd w:val="clear" w:color="auto" w:fill="auto"/>
            <w:vAlign w:val="center"/>
          </w:tcPr>
          <w:p w14:paraId="60D2AE6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466A107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1.≥16路电脑控制端口带反馈、≥16路开关量输入通道、≥16路串口控制通道带反馈、≥16路红外控制通道带反馈、≥16路电流检测端口，控制距离均≥300m；</w:t>
            </w:r>
          </w:p>
          <w:p w14:paraId="27D8695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2.≥60组红外学习通道；</w:t>
            </w:r>
          </w:p>
          <w:p w14:paraId="52CDB09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3.内置时序≥64K储存；</w:t>
            </w:r>
          </w:p>
          <w:p w14:paraId="15B9A9B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4.独立的硬件看门狗，死机自恢复；</w:t>
            </w:r>
          </w:p>
          <w:p w14:paraId="64F4790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5.内置XZCAN总线接口、串口接口、网络接口；</w:t>
            </w:r>
          </w:p>
          <w:p w14:paraId="36CE8DA4">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6.前面板有≥0.96寸OLED屏幕，可自定义Logo。</w:t>
            </w:r>
          </w:p>
        </w:tc>
      </w:tr>
      <w:tr w14:paraId="3B592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79DB159">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w:t>
            </w:r>
          </w:p>
        </w:tc>
        <w:tc>
          <w:tcPr>
            <w:tcW w:w="489" w:type="pct"/>
            <w:shd w:val="clear" w:color="auto" w:fill="auto"/>
            <w:vAlign w:val="center"/>
          </w:tcPr>
          <w:p w14:paraId="0DA205B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开关控制点位</w:t>
            </w:r>
          </w:p>
        </w:tc>
        <w:tc>
          <w:tcPr>
            <w:tcW w:w="232" w:type="pct"/>
            <w:shd w:val="clear" w:color="auto" w:fill="auto"/>
            <w:vAlign w:val="center"/>
          </w:tcPr>
          <w:p w14:paraId="3AD31E2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36</w:t>
            </w:r>
          </w:p>
        </w:tc>
        <w:tc>
          <w:tcPr>
            <w:tcW w:w="218" w:type="pct"/>
            <w:shd w:val="clear" w:color="auto" w:fill="auto"/>
            <w:vAlign w:val="center"/>
          </w:tcPr>
          <w:p w14:paraId="1471AB2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个</w:t>
            </w:r>
          </w:p>
        </w:tc>
        <w:tc>
          <w:tcPr>
            <w:tcW w:w="3864" w:type="pct"/>
            <w:shd w:val="clear" w:color="auto" w:fill="auto"/>
            <w:vAlign w:val="center"/>
          </w:tcPr>
          <w:p w14:paraId="6C02F1E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带开机、关机、强制关机、反馈、重启</w:t>
            </w:r>
          </w:p>
        </w:tc>
      </w:tr>
      <w:tr w14:paraId="25AFB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631943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17</w:t>
            </w:r>
          </w:p>
        </w:tc>
        <w:tc>
          <w:tcPr>
            <w:tcW w:w="489" w:type="pct"/>
            <w:shd w:val="clear" w:color="auto" w:fill="auto"/>
            <w:vAlign w:val="center"/>
          </w:tcPr>
          <w:p w14:paraId="0CAB9C5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带定时可受控</w:t>
            </w:r>
          </w:p>
          <w:p w14:paraId="20AB054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电源管理器</w:t>
            </w:r>
          </w:p>
        </w:tc>
        <w:tc>
          <w:tcPr>
            <w:tcW w:w="232" w:type="pct"/>
            <w:shd w:val="clear" w:color="auto" w:fill="auto"/>
            <w:vAlign w:val="center"/>
          </w:tcPr>
          <w:p w14:paraId="2ECF326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51F8A4D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7E10925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1.≥8路万用插座继电器受控；</w:t>
            </w:r>
          </w:p>
          <w:p w14:paraId="606221D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2.继电器受控输出最大承受单路功率/总功率（无功功率）：≥2000W/≥6000W；</w:t>
            </w:r>
          </w:p>
          <w:p w14:paraId="26BD9A7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3.输出电源插座：最大可承受13A电流，标准万用插座；</w:t>
            </w:r>
          </w:p>
          <w:p w14:paraId="1280503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4.支持顺序开启逆序关闭、PASS键可全通道同时打开、COM口接入中控控制（指令控制）或自带软件控制、自由通道关闭、级联叠机、中控外控、过流保护、面板通道独立关闭；</w:t>
            </w:r>
          </w:p>
          <w:p w14:paraId="7D20DF8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5.每路开关间隔时间/定时时间：默认1s；</w:t>
            </w:r>
          </w:p>
          <w:p w14:paraId="372BC96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6.输出继电器触点电流：30A 277VAC；</w:t>
            </w:r>
          </w:p>
          <w:p w14:paraId="3ABC4ED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7.电路板：双面纤维板，主电源走线二次加厚加粗处理；</w:t>
            </w:r>
          </w:p>
          <w:p w14:paraId="7D2E361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8.供电：内置方牛变压器，适用电压AC200~260V 50~60Hz；</w:t>
            </w:r>
          </w:p>
          <w:p w14:paraId="39C21C3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9.主电缆线：3*4平方电缆线，总长度1.5m，配电源输入插头；</w:t>
            </w:r>
          </w:p>
          <w:p w14:paraId="315691C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10.开启类型：按键式轻触开关；</w:t>
            </w:r>
          </w:p>
          <w:p w14:paraId="505D3D5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11.具有单路独立开关功能，支持面板独立控制；</w:t>
            </w:r>
          </w:p>
          <w:p w14:paraId="30083E4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12.液晶电压表显示电压；</w:t>
            </w:r>
          </w:p>
          <w:p w14:paraId="60967D9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13.外接控制开关接口：RS232、COM口；</w:t>
            </w:r>
          </w:p>
          <w:p w14:paraId="461332A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14.自带指令代码与控制软件，支持中控控制，ID0~255；</w:t>
            </w:r>
          </w:p>
          <w:p w14:paraId="75171B45">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15.断路器火线控制过流保护（32A短路保护）。</w:t>
            </w:r>
          </w:p>
        </w:tc>
      </w:tr>
      <w:tr w14:paraId="72D4E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B327A4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18</w:t>
            </w:r>
          </w:p>
        </w:tc>
        <w:tc>
          <w:tcPr>
            <w:tcW w:w="489" w:type="pct"/>
            <w:shd w:val="clear" w:color="auto" w:fill="auto"/>
            <w:vAlign w:val="center"/>
          </w:tcPr>
          <w:p w14:paraId="7792E8C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UPS主机</w:t>
            </w:r>
          </w:p>
        </w:tc>
        <w:tc>
          <w:tcPr>
            <w:tcW w:w="232" w:type="pct"/>
            <w:shd w:val="clear" w:color="auto" w:fill="auto"/>
            <w:vAlign w:val="center"/>
          </w:tcPr>
          <w:p w14:paraId="651DA23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036140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7D76BB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1.机架式单进单出10kVA/10kW，≥2.7英寸非触摸屏LCD/LED显示，可在线维修主机，具有自老化功能；</w:t>
            </w:r>
          </w:p>
          <w:p w14:paraId="415D45B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输入电压176~280V（单相），输入功率因数0.999（100%非线性负载），输入电流谐波成份2.7%（100%非线性负载），输出稳压精度-0.3%，输出波形失真度0.6%（正常工作、额定阻性负载）、0.8%（电池逆变工作、额定阻性负载），输出有功功率10（额定容量10kVA），系统效率95.3%（100%阻性负载）；</w:t>
            </w:r>
          </w:p>
          <w:p w14:paraId="76EF72A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3.过载能力（逆变模式）：110%、10分钟时后切旁路为130%、1分钟后切旁路为150%、30秒后切旁路等待1分钟后关机；</w:t>
            </w:r>
          </w:p>
          <w:p w14:paraId="01BDB39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4.内置独立的电池充电器且充电电流≥5A。</w:t>
            </w:r>
          </w:p>
        </w:tc>
      </w:tr>
      <w:tr w14:paraId="47C2C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8EF2DF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19</w:t>
            </w:r>
          </w:p>
        </w:tc>
        <w:tc>
          <w:tcPr>
            <w:tcW w:w="489" w:type="pct"/>
            <w:shd w:val="clear" w:color="auto" w:fill="auto"/>
            <w:vAlign w:val="center"/>
          </w:tcPr>
          <w:p w14:paraId="70DF8D0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UPS电池</w:t>
            </w:r>
          </w:p>
        </w:tc>
        <w:tc>
          <w:tcPr>
            <w:tcW w:w="232" w:type="pct"/>
            <w:shd w:val="clear" w:color="auto" w:fill="auto"/>
            <w:vAlign w:val="center"/>
          </w:tcPr>
          <w:p w14:paraId="3197688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16</w:t>
            </w:r>
          </w:p>
        </w:tc>
        <w:tc>
          <w:tcPr>
            <w:tcW w:w="218" w:type="pct"/>
            <w:shd w:val="clear" w:color="auto" w:fill="auto"/>
            <w:vAlign w:val="center"/>
          </w:tcPr>
          <w:p w14:paraId="1567E76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个</w:t>
            </w:r>
          </w:p>
        </w:tc>
        <w:tc>
          <w:tcPr>
            <w:tcW w:w="3864" w:type="pct"/>
            <w:shd w:val="clear" w:color="auto" w:fill="auto"/>
            <w:vAlign w:val="center"/>
          </w:tcPr>
          <w:p w14:paraId="50AA1CF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1.12V 100AH免维护铅酸蓄电池，外观无变形、无漏液、正负极端子有明显标志，密封反应效率≥98%；</w:t>
            </w:r>
          </w:p>
          <w:p w14:paraId="01D7FB7B">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2.防漏酸报警设计，具备防漏酸报警电池托盘。</w:t>
            </w:r>
          </w:p>
        </w:tc>
      </w:tr>
      <w:tr w14:paraId="2A3A0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1E0D8E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20</w:t>
            </w:r>
          </w:p>
        </w:tc>
        <w:tc>
          <w:tcPr>
            <w:tcW w:w="489" w:type="pct"/>
            <w:shd w:val="clear" w:color="auto" w:fill="auto"/>
            <w:vAlign w:val="center"/>
          </w:tcPr>
          <w:p w14:paraId="1FE47B6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UPS电池柜</w:t>
            </w:r>
          </w:p>
        </w:tc>
        <w:tc>
          <w:tcPr>
            <w:tcW w:w="232" w:type="pct"/>
            <w:shd w:val="clear" w:color="auto" w:fill="auto"/>
            <w:vAlign w:val="center"/>
          </w:tcPr>
          <w:p w14:paraId="45FB219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106067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个</w:t>
            </w:r>
          </w:p>
        </w:tc>
        <w:tc>
          <w:tcPr>
            <w:tcW w:w="3864" w:type="pct"/>
            <w:shd w:val="clear" w:color="auto" w:fill="auto"/>
            <w:vAlign w:val="center"/>
          </w:tcPr>
          <w:p w14:paraId="21EA27B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与UPS电池配套，含空开、连接线。</w:t>
            </w:r>
          </w:p>
        </w:tc>
      </w:tr>
      <w:tr w14:paraId="4839A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1AEA08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21</w:t>
            </w:r>
          </w:p>
        </w:tc>
        <w:tc>
          <w:tcPr>
            <w:tcW w:w="489" w:type="pct"/>
            <w:shd w:val="clear" w:color="auto" w:fill="auto"/>
            <w:vAlign w:val="center"/>
          </w:tcPr>
          <w:p w14:paraId="12E1D0C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显示器</w:t>
            </w:r>
          </w:p>
          <w:p w14:paraId="337829C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bCs/>
                <w:i w:val="0"/>
                <w:iCs w:val="0"/>
                <w:color w:val="auto"/>
                <w:kern w:val="0"/>
                <w:sz w:val="18"/>
                <w:szCs w:val="18"/>
                <w:u w:val="none"/>
                <w:lang w:val="en-US" w:eastAsia="zh-CN" w:bidi="ar"/>
              </w:rPr>
              <w:t>（强制节能）</w:t>
            </w:r>
          </w:p>
        </w:tc>
        <w:tc>
          <w:tcPr>
            <w:tcW w:w="232" w:type="pct"/>
            <w:shd w:val="clear" w:color="auto" w:fill="auto"/>
            <w:vAlign w:val="center"/>
          </w:tcPr>
          <w:p w14:paraId="79880FB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26DC7B7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F7BF0A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1.≥21.5英寸；</w:t>
            </w:r>
          </w:p>
          <w:p w14:paraId="1CC559B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2.物理分辨率：≥1920*1080@60Hz；</w:t>
            </w:r>
          </w:p>
          <w:p w14:paraId="4A22672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3.背光源类型：E-LED；</w:t>
            </w:r>
          </w:p>
          <w:p w14:paraId="371E1F9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4.亮度：≥350cd/m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w:t>
            </w:r>
          </w:p>
          <w:p w14:paraId="340D346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5.可视角：≥178°/178°；</w:t>
            </w:r>
          </w:p>
          <w:p w14:paraId="3089A9D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6.色深度：≥8bit；</w:t>
            </w:r>
          </w:p>
          <w:p w14:paraId="01DB2E9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7.对比度：≥2500:1；</w:t>
            </w:r>
          </w:p>
          <w:p w14:paraId="425C6F6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8.响应时间：≤5ms；</w:t>
            </w:r>
          </w:p>
          <w:p w14:paraId="6E49C78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9.刷新率：≥60Hz；</w:t>
            </w:r>
          </w:p>
          <w:p w14:paraId="2A4D898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10.色域：≥72%；</w:t>
            </w:r>
          </w:p>
          <w:p w14:paraId="4C8A02A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11.接口（最低要求）：HDMI 1.4*1、VGA*1、BNC IN（CVBS信号）*1、AUDIO IN*1、Speaker（8Ω 2W）*2、USB2.0（支持程序升级及USB播放）*1；</w:t>
            </w:r>
          </w:p>
          <w:p w14:paraId="408C914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12.功耗：≤24W；</w:t>
            </w:r>
          </w:p>
          <w:p w14:paraId="72B47FC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13.待机功耗：≤0.5W；</w:t>
            </w:r>
          </w:p>
          <w:p w14:paraId="308598E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14.工作温度：0~40℃；</w:t>
            </w:r>
          </w:p>
          <w:p w14:paraId="2DC274F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15.含无线键鼠。</w:t>
            </w:r>
          </w:p>
        </w:tc>
      </w:tr>
      <w:tr w14:paraId="38B6C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4EA660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w:t>
            </w:r>
          </w:p>
        </w:tc>
        <w:tc>
          <w:tcPr>
            <w:tcW w:w="489" w:type="pct"/>
            <w:shd w:val="clear" w:color="auto" w:fill="auto"/>
            <w:vAlign w:val="center"/>
          </w:tcPr>
          <w:p w14:paraId="43C4347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中控软件</w:t>
            </w:r>
          </w:p>
        </w:tc>
        <w:tc>
          <w:tcPr>
            <w:tcW w:w="232" w:type="pct"/>
            <w:shd w:val="clear" w:color="auto" w:fill="auto"/>
            <w:vAlign w:val="center"/>
          </w:tcPr>
          <w:p w14:paraId="6C3A57F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F7E823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60F9D49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1.定制开发；</w:t>
            </w:r>
          </w:p>
          <w:p w14:paraId="1B5885C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2.集中管理和控制展厅内各类设备，具有设备控制、多媒体管理、场景模式切换、互动控制和自动化调度等功能；</w:t>
            </w:r>
          </w:p>
          <w:p w14:paraId="5E10BD8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3.通过集成多种通信协议（如TCP/IP、RS232、DMX512等）兼容不同品牌和类型的设备，实现对灯光、音响、屏幕、投影机等设备的远程控制与调节；</w:t>
            </w:r>
          </w:p>
          <w:p w14:paraId="48BC440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4.可通过直观的图形界面或移动设备、语音助手等交互方式进行操作并可根据时间或事件自动执行任务（如定时开关设备或播放特定内容）；</w:t>
            </w:r>
          </w:p>
          <w:p w14:paraId="438F32F7">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5.具有高度集成性、用户友好性、可扩展性和安全性，支持远程监控与维护。</w:t>
            </w:r>
          </w:p>
        </w:tc>
      </w:tr>
      <w:tr w14:paraId="7AAF1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40B1D1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23</w:t>
            </w:r>
          </w:p>
        </w:tc>
        <w:tc>
          <w:tcPr>
            <w:tcW w:w="489" w:type="pct"/>
            <w:shd w:val="clear" w:color="auto" w:fill="auto"/>
            <w:vAlign w:val="center"/>
          </w:tcPr>
          <w:p w14:paraId="29219C5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感应雷达</w:t>
            </w:r>
          </w:p>
        </w:tc>
        <w:tc>
          <w:tcPr>
            <w:tcW w:w="232" w:type="pct"/>
            <w:shd w:val="clear" w:color="auto" w:fill="auto"/>
            <w:vAlign w:val="center"/>
          </w:tcPr>
          <w:p w14:paraId="3565A8E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245C9AE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2946937">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1.测量半径：≥30m；</w:t>
            </w:r>
          </w:p>
          <w:p w14:paraId="6C9CD9AA">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2.角度范围：≥270°；</w:t>
            </w:r>
          </w:p>
          <w:p w14:paraId="405012A7">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3.角分辨率：0.08°（或优于）；</w:t>
            </w:r>
          </w:p>
          <w:p w14:paraId="3027575F">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4.精度：±30mm（或优于）；</w:t>
            </w:r>
          </w:p>
          <w:p w14:paraId="6ECA5984">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5.防护等级：IP67（或优于）。</w:t>
            </w:r>
          </w:p>
        </w:tc>
      </w:tr>
      <w:tr w14:paraId="4A869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00B68C1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监控系统</w:t>
            </w:r>
          </w:p>
        </w:tc>
      </w:tr>
      <w:tr w14:paraId="48551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4CDBA2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24</w:t>
            </w:r>
          </w:p>
        </w:tc>
        <w:tc>
          <w:tcPr>
            <w:tcW w:w="489" w:type="pct"/>
            <w:shd w:val="clear" w:color="auto" w:fill="auto"/>
            <w:vAlign w:val="center"/>
          </w:tcPr>
          <w:p w14:paraId="25625AD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400万像素半球</w:t>
            </w:r>
          </w:p>
        </w:tc>
        <w:tc>
          <w:tcPr>
            <w:tcW w:w="232" w:type="pct"/>
            <w:shd w:val="clear" w:color="auto" w:fill="auto"/>
            <w:vAlign w:val="center"/>
          </w:tcPr>
          <w:p w14:paraId="35B8C84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8</w:t>
            </w:r>
          </w:p>
        </w:tc>
        <w:tc>
          <w:tcPr>
            <w:tcW w:w="218" w:type="pct"/>
            <w:shd w:val="clear" w:color="auto" w:fill="auto"/>
            <w:vAlign w:val="center"/>
          </w:tcPr>
          <w:p w14:paraId="012E533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个</w:t>
            </w:r>
          </w:p>
        </w:tc>
        <w:tc>
          <w:tcPr>
            <w:tcW w:w="3864" w:type="pct"/>
            <w:shd w:val="clear" w:color="auto" w:fill="auto"/>
            <w:vAlign w:val="center"/>
          </w:tcPr>
          <w:p w14:paraId="796E70B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1.最大图像尺寸：≥2560*1440；</w:t>
            </w:r>
          </w:p>
          <w:p w14:paraId="3CB4824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2.图像设置：饱和度、亮度、对比度、锐度、AGC、白平衡通过客户端或浏览器可调；</w:t>
            </w:r>
          </w:p>
          <w:p w14:paraId="319A428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3.日夜转换模式：白天、夜晚、自动、定时切换；</w:t>
            </w:r>
          </w:p>
          <w:p w14:paraId="7AA5D19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4.图像增强：背光补偿、强光抑制、3D数字降噪接口；</w:t>
            </w:r>
          </w:p>
          <w:p w14:paraId="09F0D3C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5.网络：≥1个RJ45 10/100M自适应以太网口；</w:t>
            </w:r>
          </w:p>
          <w:p w14:paraId="12D83300">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6.音频：1个内置麦克风；</w:t>
            </w:r>
          </w:p>
          <w:p w14:paraId="4C81367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7.日夜切换模式：ICR红外滤片式；</w:t>
            </w:r>
          </w:p>
          <w:p w14:paraId="332A7B9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8.调节角度：水平0~360°、垂直0~75°、旋转0~360°；</w:t>
            </w:r>
          </w:p>
          <w:p w14:paraId="77EE8BC3">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9.镜头焦距及视场角</w:t>
            </w:r>
          </w:p>
          <w:p w14:paraId="6226E0D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9.1 2.8mm：水平视场角≥97°、垂直视场角≥52.3°、对角视场角≥114.3°；</w:t>
            </w:r>
          </w:p>
          <w:p w14:paraId="2661ADA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9.2 4mm：水平视场角≥78.8°、垂直视场角≥40.5°、对角视场角≥93.9°；</w:t>
            </w:r>
          </w:p>
          <w:p w14:paraId="445B5C9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9.3 6mm：水平视场角≥49.1°、垂直视场角≥26.3°、对角视场角≥57.2°；</w:t>
            </w:r>
          </w:p>
          <w:p w14:paraId="1F708FF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9.4 8mm：水平视场角≥37.5°、垂直视场角≥20.7°、对角视场角≥43.3°。</w:t>
            </w:r>
          </w:p>
          <w:p w14:paraId="27685A2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10.镜头接口：M12；</w:t>
            </w:r>
          </w:p>
          <w:p w14:paraId="61D8BD1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11.固定光圈，最大光圈数f/1.6；</w:t>
            </w:r>
          </w:p>
          <w:p w14:paraId="7A4B7D20">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12.红外灯补光，波长范围850nm，补光距离≥30m。</w:t>
            </w:r>
          </w:p>
        </w:tc>
      </w:tr>
      <w:tr w14:paraId="070DA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BE02C99">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25</w:t>
            </w:r>
          </w:p>
        </w:tc>
        <w:tc>
          <w:tcPr>
            <w:tcW w:w="489" w:type="pct"/>
            <w:shd w:val="clear" w:color="auto" w:fill="auto"/>
            <w:vAlign w:val="center"/>
          </w:tcPr>
          <w:p w14:paraId="7CFA1F9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硬盘录像机</w:t>
            </w:r>
          </w:p>
        </w:tc>
        <w:tc>
          <w:tcPr>
            <w:tcW w:w="232" w:type="pct"/>
            <w:shd w:val="clear" w:color="auto" w:fill="auto"/>
            <w:vAlign w:val="center"/>
          </w:tcPr>
          <w:p w14:paraId="0FAD7A5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33DCD86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77F67C2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1.硬盘管理盘位≥4个SATA接口，单盘容量≥10TB；</w:t>
            </w:r>
          </w:p>
          <w:p w14:paraId="43F6A9E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2.录像/抓图模式：定时录像、事件录像、移动侦测录像、报警录像、动测或报警录像、动测且报警录像；</w:t>
            </w:r>
          </w:p>
          <w:p w14:paraId="17C4BD7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3.回放模式：即时回放、常规回放、事件回放、标签回放、智能回放、外部文件回放、日志回放；</w:t>
            </w:r>
          </w:p>
          <w:p w14:paraId="30CE2B4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4.备份模式：常规备份、事件备份、录像剪辑备份；</w:t>
            </w:r>
          </w:p>
          <w:p w14:paraId="7B506E5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5.网络管理：报警输入≥8、报警输出≥4；</w:t>
            </w:r>
          </w:p>
          <w:p w14:paraId="4E0CAAB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6.1.5U机箱；</w:t>
            </w:r>
          </w:p>
          <w:p w14:paraId="6244B9CA">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7.同步回放：≥8。</w:t>
            </w:r>
          </w:p>
        </w:tc>
      </w:tr>
      <w:tr w14:paraId="5A600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7012CC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26</w:t>
            </w:r>
          </w:p>
        </w:tc>
        <w:tc>
          <w:tcPr>
            <w:tcW w:w="489" w:type="pct"/>
            <w:shd w:val="clear" w:color="auto" w:fill="auto"/>
            <w:vAlign w:val="center"/>
          </w:tcPr>
          <w:p w14:paraId="4B6FEBE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硬盘</w:t>
            </w:r>
          </w:p>
        </w:tc>
        <w:tc>
          <w:tcPr>
            <w:tcW w:w="232" w:type="pct"/>
            <w:shd w:val="clear" w:color="auto" w:fill="auto"/>
            <w:vAlign w:val="center"/>
          </w:tcPr>
          <w:p w14:paraId="0DFBE3A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0540189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块</w:t>
            </w:r>
          </w:p>
        </w:tc>
        <w:tc>
          <w:tcPr>
            <w:tcW w:w="3864" w:type="pct"/>
            <w:shd w:val="clear" w:color="auto" w:fill="auto"/>
            <w:vAlign w:val="center"/>
          </w:tcPr>
          <w:p w14:paraId="5700F2D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1.容量：≥4TB；</w:t>
            </w:r>
          </w:p>
          <w:p w14:paraId="78F0304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2.接口类型：SATA3.0；</w:t>
            </w:r>
          </w:p>
          <w:p w14:paraId="0F4641E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3.接口速率：≥210MB/s；</w:t>
            </w:r>
          </w:p>
          <w:p w14:paraId="33E62B5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4.缓存：≥256MB；</w:t>
            </w:r>
          </w:p>
          <w:p w14:paraId="3AB2792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5.盘体规格：3.5英寸；</w:t>
            </w:r>
          </w:p>
          <w:p w14:paraId="01B54A57">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6.转速：7200转/分钟。</w:t>
            </w:r>
          </w:p>
        </w:tc>
      </w:tr>
      <w:tr w14:paraId="431EC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1EF6CC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27</w:t>
            </w:r>
          </w:p>
        </w:tc>
        <w:tc>
          <w:tcPr>
            <w:tcW w:w="489" w:type="pct"/>
            <w:shd w:val="clear" w:color="auto" w:fill="auto"/>
            <w:vAlign w:val="center"/>
          </w:tcPr>
          <w:p w14:paraId="52BC690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监视器</w:t>
            </w:r>
          </w:p>
          <w:p w14:paraId="5EF5076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bCs/>
                <w:i w:val="0"/>
                <w:iCs w:val="0"/>
                <w:color w:val="auto"/>
                <w:kern w:val="0"/>
                <w:sz w:val="18"/>
                <w:szCs w:val="18"/>
                <w:u w:val="none"/>
                <w:lang w:val="en-US" w:eastAsia="zh-CN" w:bidi="ar"/>
              </w:rPr>
              <w:t>（强制节能）</w:t>
            </w:r>
          </w:p>
        </w:tc>
        <w:tc>
          <w:tcPr>
            <w:tcW w:w="232" w:type="pct"/>
            <w:shd w:val="clear" w:color="auto" w:fill="auto"/>
            <w:vAlign w:val="center"/>
          </w:tcPr>
          <w:p w14:paraId="71A3BE7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353F2E3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58DB444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1.显示尺寸：</w:t>
            </w:r>
            <w:r>
              <w:rPr>
                <w:rFonts w:hint="eastAsia" w:ascii="仿宋" w:hAnsi="仿宋" w:eastAsia="仿宋" w:cs="仿宋"/>
                <w:b w:val="0"/>
                <w:bCs w:val="0"/>
                <w:i w:val="0"/>
                <w:iCs w:val="0"/>
                <w:color w:val="auto"/>
                <w:kern w:val="0"/>
                <w:sz w:val="18"/>
                <w:szCs w:val="18"/>
                <w:u w:val="none"/>
                <w:lang w:val="en-US" w:eastAsia="zh-CN" w:bidi="ar"/>
              </w:rPr>
              <w:t>≥</w:t>
            </w:r>
            <w:r>
              <w:rPr>
                <w:rStyle w:val="114"/>
                <w:rFonts w:hint="eastAsia" w:ascii="仿宋" w:hAnsi="仿宋" w:eastAsia="仿宋" w:cs="仿宋"/>
                <w:b w:val="0"/>
                <w:bCs w:val="0"/>
                <w:color w:val="auto"/>
                <w:sz w:val="18"/>
                <w:szCs w:val="18"/>
                <w:lang w:val="en-US" w:eastAsia="zh-CN" w:bidi="ar"/>
              </w:rPr>
              <w:t>21.5英寸；</w:t>
            </w:r>
          </w:p>
          <w:p w14:paraId="3233F4D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2.物理分辨率：</w:t>
            </w:r>
            <w:r>
              <w:rPr>
                <w:rFonts w:hint="eastAsia" w:ascii="仿宋" w:hAnsi="仿宋" w:eastAsia="仿宋" w:cs="仿宋"/>
                <w:b w:val="0"/>
                <w:bCs w:val="0"/>
                <w:i w:val="0"/>
                <w:iCs w:val="0"/>
                <w:color w:val="auto"/>
                <w:kern w:val="0"/>
                <w:sz w:val="18"/>
                <w:szCs w:val="18"/>
                <w:u w:val="none"/>
                <w:lang w:val="en-US" w:eastAsia="zh-CN" w:bidi="ar"/>
              </w:rPr>
              <w:t>≥</w:t>
            </w:r>
            <w:r>
              <w:rPr>
                <w:rStyle w:val="114"/>
                <w:rFonts w:hint="eastAsia" w:ascii="仿宋" w:hAnsi="仿宋" w:eastAsia="仿宋" w:cs="仿宋"/>
                <w:b w:val="0"/>
                <w:bCs w:val="0"/>
                <w:color w:val="auto"/>
                <w:sz w:val="18"/>
                <w:szCs w:val="18"/>
                <w:lang w:val="en-US" w:eastAsia="zh-CN" w:bidi="ar"/>
              </w:rPr>
              <w:t>1920*1080@60Hz；</w:t>
            </w:r>
          </w:p>
          <w:p w14:paraId="5508640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3.背光源类型：E-LED；</w:t>
            </w:r>
          </w:p>
          <w:p w14:paraId="451D3BB7">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4.亮度：</w:t>
            </w:r>
            <w:r>
              <w:rPr>
                <w:rFonts w:hint="eastAsia" w:ascii="仿宋" w:hAnsi="仿宋" w:eastAsia="仿宋" w:cs="仿宋"/>
                <w:b w:val="0"/>
                <w:bCs w:val="0"/>
                <w:i w:val="0"/>
                <w:iCs w:val="0"/>
                <w:color w:val="auto"/>
                <w:kern w:val="0"/>
                <w:sz w:val="18"/>
                <w:szCs w:val="18"/>
                <w:u w:val="none"/>
                <w:lang w:val="en-US" w:eastAsia="zh-CN" w:bidi="ar"/>
              </w:rPr>
              <w:t>≥</w:t>
            </w:r>
            <w:r>
              <w:rPr>
                <w:rStyle w:val="114"/>
                <w:rFonts w:hint="eastAsia" w:ascii="仿宋" w:hAnsi="仿宋" w:eastAsia="仿宋" w:cs="仿宋"/>
                <w:b w:val="0"/>
                <w:bCs w:val="0"/>
                <w:color w:val="auto"/>
                <w:sz w:val="18"/>
                <w:szCs w:val="18"/>
                <w:lang w:val="en-US" w:eastAsia="zh-CN" w:bidi="ar"/>
              </w:rPr>
              <w:t>250cd/m</w:t>
            </w:r>
            <w:r>
              <w:rPr>
                <w:rStyle w:val="115"/>
                <w:rFonts w:hint="eastAsia" w:ascii="仿宋" w:hAnsi="仿宋" w:eastAsia="仿宋" w:cs="仿宋"/>
                <w:b w:val="0"/>
                <w:bCs w:val="0"/>
                <w:color w:val="auto"/>
                <w:sz w:val="18"/>
                <w:szCs w:val="18"/>
                <w:lang w:val="en-US" w:eastAsia="zh-CN" w:bidi="ar"/>
              </w:rPr>
              <w:t>²。</w:t>
            </w:r>
          </w:p>
        </w:tc>
      </w:tr>
      <w:tr w14:paraId="44081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A1F340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28</w:t>
            </w:r>
          </w:p>
        </w:tc>
        <w:tc>
          <w:tcPr>
            <w:tcW w:w="489" w:type="pct"/>
            <w:shd w:val="clear" w:color="auto" w:fill="auto"/>
            <w:vAlign w:val="center"/>
          </w:tcPr>
          <w:p w14:paraId="200E0D08">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POE交换机2</w:t>
            </w:r>
          </w:p>
        </w:tc>
        <w:tc>
          <w:tcPr>
            <w:tcW w:w="232" w:type="pct"/>
            <w:shd w:val="clear" w:color="auto" w:fill="auto"/>
            <w:vAlign w:val="center"/>
          </w:tcPr>
          <w:p w14:paraId="577A431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6A2098F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24C082CF">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同序号2</w:t>
            </w:r>
          </w:p>
        </w:tc>
      </w:tr>
      <w:tr w14:paraId="5C79A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6A14608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参观讲解设备</w:t>
            </w:r>
          </w:p>
        </w:tc>
      </w:tr>
      <w:tr w14:paraId="1CA55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4113C7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29</w:t>
            </w:r>
          </w:p>
        </w:tc>
        <w:tc>
          <w:tcPr>
            <w:tcW w:w="489" w:type="pct"/>
            <w:shd w:val="clear" w:color="auto" w:fill="auto"/>
            <w:vAlign w:val="center"/>
          </w:tcPr>
          <w:p w14:paraId="3E53011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AR实时翻译眼镜</w:t>
            </w:r>
          </w:p>
        </w:tc>
        <w:tc>
          <w:tcPr>
            <w:tcW w:w="232" w:type="pct"/>
            <w:shd w:val="clear" w:color="auto" w:fill="auto"/>
            <w:vAlign w:val="center"/>
          </w:tcPr>
          <w:p w14:paraId="776C505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w:t>
            </w:r>
          </w:p>
        </w:tc>
        <w:tc>
          <w:tcPr>
            <w:tcW w:w="218" w:type="pct"/>
            <w:shd w:val="clear" w:color="auto" w:fill="auto"/>
            <w:vAlign w:val="center"/>
          </w:tcPr>
          <w:p w14:paraId="098E9D7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副</w:t>
            </w:r>
          </w:p>
        </w:tc>
        <w:tc>
          <w:tcPr>
            <w:tcW w:w="3864" w:type="pct"/>
            <w:shd w:val="clear" w:color="auto" w:fill="auto"/>
            <w:vAlign w:val="center"/>
          </w:tcPr>
          <w:p w14:paraId="39A589A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1.CPU：四核；</w:t>
            </w:r>
          </w:p>
          <w:p w14:paraId="3EC85BB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2.光学单元：双目单绿Micro LED屏；</w:t>
            </w:r>
          </w:p>
          <w:p w14:paraId="26F0D49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3.分辨率：≥640*480；</w:t>
            </w:r>
          </w:p>
          <w:p w14:paraId="79B3FB1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4.显示视角（FoV）：≥30°；</w:t>
            </w:r>
          </w:p>
          <w:p w14:paraId="5ACA456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5.操作系统：≥Android 9.0；</w:t>
            </w:r>
          </w:p>
          <w:p w14:paraId="267A1AF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6.显示亮度：最高≥2000nit；</w:t>
            </w:r>
          </w:p>
          <w:p w14:paraId="3D1166B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7.物理按键：电源键、功能键、返回键；</w:t>
            </w:r>
          </w:p>
          <w:p w14:paraId="0FDFBFF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8.无线通信WiFi 2.4/5G+蓝牙 5.0；</w:t>
            </w:r>
          </w:p>
          <w:p w14:paraId="59DE07D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9.麦克风：4麦阵列；</w:t>
            </w:r>
          </w:p>
          <w:p w14:paraId="5EBD328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10.交互方式：触控控制/手机蓝牙控制。</w:t>
            </w:r>
          </w:p>
        </w:tc>
      </w:tr>
      <w:tr w14:paraId="15D41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6CD84F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30</w:t>
            </w:r>
          </w:p>
        </w:tc>
        <w:tc>
          <w:tcPr>
            <w:tcW w:w="489" w:type="pct"/>
            <w:shd w:val="clear" w:color="auto" w:fill="auto"/>
            <w:vAlign w:val="center"/>
          </w:tcPr>
          <w:p w14:paraId="5BEB7A4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一对二十</w:t>
            </w:r>
          </w:p>
          <w:p w14:paraId="1286B11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无线讲解器</w:t>
            </w:r>
          </w:p>
        </w:tc>
        <w:tc>
          <w:tcPr>
            <w:tcW w:w="232" w:type="pct"/>
            <w:shd w:val="clear" w:color="auto" w:fill="auto"/>
            <w:vAlign w:val="center"/>
          </w:tcPr>
          <w:p w14:paraId="2C33EE5A">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082EEFF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79733301">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1.无线领夹式主讲发射机、二十个无线耳挂接收器；</w:t>
            </w:r>
          </w:p>
          <w:p w14:paraId="139C01CC">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2.电池类型：锂电池；</w:t>
            </w:r>
          </w:p>
          <w:p w14:paraId="1C16FD20">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3.可通话距离：≥150m；</w:t>
            </w:r>
          </w:p>
          <w:p w14:paraId="4B15E4A5">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4.含充电收纳一体箱。</w:t>
            </w:r>
          </w:p>
        </w:tc>
      </w:tr>
      <w:tr w14:paraId="46463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5D0041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31</w:t>
            </w:r>
          </w:p>
        </w:tc>
        <w:tc>
          <w:tcPr>
            <w:tcW w:w="489" w:type="pct"/>
            <w:shd w:val="clear" w:color="auto" w:fill="auto"/>
            <w:vAlign w:val="center"/>
          </w:tcPr>
          <w:p w14:paraId="118E744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机器人讲解员</w:t>
            </w:r>
          </w:p>
        </w:tc>
        <w:tc>
          <w:tcPr>
            <w:tcW w:w="232" w:type="pct"/>
            <w:shd w:val="clear" w:color="auto" w:fill="auto"/>
            <w:vAlign w:val="center"/>
          </w:tcPr>
          <w:p w14:paraId="1C8B7C3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w:t>
            </w:r>
          </w:p>
        </w:tc>
        <w:tc>
          <w:tcPr>
            <w:tcW w:w="218" w:type="pct"/>
            <w:shd w:val="clear" w:color="auto" w:fill="auto"/>
            <w:vAlign w:val="center"/>
          </w:tcPr>
          <w:p w14:paraId="79FBAD7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套</w:t>
            </w:r>
          </w:p>
        </w:tc>
        <w:tc>
          <w:tcPr>
            <w:tcW w:w="3864" w:type="pct"/>
            <w:shd w:val="clear" w:color="auto" w:fill="auto"/>
            <w:vAlign w:val="center"/>
          </w:tcPr>
          <w:p w14:paraId="31891B5F">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1.足式驱动人形机器人，身高与自然人类似（高度≥1500mm）、重量55~60kg；</w:t>
            </w:r>
          </w:p>
          <w:p w14:paraId="4585B916">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2.红色LED阵列，笑脸表情；</w:t>
            </w:r>
          </w:p>
          <w:p w14:paraId="2EBD9474">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3.外壳：表面喷漆加UV紫外线光漆加硬工艺；</w:t>
            </w:r>
          </w:p>
          <w:p w14:paraId="47D9AAC0">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4.语音识别：6麦阵列方案；</w:t>
            </w:r>
          </w:p>
          <w:p w14:paraId="655AE08D">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5.传感器：超声波≥1个、红外≥5个、人体检测≥1个；</w:t>
            </w:r>
          </w:p>
          <w:p w14:paraId="134EF73E">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6.摄像头：像素≥800万，FOV≥120°；</w:t>
            </w:r>
          </w:p>
          <w:p w14:paraId="0CA03A04">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7.具备急停按键，即用即停；</w:t>
            </w:r>
          </w:p>
          <w:p w14:paraId="00520E51">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8.激光扫描距离：≥40m；</w:t>
            </w:r>
          </w:p>
          <w:p w14:paraId="597AA6A5">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9.无线路由：配置支持802.11.b/g/n协议的无线网卡（无线双频2.4G/5G）；</w:t>
            </w:r>
          </w:p>
          <w:p w14:paraId="268DD69B">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10.续航时间：≥10小时；</w:t>
            </w:r>
          </w:p>
          <w:p w14:paraId="4FB7B426">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11.显示器：≤21.5寸；</w:t>
            </w:r>
          </w:p>
          <w:p w14:paraId="7DC4332A">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12.硬件模块化设计，控制箱方便整体拆卸，电路板即插即用；</w:t>
            </w:r>
          </w:p>
          <w:p w14:paraId="66C5CD70">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13.越障高度：≥1.5cm。</w:t>
            </w:r>
          </w:p>
        </w:tc>
      </w:tr>
      <w:tr w14:paraId="28D2C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DCE7EA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32</w:t>
            </w:r>
          </w:p>
        </w:tc>
        <w:tc>
          <w:tcPr>
            <w:tcW w:w="489" w:type="pct"/>
            <w:shd w:val="clear" w:color="auto" w:fill="auto"/>
            <w:vAlign w:val="center"/>
          </w:tcPr>
          <w:p w14:paraId="0F6F22FC">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机器人程序二次开发</w:t>
            </w:r>
          </w:p>
        </w:tc>
        <w:tc>
          <w:tcPr>
            <w:tcW w:w="232" w:type="pct"/>
            <w:shd w:val="clear" w:color="auto" w:fill="auto"/>
            <w:vAlign w:val="center"/>
          </w:tcPr>
          <w:p w14:paraId="60C8800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w:t>
            </w:r>
          </w:p>
        </w:tc>
        <w:tc>
          <w:tcPr>
            <w:tcW w:w="218" w:type="pct"/>
            <w:shd w:val="clear" w:color="auto" w:fill="auto"/>
            <w:vAlign w:val="center"/>
          </w:tcPr>
          <w:p w14:paraId="1FE095B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套</w:t>
            </w:r>
          </w:p>
        </w:tc>
        <w:tc>
          <w:tcPr>
            <w:tcW w:w="3864" w:type="pct"/>
            <w:shd w:val="clear" w:color="auto" w:fill="auto"/>
            <w:vAlign w:val="center"/>
          </w:tcPr>
          <w:p w14:paraId="19533BCE">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1.开发目标</w:t>
            </w:r>
          </w:p>
          <w:p w14:paraId="616748C3">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1.1 功能扩展：增加新的讲解内容、互动方式或服务功能；</w:t>
            </w:r>
          </w:p>
          <w:p w14:paraId="14D5B955">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1.2 性能优化：提升语音识别、导航精度、响应速度等；</w:t>
            </w:r>
          </w:p>
          <w:p w14:paraId="25C968BB">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1.3 根据展厅主题、展品特点或用户群体定制专属的讲解逻辑和交互体验。</w:t>
            </w:r>
          </w:p>
          <w:p w14:paraId="14B28FD4">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2.开发内容</w:t>
            </w:r>
          </w:p>
          <w:p w14:paraId="6C8C39FE">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2.1 语音交互模块：优化语音识别（ASR）和语音合成（TTS）引擎，支持多语言、方言或特定领域的术语；</w:t>
            </w:r>
          </w:p>
          <w:p w14:paraId="5435938F">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2.2 增加语音指令集，支持更多交互场景（如问答、导览、知识查询）；</w:t>
            </w:r>
          </w:p>
          <w:p w14:paraId="3CC9AF9A">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2.3 导航与避障：改进SLAM（同步定位与地图构建）算法以适应复杂展厅环境；</w:t>
            </w:r>
          </w:p>
          <w:p w14:paraId="38F743A1">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2.4 增加动态避障功能；</w:t>
            </w:r>
          </w:p>
          <w:p w14:paraId="3AF4ACEA">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2.5 开发后台管理系统方便展厅管理员更新讲解内容、调整路线或设置互动问题；</w:t>
            </w:r>
          </w:p>
          <w:p w14:paraId="025B8A93">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2.6 支持多媒体内容（如图片、视频、模型）的集成与展示；</w:t>
            </w:r>
          </w:p>
          <w:p w14:paraId="5FDFE723">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2.7 提供数据分析报告，帮助展厅优化展品布局和讲解策略。</w:t>
            </w:r>
          </w:p>
        </w:tc>
      </w:tr>
      <w:tr w14:paraId="18391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3C15A07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学校和学院的介绍展示系统</w:t>
            </w:r>
          </w:p>
        </w:tc>
      </w:tr>
      <w:tr w14:paraId="294A2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C25662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33</w:t>
            </w:r>
          </w:p>
        </w:tc>
        <w:tc>
          <w:tcPr>
            <w:tcW w:w="489" w:type="pct"/>
            <w:shd w:val="clear" w:color="auto" w:fill="auto"/>
            <w:vAlign w:val="center"/>
          </w:tcPr>
          <w:p w14:paraId="18D641C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55寸液晶</w:t>
            </w:r>
          </w:p>
          <w:p w14:paraId="4CD54F64">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拼接屏1</w:t>
            </w:r>
          </w:p>
        </w:tc>
        <w:tc>
          <w:tcPr>
            <w:tcW w:w="232" w:type="pct"/>
            <w:shd w:val="clear" w:color="auto" w:fill="auto"/>
            <w:vAlign w:val="center"/>
          </w:tcPr>
          <w:p w14:paraId="75862AE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6</w:t>
            </w:r>
          </w:p>
        </w:tc>
        <w:tc>
          <w:tcPr>
            <w:tcW w:w="218" w:type="pct"/>
            <w:shd w:val="clear" w:color="auto" w:fill="auto"/>
            <w:vAlign w:val="center"/>
          </w:tcPr>
          <w:p w14:paraId="5E97455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单元</w:t>
            </w:r>
          </w:p>
        </w:tc>
        <w:tc>
          <w:tcPr>
            <w:tcW w:w="3864" w:type="pct"/>
            <w:shd w:val="clear" w:color="auto" w:fill="auto"/>
            <w:vAlign w:val="center"/>
          </w:tcPr>
          <w:p w14:paraId="48E5F06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1.A+级液晶面板；</w:t>
            </w:r>
          </w:p>
          <w:p w14:paraId="6F01039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2.亮度：≥500cd/</w:t>
            </w:r>
            <w:r>
              <w:rPr>
                <w:rStyle w:val="114"/>
                <w:rFonts w:hint="eastAsia" w:ascii="仿宋" w:hAnsi="仿宋" w:eastAsia="仿宋" w:cs="仿宋"/>
                <w:b w:val="0"/>
                <w:bCs w:val="0"/>
                <w:color w:val="auto"/>
                <w:sz w:val="18"/>
                <w:szCs w:val="18"/>
                <w:lang w:val="en-US" w:eastAsia="zh-CN" w:bidi="ar"/>
              </w:rPr>
              <w:t>m</w:t>
            </w:r>
            <w:r>
              <w:rPr>
                <w:rStyle w:val="115"/>
                <w:rFonts w:hint="eastAsia" w:ascii="仿宋" w:hAnsi="仿宋" w:eastAsia="仿宋" w:cs="仿宋"/>
                <w:b w:val="0"/>
                <w:bCs w:val="0"/>
                <w:color w:val="auto"/>
                <w:sz w:val="18"/>
                <w:szCs w:val="18"/>
                <w:lang w:val="en-US" w:eastAsia="zh-CN" w:bidi="ar"/>
              </w:rPr>
              <w:t>²</w:t>
            </w:r>
            <w:r>
              <w:rPr>
                <w:rFonts w:hint="eastAsia" w:ascii="仿宋" w:hAnsi="仿宋" w:eastAsia="仿宋" w:cs="仿宋"/>
                <w:b w:val="0"/>
                <w:bCs w:val="0"/>
                <w:i w:val="0"/>
                <w:iCs w:val="0"/>
                <w:color w:val="auto"/>
                <w:kern w:val="0"/>
                <w:sz w:val="18"/>
                <w:szCs w:val="18"/>
                <w:u w:val="none"/>
                <w:lang w:val="en-US" w:eastAsia="zh-CN" w:bidi="ar"/>
              </w:rPr>
              <w:t>；</w:t>
            </w:r>
          </w:p>
          <w:p w14:paraId="4D11B64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3.拼缝：≤1.7mm；</w:t>
            </w:r>
          </w:p>
          <w:p w14:paraId="297B223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4.单块分辨率：≥1920*1080；</w:t>
            </w:r>
          </w:p>
          <w:p w14:paraId="60CF3F8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5.≥1路HDMI 接口、≥1路DVI接口，支持1080P，≥1路USB接口实现软件升级；</w:t>
            </w:r>
          </w:p>
          <w:p w14:paraId="6DC07BD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6.RS-232输出A/B（RJ45接口）、RS-232输入（RJ45接口）；</w:t>
            </w:r>
          </w:p>
          <w:p w14:paraId="46DDBDD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7.电源船形开关，双通双断，内嵌3A保险；</w:t>
            </w:r>
          </w:p>
          <w:p w14:paraId="6196B4A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8.D形交流电源接口，输入电压AC110~220V。</w:t>
            </w:r>
          </w:p>
        </w:tc>
      </w:tr>
      <w:tr w14:paraId="56D7F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5D9870C">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34</w:t>
            </w:r>
          </w:p>
        </w:tc>
        <w:tc>
          <w:tcPr>
            <w:tcW w:w="489" w:type="pct"/>
            <w:shd w:val="clear" w:color="auto" w:fill="auto"/>
            <w:vAlign w:val="center"/>
          </w:tcPr>
          <w:p w14:paraId="1B4D70FC">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55寸前维护</w:t>
            </w:r>
          </w:p>
          <w:p w14:paraId="5654C04F">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液压支架1</w:t>
            </w:r>
          </w:p>
        </w:tc>
        <w:tc>
          <w:tcPr>
            <w:tcW w:w="232" w:type="pct"/>
            <w:shd w:val="clear" w:color="auto" w:fill="auto"/>
            <w:vAlign w:val="center"/>
          </w:tcPr>
          <w:p w14:paraId="4404044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6</w:t>
            </w:r>
          </w:p>
        </w:tc>
        <w:tc>
          <w:tcPr>
            <w:tcW w:w="218" w:type="pct"/>
            <w:shd w:val="clear" w:color="auto" w:fill="auto"/>
            <w:vAlign w:val="center"/>
          </w:tcPr>
          <w:p w14:paraId="34B7429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单元</w:t>
            </w:r>
          </w:p>
        </w:tc>
        <w:tc>
          <w:tcPr>
            <w:tcW w:w="3864" w:type="pct"/>
            <w:shd w:val="clear" w:color="auto" w:fill="auto"/>
            <w:vAlign w:val="center"/>
          </w:tcPr>
          <w:p w14:paraId="79033C1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≥2.5mm厚钣金材质，含挂钩厚度≥105mm。</w:t>
            </w:r>
          </w:p>
        </w:tc>
      </w:tr>
      <w:tr w14:paraId="22443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B91A80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35</w:t>
            </w:r>
          </w:p>
        </w:tc>
        <w:tc>
          <w:tcPr>
            <w:tcW w:w="489" w:type="pct"/>
            <w:shd w:val="clear" w:color="auto" w:fill="auto"/>
            <w:vAlign w:val="center"/>
          </w:tcPr>
          <w:p w14:paraId="448DB6C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红外触摸框</w:t>
            </w:r>
          </w:p>
          <w:p w14:paraId="3141B01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1*6单元</w:t>
            </w:r>
          </w:p>
        </w:tc>
        <w:tc>
          <w:tcPr>
            <w:tcW w:w="232" w:type="pct"/>
            <w:shd w:val="clear" w:color="auto" w:fill="auto"/>
            <w:vAlign w:val="center"/>
          </w:tcPr>
          <w:p w14:paraId="712D96C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4D0ECA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2BC8B6C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1.定制；</w:t>
            </w:r>
          </w:p>
          <w:p w14:paraId="577470B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2.插值分辨率：≥32768*32768；</w:t>
            </w:r>
          </w:p>
          <w:p w14:paraId="71F4545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3.触摸精度：2mm（或优于）；</w:t>
            </w:r>
          </w:p>
          <w:p w14:paraId="609A423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4.扫描速度：50scans/s（或优于）；</w:t>
            </w:r>
          </w:p>
          <w:p w14:paraId="296564E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5.触摸寿命：≥8000万次/点；</w:t>
            </w:r>
          </w:p>
          <w:p w14:paraId="487C047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6.工作功率：＜1W；</w:t>
            </w:r>
          </w:p>
          <w:p w14:paraId="221CA27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7.工作电压：DC5V；</w:t>
            </w:r>
          </w:p>
          <w:p w14:paraId="7806B54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8.供电方式：USB；</w:t>
            </w:r>
          </w:p>
          <w:p w14:paraId="32B4831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9.接口协议：TUIO、SDK二次开发。</w:t>
            </w:r>
          </w:p>
        </w:tc>
      </w:tr>
      <w:tr w14:paraId="4917E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1522AF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36</w:t>
            </w:r>
          </w:p>
        </w:tc>
        <w:tc>
          <w:tcPr>
            <w:tcW w:w="489" w:type="pct"/>
            <w:shd w:val="clear" w:color="auto" w:fill="auto"/>
            <w:vAlign w:val="center"/>
          </w:tcPr>
          <w:p w14:paraId="58DB5290">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多屏宝1</w:t>
            </w:r>
          </w:p>
        </w:tc>
        <w:tc>
          <w:tcPr>
            <w:tcW w:w="232" w:type="pct"/>
            <w:shd w:val="clear" w:color="auto" w:fill="auto"/>
            <w:vAlign w:val="center"/>
          </w:tcPr>
          <w:p w14:paraId="4153A3A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651B5BE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284E8D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1.六屏宝；</w:t>
            </w:r>
          </w:p>
          <w:p w14:paraId="0B5EFFB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2.输入接口：DP或HDMI；</w:t>
            </w:r>
          </w:p>
          <w:p w14:paraId="55F6C38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3.输出接口：≥6路HDMI；</w:t>
            </w:r>
          </w:p>
          <w:p w14:paraId="58B8D4D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4.分辨率</w:t>
            </w:r>
          </w:p>
          <w:p w14:paraId="5CF27E4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4.1 横屏点对点拼接：1*2最大支持≥3840*1200@60Hz、1*3最大支持≥5760*1200@60Hz、1*4最大支持≥7680*1200@60Hz、2*2最大支持≥3840*2400@60Hz；</w:t>
            </w:r>
          </w:p>
          <w:p w14:paraId="3C0275D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4.2 竖屏点对点拼接：2*1最大支持≥1920*2400@60Hz、3*1最大支持≥1920*3600@60Hz、4*1最大支持≥1920*4320@60Hz。</w:t>
            </w:r>
          </w:p>
          <w:p w14:paraId="5C1E43A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5.输入接口：≥1个DP接口（与HDMI复用）、≥1个HDMI接口（与DP复用）；</w:t>
            </w:r>
          </w:p>
          <w:p w14:paraId="6F579CD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6.输出接口： ≥3个HDMI、≥1个3.5mm音频；</w:t>
            </w:r>
          </w:p>
          <w:p w14:paraId="1E6B6BF4">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7.电源：DC12V 3A。</w:t>
            </w:r>
          </w:p>
        </w:tc>
      </w:tr>
      <w:tr w14:paraId="6BDDF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1D13DB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37</w:t>
            </w:r>
          </w:p>
        </w:tc>
        <w:tc>
          <w:tcPr>
            <w:tcW w:w="489" w:type="pct"/>
            <w:shd w:val="clear" w:color="auto" w:fill="auto"/>
            <w:vAlign w:val="center"/>
          </w:tcPr>
          <w:p w14:paraId="4173B486">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工控主机1</w:t>
            </w:r>
          </w:p>
        </w:tc>
        <w:tc>
          <w:tcPr>
            <w:tcW w:w="232" w:type="pct"/>
            <w:shd w:val="clear" w:color="auto" w:fill="auto"/>
            <w:vAlign w:val="center"/>
          </w:tcPr>
          <w:p w14:paraId="4FA8F61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000E5B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EBC6889">
            <w:pPr>
              <w:widowControl/>
              <w:adjustRightInd w:val="0"/>
              <w:snapToGrid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color w:val="auto"/>
                <w:kern w:val="0"/>
                <w:sz w:val="18"/>
                <w:szCs w:val="18"/>
                <w:lang w:bidi="ar"/>
              </w:rPr>
              <w:t>最低要求：</w:t>
            </w:r>
            <w:r>
              <w:rPr>
                <w:rFonts w:hint="eastAsia" w:ascii="仿宋" w:hAnsi="仿宋" w:eastAsia="仿宋" w:cs="仿宋"/>
                <w:color w:val="auto"/>
                <w:kern w:val="0"/>
                <w:sz w:val="18"/>
                <w:szCs w:val="18"/>
                <w:shd w:val="clear" w:color="auto" w:fill="FFFFFF" w:themeFill="background1"/>
                <w:lang w:bidi="ar"/>
              </w:rPr>
              <w:t>海光3350处理器</w:t>
            </w:r>
            <w:r>
              <w:rPr>
                <w:rFonts w:hint="eastAsia" w:ascii="仿宋" w:hAnsi="仿宋" w:eastAsia="仿宋" w:cs="仿宋"/>
                <w:color w:val="auto"/>
                <w:kern w:val="0"/>
                <w:sz w:val="18"/>
                <w:szCs w:val="18"/>
                <w:shd w:val="clear" w:color="auto" w:fill="FFFFFF" w:themeFill="background1"/>
                <w:lang w:eastAsia="zh-CN" w:bidi="ar"/>
              </w:rPr>
              <w:t>、</w:t>
            </w:r>
            <w:r>
              <w:rPr>
                <w:rFonts w:hint="eastAsia" w:ascii="仿宋" w:hAnsi="仿宋" w:eastAsia="仿宋" w:cs="仿宋"/>
                <w:color w:val="auto"/>
                <w:kern w:val="0"/>
                <w:sz w:val="18"/>
                <w:szCs w:val="18"/>
                <w:shd w:val="clear" w:color="auto" w:fill="FFFFFF" w:themeFill="background1"/>
                <w:lang w:bidi="ar"/>
              </w:rPr>
              <w:t>8G</w:t>
            </w:r>
            <w:r>
              <w:rPr>
                <w:rFonts w:hint="eastAsia" w:ascii="仿宋" w:hAnsi="仿宋" w:eastAsia="仿宋" w:cs="仿宋"/>
                <w:color w:val="auto"/>
                <w:kern w:val="0"/>
                <w:sz w:val="18"/>
                <w:szCs w:val="18"/>
                <w:shd w:val="clear" w:color="auto" w:fill="FFFFFF" w:themeFill="background1"/>
                <w:lang w:val="en-US" w:eastAsia="zh-CN" w:bidi="ar"/>
              </w:rPr>
              <w:t>内存、</w:t>
            </w:r>
            <w:r>
              <w:rPr>
                <w:rFonts w:hint="eastAsia" w:ascii="仿宋" w:hAnsi="仿宋" w:eastAsia="仿宋" w:cs="仿宋"/>
                <w:color w:val="auto"/>
                <w:kern w:val="0"/>
                <w:sz w:val="18"/>
                <w:szCs w:val="18"/>
                <w:shd w:val="clear" w:color="auto" w:fill="FFFFFF" w:themeFill="background1"/>
                <w:lang w:bidi="ar"/>
              </w:rPr>
              <w:t>256G SSD</w:t>
            </w:r>
            <w:r>
              <w:rPr>
                <w:rFonts w:hint="eastAsia" w:ascii="仿宋" w:hAnsi="仿宋" w:eastAsia="仿宋" w:cs="仿宋"/>
                <w:color w:val="auto"/>
                <w:kern w:val="0"/>
                <w:sz w:val="18"/>
                <w:szCs w:val="18"/>
                <w:shd w:val="clear" w:color="auto" w:fill="FFFFFF" w:themeFill="background1"/>
                <w:lang w:eastAsia="zh-CN" w:bidi="ar"/>
              </w:rPr>
              <w:t>、</w:t>
            </w:r>
            <w:r>
              <w:rPr>
                <w:rFonts w:hint="eastAsia" w:ascii="仿宋" w:hAnsi="仿宋" w:eastAsia="仿宋" w:cs="仿宋"/>
                <w:color w:val="auto"/>
                <w:kern w:val="0"/>
                <w:sz w:val="18"/>
                <w:szCs w:val="18"/>
                <w:shd w:val="clear" w:color="auto" w:fill="FFFFFF" w:themeFill="background1"/>
                <w:lang w:bidi="ar"/>
              </w:rPr>
              <w:t>12G独显</w:t>
            </w:r>
            <w:r>
              <w:rPr>
                <w:rFonts w:hint="eastAsia" w:ascii="仿宋" w:hAnsi="仿宋" w:eastAsia="仿宋" w:cs="仿宋"/>
                <w:color w:val="auto"/>
                <w:kern w:val="0"/>
                <w:sz w:val="18"/>
                <w:szCs w:val="18"/>
                <w:shd w:val="clear" w:color="auto" w:fill="FFFFFF" w:themeFill="background1"/>
                <w:lang w:val="en-US" w:eastAsia="zh-CN" w:bidi="ar"/>
              </w:rPr>
              <w:t>（</w:t>
            </w:r>
            <w:r>
              <w:rPr>
                <w:rFonts w:hint="eastAsia" w:ascii="仿宋" w:hAnsi="仿宋" w:eastAsia="仿宋" w:cs="仿宋"/>
                <w:color w:val="auto"/>
                <w:kern w:val="0"/>
                <w:sz w:val="18"/>
                <w:szCs w:val="18"/>
                <w:shd w:val="clear" w:color="auto" w:fill="FFFFFF" w:themeFill="background1"/>
                <w:lang w:bidi="ar"/>
              </w:rPr>
              <w:t>显存位宽192Bit</w:t>
            </w:r>
            <w:r>
              <w:rPr>
                <w:rFonts w:hint="eastAsia" w:ascii="仿宋" w:hAnsi="仿宋" w:eastAsia="仿宋" w:cs="仿宋"/>
                <w:color w:val="auto"/>
                <w:kern w:val="0"/>
                <w:sz w:val="18"/>
                <w:szCs w:val="18"/>
                <w:shd w:val="clear" w:color="auto" w:fill="FFFFFF" w:themeFill="background1"/>
                <w:lang w:eastAsia="zh-CN" w:bidi="ar"/>
              </w:rPr>
              <w:t>）、</w:t>
            </w:r>
            <w:r>
              <w:rPr>
                <w:rFonts w:hint="eastAsia" w:ascii="仿宋" w:hAnsi="仿宋" w:eastAsia="仿宋" w:cs="仿宋"/>
                <w:color w:val="auto"/>
                <w:kern w:val="0"/>
                <w:sz w:val="18"/>
                <w:szCs w:val="18"/>
                <w:shd w:val="clear" w:color="auto" w:fill="FFFFFF" w:themeFill="background1"/>
                <w:lang w:bidi="ar"/>
              </w:rPr>
              <w:t>650W电源</w:t>
            </w:r>
            <w:r>
              <w:rPr>
                <w:rFonts w:hint="eastAsia" w:ascii="仿宋" w:hAnsi="仿宋" w:eastAsia="仿宋" w:cs="仿宋"/>
                <w:color w:val="auto"/>
                <w:kern w:val="0"/>
                <w:sz w:val="18"/>
                <w:szCs w:val="18"/>
                <w:shd w:val="clear" w:color="auto" w:fill="FFFFFF" w:themeFill="background1"/>
                <w:lang w:eastAsia="zh-CN" w:bidi="ar"/>
              </w:rPr>
              <w:t>、</w:t>
            </w:r>
            <w:r>
              <w:rPr>
                <w:rFonts w:hint="eastAsia" w:ascii="仿宋" w:hAnsi="仿宋" w:eastAsia="仿宋" w:cs="仿宋"/>
                <w:color w:val="auto"/>
                <w:kern w:val="0"/>
                <w:sz w:val="18"/>
                <w:szCs w:val="18"/>
                <w:shd w:val="clear" w:color="auto" w:fill="FFFFFF" w:themeFill="background1"/>
                <w:lang w:bidi="ar"/>
              </w:rPr>
              <w:t>统信</w:t>
            </w:r>
            <w:r>
              <w:rPr>
                <w:rFonts w:hint="eastAsia" w:ascii="仿宋" w:hAnsi="仿宋" w:eastAsia="仿宋" w:cs="仿宋"/>
                <w:color w:val="auto"/>
                <w:kern w:val="0"/>
                <w:sz w:val="18"/>
                <w:szCs w:val="18"/>
                <w:shd w:val="clear" w:color="auto" w:fill="FFFFFF" w:themeFill="background1"/>
                <w:lang w:val="en-US" w:eastAsia="zh-CN" w:bidi="ar"/>
              </w:rPr>
              <w:t>操作</w:t>
            </w:r>
            <w:r>
              <w:rPr>
                <w:rFonts w:hint="eastAsia" w:ascii="仿宋" w:hAnsi="仿宋" w:eastAsia="仿宋" w:cs="仿宋"/>
                <w:color w:val="auto"/>
                <w:kern w:val="0"/>
                <w:sz w:val="18"/>
                <w:szCs w:val="18"/>
                <w:shd w:val="clear" w:color="auto" w:fill="FFFFFF" w:themeFill="background1"/>
                <w:lang w:bidi="ar"/>
              </w:rPr>
              <w:t>系统</w:t>
            </w:r>
          </w:p>
        </w:tc>
      </w:tr>
      <w:tr w14:paraId="65EC2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BDBFEE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38</w:t>
            </w:r>
          </w:p>
        </w:tc>
        <w:tc>
          <w:tcPr>
            <w:tcW w:w="489" w:type="pct"/>
            <w:shd w:val="clear" w:color="auto" w:fill="auto"/>
            <w:vAlign w:val="center"/>
          </w:tcPr>
          <w:p w14:paraId="77F262D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带蓝牙定阻</w:t>
            </w:r>
          </w:p>
          <w:p w14:paraId="3B8345BA">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功放1</w:t>
            </w:r>
          </w:p>
        </w:tc>
        <w:tc>
          <w:tcPr>
            <w:tcW w:w="232" w:type="pct"/>
            <w:shd w:val="clear" w:color="auto" w:fill="auto"/>
            <w:vAlign w:val="center"/>
          </w:tcPr>
          <w:p w14:paraId="291DE5B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B786AE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A9D17B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1.无线手机蓝牙连接、U盘MP3播放、≥1路单声道话筒输入、≥2组立体声音频输入、≥1组MP3/FM合并输入、≥1组立体声音频输出；</w:t>
            </w:r>
          </w:p>
          <w:p w14:paraId="5B17B5C6">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2.各通道均有独立音量控制，高音和低音独立音调控制输出方式为4~16Ω立体声输出，输出功率2*200W。</w:t>
            </w:r>
          </w:p>
        </w:tc>
      </w:tr>
      <w:tr w14:paraId="5AACC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518D59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39</w:t>
            </w:r>
          </w:p>
        </w:tc>
        <w:tc>
          <w:tcPr>
            <w:tcW w:w="489" w:type="pct"/>
            <w:shd w:val="clear" w:color="auto" w:fill="auto"/>
            <w:vAlign w:val="center"/>
          </w:tcPr>
          <w:p w14:paraId="3447994F">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同轴吸顶音箱1</w:t>
            </w:r>
          </w:p>
        </w:tc>
        <w:tc>
          <w:tcPr>
            <w:tcW w:w="232" w:type="pct"/>
            <w:shd w:val="clear" w:color="auto" w:fill="auto"/>
            <w:vAlign w:val="center"/>
          </w:tcPr>
          <w:p w14:paraId="34F4D24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22CC255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53EDE9D6">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最低要求：低音1*5.5"复合纸盆PP胶边、高音1*1"（45mm）丝膜软高音头，额定功率20W、峰值功率40W，覆盖角度150°*150°（V@-6dB），灵敏度89dB/1W/1M，喇叭阻抗8Ω，输入电压70~100V，频率响应65Hz~20kHz。</w:t>
            </w:r>
          </w:p>
        </w:tc>
      </w:tr>
      <w:tr w14:paraId="5C620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624611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40</w:t>
            </w:r>
          </w:p>
        </w:tc>
        <w:tc>
          <w:tcPr>
            <w:tcW w:w="489" w:type="pct"/>
            <w:shd w:val="clear" w:color="auto" w:fill="auto"/>
            <w:vAlign w:val="center"/>
          </w:tcPr>
          <w:p w14:paraId="5274AE3C">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互动展示程序1</w:t>
            </w:r>
          </w:p>
        </w:tc>
        <w:tc>
          <w:tcPr>
            <w:tcW w:w="232" w:type="pct"/>
            <w:shd w:val="clear" w:color="auto" w:fill="auto"/>
            <w:vAlign w:val="center"/>
          </w:tcPr>
          <w:p w14:paraId="737CFC1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2E45759D">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629B9FD9">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1.交互系统，触控切换展示学院简介、领导关怀、师资队伍、最新成果；</w:t>
            </w:r>
          </w:p>
          <w:p w14:paraId="5CD0345F">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系统UI界面设计及交互程序开发：含3级以内菜单、16个以内小按钮、16个以内播放弹窗互动界面平面设计、系统分析逻辑结构搭建&amp;框架布署、核心程序代码编译、分层链接程序编译、分级嵌入模块编译、代码封装、软件Bug调试、压力测试、程序最终打包。</w:t>
            </w:r>
          </w:p>
        </w:tc>
      </w:tr>
      <w:tr w14:paraId="189F4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66DD911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序厅开合屏展示系统</w:t>
            </w:r>
          </w:p>
        </w:tc>
      </w:tr>
      <w:tr w14:paraId="0E1F5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AC120D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41</w:t>
            </w:r>
          </w:p>
        </w:tc>
        <w:tc>
          <w:tcPr>
            <w:tcW w:w="489" w:type="pct"/>
            <w:shd w:val="clear" w:color="auto" w:fill="auto"/>
            <w:vAlign w:val="center"/>
          </w:tcPr>
          <w:p w14:paraId="351E808F">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LED显示屏1</w:t>
            </w:r>
          </w:p>
        </w:tc>
        <w:tc>
          <w:tcPr>
            <w:tcW w:w="232" w:type="pct"/>
            <w:shd w:val="clear" w:color="auto" w:fill="auto"/>
            <w:vAlign w:val="center"/>
          </w:tcPr>
          <w:p w14:paraId="05CE98C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11.47</w:t>
            </w:r>
          </w:p>
        </w:tc>
        <w:tc>
          <w:tcPr>
            <w:tcW w:w="218" w:type="pct"/>
            <w:shd w:val="clear" w:color="auto" w:fill="auto"/>
            <w:vAlign w:val="center"/>
          </w:tcPr>
          <w:p w14:paraId="1EECFBE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2D7F018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1.规格：（0.96+0.96+1.28+1.28）*2.24m+4.48*0.32m；</w:t>
            </w:r>
          </w:p>
          <w:p w14:paraId="55964DD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2.像素点间距：≤1.5mm；</w:t>
            </w:r>
          </w:p>
          <w:p w14:paraId="252459A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3.整屏平整度≤0.04mm、模组平整度≤0.03mm、拼接缝≤0.03mm；</w:t>
            </w:r>
          </w:p>
          <w:p w14:paraId="383923A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4.亮度≥600cd/m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，亮度均匀性≥99%；</w:t>
            </w:r>
          </w:p>
          <w:p w14:paraId="036D12A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5.色温：1000~18000K；</w:t>
            </w:r>
          </w:p>
          <w:p w14:paraId="7600D47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6.刷新率≥3840Hz，对比度≥8700:1；</w:t>
            </w:r>
          </w:p>
          <w:p w14:paraId="503A17A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7.像素失控率：＜0.01%；</w:t>
            </w:r>
          </w:p>
          <w:p w14:paraId="57F0C3A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8.发光点中心偏距＜0.8%，反光率≤1%，衰减率≤10%；</w:t>
            </w:r>
          </w:p>
          <w:p w14:paraId="42B2066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9.画面延时：≤500ns；</w:t>
            </w:r>
          </w:p>
          <w:p w14:paraId="030B262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10.1m范围内测试4个位置（前后左右）：噪音＜1.5dB、信噪比≥47dB；</w:t>
            </w:r>
          </w:p>
          <w:p w14:paraId="137DEF5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11.峰值功耗≤260W/m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，平均功耗≤110W/m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w:t>
            </w:r>
          </w:p>
          <w:p w14:paraId="7E70A1B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12.漏电流：≤0.5mA；</w:t>
            </w:r>
          </w:p>
          <w:p w14:paraId="4CB5F14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13.机械强度≥30Mpa，抗拉强度≥230Mpa，屈服强度≥170Mpa；</w:t>
            </w:r>
          </w:p>
          <w:p w14:paraId="40EA320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14.防信号、防电力远程窃密；</w:t>
            </w:r>
          </w:p>
          <w:p w14:paraId="363C3F6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15.配套控制接收卡；</w:t>
            </w:r>
          </w:p>
          <w:p w14:paraId="362BC65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16.配套电源：额定输入电压200~240VAC，输入频率47~63Hz，工作温度-40℃~+70℃；</w:t>
            </w:r>
          </w:p>
          <w:p w14:paraId="79F62CB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17.模组配套连接线缆：含连接电源线、网线、接卡线、排线、高清线、DP转接头、miniDP转接头、DP转高清线、高清信号放大器等；</w:t>
            </w:r>
          </w:p>
          <w:p w14:paraId="5DB1433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18.箱体：≥1.2cm厚SPCC冷轧钢板制作，酸洗磷化、高温烘干、静电喷涂、高温烤塑处理。</w:t>
            </w:r>
          </w:p>
        </w:tc>
      </w:tr>
      <w:tr w14:paraId="3D650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D945CA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42</w:t>
            </w:r>
          </w:p>
        </w:tc>
        <w:tc>
          <w:tcPr>
            <w:tcW w:w="489" w:type="pct"/>
            <w:shd w:val="clear" w:color="auto" w:fill="auto"/>
            <w:vAlign w:val="center"/>
          </w:tcPr>
          <w:p w14:paraId="1E1DBA69">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0"/>
                <w:sz w:val="18"/>
                <w:szCs w:val="18"/>
                <w:highlight w:val="none"/>
                <w:u w:val="none"/>
                <w:lang w:val="en-US" w:eastAsia="zh-CN" w:bidi="ar"/>
              </w:rPr>
              <w:t>框架结构1</w:t>
            </w:r>
          </w:p>
        </w:tc>
        <w:tc>
          <w:tcPr>
            <w:tcW w:w="232" w:type="pct"/>
            <w:shd w:val="clear" w:color="auto" w:fill="auto"/>
            <w:vAlign w:val="center"/>
          </w:tcPr>
          <w:p w14:paraId="586F1A3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2"/>
                <w:sz w:val="18"/>
                <w:szCs w:val="18"/>
                <w:highlight w:val="none"/>
                <w:u w:val="none"/>
                <w:lang w:val="en-US" w:eastAsia="zh-CN" w:bidi="ar-SA"/>
              </w:rPr>
              <w:t>12</w:t>
            </w:r>
          </w:p>
        </w:tc>
        <w:tc>
          <w:tcPr>
            <w:tcW w:w="218" w:type="pct"/>
            <w:shd w:val="clear" w:color="auto" w:fill="auto"/>
            <w:vAlign w:val="center"/>
          </w:tcPr>
          <w:p w14:paraId="1CF63B7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0"/>
                <w:sz w:val="18"/>
                <w:szCs w:val="18"/>
                <w:highlight w:val="none"/>
                <w:u w:val="none"/>
                <w:lang w:val="en-US" w:eastAsia="zh-CN" w:bidi="ar"/>
              </w:rPr>
              <w:t>㎡</w:t>
            </w:r>
          </w:p>
        </w:tc>
        <w:tc>
          <w:tcPr>
            <w:tcW w:w="3864" w:type="pct"/>
            <w:shd w:val="clear" w:color="auto" w:fill="auto"/>
            <w:vAlign w:val="center"/>
          </w:tcPr>
          <w:p w14:paraId="58BD03B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1.钢架构件（含接合板）采用Q235B钢制作；</w:t>
            </w:r>
          </w:p>
          <w:p w14:paraId="42C8FB8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2.手工焊连接用E43系列焊条、自动焊连接用H08系列焊条；</w:t>
            </w:r>
          </w:p>
          <w:p w14:paraId="3D2EDB1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3.抗震≥7级、抗风≥8级；</w:t>
            </w:r>
          </w:p>
          <w:p w14:paraId="5D861AC1">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0"/>
                <w:sz w:val="18"/>
                <w:szCs w:val="18"/>
                <w:highlight w:val="none"/>
                <w:u w:val="none"/>
                <w:lang w:val="en-US" w:eastAsia="zh-CN" w:bidi="ar"/>
              </w:rPr>
              <w:t>4.不锈钢包边。</w:t>
            </w:r>
          </w:p>
        </w:tc>
      </w:tr>
      <w:tr w14:paraId="2469B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1847C5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43</w:t>
            </w:r>
          </w:p>
        </w:tc>
        <w:tc>
          <w:tcPr>
            <w:tcW w:w="489" w:type="pct"/>
            <w:shd w:val="clear" w:color="auto" w:fill="auto"/>
            <w:vAlign w:val="center"/>
          </w:tcPr>
          <w:p w14:paraId="2982A978">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视频处理器1</w:t>
            </w:r>
          </w:p>
        </w:tc>
        <w:tc>
          <w:tcPr>
            <w:tcW w:w="232" w:type="pct"/>
            <w:shd w:val="clear" w:color="auto" w:fill="auto"/>
            <w:vAlign w:val="center"/>
          </w:tcPr>
          <w:p w14:paraId="14CDF45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6C28D8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83157C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1.标准19英寸金属结构机箱，后挂耳结构，上盖无螺钉安装，外壳防护等级符合IP20要求，纯硬件FPGA架构设计；</w:t>
            </w:r>
          </w:p>
          <w:p w14:paraId="14EA6F9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2.输入接口：≥1路HDMI 2.0+LOOP、≥2路HDMI 1.3、≥1路USB 3.0、≥1路3G-SDI（IN+LOOP），最大支持4096*2160@60Hz信号输入；</w:t>
            </w:r>
          </w:p>
          <w:p w14:paraId="62DEC60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3.视频输出支持≥12个千兆网口、≥2路10G-OPT光口，最大带载≥780万像素，最宽≥10240像素、最高≥8192像素；</w:t>
            </w:r>
          </w:p>
          <w:p w14:paraId="780DE78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4.音频输入支持视频口伴随音频输入及独立输入模式，音频输出支持网口扩展输出及3.5mm独立音频口输出；</w:t>
            </w:r>
          </w:p>
          <w:p w14:paraId="1622035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5.具有输入源备份功能，主源丢失下无需人为操作可自动切换至备源显示，切换过程无黑屏；</w:t>
            </w:r>
          </w:p>
          <w:p w14:paraId="77D1ED4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6.最大支持144Hz高帧率输入输出，输出具有插帧、抽帧、倍频（2倍频、3倍频、4倍频）功能，可将30Hz信号倍频至120Hz输出；</w:t>
            </w:r>
          </w:p>
          <w:p w14:paraId="5ABE5D5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7.最大支持≥6个2K图层或≥1个4K图层+≥2个2K图层，全部图层大小和位置可单独调节，4K接口输入2K图层按2K图层计算图层资源；</w:t>
            </w:r>
          </w:p>
          <w:p w14:paraId="4FD97EC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支持通过上位机软件实现对显示屏的连接、控制，包括输入源切换、窗口位置及大小调节、分辨率自定义等；软件端支持可视化呈现设备各接口实时状态，包括视频输入状态及分辨率、网口带载利用率、接屏体温度、电压、误码率、通讯状态等的检测；</w:t>
            </w:r>
          </w:p>
          <w:p w14:paraId="7FF35F0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9.具有U盘即插即播功能，最大支持4K级（3840*2160@60fps）图片和视频的流畅播放，播放列表切换效果支持自定义编排，最多支持≥20种图片切换特效；</w:t>
            </w:r>
          </w:p>
          <w:p w14:paraId="60A315D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10.功能按键及丝印信息采用全中文提示，无需粘贴额外的标签纸加以区分；</w:t>
            </w:r>
          </w:p>
          <w:p w14:paraId="758CF8B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11.支持标准模式和专业模式满足不同角色对显示屏的分权管理；</w:t>
            </w:r>
          </w:p>
          <w:p w14:paraId="26A45DC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12.支持微信小程序快捷控制，包括亮度调节、输出画质调节、待机模式、画面冻结、场景切换、U盘播放等；</w:t>
            </w:r>
          </w:p>
          <w:p w14:paraId="2D8897A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13.支持平板对控制器进行快捷控制，包括亮度调节、图层布局调节、画面冻结、黑屏、场景切换、音量大小等；</w:t>
            </w:r>
          </w:p>
          <w:p w14:paraId="1DEC0DB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14.支持创建多个设备还原点，将当前设备的配屏、场景、输出等参数存储为还原点，系统工作异常时可根据还原点一键快速还原；</w:t>
            </w:r>
          </w:p>
          <w:p w14:paraId="27EBDB2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15.支持控制设备白名单，可通过MAC地址限制控制设备，非白名单内设备无法控制设备、不允许对设备进行操作；</w:t>
            </w:r>
          </w:p>
          <w:p w14:paraId="5B94A74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16.MTBF≥150000小时，MTTR平均修复小于10分钟可用度＞99%，整机寿命≥150000小时；</w:t>
            </w:r>
          </w:p>
          <w:p w14:paraId="1B545737">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17.上电即可正常工作，无需做任何其它设置。</w:t>
            </w:r>
          </w:p>
        </w:tc>
      </w:tr>
      <w:tr w14:paraId="3B53B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E144919">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44</w:t>
            </w:r>
          </w:p>
        </w:tc>
        <w:tc>
          <w:tcPr>
            <w:tcW w:w="489" w:type="pct"/>
            <w:shd w:val="clear" w:color="auto" w:fill="auto"/>
            <w:vAlign w:val="center"/>
          </w:tcPr>
          <w:p w14:paraId="61B862E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旋转轨道</w:t>
            </w:r>
          </w:p>
        </w:tc>
        <w:tc>
          <w:tcPr>
            <w:tcW w:w="232" w:type="pct"/>
            <w:shd w:val="clear" w:color="auto" w:fill="auto"/>
            <w:vAlign w:val="center"/>
          </w:tcPr>
          <w:p w14:paraId="4861E30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145DE5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264B058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1.散齿旋转结构，工业旋转轴承、地面旋转导向轴、地面导向轮；</w:t>
            </w:r>
          </w:p>
          <w:p w14:paraId="25C44E8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2.伺服电机控制器、驱动器，减速机400W（60法兰），额定扭矩2.3N·m，永磁式，额定转速3000rpm；</w:t>
            </w:r>
          </w:p>
          <w:p w14:paraId="3E4983D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3.内置FIR滤波器及多组陷波滤波器，可自动辨识并抑制机械振动；</w:t>
            </w:r>
          </w:p>
          <w:p w14:paraId="23354A0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4.内置扰动转矩观测器；</w:t>
            </w:r>
          </w:p>
          <w:p w14:paraId="4C5AFCC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5.具有多种控制模式供选择，位置控制、速度控制、转矩控制，可切换各种控制模式；</w:t>
            </w:r>
          </w:p>
          <w:p w14:paraId="01334BE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6.位置脉冲输入频率≥4MHz，支持脉冲+方向、正交脉冲、双脉冲等多种位置指令方式；</w:t>
            </w:r>
          </w:p>
          <w:p w14:paraId="410238F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7.具有过压、欠压、超速、过载、位置偏差过大、编码器错误等保护功能；</w:t>
            </w:r>
          </w:p>
          <w:p w14:paraId="55409C1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8.支持标准RS485、标准CAN总线及MODBUS-RTU协议、CANopen协议；</w:t>
            </w:r>
          </w:p>
          <w:p w14:paraId="25E68C8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9.轨道和滑块为国际标准铝合金材质，精密模具成型，表面本色阳极氧化处理或发黑电镀特殊处理，高周波热处理镀铬导向轴，硬度hrc62±2表面镀铬；</w:t>
            </w:r>
          </w:p>
          <w:p w14:paraId="7B3D0F4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10.运行噪音≤45db，表面无毛刺，定位精度≥±0.05mm；</w:t>
            </w:r>
          </w:p>
          <w:p w14:paraId="088323E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11.支持6轴电机独立控制；</w:t>
            </w:r>
          </w:p>
          <w:p w14:paraId="3D8AD97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12.LED显示屏可通过中控系统点对点、分组、全组控制；</w:t>
            </w:r>
          </w:p>
          <w:p w14:paraId="4337388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13.通过高精度传感器实时测量滑轨屏当前实时位置，数据更新速度＜200ms、位置测量精度±1mm；</w:t>
            </w:r>
          </w:p>
          <w:p w14:paraId="1265AE1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14.移动末端设有防撞传感器、高精度限位开关等防撞系统，感应间距≤2mm；</w:t>
            </w:r>
          </w:p>
          <w:p w14:paraId="4A73F49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15.启动和停止均有缓冲程序；</w:t>
            </w:r>
          </w:p>
          <w:p w14:paraId="62CEE23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16.支持展厅中控DMS智能指令集，可以一条指令控制单路或任意多路电机，可同时控制或相互不干扰独立控制；</w:t>
            </w:r>
          </w:p>
          <w:p w14:paraId="5D33F43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17.支持自编程位置数据、根据数据接口自行开发互动程序、多电机联动自动内部计算；</w:t>
            </w:r>
          </w:p>
          <w:p w14:paraId="7BF93F2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18.无需人工管理，定时开关机、同步时间、立即关机、重启、网络唤醒任意终端；</w:t>
            </w:r>
          </w:p>
          <w:p w14:paraId="79CCB4A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19.开机自动播出，无需重新进行配置；</w:t>
            </w:r>
          </w:p>
          <w:p w14:paraId="51BD840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20.支持现行所有IP网络。</w:t>
            </w:r>
          </w:p>
        </w:tc>
      </w:tr>
      <w:tr w14:paraId="5D6C9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C1C9DC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45</w:t>
            </w:r>
          </w:p>
        </w:tc>
        <w:tc>
          <w:tcPr>
            <w:tcW w:w="489" w:type="pct"/>
            <w:shd w:val="clear" w:color="auto" w:fill="auto"/>
            <w:vAlign w:val="center"/>
          </w:tcPr>
          <w:p w14:paraId="49CD90B3">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工控主机2</w:t>
            </w:r>
          </w:p>
        </w:tc>
        <w:tc>
          <w:tcPr>
            <w:tcW w:w="232" w:type="pct"/>
            <w:shd w:val="clear" w:color="auto" w:fill="auto"/>
            <w:vAlign w:val="center"/>
          </w:tcPr>
          <w:p w14:paraId="7CB2C56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2C5D381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50035953">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同序号37</w:t>
            </w:r>
          </w:p>
        </w:tc>
      </w:tr>
      <w:tr w14:paraId="0EAC7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1A33FCA">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46</w:t>
            </w:r>
          </w:p>
        </w:tc>
        <w:tc>
          <w:tcPr>
            <w:tcW w:w="489" w:type="pct"/>
            <w:shd w:val="clear" w:color="auto" w:fill="auto"/>
            <w:vAlign w:val="center"/>
          </w:tcPr>
          <w:p w14:paraId="257228FD">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数模合并功放1</w:t>
            </w:r>
          </w:p>
        </w:tc>
        <w:tc>
          <w:tcPr>
            <w:tcW w:w="232" w:type="pct"/>
            <w:shd w:val="clear" w:color="auto" w:fill="auto"/>
            <w:vAlign w:val="center"/>
          </w:tcPr>
          <w:p w14:paraId="75BDA8A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A31CF39">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748A7C4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1.≥3.1声道全数字平衡输出；</w:t>
            </w:r>
          </w:p>
          <w:p w14:paraId="7D37DA9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2.麦克风输入端独立设有压限设计，≥4级反馈抑制；</w:t>
            </w:r>
          </w:p>
          <w:p w14:paraId="140828F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3.音乐≥10段PEQ，麦克风双路独立≥15段PEQ，外加高低通调节；</w:t>
            </w:r>
          </w:p>
          <w:p w14:paraId="68B4AD7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4.效果输入通道回声混响独立设有高低通，具有≥3段参量均衡等功能；</w:t>
            </w:r>
          </w:p>
          <w:p w14:paraId="32151BE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5.主输出通道分别设≥5段参量均衡，高低通，具有输入选择及混合比例、极性、增益、压限、静音功能；</w:t>
            </w:r>
          </w:p>
          <w:p w14:paraId="38163A6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6.中置输出通道分别设≥5段参量均衡，高低通，具有输入选择及混合比例、极性、增益、压限、静音功能；</w:t>
            </w:r>
          </w:p>
          <w:p w14:paraId="0B7F748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7.低音输出通道分别设≥5段参量均衡，高低通，具有输入选择及混合比例、极性、增益、压限、静音功能；</w:t>
            </w:r>
          </w:p>
          <w:p w14:paraId="5264B25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8.采用专用高性能数字DSP效果芯片，≥48kHz采样频率/24-bit A/D及D/A转换；</w:t>
            </w:r>
          </w:p>
          <w:p w14:paraId="381AB66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9.配有专业PC设备管理控制软件，提供USB接口可连接电脑；</w:t>
            </w:r>
          </w:p>
          <w:p w14:paraId="1B990C5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10.≥13组系统记忆功能，含≥6种预置、≥6种自编、≥1组热舞，开机状态为最后一次机器保存数据；</w:t>
            </w:r>
          </w:p>
          <w:p w14:paraId="57A129C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11.具有2级设备锁定功能，可根据使用需要自行设定设备锁定级别；</w:t>
            </w:r>
          </w:p>
          <w:p w14:paraId="0BDE52C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12.音乐立体声，±7级高保真升降变调；</w:t>
            </w:r>
          </w:p>
          <w:p w14:paraId="5754B48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13.具有USB和蓝牙音乐播放功能，适配各种音乐输入源：VOD、DVD、BLT、USB、OPT；</w:t>
            </w:r>
          </w:p>
          <w:p w14:paraId="10E78EB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14.支持红外接收及RS232中控接口，可对接第三方控制系统；</w:t>
            </w:r>
          </w:p>
          <w:p w14:paraId="7F8B8C9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15.输出功率：主输出（左/右）500W 8Ω</w:t>
            </w:r>
          </w:p>
          <w:p w14:paraId="6CDD17E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16.信噪比：麦克风＞75dB 1kHz 0dB、输入音乐＞85dB；</w:t>
            </w:r>
          </w:p>
          <w:p w14:paraId="24C3687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17.失真度：麦克风＜0.3% 1kHz 0dB、输入音乐＜0.2%；</w:t>
            </w:r>
          </w:p>
          <w:p w14:paraId="296C40B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18.灵敏度：麦克风100mV（或优于）、音乐VOD500mV（或优于）&amp;DOD500mV（或优于）；</w:t>
            </w:r>
          </w:p>
          <w:p w14:paraId="50DE576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19.输入阻抗（Ω）：麦克风（不平衡）12K（或优于）、音乐（不平衡）47K（或优于）；</w:t>
            </w:r>
          </w:p>
          <w:p w14:paraId="78A3D26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20.频率响应：20Hz~20kHz（±0.5dB,1kHz），具有啸叫抑制功能；</w:t>
            </w:r>
          </w:p>
          <w:p w14:paraId="07B270A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21.通道分离度：70dB/1kHz（或优于）；</w:t>
            </w:r>
          </w:p>
          <w:p w14:paraId="3F6264E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22.专业模式</w:t>
            </w:r>
          </w:p>
          <w:p w14:paraId="3700FB2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22.1 麦克风：PEQ+高低通+反馈抑制+压缩；</w:t>
            </w:r>
          </w:p>
          <w:p w14:paraId="7FC5AA4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22.2 音乐：PEQ+升降调；</w:t>
            </w:r>
          </w:p>
          <w:p w14:paraId="66BB046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22.3 效果：PEQ+独立高低通。</w:t>
            </w:r>
          </w:p>
        </w:tc>
      </w:tr>
      <w:tr w14:paraId="674C3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60C20D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47</w:t>
            </w:r>
          </w:p>
        </w:tc>
        <w:tc>
          <w:tcPr>
            <w:tcW w:w="489" w:type="pct"/>
            <w:shd w:val="clear" w:color="auto" w:fill="auto"/>
            <w:vAlign w:val="center"/>
          </w:tcPr>
          <w:p w14:paraId="60A0614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二分频同轴式</w:t>
            </w:r>
          </w:p>
          <w:p w14:paraId="3CDA0D38">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天花音箱1</w:t>
            </w:r>
          </w:p>
        </w:tc>
        <w:tc>
          <w:tcPr>
            <w:tcW w:w="232" w:type="pct"/>
            <w:shd w:val="clear" w:color="auto" w:fill="auto"/>
            <w:vAlign w:val="center"/>
          </w:tcPr>
          <w:p w14:paraId="739A574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w:t>
            </w:r>
          </w:p>
        </w:tc>
        <w:tc>
          <w:tcPr>
            <w:tcW w:w="218" w:type="pct"/>
            <w:shd w:val="clear" w:color="auto" w:fill="auto"/>
            <w:vAlign w:val="center"/>
          </w:tcPr>
          <w:p w14:paraId="01E8BD5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B1F30A3">
            <w:pPr>
              <w:keepNext w:val="0"/>
              <w:keepLines w:val="0"/>
              <w:widowControl/>
              <w:suppressLineNumbers w:val="0"/>
              <w:jc w:val="both"/>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最低要求：定压/定阻，内置70/100V变压器，6.5寸低音、0.75寸高音，连续功率150W，灵敏度89dB，频响75Hz~20kHz，含安装支架。</w:t>
            </w:r>
          </w:p>
        </w:tc>
      </w:tr>
      <w:tr w14:paraId="5D15C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2D4B569">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48</w:t>
            </w:r>
          </w:p>
        </w:tc>
        <w:tc>
          <w:tcPr>
            <w:tcW w:w="489" w:type="pct"/>
            <w:shd w:val="clear" w:color="auto" w:fill="auto"/>
            <w:vAlign w:val="center"/>
          </w:tcPr>
          <w:p w14:paraId="0408065B">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互动展示程序2</w:t>
            </w:r>
          </w:p>
        </w:tc>
        <w:tc>
          <w:tcPr>
            <w:tcW w:w="232" w:type="pct"/>
            <w:shd w:val="clear" w:color="auto" w:fill="auto"/>
            <w:vAlign w:val="center"/>
          </w:tcPr>
          <w:p w14:paraId="0769988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72F0A2B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224E5C0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互动程序开发，通过中控控制影片（甲供）播放及开合屏打开。</w:t>
            </w:r>
          </w:p>
        </w:tc>
      </w:tr>
      <w:tr w14:paraId="3C11D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00DC385C">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海上能源岛沉浸式体验展示系统</w:t>
            </w:r>
          </w:p>
        </w:tc>
      </w:tr>
      <w:tr w14:paraId="7910C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5678DE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49</w:t>
            </w:r>
          </w:p>
        </w:tc>
        <w:tc>
          <w:tcPr>
            <w:tcW w:w="489" w:type="pct"/>
            <w:shd w:val="clear" w:color="auto" w:fill="auto"/>
            <w:vAlign w:val="center"/>
          </w:tcPr>
          <w:p w14:paraId="2A55883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弧形软膜全彩LED显示屏1</w:t>
            </w:r>
          </w:p>
          <w:p w14:paraId="7E14CBD1">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bCs/>
                <w:i w:val="0"/>
                <w:iCs w:val="0"/>
                <w:color w:val="auto"/>
                <w:kern w:val="0"/>
                <w:sz w:val="18"/>
                <w:szCs w:val="18"/>
                <w:u w:val="none"/>
                <w:lang w:val="en-US" w:eastAsia="zh-CN" w:bidi="ar"/>
              </w:rPr>
              <w:t>（核心产品）</w:t>
            </w:r>
          </w:p>
        </w:tc>
        <w:tc>
          <w:tcPr>
            <w:tcW w:w="232" w:type="pct"/>
            <w:shd w:val="clear" w:color="auto" w:fill="auto"/>
            <w:vAlign w:val="center"/>
          </w:tcPr>
          <w:p w14:paraId="5012DD8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32.2</w:t>
            </w:r>
          </w:p>
        </w:tc>
        <w:tc>
          <w:tcPr>
            <w:tcW w:w="218" w:type="pct"/>
            <w:shd w:val="clear" w:color="auto" w:fill="auto"/>
            <w:vAlign w:val="center"/>
          </w:tcPr>
          <w:p w14:paraId="310AE4A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7AF4D14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1.规格：11.84*2.72m；</w:t>
            </w:r>
          </w:p>
          <w:p w14:paraId="49CBED53">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2.像素点间距：≤1.8mm；</w:t>
            </w:r>
          </w:p>
          <w:p w14:paraId="35C9F99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3.整屏平整度≤0.04mm、模组平整度≤0.03mm、拼接缝≤0.03mm；</w:t>
            </w:r>
          </w:p>
          <w:p w14:paraId="7B6C7EE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4.亮度≥600cd/m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，像素失控率＜0.01%；</w:t>
            </w:r>
          </w:p>
          <w:p w14:paraId="6C3D52C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5.横向装配弯曲角度：外弧≥135°、内弧≥120°；</w:t>
            </w:r>
          </w:p>
          <w:p w14:paraId="4167AA7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6.竖向装配弯曲角度：内/外弧均≥170°；</w:t>
            </w:r>
          </w:p>
          <w:p w14:paraId="7AC9CB5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7.色温：1000~18000K；</w:t>
            </w:r>
          </w:p>
          <w:p w14:paraId="6BE36D8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8.刷新率≥3840Hz，对比度≥7000:1；</w:t>
            </w:r>
          </w:p>
          <w:p w14:paraId="6734818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9.发光点中心偏距＜0.8%，反光率≤1%，衰减率≤10%；</w:t>
            </w:r>
          </w:p>
          <w:p w14:paraId="57B4425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10.画面延时：≤500ns；</w:t>
            </w:r>
          </w:p>
          <w:p w14:paraId="7E44D14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11.1m范围内测试4个位置（前后左右）：噪音＜1.5dB、信噪比≥47dB；</w:t>
            </w:r>
          </w:p>
          <w:p w14:paraId="64877C2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12.峰值功耗≤430W/m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，平均功耗≤130W/m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w:t>
            </w:r>
          </w:p>
          <w:p w14:paraId="237897A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13.漏电流：≤0.5mA；</w:t>
            </w:r>
          </w:p>
          <w:p w14:paraId="6AA7056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14.机械强度≥30Mpa，抗拉强度≥230Mpa，屈服强度≥170Mpa；</w:t>
            </w:r>
          </w:p>
          <w:p w14:paraId="6D1F230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15.防信号、防电力远程窃密；</w:t>
            </w:r>
          </w:p>
          <w:p w14:paraId="432F8AA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16.配套控制接收卡；</w:t>
            </w:r>
          </w:p>
          <w:p w14:paraId="67D6D62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17.配套电源：额定输入电压200~240VAC，输入频率47~63Hz，工作温度-40℃~+70℃；</w:t>
            </w:r>
          </w:p>
          <w:p w14:paraId="2EC1CE0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18.模组配套连接线缆：含连接电源线、网线、接卡线、排线、高清线、DP转接头、miniDP转接头、DP转高清线、高清信号放大器等；</w:t>
            </w:r>
          </w:p>
          <w:p w14:paraId="184EF0D5">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19.箱体：≥1.2cm厚SPCC冷轧钢板制作，酸洗磷化、高温烘干、静电喷涂、高温烤塑处理。</w:t>
            </w:r>
          </w:p>
        </w:tc>
      </w:tr>
      <w:tr w14:paraId="5B9A8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5C32E9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50</w:t>
            </w:r>
          </w:p>
        </w:tc>
        <w:tc>
          <w:tcPr>
            <w:tcW w:w="489" w:type="pct"/>
            <w:shd w:val="clear" w:color="auto" w:fill="auto"/>
            <w:vAlign w:val="center"/>
          </w:tcPr>
          <w:p w14:paraId="5E79420D">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弧形框架结构1</w:t>
            </w:r>
          </w:p>
        </w:tc>
        <w:tc>
          <w:tcPr>
            <w:tcW w:w="232" w:type="pct"/>
            <w:shd w:val="clear" w:color="auto" w:fill="auto"/>
            <w:vAlign w:val="center"/>
          </w:tcPr>
          <w:p w14:paraId="311FF11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32.2</w:t>
            </w:r>
          </w:p>
        </w:tc>
        <w:tc>
          <w:tcPr>
            <w:tcW w:w="218" w:type="pct"/>
            <w:shd w:val="clear" w:color="auto" w:fill="auto"/>
            <w:vAlign w:val="center"/>
          </w:tcPr>
          <w:p w14:paraId="64C2A66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0AD9866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1.钢架构件（含接合板）采用Q235B钢制作；</w:t>
            </w:r>
          </w:p>
          <w:p w14:paraId="112102D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2.手工焊连接用E43系列焊条、自动焊连接用H08系列焊条；</w:t>
            </w:r>
          </w:p>
          <w:p w14:paraId="0C48C2A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3.抗震≥7级、抗风≥8级；</w:t>
            </w:r>
          </w:p>
          <w:p w14:paraId="2B49C33A">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4.不锈钢包边。</w:t>
            </w:r>
          </w:p>
        </w:tc>
      </w:tr>
      <w:tr w14:paraId="53865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62FE0F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51</w:t>
            </w:r>
          </w:p>
        </w:tc>
        <w:tc>
          <w:tcPr>
            <w:tcW w:w="489" w:type="pct"/>
            <w:shd w:val="clear" w:color="auto" w:fill="auto"/>
            <w:vAlign w:val="center"/>
          </w:tcPr>
          <w:p w14:paraId="5DA98467">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视频处理器2</w:t>
            </w:r>
          </w:p>
        </w:tc>
        <w:tc>
          <w:tcPr>
            <w:tcW w:w="232" w:type="pct"/>
            <w:shd w:val="clear" w:color="auto" w:fill="auto"/>
            <w:vAlign w:val="center"/>
          </w:tcPr>
          <w:p w14:paraId="6C373E1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72CCA43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792AE0F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1.单台具备≥24路千兆网口输出，带载能力≥1560万像素，最宽≥16384像素、最高≥8192像素，网口带载没有矩形带载限制，支持自由走线；</w:t>
            </w:r>
          </w:p>
          <w:p w14:paraId="2F37421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2.集视频处理、视频控制及LED屏体配置等功能于一体，具备多种类视频信号接收、4K*2K@60Hz图像处理和发送能力；</w:t>
            </w:r>
          </w:p>
          <w:p w14:paraId="15FB748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3.视频输入接口（最低要求）：1路HDMI 2.0、1路DP 1.2、4路HDMI 1.3、1路3G-SDI+LOOP；</w:t>
            </w:r>
          </w:p>
          <w:p w14:paraId="5D29296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4.支持HDR输出；</w:t>
            </w:r>
          </w:p>
          <w:p w14:paraId="4286C94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5.支持</w:t>
            </w:r>
            <w:r>
              <w:rPr>
                <w:rStyle w:val="114"/>
                <w:rFonts w:hint="eastAsia" w:ascii="仿宋" w:hAnsi="仿宋" w:eastAsia="仿宋" w:cs="仿宋"/>
                <w:b w:val="0"/>
                <w:bCs w:val="0"/>
                <w:color w:val="auto"/>
                <w:sz w:val="18"/>
                <w:szCs w:val="18"/>
                <w:lang w:val="en-US" w:eastAsia="zh-CN" w:bidi="ar"/>
              </w:rPr>
              <w:t>≥3</w:t>
            </w:r>
            <w:r>
              <w:rPr>
                <w:rFonts w:hint="eastAsia" w:ascii="仿宋" w:hAnsi="仿宋" w:eastAsia="仿宋" w:cs="仿宋"/>
                <w:b w:val="0"/>
                <w:bCs w:val="0"/>
                <w:i w:val="0"/>
                <w:iCs w:val="0"/>
                <w:color w:val="auto"/>
                <w:kern w:val="0"/>
                <w:sz w:val="18"/>
                <w:szCs w:val="18"/>
                <w:u w:val="none"/>
                <w:lang w:val="en-US" w:eastAsia="zh-CN" w:bidi="ar"/>
              </w:rPr>
              <w:t>种画面缩放模式，包括点对点模式、全屏缩放、自定义缩放，画面可无极缩放；</w:t>
            </w:r>
          </w:p>
          <w:p w14:paraId="1FFF308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6.支持对LED显示屏输出画面的画质调节，包括但不限于亮度、饱和度、对比度等；</w:t>
            </w:r>
          </w:p>
          <w:p w14:paraId="4C8780F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7.支持多窗口显示，</w:t>
            </w:r>
            <w:r>
              <w:rPr>
                <w:rStyle w:val="114"/>
                <w:rFonts w:hint="eastAsia" w:ascii="仿宋" w:hAnsi="仿宋" w:eastAsia="仿宋" w:cs="仿宋"/>
                <w:b w:val="0"/>
                <w:bCs w:val="0"/>
                <w:color w:val="auto"/>
                <w:sz w:val="18"/>
                <w:szCs w:val="18"/>
                <w:lang w:val="en-US" w:eastAsia="zh-CN" w:bidi="ar"/>
              </w:rPr>
              <w:t>≥</w:t>
            </w:r>
            <w:r>
              <w:rPr>
                <w:rFonts w:hint="eastAsia" w:ascii="仿宋" w:hAnsi="仿宋" w:eastAsia="仿宋" w:cs="仿宋"/>
                <w:b w:val="0"/>
                <w:bCs w:val="0"/>
                <w:i w:val="0"/>
                <w:iCs w:val="0"/>
                <w:color w:val="auto"/>
                <w:kern w:val="0"/>
                <w:sz w:val="18"/>
                <w:szCs w:val="18"/>
                <w:u w:val="none"/>
                <w:lang w:val="en-US" w:eastAsia="zh-CN" w:bidi="ar"/>
              </w:rPr>
              <w:t>6窗口任意布局，至少包含2路4K窗口+4路2K窗口；</w:t>
            </w:r>
          </w:p>
          <w:p w14:paraId="31BF683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8.具有OSD字幕功能，字幕颜色、内容可通过软件自定义编辑；</w:t>
            </w:r>
          </w:p>
          <w:p w14:paraId="41A7BE5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9.支持高位深信号输入源输入，最高支持12bit信号输入；</w:t>
            </w:r>
          </w:p>
          <w:p w14:paraId="33FE784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10.具有音频功能，输入接口支持音频伴随输入、输出音频支持随信号切换而切换；</w:t>
            </w:r>
          </w:p>
          <w:p w14:paraId="4CDF5F2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11.具有场景预设功能，可创建</w:t>
            </w:r>
            <w:r>
              <w:rPr>
                <w:rStyle w:val="114"/>
                <w:rFonts w:hint="eastAsia" w:ascii="仿宋" w:hAnsi="仿宋" w:eastAsia="仿宋" w:cs="仿宋"/>
                <w:b w:val="0"/>
                <w:bCs w:val="0"/>
                <w:color w:val="auto"/>
                <w:sz w:val="18"/>
                <w:szCs w:val="18"/>
                <w:lang w:val="en-US" w:eastAsia="zh-CN" w:bidi="ar"/>
              </w:rPr>
              <w:t>≥</w:t>
            </w:r>
            <w:r>
              <w:rPr>
                <w:rFonts w:hint="eastAsia" w:ascii="仿宋" w:hAnsi="仿宋" w:eastAsia="仿宋" w:cs="仿宋"/>
                <w:b w:val="0"/>
                <w:bCs w:val="0"/>
                <w:i w:val="0"/>
                <w:iCs w:val="0"/>
                <w:color w:val="auto"/>
                <w:kern w:val="0"/>
                <w:sz w:val="18"/>
                <w:szCs w:val="18"/>
                <w:u w:val="none"/>
                <w:lang w:val="en-US" w:eastAsia="zh-CN" w:bidi="ar"/>
              </w:rPr>
              <w:t>10个用户场景作为模板保存并直接调用；</w:t>
            </w:r>
          </w:p>
          <w:p w14:paraId="0701351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12.支持对输入信号进行分辨率自定义，最大支持4096*2160@60信号输入并向下兼容4K*1K、2K等；</w:t>
            </w:r>
          </w:p>
          <w:p w14:paraId="2F37398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13.前面板配备LCD显示模块可直接观察各接口通讯状态、设备型号、IP地址、屏幕大小及信号源状态等信息；</w:t>
            </w:r>
          </w:p>
          <w:p w14:paraId="7D8B551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14.支持选择输入源作为同步信号；</w:t>
            </w:r>
          </w:p>
          <w:p w14:paraId="37A2A30E">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15.支持配合多功能卡实现对屏体电源的手动控制、自动控制、及软件控制。</w:t>
            </w:r>
          </w:p>
        </w:tc>
      </w:tr>
      <w:tr w14:paraId="227A0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875A63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52</w:t>
            </w:r>
          </w:p>
        </w:tc>
        <w:tc>
          <w:tcPr>
            <w:tcW w:w="489" w:type="pct"/>
            <w:shd w:val="clear" w:color="auto" w:fill="auto"/>
            <w:vAlign w:val="center"/>
          </w:tcPr>
          <w:p w14:paraId="365BE62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多媒体服务器</w:t>
            </w:r>
          </w:p>
        </w:tc>
        <w:tc>
          <w:tcPr>
            <w:tcW w:w="232" w:type="pct"/>
            <w:shd w:val="clear" w:color="auto" w:fill="auto"/>
            <w:vAlign w:val="center"/>
          </w:tcPr>
          <w:p w14:paraId="0DC167F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A7C8F4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A38A21B">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1.19英寸标准机架安装，金属结构机箱，外壳防护等级符合IP20要求；</w:t>
            </w:r>
          </w:p>
          <w:p w14:paraId="4580937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2.X86嵌入式系统架构，内存≥16G、硬盘≥250G SSD；</w:t>
            </w:r>
          </w:p>
          <w:p w14:paraId="5596F7A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3.≥1路MIC IN、≥1路Line IN、≥1路Line OUT音频接口，支持接口扩展；</w:t>
            </w:r>
          </w:p>
          <w:p w14:paraId="05EDF29A">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4.≥3路DP独立输出，≥2路接口拼接同步显示，单路输出≥4096*2160@60Hz，拼接带载分辨率≥8192*2160@60Hz；</w:t>
            </w:r>
          </w:p>
          <w:p w14:paraId="62CBCE7C">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5.支持接口虚拟放大缩小及输出接口标记、定位输出接口位置；</w:t>
            </w:r>
          </w:p>
          <w:p w14:paraId="5F85E156">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6.支持通过平板或手机端控制软件对多媒体服务器进行播放、暂停、停止、节目切换、音量调节、黑屏等操作；</w:t>
            </w:r>
          </w:p>
          <w:p w14:paraId="1C7FDF73">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7.支持3D视频源播放输出，分辨率≥3840*1080@60Hz；</w:t>
            </w:r>
          </w:p>
          <w:p w14:paraId="533E338D">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8.支持多画面同时播放时按主计时媒体进行跳转；</w:t>
            </w:r>
          </w:p>
          <w:p w14:paraId="4E1FCC7B">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9.支持预编辑输出，可在预览编辑完成后再进行媒体素材的一键输出播放，具有切换特效及抠像功能；</w:t>
            </w:r>
          </w:p>
          <w:p w14:paraId="1A59C768">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10.支持多种媒体类型（包括但不限于图片、音频、视频、PPT、NDI媒体、采集设备、网站、流媒体、播放合集等）及多个不同规格素材同步播出；</w:t>
            </w:r>
          </w:p>
          <w:p w14:paraId="6AB996A5">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11.支持输出画面拆分重组及输出任意角度旋转；</w:t>
            </w:r>
          </w:p>
          <w:p w14:paraId="3D551D73">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12.支持对节目中任意一个媒体按区域进行画质调节、裁剪、遮罩；</w:t>
            </w:r>
          </w:p>
          <w:p w14:paraId="118A2FC3">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13.支持将多个音频媒体的声音从多个音频通道输出及音量大小的调节。</w:t>
            </w:r>
          </w:p>
        </w:tc>
      </w:tr>
      <w:tr w14:paraId="4AD05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D688C6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53</w:t>
            </w:r>
          </w:p>
        </w:tc>
        <w:tc>
          <w:tcPr>
            <w:tcW w:w="489" w:type="pct"/>
            <w:shd w:val="clear" w:color="auto" w:fill="auto"/>
            <w:vAlign w:val="center"/>
          </w:tcPr>
          <w:p w14:paraId="5EEDB8A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LED显示屏</w:t>
            </w:r>
          </w:p>
          <w:p w14:paraId="3C7AE49C">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专用配电柜1</w:t>
            </w:r>
          </w:p>
        </w:tc>
        <w:tc>
          <w:tcPr>
            <w:tcW w:w="232" w:type="pct"/>
            <w:shd w:val="clear" w:color="auto" w:fill="auto"/>
            <w:vAlign w:val="center"/>
          </w:tcPr>
          <w:p w14:paraId="0C290A3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2F591F1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431181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规格（高*宽*厚）：700*500*200mm</w:t>
            </w:r>
          </w:p>
          <w:p w14:paraId="5E21228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1.室内环境挂墙固定安装；</w:t>
            </w:r>
          </w:p>
          <w:p w14:paraId="5CF576B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2.手动控制方式：屏体一键启停；</w:t>
            </w:r>
          </w:p>
          <w:p w14:paraId="3410FE7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3.远程控制方式：多功能卡电脑控制；</w:t>
            </w:r>
          </w:p>
          <w:p w14:paraId="4C9FED4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4.通讯方式：网口、RS-232；</w:t>
            </w:r>
          </w:p>
          <w:p w14:paraId="752E2C7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5.供电方式：三相380V，三相五线制；</w:t>
            </w:r>
          </w:p>
          <w:p w14:paraId="1153511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6.输入电压：交流380V；</w:t>
            </w:r>
          </w:p>
          <w:p w14:paraId="6B56644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7.输入频率：50/60Hz；</w:t>
            </w:r>
          </w:p>
          <w:p w14:paraId="2521C13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8.输出接线方式：单相220V，3线输出，L、N、PE（火、零、地）；</w:t>
            </w:r>
          </w:p>
          <w:p w14:paraId="4AFE4BF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9.输出≥12路；</w:t>
            </w:r>
          </w:p>
          <w:p w14:paraId="7DC3B06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10.输出电压：交流220V；</w:t>
            </w:r>
          </w:p>
          <w:p w14:paraId="171698C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11.单路输出功率：每路3.3kW（MAX），均匀接入显示屏；</w:t>
            </w:r>
          </w:p>
          <w:p w14:paraId="01BCD48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12.传感器：电流电压表、温湿度传感器、烟雾传感器、亮度；</w:t>
            </w:r>
          </w:p>
          <w:p w14:paraId="7006032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13.防雷：浪涌保护器；</w:t>
            </w:r>
          </w:p>
          <w:p w14:paraId="2D1FBD7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14.防护等级：IP43（或优于）；</w:t>
            </w:r>
          </w:p>
          <w:p w14:paraId="57FBE69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15.输入电缆：YJV4*16+1*10mm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，国标铜线；</w:t>
            </w:r>
          </w:p>
          <w:p w14:paraId="525C2D47">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16.输出电缆：3*2.5mm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，国标铜线12组。</w:t>
            </w:r>
          </w:p>
        </w:tc>
      </w:tr>
      <w:tr w14:paraId="69DBD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86E49A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54</w:t>
            </w:r>
          </w:p>
        </w:tc>
        <w:tc>
          <w:tcPr>
            <w:tcW w:w="489" w:type="pct"/>
            <w:shd w:val="clear" w:color="auto" w:fill="auto"/>
            <w:vAlign w:val="center"/>
          </w:tcPr>
          <w:p w14:paraId="2A789821">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数模合并功放2</w:t>
            </w:r>
          </w:p>
        </w:tc>
        <w:tc>
          <w:tcPr>
            <w:tcW w:w="232" w:type="pct"/>
            <w:shd w:val="clear" w:color="auto" w:fill="auto"/>
            <w:vAlign w:val="center"/>
          </w:tcPr>
          <w:p w14:paraId="5508DB5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3B93BF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A965717">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同序号46</w:t>
            </w:r>
          </w:p>
        </w:tc>
      </w:tr>
      <w:tr w14:paraId="134D3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755DCD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55</w:t>
            </w:r>
          </w:p>
        </w:tc>
        <w:tc>
          <w:tcPr>
            <w:tcW w:w="489" w:type="pct"/>
            <w:shd w:val="clear" w:color="auto" w:fill="auto"/>
            <w:vAlign w:val="center"/>
          </w:tcPr>
          <w:p w14:paraId="00DB56F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二分频同轴式</w:t>
            </w:r>
          </w:p>
          <w:p w14:paraId="7CDD08BB">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天花音箱2</w:t>
            </w:r>
          </w:p>
        </w:tc>
        <w:tc>
          <w:tcPr>
            <w:tcW w:w="232" w:type="pct"/>
            <w:shd w:val="clear" w:color="auto" w:fill="auto"/>
            <w:vAlign w:val="center"/>
          </w:tcPr>
          <w:p w14:paraId="3B54A81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w:t>
            </w:r>
          </w:p>
        </w:tc>
        <w:tc>
          <w:tcPr>
            <w:tcW w:w="218" w:type="pct"/>
            <w:shd w:val="clear" w:color="auto" w:fill="auto"/>
            <w:vAlign w:val="center"/>
          </w:tcPr>
          <w:p w14:paraId="0089780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A2D10CF">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同序号47</w:t>
            </w:r>
          </w:p>
        </w:tc>
      </w:tr>
      <w:tr w14:paraId="2E386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060E63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56</w:t>
            </w:r>
          </w:p>
        </w:tc>
        <w:tc>
          <w:tcPr>
            <w:tcW w:w="489" w:type="pct"/>
            <w:shd w:val="clear" w:color="auto" w:fill="auto"/>
            <w:vAlign w:val="center"/>
          </w:tcPr>
          <w:p w14:paraId="5C5E09D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海陆协同沉浸式体验演示设备</w:t>
            </w:r>
          </w:p>
        </w:tc>
        <w:tc>
          <w:tcPr>
            <w:tcW w:w="232" w:type="pct"/>
            <w:shd w:val="clear" w:color="auto" w:fill="auto"/>
            <w:vAlign w:val="center"/>
          </w:tcPr>
          <w:p w14:paraId="0447F80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1</w:t>
            </w:r>
          </w:p>
        </w:tc>
        <w:tc>
          <w:tcPr>
            <w:tcW w:w="218" w:type="pct"/>
            <w:shd w:val="clear" w:color="auto" w:fill="auto"/>
            <w:vAlign w:val="center"/>
          </w:tcPr>
          <w:p w14:paraId="773B1EDA">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套</w:t>
            </w:r>
          </w:p>
        </w:tc>
        <w:tc>
          <w:tcPr>
            <w:tcW w:w="3864" w:type="pct"/>
            <w:shd w:val="clear" w:color="auto" w:fill="auto"/>
            <w:vAlign w:val="center"/>
          </w:tcPr>
          <w:p w14:paraId="74A27109">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2"/>
                <w:sz w:val="18"/>
                <w:szCs w:val="18"/>
                <w:highlight w:val="none"/>
                <w:u w:val="none"/>
                <w:lang w:val="en-US" w:eastAsia="zh-CN" w:bidi="ar-SA"/>
              </w:rPr>
              <w:t>1.3台风机：电机转速≥1300r/min、额定功率≥100w、档位≥4挡，与整体场景产生联动、关联音视频内容播放；</w:t>
            </w:r>
          </w:p>
          <w:p w14:paraId="0FFFDC95">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2"/>
                <w:sz w:val="18"/>
                <w:szCs w:val="18"/>
                <w:highlight w:val="none"/>
                <w:u w:val="none"/>
                <w:lang w:val="en-US" w:eastAsia="zh-CN" w:bidi="ar-SA"/>
              </w:rPr>
              <w:t>2.墙面动感灯带：宽30mm，颜色变换种类≥4种，与整体场景产生联动、关联音视频内容播放。</w:t>
            </w:r>
          </w:p>
        </w:tc>
      </w:tr>
      <w:tr w14:paraId="6B0C6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BCC3C4D">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57</w:t>
            </w:r>
          </w:p>
        </w:tc>
        <w:tc>
          <w:tcPr>
            <w:tcW w:w="489" w:type="pct"/>
            <w:shd w:val="clear" w:color="auto" w:fill="auto"/>
            <w:vAlign w:val="center"/>
          </w:tcPr>
          <w:p w14:paraId="7322836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激光投影机</w:t>
            </w:r>
          </w:p>
        </w:tc>
        <w:tc>
          <w:tcPr>
            <w:tcW w:w="232" w:type="pct"/>
            <w:shd w:val="clear" w:color="auto" w:fill="auto"/>
            <w:vAlign w:val="center"/>
          </w:tcPr>
          <w:p w14:paraId="10788FE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w:t>
            </w:r>
          </w:p>
        </w:tc>
        <w:tc>
          <w:tcPr>
            <w:tcW w:w="218" w:type="pct"/>
            <w:shd w:val="clear" w:color="auto" w:fill="auto"/>
            <w:vAlign w:val="center"/>
          </w:tcPr>
          <w:p w14:paraId="63E3CEB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782BE0B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1.芯片尺寸：0.8英寸（或优于）；</w:t>
            </w:r>
          </w:p>
          <w:p w14:paraId="018CFC4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2.宽高比：≥16:10；</w:t>
            </w:r>
          </w:p>
          <w:p w14:paraId="0E2BF10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3.显示方式：DLP芯片*1；</w:t>
            </w:r>
          </w:p>
          <w:p w14:paraId="7BCDA46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4.物理分辨率：≥1920*1200；</w:t>
            </w:r>
          </w:p>
          <w:p w14:paraId="7E93860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5.亮度</w:t>
            </w:r>
          </w:p>
          <w:p w14:paraId="2838E68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5.1 ISO 21118：≥6500lm；</w:t>
            </w:r>
          </w:p>
          <w:p w14:paraId="2E9BCAE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5.2 中心：≥6750lm。</w:t>
            </w:r>
          </w:p>
          <w:p w14:paraId="4CEF6C8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6.动态对比度：≥5000000:1；</w:t>
            </w:r>
          </w:p>
          <w:p w14:paraId="402E4BE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7.静态对比度（标准镜头）：≥1500:1；</w:t>
            </w:r>
          </w:p>
          <w:p w14:paraId="63082A2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8.JBMA均匀度：≥90%；</w:t>
            </w:r>
          </w:p>
          <w:p w14:paraId="1C0E157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9.光源：SLPL激光二级管光源，高亮度下≥20000小时、节能模式下≥25000小时；</w:t>
            </w:r>
          </w:p>
          <w:p w14:paraId="4884123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10.投射比：1.2~1.56:1（或优于）；</w:t>
            </w:r>
          </w:p>
          <w:p w14:paraId="172DCE2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11.变焦倍率：1.3（或优于）；</w:t>
            </w:r>
          </w:p>
          <w:p w14:paraId="7A85AB2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12.位移范围：垂直±40%、左右±20%；</w:t>
            </w:r>
          </w:p>
          <w:p w14:paraId="48764DC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13.梯形调整：±30°；</w:t>
            </w:r>
          </w:p>
          <w:p w14:paraId="3429D9F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14.支持分辨率：最高4K；</w:t>
            </w:r>
          </w:p>
          <w:p w14:paraId="589A93A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15.整机功耗：≤450W±10%；</w:t>
            </w:r>
          </w:p>
          <w:p w14:paraId="5A6039E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16.待机功耗：＜0.5W；</w:t>
            </w:r>
          </w:p>
          <w:p w14:paraId="78EC07A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17.输入接口（最低要求）：VGA IN*1、AUDIO IN*1、HDMI*2、HD-BASET*1、USB-A*2；</w:t>
            </w:r>
          </w:p>
          <w:p w14:paraId="7251635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18.输出接口（最低要求）：VGA OUT*1、AUDIO OUT（mini-jack 3.5mm）*1、3D SYNC OUT*1；</w:t>
            </w:r>
          </w:p>
          <w:p w14:paraId="4BC3709D">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19.控制接口（最低要求）：RS-232 input*1、LAN网络接口（RJ45）*1、USB-A（5V）*1、USB（Type mini 烧录FW）*1。</w:t>
            </w:r>
          </w:p>
        </w:tc>
      </w:tr>
      <w:tr w14:paraId="51D31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5C8E7D8">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58</w:t>
            </w:r>
          </w:p>
        </w:tc>
        <w:tc>
          <w:tcPr>
            <w:tcW w:w="489" w:type="pct"/>
            <w:shd w:val="clear" w:color="auto" w:fill="auto"/>
            <w:vAlign w:val="center"/>
          </w:tcPr>
          <w:p w14:paraId="2F690F6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短焦镜头</w:t>
            </w:r>
          </w:p>
        </w:tc>
        <w:tc>
          <w:tcPr>
            <w:tcW w:w="232" w:type="pct"/>
            <w:shd w:val="clear" w:color="auto" w:fill="auto"/>
            <w:vAlign w:val="center"/>
          </w:tcPr>
          <w:p w14:paraId="13F33DE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w:t>
            </w:r>
          </w:p>
        </w:tc>
        <w:tc>
          <w:tcPr>
            <w:tcW w:w="218" w:type="pct"/>
            <w:shd w:val="clear" w:color="auto" w:fill="auto"/>
            <w:vAlign w:val="center"/>
          </w:tcPr>
          <w:p w14:paraId="6986436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905DBB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投射比0.58:1</w:t>
            </w:r>
          </w:p>
        </w:tc>
      </w:tr>
      <w:tr w14:paraId="228CD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D8BF1A5">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59</w:t>
            </w:r>
          </w:p>
        </w:tc>
        <w:tc>
          <w:tcPr>
            <w:tcW w:w="489" w:type="pct"/>
            <w:shd w:val="clear" w:color="auto" w:fill="auto"/>
            <w:vAlign w:val="center"/>
          </w:tcPr>
          <w:p w14:paraId="2F902AE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投影机工程吊架</w:t>
            </w:r>
          </w:p>
        </w:tc>
        <w:tc>
          <w:tcPr>
            <w:tcW w:w="232" w:type="pct"/>
            <w:shd w:val="clear" w:color="auto" w:fill="auto"/>
            <w:vAlign w:val="center"/>
          </w:tcPr>
          <w:p w14:paraId="2E02629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w:t>
            </w:r>
          </w:p>
        </w:tc>
        <w:tc>
          <w:tcPr>
            <w:tcW w:w="218" w:type="pct"/>
            <w:shd w:val="clear" w:color="auto" w:fill="auto"/>
            <w:vAlign w:val="center"/>
          </w:tcPr>
          <w:p w14:paraId="3AC2EE6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副</w:t>
            </w:r>
          </w:p>
        </w:tc>
        <w:tc>
          <w:tcPr>
            <w:tcW w:w="3864" w:type="pct"/>
            <w:shd w:val="clear" w:color="auto" w:fill="auto"/>
            <w:vAlign w:val="center"/>
          </w:tcPr>
          <w:p w14:paraId="2CC8303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优质碳钢材质，承重≥45kg，可调上下倾仰角-15°~+15°、左右转角-15°~+15°。</w:t>
            </w:r>
          </w:p>
        </w:tc>
      </w:tr>
      <w:tr w14:paraId="5C1B2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82AC992">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60</w:t>
            </w:r>
          </w:p>
        </w:tc>
        <w:tc>
          <w:tcPr>
            <w:tcW w:w="489" w:type="pct"/>
            <w:shd w:val="clear" w:color="auto" w:fill="auto"/>
            <w:vAlign w:val="center"/>
          </w:tcPr>
          <w:p w14:paraId="51F6233E">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工控主机3</w:t>
            </w:r>
          </w:p>
        </w:tc>
        <w:tc>
          <w:tcPr>
            <w:tcW w:w="232" w:type="pct"/>
            <w:shd w:val="clear" w:color="auto" w:fill="auto"/>
            <w:vAlign w:val="center"/>
          </w:tcPr>
          <w:p w14:paraId="64B41FC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D2E892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86EB611">
            <w:pPr>
              <w:widowControl/>
              <w:adjustRightInd w:val="0"/>
              <w:snapToGrid w:val="0"/>
              <w:jc w:val="center"/>
              <w:textAlignment w:val="center"/>
              <w:rPr>
                <w:rFonts w:hint="eastAsia"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color w:val="auto"/>
                <w:kern w:val="0"/>
                <w:sz w:val="18"/>
                <w:szCs w:val="18"/>
                <w:highlight w:val="none"/>
                <w:lang w:bidi="ar"/>
              </w:rPr>
              <w:t>最低要求：</w:t>
            </w:r>
            <w:r>
              <w:rPr>
                <w:rFonts w:hint="eastAsia" w:ascii="仿宋" w:hAnsi="仿宋" w:eastAsia="仿宋" w:cs="仿宋"/>
                <w:color w:val="auto"/>
                <w:kern w:val="0"/>
                <w:sz w:val="18"/>
                <w:szCs w:val="18"/>
                <w:highlight w:val="none"/>
                <w:shd w:val="clear" w:color="auto" w:fill="FFFFFF" w:themeFill="background1"/>
                <w:lang w:bidi="ar"/>
              </w:rPr>
              <w:t>海光3350处理器、16G内存、256G</w:t>
            </w:r>
            <w:r>
              <w:rPr>
                <w:rFonts w:hint="eastAsia" w:ascii="仿宋" w:hAnsi="仿宋" w:eastAsia="仿宋" w:cs="仿宋"/>
                <w:color w:val="auto"/>
                <w:kern w:val="0"/>
                <w:sz w:val="18"/>
                <w:szCs w:val="18"/>
                <w:highlight w:val="none"/>
                <w:shd w:val="clear" w:color="auto" w:fill="FFFFFF" w:themeFill="background1"/>
                <w:lang w:val="en-US" w:eastAsia="zh-CN" w:bidi="ar"/>
              </w:rPr>
              <w:t xml:space="preserve"> SSD</w:t>
            </w:r>
            <w:r>
              <w:rPr>
                <w:rFonts w:hint="eastAsia" w:ascii="仿宋" w:hAnsi="仿宋" w:eastAsia="仿宋" w:cs="仿宋"/>
                <w:color w:val="auto"/>
                <w:kern w:val="0"/>
                <w:sz w:val="18"/>
                <w:szCs w:val="18"/>
                <w:highlight w:val="none"/>
                <w:shd w:val="clear" w:color="auto" w:fill="FFFFFF" w:themeFill="background1"/>
                <w:lang w:bidi="ar"/>
              </w:rPr>
              <w:t>、12G独显</w:t>
            </w:r>
            <w:r>
              <w:rPr>
                <w:rFonts w:hint="eastAsia" w:ascii="仿宋" w:hAnsi="仿宋" w:eastAsia="仿宋" w:cs="仿宋"/>
                <w:color w:val="auto"/>
                <w:kern w:val="0"/>
                <w:sz w:val="18"/>
                <w:szCs w:val="18"/>
                <w:highlight w:val="none"/>
                <w:shd w:val="clear" w:color="auto" w:fill="FFFFFF" w:themeFill="background1"/>
                <w:lang w:val="en-US" w:eastAsia="zh-CN" w:bidi="ar"/>
              </w:rPr>
              <w:t>（</w:t>
            </w:r>
            <w:r>
              <w:rPr>
                <w:rFonts w:hint="eastAsia" w:ascii="仿宋" w:hAnsi="仿宋" w:eastAsia="仿宋" w:cs="仿宋"/>
                <w:color w:val="auto"/>
                <w:kern w:val="0"/>
                <w:sz w:val="18"/>
                <w:szCs w:val="18"/>
                <w:highlight w:val="none"/>
                <w:shd w:val="clear" w:color="auto" w:fill="FFFFFF" w:themeFill="background1"/>
                <w:lang w:bidi="ar"/>
              </w:rPr>
              <w:t>显存位宽192Bit</w:t>
            </w:r>
            <w:r>
              <w:rPr>
                <w:rFonts w:hint="eastAsia" w:ascii="仿宋" w:hAnsi="仿宋" w:eastAsia="仿宋" w:cs="仿宋"/>
                <w:color w:val="auto"/>
                <w:kern w:val="0"/>
                <w:sz w:val="18"/>
                <w:szCs w:val="18"/>
                <w:highlight w:val="none"/>
                <w:shd w:val="clear" w:color="auto" w:fill="FFFFFF" w:themeFill="background1"/>
                <w:lang w:eastAsia="zh-CN" w:bidi="ar"/>
              </w:rPr>
              <w:t>）、</w:t>
            </w:r>
            <w:r>
              <w:rPr>
                <w:rFonts w:hint="eastAsia" w:ascii="仿宋" w:hAnsi="仿宋" w:eastAsia="仿宋" w:cs="仿宋"/>
                <w:color w:val="auto"/>
                <w:kern w:val="0"/>
                <w:sz w:val="18"/>
                <w:szCs w:val="18"/>
                <w:highlight w:val="none"/>
                <w:shd w:val="clear" w:color="auto" w:fill="FFFFFF" w:themeFill="background1"/>
                <w:lang w:val="en-US" w:eastAsia="zh-CN" w:bidi="ar"/>
              </w:rPr>
              <w:t>6</w:t>
            </w:r>
            <w:r>
              <w:rPr>
                <w:rFonts w:hint="eastAsia" w:ascii="仿宋" w:hAnsi="仿宋" w:eastAsia="仿宋" w:cs="仿宋"/>
                <w:color w:val="auto"/>
                <w:kern w:val="0"/>
                <w:sz w:val="18"/>
                <w:szCs w:val="18"/>
                <w:highlight w:val="none"/>
                <w:shd w:val="clear" w:color="auto" w:fill="FFFFFF" w:themeFill="background1"/>
                <w:lang w:eastAsia="zh-CN" w:bidi="ar"/>
              </w:rPr>
              <w:t>50W电源、</w:t>
            </w:r>
            <w:r>
              <w:rPr>
                <w:rFonts w:hint="eastAsia" w:ascii="仿宋" w:hAnsi="仿宋" w:eastAsia="仿宋" w:cs="仿宋"/>
                <w:color w:val="auto"/>
                <w:kern w:val="0"/>
                <w:sz w:val="18"/>
                <w:szCs w:val="18"/>
                <w:highlight w:val="none"/>
                <w:shd w:val="clear" w:color="auto" w:fill="FFFFFF" w:themeFill="background1"/>
                <w:lang w:bidi="ar"/>
              </w:rPr>
              <w:t>统信</w:t>
            </w:r>
            <w:r>
              <w:rPr>
                <w:rFonts w:hint="eastAsia" w:ascii="仿宋" w:hAnsi="仿宋" w:eastAsia="仿宋" w:cs="仿宋"/>
                <w:color w:val="auto"/>
                <w:kern w:val="0"/>
                <w:sz w:val="18"/>
                <w:szCs w:val="18"/>
                <w:highlight w:val="none"/>
                <w:shd w:val="clear" w:color="auto" w:fill="FFFFFF" w:themeFill="background1"/>
                <w:lang w:val="en-US" w:eastAsia="zh-CN" w:bidi="ar"/>
              </w:rPr>
              <w:t>操作</w:t>
            </w:r>
            <w:r>
              <w:rPr>
                <w:rFonts w:hint="eastAsia" w:ascii="仿宋" w:hAnsi="仿宋" w:eastAsia="仿宋" w:cs="仿宋"/>
                <w:color w:val="auto"/>
                <w:kern w:val="0"/>
                <w:sz w:val="18"/>
                <w:szCs w:val="18"/>
                <w:highlight w:val="none"/>
                <w:shd w:val="clear" w:color="auto" w:fill="FFFFFF" w:themeFill="background1"/>
                <w:lang w:bidi="ar"/>
              </w:rPr>
              <w:t>系统</w:t>
            </w:r>
          </w:p>
        </w:tc>
      </w:tr>
      <w:tr w14:paraId="6D0DC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2B13E72">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61</w:t>
            </w:r>
          </w:p>
        </w:tc>
        <w:tc>
          <w:tcPr>
            <w:tcW w:w="489" w:type="pct"/>
            <w:shd w:val="clear" w:color="auto" w:fill="auto"/>
            <w:vAlign w:val="center"/>
          </w:tcPr>
          <w:p w14:paraId="1CC5A38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融合软件</w:t>
            </w:r>
          </w:p>
        </w:tc>
        <w:tc>
          <w:tcPr>
            <w:tcW w:w="232" w:type="pct"/>
            <w:shd w:val="clear" w:color="auto" w:fill="auto"/>
            <w:vAlign w:val="center"/>
          </w:tcPr>
          <w:p w14:paraId="20E8DFE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w:t>
            </w:r>
          </w:p>
        </w:tc>
        <w:tc>
          <w:tcPr>
            <w:tcW w:w="218" w:type="pct"/>
            <w:shd w:val="clear" w:color="auto" w:fill="auto"/>
            <w:vAlign w:val="center"/>
          </w:tcPr>
          <w:p w14:paraId="3B8A8F1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通道</w:t>
            </w:r>
          </w:p>
        </w:tc>
        <w:tc>
          <w:tcPr>
            <w:tcW w:w="3864" w:type="pct"/>
            <w:shd w:val="clear" w:color="auto" w:fill="auto"/>
            <w:vAlign w:val="center"/>
          </w:tcPr>
          <w:p w14:paraId="1186685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1.具有视频融合模式和基于NVAPI及WinDWM模式下的桌面融合功能；</w:t>
            </w:r>
          </w:p>
          <w:p w14:paraId="1F92DB3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2.能组合超大屏配合雷达互动、系统仿真等行业应用场景；</w:t>
            </w:r>
          </w:p>
          <w:p w14:paraId="257A86A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3.支持常见H264/265编码的1080p~8K视频及JPG、TIFF图片的流畅播放解码；</w:t>
            </w:r>
          </w:p>
          <w:p w14:paraId="2321CB8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4.支持NVida硬件解码器和基于GPU加速渲染解码的超高分辨率HAP编码视频的流畅解码播放；</w:t>
            </w:r>
          </w:p>
          <w:p w14:paraId="24253833">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5.播放核心支持基于HLS的网络流解码输出。</w:t>
            </w:r>
          </w:p>
        </w:tc>
      </w:tr>
      <w:tr w14:paraId="43E6E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9BA24A7">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62</w:t>
            </w:r>
          </w:p>
        </w:tc>
        <w:tc>
          <w:tcPr>
            <w:tcW w:w="489" w:type="pct"/>
            <w:shd w:val="clear" w:color="auto" w:fill="auto"/>
            <w:vAlign w:val="center"/>
          </w:tcPr>
          <w:p w14:paraId="5044B78C">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多屏宝2</w:t>
            </w:r>
          </w:p>
        </w:tc>
        <w:tc>
          <w:tcPr>
            <w:tcW w:w="232" w:type="pct"/>
            <w:shd w:val="clear" w:color="auto" w:fill="auto"/>
            <w:vAlign w:val="center"/>
          </w:tcPr>
          <w:p w14:paraId="6F22688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581E8E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617045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1.输入接口</w:t>
            </w:r>
          </w:p>
          <w:p w14:paraId="672C090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 最低要求：HDMI 2.0*2或DP 1.2*2；</w:t>
            </w:r>
          </w:p>
          <w:p w14:paraId="7186943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 支持HDCP 2.2；</w:t>
            </w:r>
          </w:p>
          <w:p w14:paraId="25EAF90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 最高视频像素频率：≥600MHz；</w:t>
            </w:r>
          </w:p>
          <w:p w14:paraId="6102011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 支持分辨率：最高≥15360*1200@60hz（向下兼容）；</w:t>
            </w:r>
          </w:p>
          <w:p w14:paraId="080206C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 色彩深度≥24bit，RGB444。</w:t>
            </w:r>
          </w:p>
          <w:p w14:paraId="1B11DD2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2.输出接口</w:t>
            </w:r>
          </w:p>
          <w:p w14:paraId="209D59B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2.1 最低要求：HDMI 1.3*8；</w:t>
            </w:r>
          </w:p>
          <w:p w14:paraId="237F986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 最高视频像素频率：≥165MHz；</w:t>
            </w:r>
          </w:p>
          <w:p w14:paraId="03C4F97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2.3 支持分辨率：最高8*1920*1200@60Hz（向下兼容）；</w:t>
            </w:r>
          </w:p>
          <w:p w14:paraId="6D96EEFA">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2.4 色彩深度≥24bit，RGB444。</w:t>
            </w:r>
          </w:p>
        </w:tc>
      </w:tr>
      <w:tr w14:paraId="2477C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902960C">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63</w:t>
            </w:r>
          </w:p>
        </w:tc>
        <w:tc>
          <w:tcPr>
            <w:tcW w:w="489" w:type="pct"/>
            <w:shd w:val="clear" w:color="auto" w:fill="auto"/>
            <w:vAlign w:val="center"/>
          </w:tcPr>
          <w:p w14:paraId="01E5A64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海陆协同</w:t>
            </w:r>
          </w:p>
          <w:p w14:paraId="28B78E0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演示系统</w:t>
            </w:r>
          </w:p>
        </w:tc>
        <w:tc>
          <w:tcPr>
            <w:tcW w:w="232" w:type="pct"/>
            <w:shd w:val="clear" w:color="auto" w:fill="auto"/>
            <w:vAlign w:val="center"/>
          </w:tcPr>
          <w:p w14:paraId="069E013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6BB82CDA">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65CBCCB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1.投影地面显示海上能源岛氛围；</w:t>
            </w:r>
          </w:p>
          <w:p w14:paraId="3D75E75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2.LED屏幕显示海陆协同运行模式，同时与沙盘、墙面灯带、环境吹风系统等机械装置联动，全方位立体演示海陆协同的能源采集、传输、消纳流程；</w:t>
            </w:r>
          </w:p>
        </w:tc>
      </w:tr>
      <w:tr w14:paraId="1507F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617" w:type="dxa"/>
            <w:shd w:val="clear" w:color="auto" w:fill="auto"/>
            <w:vAlign w:val="center"/>
          </w:tcPr>
          <w:p w14:paraId="62E49F2F">
            <w:pPr>
              <w:widowControl/>
              <w:adjustRightInd w:val="0"/>
              <w:snapToGrid w:val="0"/>
              <w:jc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color w:val="auto"/>
                <w:kern w:val="0"/>
                <w:sz w:val="18"/>
                <w:szCs w:val="18"/>
                <w:lang w:bidi="ar"/>
              </w:rPr>
              <w:t>64</w:t>
            </w:r>
          </w:p>
        </w:tc>
        <w:tc>
          <w:tcPr>
            <w:tcW w:w="1556" w:type="dxa"/>
            <w:shd w:val="clear" w:color="auto" w:fill="auto"/>
            <w:vAlign w:val="center"/>
          </w:tcPr>
          <w:p w14:paraId="75EB9FBC">
            <w:pPr>
              <w:widowControl/>
              <w:adjustRightInd w:val="0"/>
              <w:snapToGrid w:val="0"/>
              <w:jc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color w:val="auto"/>
                <w:kern w:val="0"/>
                <w:sz w:val="18"/>
                <w:szCs w:val="18"/>
                <w:lang w:bidi="ar"/>
              </w:rPr>
              <w:t>深度传感器相机</w:t>
            </w:r>
          </w:p>
        </w:tc>
        <w:tc>
          <w:tcPr>
            <w:tcW w:w="738" w:type="dxa"/>
            <w:shd w:val="clear" w:color="auto" w:fill="auto"/>
            <w:vAlign w:val="center"/>
          </w:tcPr>
          <w:p w14:paraId="4DD9A97E">
            <w:pPr>
              <w:widowControl/>
              <w:adjustRightInd w:val="0"/>
              <w:snapToGrid w:val="0"/>
              <w:jc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color w:val="auto"/>
                <w:kern w:val="0"/>
                <w:sz w:val="18"/>
                <w:szCs w:val="18"/>
                <w:lang w:bidi="ar"/>
              </w:rPr>
              <w:t>1</w:t>
            </w:r>
          </w:p>
        </w:tc>
        <w:tc>
          <w:tcPr>
            <w:tcW w:w="694" w:type="dxa"/>
            <w:shd w:val="clear" w:color="auto" w:fill="auto"/>
            <w:vAlign w:val="center"/>
          </w:tcPr>
          <w:p w14:paraId="1B38AAD6">
            <w:pPr>
              <w:widowControl/>
              <w:adjustRightInd w:val="0"/>
              <w:snapToGrid w:val="0"/>
              <w:jc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color w:val="auto"/>
                <w:kern w:val="0"/>
                <w:sz w:val="18"/>
                <w:szCs w:val="18"/>
                <w:lang w:bidi="ar"/>
              </w:rPr>
              <w:t>套</w:t>
            </w:r>
          </w:p>
        </w:tc>
        <w:tc>
          <w:tcPr>
            <w:tcW w:w="12304" w:type="dxa"/>
            <w:shd w:val="clear" w:color="auto" w:fill="auto"/>
            <w:vAlign w:val="center"/>
          </w:tcPr>
          <w:p w14:paraId="3179C883">
            <w:pPr>
              <w:widowControl/>
              <w:adjustRightInd w:val="0"/>
              <w:snapToGrid w:val="0"/>
              <w:jc w:val="left"/>
              <w:rPr>
                <w:rFonts w:hint="eastAsia" w:ascii="仿宋" w:hAnsi="仿宋" w:eastAsia="仿宋" w:cs="仿宋"/>
                <w:color w:val="auto"/>
                <w:kern w:val="0"/>
                <w:sz w:val="18"/>
                <w:szCs w:val="18"/>
                <w:lang w:bidi="ar"/>
              </w:rPr>
            </w:pPr>
            <w:r>
              <w:rPr>
                <w:rFonts w:hint="eastAsia" w:ascii="仿宋" w:hAnsi="仿宋" w:eastAsia="仿宋" w:cs="仿宋"/>
                <w:color w:val="auto"/>
                <w:kern w:val="0"/>
                <w:sz w:val="18"/>
                <w:szCs w:val="18"/>
                <w:lang w:bidi="ar"/>
              </w:rPr>
              <w:t>1.自动对焦；</w:t>
            </w:r>
          </w:p>
          <w:p w14:paraId="50119D2A">
            <w:pPr>
              <w:widowControl/>
              <w:adjustRightInd w:val="0"/>
              <w:snapToGrid w:val="0"/>
              <w:jc w:val="left"/>
              <w:rPr>
                <w:rFonts w:hint="eastAsia" w:ascii="仿宋" w:hAnsi="仿宋" w:eastAsia="仿宋" w:cs="仿宋"/>
                <w:color w:val="auto"/>
                <w:kern w:val="0"/>
                <w:sz w:val="18"/>
                <w:szCs w:val="18"/>
                <w:lang w:bidi="ar"/>
              </w:rPr>
            </w:pPr>
            <w:r>
              <w:rPr>
                <w:rFonts w:hint="eastAsia" w:ascii="仿宋" w:hAnsi="仿宋" w:eastAsia="仿宋" w:cs="仿宋"/>
                <w:color w:val="auto"/>
                <w:kern w:val="0"/>
                <w:sz w:val="18"/>
                <w:szCs w:val="18"/>
                <w:lang w:bidi="ar"/>
              </w:rPr>
              <w:t>2.广角；</w:t>
            </w:r>
          </w:p>
          <w:p w14:paraId="557453FB">
            <w:pPr>
              <w:widowControl/>
              <w:adjustRightInd w:val="0"/>
              <w:snapToGrid w:val="0"/>
              <w:jc w:val="left"/>
              <w:rPr>
                <w:rFonts w:hint="eastAsia" w:ascii="仿宋" w:hAnsi="仿宋" w:eastAsia="仿宋" w:cs="仿宋"/>
                <w:color w:val="auto"/>
                <w:kern w:val="0"/>
                <w:sz w:val="18"/>
                <w:szCs w:val="18"/>
                <w:lang w:eastAsia="zh-CN" w:bidi="ar"/>
              </w:rPr>
            </w:pPr>
            <w:r>
              <w:rPr>
                <w:rFonts w:hint="eastAsia" w:ascii="仿宋" w:hAnsi="仿宋" w:eastAsia="仿宋" w:cs="仿宋"/>
                <w:color w:val="auto"/>
                <w:kern w:val="0"/>
                <w:sz w:val="18"/>
                <w:szCs w:val="18"/>
                <w:lang w:bidi="ar"/>
              </w:rPr>
              <w:t>3.深度摄像头：</w:t>
            </w:r>
            <w:r>
              <w:rPr>
                <w:rFonts w:hint="eastAsia" w:ascii="仿宋" w:hAnsi="仿宋" w:eastAsia="仿宋" w:cs="仿宋"/>
                <w:b w:val="0"/>
                <w:bCs w:val="0"/>
                <w:i w:val="0"/>
                <w:iCs w:val="0"/>
                <w:color w:val="auto"/>
                <w:kern w:val="0"/>
                <w:sz w:val="18"/>
                <w:szCs w:val="18"/>
                <w:u w:val="none"/>
                <w:lang w:val="en-US" w:eastAsia="zh-CN" w:bidi="ar"/>
              </w:rPr>
              <w:t>≥</w:t>
            </w:r>
            <w:r>
              <w:rPr>
                <w:rFonts w:hint="eastAsia" w:ascii="仿宋" w:hAnsi="仿宋" w:eastAsia="仿宋" w:cs="仿宋"/>
                <w:color w:val="auto"/>
                <w:kern w:val="0"/>
                <w:sz w:val="18"/>
                <w:szCs w:val="18"/>
                <w:lang w:bidi="ar"/>
              </w:rPr>
              <w:t>100万像素ToF</w:t>
            </w:r>
            <w:r>
              <w:rPr>
                <w:rFonts w:hint="eastAsia" w:ascii="仿宋" w:hAnsi="仿宋" w:eastAsia="仿宋" w:cs="仿宋"/>
                <w:color w:val="auto"/>
                <w:kern w:val="0"/>
                <w:sz w:val="18"/>
                <w:szCs w:val="18"/>
                <w:lang w:eastAsia="zh-CN" w:bidi="ar"/>
              </w:rPr>
              <w:t>；</w:t>
            </w:r>
          </w:p>
          <w:p w14:paraId="62018060">
            <w:pPr>
              <w:widowControl/>
              <w:adjustRightInd w:val="0"/>
              <w:snapToGrid w:val="0"/>
              <w:jc w:val="left"/>
              <w:rPr>
                <w:rFonts w:hint="eastAsia" w:ascii="仿宋" w:hAnsi="仿宋" w:eastAsia="仿宋" w:cs="仿宋"/>
                <w:color w:val="auto"/>
                <w:kern w:val="0"/>
                <w:sz w:val="18"/>
                <w:szCs w:val="18"/>
                <w:lang w:eastAsia="zh-CN" w:bidi="ar"/>
              </w:rPr>
            </w:pPr>
            <w:r>
              <w:rPr>
                <w:rFonts w:hint="eastAsia" w:ascii="仿宋" w:hAnsi="仿宋" w:eastAsia="仿宋" w:cs="仿宋"/>
                <w:color w:val="auto"/>
                <w:kern w:val="0"/>
                <w:sz w:val="18"/>
                <w:szCs w:val="18"/>
                <w:lang w:bidi="ar"/>
              </w:rPr>
              <w:t>4.RGB摄像头：</w:t>
            </w:r>
            <w:r>
              <w:rPr>
                <w:rFonts w:hint="eastAsia" w:ascii="仿宋" w:hAnsi="仿宋" w:eastAsia="仿宋" w:cs="仿宋"/>
                <w:b w:val="0"/>
                <w:bCs w:val="0"/>
                <w:i w:val="0"/>
                <w:iCs w:val="0"/>
                <w:color w:val="auto"/>
                <w:kern w:val="0"/>
                <w:sz w:val="18"/>
                <w:szCs w:val="18"/>
                <w:u w:val="none"/>
                <w:lang w:val="en-US" w:eastAsia="zh-CN" w:bidi="ar"/>
              </w:rPr>
              <w:t>≥</w:t>
            </w:r>
            <w:r>
              <w:rPr>
                <w:rFonts w:hint="eastAsia" w:ascii="仿宋" w:hAnsi="仿宋" w:eastAsia="仿宋" w:cs="仿宋"/>
                <w:color w:val="auto"/>
                <w:kern w:val="0"/>
                <w:sz w:val="18"/>
                <w:szCs w:val="18"/>
                <w:lang w:bidi="ar"/>
              </w:rPr>
              <w:t>1200万像素，卷帘快门CMOS传感器</w:t>
            </w:r>
            <w:r>
              <w:rPr>
                <w:rFonts w:hint="eastAsia" w:ascii="仿宋" w:hAnsi="仿宋" w:eastAsia="仿宋" w:cs="仿宋"/>
                <w:color w:val="auto"/>
                <w:kern w:val="0"/>
                <w:sz w:val="18"/>
                <w:szCs w:val="18"/>
                <w:lang w:eastAsia="zh-CN" w:bidi="ar"/>
              </w:rPr>
              <w:t>；</w:t>
            </w:r>
          </w:p>
          <w:p w14:paraId="23027DD0">
            <w:pPr>
              <w:widowControl/>
              <w:adjustRightInd w:val="0"/>
              <w:snapToGrid w:val="0"/>
              <w:jc w:val="left"/>
              <w:rPr>
                <w:rFonts w:hint="eastAsia" w:ascii="仿宋" w:hAnsi="仿宋" w:eastAsia="仿宋" w:cs="仿宋"/>
                <w:color w:val="auto"/>
                <w:kern w:val="0"/>
                <w:sz w:val="18"/>
                <w:szCs w:val="18"/>
                <w:lang w:eastAsia="zh-CN" w:bidi="ar"/>
              </w:rPr>
            </w:pPr>
            <w:r>
              <w:rPr>
                <w:rFonts w:hint="eastAsia" w:ascii="仿宋" w:hAnsi="仿宋" w:eastAsia="仿宋" w:cs="仿宋"/>
                <w:color w:val="auto"/>
                <w:kern w:val="0"/>
                <w:sz w:val="18"/>
                <w:szCs w:val="18"/>
                <w:lang w:bidi="ar"/>
              </w:rPr>
              <w:t>5.IMU：3D电子加速度计和3D电子陀螺仪</w:t>
            </w:r>
            <w:r>
              <w:rPr>
                <w:rFonts w:hint="eastAsia" w:ascii="仿宋" w:hAnsi="仿宋" w:eastAsia="仿宋" w:cs="仿宋"/>
                <w:color w:val="auto"/>
                <w:kern w:val="0"/>
                <w:sz w:val="18"/>
                <w:szCs w:val="18"/>
                <w:lang w:eastAsia="zh-CN" w:bidi="ar"/>
              </w:rPr>
              <w:t>；</w:t>
            </w:r>
          </w:p>
          <w:p w14:paraId="34B91F2D">
            <w:pPr>
              <w:widowControl/>
              <w:adjustRightInd w:val="0"/>
              <w:snapToGrid w:val="0"/>
              <w:jc w:val="left"/>
              <w:rPr>
                <w:rFonts w:hint="eastAsia" w:ascii="仿宋" w:hAnsi="仿宋" w:eastAsia="仿宋" w:cs="仿宋"/>
                <w:color w:val="auto"/>
                <w:kern w:val="0"/>
                <w:sz w:val="18"/>
                <w:szCs w:val="18"/>
                <w:lang w:eastAsia="zh-CN" w:bidi="ar"/>
              </w:rPr>
            </w:pPr>
            <w:r>
              <w:rPr>
                <w:rFonts w:hint="eastAsia" w:ascii="仿宋" w:hAnsi="仿宋" w:eastAsia="仿宋" w:cs="仿宋"/>
                <w:color w:val="auto"/>
                <w:kern w:val="0"/>
                <w:sz w:val="18"/>
                <w:szCs w:val="18"/>
                <w:lang w:bidi="ar"/>
              </w:rPr>
              <w:t>6.七麦克风圆形阵列</w:t>
            </w:r>
            <w:r>
              <w:rPr>
                <w:rFonts w:hint="eastAsia" w:ascii="仿宋" w:hAnsi="仿宋" w:eastAsia="仿宋" w:cs="仿宋"/>
                <w:color w:val="auto"/>
                <w:kern w:val="0"/>
                <w:sz w:val="18"/>
                <w:szCs w:val="18"/>
                <w:lang w:eastAsia="zh-CN" w:bidi="ar"/>
              </w:rPr>
              <w:t>；</w:t>
            </w:r>
          </w:p>
          <w:p w14:paraId="436FABE7">
            <w:pPr>
              <w:widowControl/>
              <w:adjustRightInd w:val="0"/>
              <w:snapToGrid w:val="0"/>
              <w:jc w:val="left"/>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color w:val="auto"/>
                <w:kern w:val="0"/>
                <w:sz w:val="18"/>
                <w:szCs w:val="18"/>
                <w:lang w:val="en-US" w:eastAsia="zh-CN" w:bidi="ar"/>
              </w:rPr>
              <w:t>7.</w:t>
            </w:r>
            <w:r>
              <w:rPr>
                <w:rFonts w:hint="eastAsia" w:ascii="仿宋" w:hAnsi="仿宋" w:eastAsia="仿宋" w:cs="仿宋"/>
                <w:color w:val="auto"/>
                <w:kern w:val="0"/>
                <w:sz w:val="18"/>
                <w:szCs w:val="18"/>
                <w:lang w:bidi="ar"/>
              </w:rPr>
              <w:t>USB-C数据接口</w:t>
            </w:r>
            <w:r>
              <w:rPr>
                <w:rFonts w:hint="eastAsia" w:ascii="仿宋" w:hAnsi="仿宋" w:eastAsia="仿宋" w:cs="仿宋"/>
                <w:color w:val="auto"/>
                <w:kern w:val="0"/>
                <w:sz w:val="18"/>
                <w:szCs w:val="18"/>
                <w:lang w:eastAsia="zh-CN" w:bidi="ar"/>
              </w:rPr>
              <w:t>。</w:t>
            </w:r>
          </w:p>
        </w:tc>
      </w:tr>
      <w:tr w14:paraId="7B017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279FDE8">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65</w:t>
            </w:r>
          </w:p>
        </w:tc>
        <w:tc>
          <w:tcPr>
            <w:tcW w:w="489" w:type="pct"/>
            <w:shd w:val="clear" w:color="auto" w:fill="auto"/>
            <w:vAlign w:val="center"/>
          </w:tcPr>
          <w:p w14:paraId="4E374AF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55寸立式</w:t>
            </w:r>
          </w:p>
          <w:p w14:paraId="50AB4A3A">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互动打印设备</w:t>
            </w:r>
          </w:p>
        </w:tc>
        <w:tc>
          <w:tcPr>
            <w:tcW w:w="232" w:type="pct"/>
            <w:shd w:val="clear" w:color="auto" w:fill="auto"/>
            <w:vAlign w:val="center"/>
          </w:tcPr>
          <w:p w14:paraId="2F2DC0F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3CF732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7D58900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1.定制；</w:t>
            </w:r>
          </w:p>
          <w:p w14:paraId="3080AD7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2.触摸互动打印集成设备；</w:t>
            </w:r>
          </w:p>
          <w:p w14:paraId="234EAEB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3.可运行统信操作系统；</w:t>
            </w:r>
          </w:p>
          <w:p w14:paraId="65119F0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4.含2次编程程序开发。</w:t>
            </w:r>
          </w:p>
        </w:tc>
      </w:tr>
      <w:tr w14:paraId="7D404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8F9CD96">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66</w:t>
            </w:r>
          </w:p>
        </w:tc>
        <w:tc>
          <w:tcPr>
            <w:tcW w:w="489" w:type="pct"/>
            <w:shd w:val="clear" w:color="auto" w:fill="auto"/>
            <w:vAlign w:val="center"/>
          </w:tcPr>
          <w:p w14:paraId="13AEC54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拍摄打印程序</w:t>
            </w:r>
          </w:p>
        </w:tc>
        <w:tc>
          <w:tcPr>
            <w:tcW w:w="232" w:type="pct"/>
            <w:shd w:val="clear" w:color="auto" w:fill="auto"/>
            <w:vAlign w:val="center"/>
          </w:tcPr>
          <w:p w14:paraId="146C81A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E2A7BE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2F35E1D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互动程序开发，通过中控平板控制定点摄像机为观众拍照并结合西配楼智慧能碳管理系统采集的数据（甲供信号接口）生成观众个人碳足迹报告和照片，以二维码的形式呈现在互动打印设备上或选择直接打印。</w:t>
            </w:r>
          </w:p>
        </w:tc>
      </w:tr>
      <w:tr w14:paraId="0242C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429027B9">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创新中的科教融合展示系统</w:t>
            </w:r>
          </w:p>
        </w:tc>
      </w:tr>
      <w:tr w14:paraId="344C4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1C98303">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67</w:t>
            </w:r>
          </w:p>
        </w:tc>
        <w:tc>
          <w:tcPr>
            <w:tcW w:w="489" w:type="pct"/>
            <w:shd w:val="clear" w:color="auto" w:fill="auto"/>
            <w:vAlign w:val="center"/>
          </w:tcPr>
          <w:p w14:paraId="4FC669B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55寸触摸一体机</w:t>
            </w:r>
          </w:p>
        </w:tc>
        <w:tc>
          <w:tcPr>
            <w:tcW w:w="232" w:type="pct"/>
            <w:shd w:val="clear" w:color="auto" w:fill="auto"/>
            <w:vAlign w:val="center"/>
          </w:tcPr>
          <w:p w14:paraId="306588A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8E6D297">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50D73E8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最低要求：I5-6代处理器、8G内存、128G SSD、电容触摸、分辨率4K</w:t>
            </w:r>
          </w:p>
        </w:tc>
      </w:tr>
      <w:tr w14:paraId="36C93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2A6E35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68</w:t>
            </w:r>
          </w:p>
        </w:tc>
        <w:tc>
          <w:tcPr>
            <w:tcW w:w="489" w:type="pct"/>
            <w:shd w:val="clear" w:color="auto" w:fill="auto"/>
            <w:vAlign w:val="center"/>
          </w:tcPr>
          <w:p w14:paraId="36F54C32">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55寸立式支架</w:t>
            </w:r>
          </w:p>
        </w:tc>
        <w:tc>
          <w:tcPr>
            <w:tcW w:w="232" w:type="pct"/>
            <w:shd w:val="clear" w:color="auto" w:fill="auto"/>
            <w:vAlign w:val="center"/>
          </w:tcPr>
          <w:p w14:paraId="2EAC48D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438107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7399A4F3">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与55寸触摸一体机配套</w:t>
            </w:r>
          </w:p>
        </w:tc>
      </w:tr>
      <w:tr w14:paraId="1D62D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B76E5C6">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69</w:t>
            </w:r>
          </w:p>
        </w:tc>
        <w:tc>
          <w:tcPr>
            <w:tcW w:w="489" w:type="pct"/>
            <w:shd w:val="clear" w:color="auto" w:fill="auto"/>
            <w:vAlign w:val="center"/>
          </w:tcPr>
          <w:p w14:paraId="4B8DD1A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55寸显示一体机</w:t>
            </w:r>
          </w:p>
        </w:tc>
        <w:tc>
          <w:tcPr>
            <w:tcW w:w="232" w:type="pct"/>
            <w:shd w:val="clear" w:color="auto" w:fill="auto"/>
            <w:vAlign w:val="center"/>
          </w:tcPr>
          <w:p w14:paraId="2AB0532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5901036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49DFFCE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最低要求：I5-6代处理器、8G内存、128G SSD、非触摸、分辨率4K</w:t>
            </w:r>
          </w:p>
        </w:tc>
      </w:tr>
      <w:tr w14:paraId="06C0E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A236EEE">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70</w:t>
            </w:r>
          </w:p>
        </w:tc>
        <w:tc>
          <w:tcPr>
            <w:tcW w:w="489" w:type="pct"/>
            <w:shd w:val="clear" w:color="auto" w:fill="auto"/>
            <w:vAlign w:val="center"/>
          </w:tcPr>
          <w:p w14:paraId="410434C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55寸前维护</w:t>
            </w:r>
          </w:p>
          <w:p w14:paraId="66323D90">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液压支架2</w:t>
            </w:r>
          </w:p>
        </w:tc>
        <w:tc>
          <w:tcPr>
            <w:tcW w:w="232" w:type="pct"/>
            <w:shd w:val="clear" w:color="auto" w:fill="auto"/>
            <w:vAlign w:val="center"/>
          </w:tcPr>
          <w:p w14:paraId="07B85BE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640068C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3876BF6">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同序号34</w:t>
            </w:r>
          </w:p>
        </w:tc>
      </w:tr>
      <w:tr w14:paraId="26FED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DB98CE8">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71</w:t>
            </w:r>
          </w:p>
        </w:tc>
        <w:tc>
          <w:tcPr>
            <w:tcW w:w="489" w:type="pct"/>
            <w:shd w:val="clear" w:color="auto" w:fill="auto"/>
            <w:vAlign w:val="center"/>
          </w:tcPr>
          <w:p w14:paraId="650C915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65寸显示一体机</w:t>
            </w:r>
          </w:p>
        </w:tc>
        <w:tc>
          <w:tcPr>
            <w:tcW w:w="232" w:type="pct"/>
            <w:shd w:val="clear" w:color="auto" w:fill="auto"/>
            <w:vAlign w:val="center"/>
          </w:tcPr>
          <w:p w14:paraId="3902184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2DC6F69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A14FF5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最低要求：I5-6代处理器、8G内存、128G SSD、非触摸、分辨率4K</w:t>
            </w:r>
          </w:p>
        </w:tc>
      </w:tr>
      <w:tr w14:paraId="23461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644622E">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72</w:t>
            </w:r>
          </w:p>
        </w:tc>
        <w:tc>
          <w:tcPr>
            <w:tcW w:w="489" w:type="pct"/>
            <w:shd w:val="clear" w:color="auto" w:fill="auto"/>
            <w:vAlign w:val="center"/>
          </w:tcPr>
          <w:p w14:paraId="10C3514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65寸前维护</w:t>
            </w:r>
          </w:p>
          <w:p w14:paraId="2F685C9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液压支架</w:t>
            </w:r>
          </w:p>
        </w:tc>
        <w:tc>
          <w:tcPr>
            <w:tcW w:w="232" w:type="pct"/>
            <w:shd w:val="clear" w:color="auto" w:fill="auto"/>
            <w:vAlign w:val="center"/>
          </w:tcPr>
          <w:p w14:paraId="3C99D2D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23B3DA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F12FE1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同序号34</w:t>
            </w:r>
          </w:p>
        </w:tc>
      </w:tr>
      <w:tr w14:paraId="50F5C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4F88D87">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73</w:t>
            </w:r>
          </w:p>
        </w:tc>
        <w:tc>
          <w:tcPr>
            <w:tcW w:w="489" w:type="pct"/>
            <w:shd w:val="clear" w:color="auto" w:fill="auto"/>
            <w:vAlign w:val="center"/>
          </w:tcPr>
          <w:p w14:paraId="75B6F91F">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控制平板2</w:t>
            </w:r>
          </w:p>
        </w:tc>
        <w:tc>
          <w:tcPr>
            <w:tcW w:w="232" w:type="pct"/>
            <w:shd w:val="clear" w:color="auto" w:fill="auto"/>
            <w:vAlign w:val="center"/>
          </w:tcPr>
          <w:p w14:paraId="4F0BC0B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0872B0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392E5C4">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同序号13</w:t>
            </w:r>
          </w:p>
        </w:tc>
      </w:tr>
      <w:tr w14:paraId="11782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6A6C99D">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74</w:t>
            </w:r>
          </w:p>
        </w:tc>
        <w:tc>
          <w:tcPr>
            <w:tcW w:w="489" w:type="pct"/>
            <w:shd w:val="clear" w:color="auto" w:fill="auto"/>
            <w:vAlign w:val="center"/>
          </w:tcPr>
          <w:p w14:paraId="1E4414E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展示程序</w:t>
            </w:r>
          </w:p>
        </w:tc>
        <w:tc>
          <w:tcPr>
            <w:tcW w:w="232" w:type="pct"/>
            <w:shd w:val="clear" w:color="auto" w:fill="auto"/>
            <w:vAlign w:val="center"/>
          </w:tcPr>
          <w:p w14:paraId="6451DC3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w:t>
            </w:r>
          </w:p>
        </w:tc>
        <w:tc>
          <w:tcPr>
            <w:tcW w:w="218" w:type="pct"/>
            <w:shd w:val="clear" w:color="auto" w:fill="auto"/>
            <w:vAlign w:val="center"/>
          </w:tcPr>
          <w:p w14:paraId="194BE7F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36316D4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1.对应三个研究方向（新能源转化与储存、绿色燃料制取与利用、新能源退役固废）的演示系统开发，通过控制平板触控展现研究内容和成果；</w:t>
            </w:r>
          </w:p>
          <w:p w14:paraId="791AF97E">
            <w:pPr>
              <w:keepNext w:val="0"/>
              <w:keepLines w:val="0"/>
              <w:widowControl/>
              <w:suppressLineNumbers w:val="0"/>
              <w:jc w:val="left"/>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含3级以内菜单、16个以内小按钮、16个以内播放弹窗互动界面平面设计、系统分析逻辑结构搭建&amp;框架布署、核心程序代码编译、分层链接程序编译、分级嵌入模块编译、代码封装、软件Bug调试、压力测试、程序最终打包。</w:t>
            </w:r>
          </w:p>
        </w:tc>
      </w:tr>
      <w:tr w14:paraId="4DDD5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1241559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智慧城市展示系统</w:t>
            </w:r>
          </w:p>
        </w:tc>
      </w:tr>
      <w:tr w14:paraId="573E8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595E747">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75</w:t>
            </w:r>
          </w:p>
        </w:tc>
        <w:tc>
          <w:tcPr>
            <w:tcW w:w="489" w:type="pct"/>
            <w:shd w:val="clear" w:color="auto" w:fill="auto"/>
            <w:vAlign w:val="center"/>
          </w:tcPr>
          <w:p w14:paraId="15CF7A3B">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LED显示屏2</w:t>
            </w:r>
          </w:p>
        </w:tc>
        <w:tc>
          <w:tcPr>
            <w:tcW w:w="232" w:type="pct"/>
            <w:shd w:val="clear" w:color="auto" w:fill="auto"/>
            <w:vAlign w:val="center"/>
          </w:tcPr>
          <w:p w14:paraId="3E10155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8.45</w:t>
            </w:r>
          </w:p>
        </w:tc>
        <w:tc>
          <w:tcPr>
            <w:tcW w:w="218" w:type="pct"/>
            <w:shd w:val="clear" w:color="auto" w:fill="auto"/>
            <w:vAlign w:val="center"/>
          </w:tcPr>
          <w:p w14:paraId="4500238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586A6A5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1.规格：4.8*1.76m；</w:t>
            </w:r>
          </w:p>
          <w:p w14:paraId="6E40702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2.像素点间距：≤1.5mm；</w:t>
            </w:r>
          </w:p>
          <w:p w14:paraId="538D7CE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3.整屏平整度≤0.04mm、模组平整度≤0.03mm、拼接缝≤0.03mm；</w:t>
            </w:r>
          </w:p>
          <w:p w14:paraId="1741305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4.亮度≥600cd/m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，亮度均匀性≥99%；</w:t>
            </w:r>
          </w:p>
          <w:p w14:paraId="6C88363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5.色温：1000~18000K；</w:t>
            </w:r>
          </w:p>
          <w:p w14:paraId="3C23C98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6.刷新率≥3840Hz，对比度≥8700:1；</w:t>
            </w:r>
          </w:p>
          <w:p w14:paraId="26DC7E2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7.像素失控率：＜0.01%；</w:t>
            </w:r>
          </w:p>
          <w:p w14:paraId="43E56853">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8.发光点中心偏距＜0.8%，反光率≤1%，衰减率≤10%；</w:t>
            </w:r>
          </w:p>
          <w:p w14:paraId="7E951E2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9.画面延时：≤500ns；</w:t>
            </w:r>
          </w:p>
          <w:p w14:paraId="5F0C1063">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10.1m范围内测试4个位置（前后左右）：噪音＜1.5dB、信噪比≥47dB；</w:t>
            </w:r>
          </w:p>
          <w:p w14:paraId="3821E8B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11.峰值功耗≤260W/m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，平均功耗≤110W/m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w:t>
            </w:r>
          </w:p>
          <w:p w14:paraId="0065CBB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12.漏电流：≤0.5mA；</w:t>
            </w:r>
          </w:p>
          <w:p w14:paraId="7693CFC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13.机械强度≥30Mpa，抗拉强度≥230Mpa，屈服强度≥170Mpa；</w:t>
            </w:r>
          </w:p>
          <w:p w14:paraId="07D63C3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14.防信号、防电力远程窃密；</w:t>
            </w:r>
          </w:p>
          <w:p w14:paraId="6C64CDF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15.配套控制接收卡；</w:t>
            </w:r>
          </w:p>
          <w:p w14:paraId="4CDD2F5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16.配套电源：额定输入电压200~240VAC，输入频率47~63Hz，工作温度-40℃~+70℃；</w:t>
            </w:r>
          </w:p>
          <w:p w14:paraId="6CF8AB74">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17.模组配套连接线缆：含连接电源线、网线、接卡线、排线、高清线、DP转接头、miniDP转接头、DP转高清线、高清信号放大器等。</w:t>
            </w:r>
          </w:p>
        </w:tc>
      </w:tr>
      <w:tr w14:paraId="1AD9E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27D8950">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76</w:t>
            </w:r>
          </w:p>
        </w:tc>
        <w:tc>
          <w:tcPr>
            <w:tcW w:w="489" w:type="pct"/>
            <w:shd w:val="clear" w:color="auto" w:fill="auto"/>
            <w:vAlign w:val="center"/>
          </w:tcPr>
          <w:p w14:paraId="6A7146D5">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框架结构2</w:t>
            </w:r>
          </w:p>
        </w:tc>
        <w:tc>
          <w:tcPr>
            <w:tcW w:w="232" w:type="pct"/>
            <w:shd w:val="clear" w:color="auto" w:fill="auto"/>
            <w:vAlign w:val="center"/>
          </w:tcPr>
          <w:p w14:paraId="5A40D85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8.45</w:t>
            </w:r>
          </w:p>
        </w:tc>
        <w:tc>
          <w:tcPr>
            <w:tcW w:w="218" w:type="pct"/>
            <w:shd w:val="clear" w:color="auto" w:fill="auto"/>
            <w:vAlign w:val="center"/>
          </w:tcPr>
          <w:p w14:paraId="254F691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66CA6FB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1.钢架构件（含接合板）采用Q235B钢制作；</w:t>
            </w:r>
          </w:p>
          <w:p w14:paraId="5069B67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2.手工焊连接用E43系列焊条、自动焊连接用H08系列焊条；</w:t>
            </w:r>
          </w:p>
          <w:p w14:paraId="0C146E1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3.抗震≥7级、抗风≥8级；</w:t>
            </w:r>
          </w:p>
          <w:p w14:paraId="7B904215">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4.不锈钢包边。</w:t>
            </w:r>
          </w:p>
        </w:tc>
      </w:tr>
      <w:tr w14:paraId="289A3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386A6A1">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77</w:t>
            </w:r>
          </w:p>
        </w:tc>
        <w:tc>
          <w:tcPr>
            <w:tcW w:w="489" w:type="pct"/>
            <w:shd w:val="clear" w:color="auto" w:fill="auto"/>
            <w:vAlign w:val="center"/>
          </w:tcPr>
          <w:p w14:paraId="73B7967F">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视频处理器3</w:t>
            </w:r>
          </w:p>
        </w:tc>
        <w:tc>
          <w:tcPr>
            <w:tcW w:w="232" w:type="pct"/>
            <w:shd w:val="clear" w:color="auto" w:fill="auto"/>
            <w:vAlign w:val="center"/>
          </w:tcPr>
          <w:p w14:paraId="540D30D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2A26F58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FBF9B99">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1.输入接口：≥1路DVI、≥2路HDMI、≥1路3SDI；</w:t>
            </w:r>
          </w:p>
          <w:p w14:paraId="1528635A">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2.支持≥3个画面和≥1路OSD同时显示；</w:t>
            </w:r>
          </w:p>
          <w:p w14:paraId="3C24FB8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3.支持通过设备旋转按钮实现快捷配屏和高级配屏功能点亮屏体；</w:t>
            </w:r>
          </w:p>
          <w:p w14:paraId="2212554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4.支持DVI、HDMI的输入分辨率自定义调节；</w:t>
            </w:r>
          </w:p>
          <w:p w14:paraId="630580A9">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5.支持设备备份和网口备份设置；</w:t>
            </w:r>
          </w:p>
          <w:p w14:paraId="3CFF13BF">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6.视频输出最大带载≥390万像素，最宽≥10240像素、最高≥8192像素；</w:t>
            </w:r>
          </w:p>
          <w:p w14:paraId="0A22AE3E">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7.无需电脑，支持通过旋转按钮一键调节屏体亮度；</w:t>
            </w:r>
          </w:p>
          <w:p w14:paraId="6D38BFAE">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8.支持逐点亮度校正，可对每个灯点的亮度和色度进行校正；</w:t>
            </w:r>
          </w:p>
          <w:p w14:paraId="6331118E">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9.支持创建≥10个用户场景作为模板保存；</w:t>
            </w:r>
          </w:p>
          <w:p w14:paraId="3A4977C7">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10.支持选择HDMI输入源或DVI输入源作为同步信号；</w:t>
            </w:r>
          </w:p>
          <w:p w14:paraId="4D33E9B1">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11.支持一键将优先级最低的窗口全屏自动缩放；</w:t>
            </w:r>
          </w:p>
          <w:p w14:paraId="05103AAD">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12.前面板配备LCD显示界面可实时显示型号、IP地址、窗口及信号源分辨率、网口状态、屏幕大小及帧频、USB或网线连接状态、屏体亮度等信息；</w:t>
            </w:r>
          </w:p>
          <w:p w14:paraId="4B6CD07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13.支持自定义菜单按键，短按可快速启用已设定功能；</w:t>
            </w:r>
          </w:p>
          <w:p w14:paraId="7B2D0B67">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14.发送卡和视频处理器二合一。</w:t>
            </w:r>
          </w:p>
        </w:tc>
      </w:tr>
      <w:tr w14:paraId="44D0A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BF75DF2">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78</w:t>
            </w:r>
          </w:p>
        </w:tc>
        <w:tc>
          <w:tcPr>
            <w:tcW w:w="489" w:type="pct"/>
            <w:shd w:val="clear" w:color="auto" w:fill="auto"/>
            <w:vAlign w:val="center"/>
          </w:tcPr>
          <w:p w14:paraId="3DCCE80B">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工控主机4</w:t>
            </w:r>
          </w:p>
        </w:tc>
        <w:tc>
          <w:tcPr>
            <w:tcW w:w="232" w:type="pct"/>
            <w:shd w:val="clear" w:color="auto" w:fill="auto"/>
            <w:vAlign w:val="center"/>
          </w:tcPr>
          <w:p w14:paraId="2ED2901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3C8E5F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63F0AC0">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同序号37</w:t>
            </w:r>
          </w:p>
        </w:tc>
      </w:tr>
      <w:tr w14:paraId="17CB8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3D50E1B">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79</w:t>
            </w:r>
          </w:p>
        </w:tc>
        <w:tc>
          <w:tcPr>
            <w:tcW w:w="489" w:type="pct"/>
            <w:shd w:val="clear" w:color="auto" w:fill="auto"/>
            <w:vAlign w:val="center"/>
          </w:tcPr>
          <w:p w14:paraId="11623A3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带蓝牙定阻</w:t>
            </w:r>
          </w:p>
          <w:p w14:paraId="09FFDDAC">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功放2</w:t>
            </w:r>
          </w:p>
        </w:tc>
        <w:tc>
          <w:tcPr>
            <w:tcW w:w="232" w:type="pct"/>
            <w:shd w:val="clear" w:color="auto" w:fill="auto"/>
            <w:vAlign w:val="center"/>
          </w:tcPr>
          <w:p w14:paraId="5D24B38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F77A5F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E448F0B">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同序号38</w:t>
            </w:r>
          </w:p>
        </w:tc>
      </w:tr>
      <w:tr w14:paraId="5AD58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DB546A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80</w:t>
            </w:r>
          </w:p>
        </w:tc>
        <w:tc>
          <w:tcPr>
            <w:tcW w:w="489" w:type="pct"/>
            <w:shd w:val="clear" w:color="auto" w:fill="auto"/>
            <w:vAlign w:val="center"/>
          </w:tcPr>
          <w:p w14:paraId="557D1826">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同轴吸顶音箱2</w:t>
            </w:r>
          </w:p>
        </w:tc>
        <w:tc>
          <w:tcPr>
            <w:tcW w:w="232" w:type="pct"/>
            <w:shd w:val="clear" w:color="auto" w:fill="auto"/>
            <w:vAlign w:val="center"/>
          </w:tcPr>
          <w:p w14:paraId="45EC738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130907E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2C1CC36">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同序号39</w:t>
            </w:r>
          </w:p>
        </w:tc>
      </w:tr>
      <w:tr w14:paraId="4BB88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F57355F">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81</w:t>
            </w:r>
          </w:p>
        </w:tc>
        <w:tc>
          <w:tcPr>
            <w:tcW w:w="489" w:type="pct"/>
            <w:shd w:val="clear" w:color="auto" w:fill="auto"/>
            <w:vAlign w:val="center"/>
          </w:tcPr>
          <w:p w14:paraId="7CF05E1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LED显示屏</w:t>
            </w:r>
          </w:p>
          <w:p w14:paraId="4CF00173">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专用配电柜2</w:t>
            </w:r>
          </w:p>
        </w:tc>
        <w:tc>
          <w:tcPr>
            <w:tcW w:w="232" w:type="pct"/>
            <w:shd w:val="clear" w:color="auto" w:fill="auto"/>
            <w:vAlign w:val="center"/>
          </w:tcPr>
          <w:p w14:paraId="0042EBE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01E9801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CC4D0E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规格（高*宽*厚）：600*400*150mm</w:t>
            </w:r>
          </w:p>
          <w:p w14:paraId="74DAB29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1.供电方式：三相380V，三相五线制；</w:t>
            </w:r>
          </w:p>
          <w:p w14:paraId="3B18E63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2.输入电压：交流380V；</w:t>
            </w:r>
          </w:p>
          <w:p w14:paraId="4FB8699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3.输入频率：50/60Hz；</w:t>
            </w:r>
          </w:p>
          <w:p w14:paraId="02CCAF0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4.输出接线方式：单相220V，3线输出，L、N、PE（火、零、地）；</w:t>
            </w:r>
          </w:p>
          <w:p w14:paraId="12D0F40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5.输出≥6路；</w:t>
            </w:r>
          </w:p>
          <w:p w14:paraId="2855678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6.输出电压：交流220V；</w:t>
            </w:r>
          </w:p>
          <w:p w14:paraId="5C60ABF0">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7.单路输出功率：每路2.5kW（MAX），均匀接入显示屏；</w:t>
            </w:r>
          </w:p>
          <w:p w14:paraId="77C8956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8.防雷：无浪涌保护器；</w:t>
            </w:r>
          </w:p>
          <w:p w14:paraId="1D952DF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9.防护等级：IP43（或优于）；</w:t>
            </w:r>
          </w:p>
          <w:p w14:paraId="55A671A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10.输入电缆：5*6mm²，国标铜线；</w:t>
            </w:r>
          </w:p>
          <w:p w14:paraId="20B9FFFD">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11.输出电缆：3*2.5mm²，国标铜线6组。</w:t>
            </w:r>
          </w:p>
        </w:tc>
      </w:tr>
      <w:tr w14:paraId="44AE6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1725C44">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82</w:t>
            </w:r>
          </w:p>
        </w:tc>
        <w:tc>
          <w:tcPr>
            <w:tcW w:w="489" w:type="pct"/>
            <w:shd w:val="clear" w:color="auto" w:fill="auto"/>
            <w:vAlign w:val="center"/>
          </w:tcPr>
          <w:p w14:paraId="248CEF1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互动感应装置</w:t>
            </w:r>
          </w:p>
        </w:tc>
        <w:tc>
          <w:tcPr>
            <w:tcW w:w="232" w:type="pct"/>
            <w:shd w:val="clear" w:color="auto" w:fill="auto"/>
            <w:vAlign w:val="center"/>
          </w:tcPr>
          <w:p w14:paraId="1EF3F5D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34C14DC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237D489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沙盘互动感应装置，联动沙盘进行演示。</w:t>
            </w:r>
          </w:p>
        </w:tc>
      </w:tr>
      <w:tr w14:paraId="42352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475B6C0">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83</w:t>
            </w:r>
          </w:p>
        </w:tc>
        <w:tc>
          <w:tcPr>
            <w:tcW w:w="489" w:type="pct"/>
            <w:shd w:val="clear" w:color="auto" w:fill="auto"/>
            <w:vAlign w:val="center"/>
          </w:tcPr>
          <w:p w14:paraId="3CFFB0EC">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互动展示程序3</w:t>
            </w:r>
          </w:p>
        </w:tc>
        <w:tc>
          <w:tcPr>
            <w:tcW w:w="232" w:type="pct"/>
            <w:shd w:val="clear" w:color="auto" w:fill="auto"/>
            <w:vAlign w:val="center"/>
          </w:tcPr>
          <w:p w14:paraId="5BB72F9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6934EF1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02DDD95D">
            <w:pPr>
              <w:keepNext w:val="0"/>
              <w:keepLines w:val="0"/>
              <w:widowControl/>
              <w:suppressLineNumbers w:val="0"/>
              <w:jc w:val="left"/>
              <w:textAlignment w:val="center"/>
              <w:rPr>
                <w:rFonts w:hint="eastAsia" w:ascii="仿宋" w:hAnsi="仿宋" w:eastAsia="仿宋" w:cs="仿宋"/>
                <w:color w:val="auto"/>
                <w:sz w:val="18"/>
                <w:szCs w:val="18"/>
                <w:lang w:val="en-US" w:eastAsia="zh-CN"/>
              </w:rPr>
            </w:pPr>
            <w:r>
              <w:rPr>
                <w:rFonts w:hint="eastAsia" w:ascii="仿宋" w:hAnsi="仿宋" w:eastAsia="仿宋" w:cs="仿宋"/>
                <w:b w:val="0"/>
                <w:bCs w:val="0"/>
                <w:i w:val="0"/>
                <w:iCs w:val="0"/>
                <w:color w:val="auto"/>
                <w:kern w:val="0"/>
                <w:sz w:val="18"/>
                <w:szCs w:val="18"/>
                <w:u w:val="none"/>
                <w:lang w:val="en-US" w:eastAsia="zh-CN" w:bidi="ar"/>
              </w:rPr>
              <w:t>1.系统UI界面设计+程序开发；</w:t>
            </w:r>
          </w:p>
          <w:p w14:paraId="02877F2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2.展示零碳园区研究内容介绍及联动沙盘进行智慧城市介绍；</w:t>
            </w:r>
          </w:p>
          <w:p w14:paraId="0E4D18EB">
            <w:pPr>
              <w:keepNext w:val="0"/>
              <w:keepLines w:val="0"/>
              <w:widowControl/>
              <w:suppressLineNumbers w:val="0"/>
              <w:jc w:val="left"/>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含3级以内菜单、16个以内小按钮、16个以内播放弹窗互动界面平面设计、系统分析逻辑结构搭建&amp;框架布署、核心程序代码编译、分层链接程序编译、分级嵌入模块编译、代码封装、软件Bug调试、压力测试、程序最终打包。</w:t>
            </w:r>
          </w:p>
        </w:tc>
      </w:tr>
      <w:tr w14:paraId="3919A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38397E37">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合作单位Logo墙展示系统</w:t>
            </w:r>
          </w:p>
        </w:tc>
      </w:tr>
      <w:tr w14:paraId="2791D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F1E6453">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84</w:t>
            </w:r>
          </w:p>
        </w:tc>
        <w:tc>
          <w:tcPr>
            <w:tcW w:w="489" w:type="pct"/>
            <w:shd w:val="clear" w:color="auto" w:fill="auto"/>
            <w:vAlign w:val="center"/>
          </w:tcPr>
          <w:p w14:paraId="6332CA6D">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55寸液晶</w:t>
            </w:r>
          </w:p>
          <w:p w14:paraId="59A7B68E">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拼接屏2</w:t>
            </w:r>
          </w:p>
        </w:tc>
        <w:tc>
          <w:tcPr>
            <w:tcW w:w="232" w:type="pct"/>
            <w:shd w:val="clear" w:color="auto" w:fill="auto"/>
            <w:vAlign w:val="center"/>
          </w:tcPr>
          <w:p w14:paraId="7C46EA2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9</w:t>
            </w:r>
          </w:p>
        </w:tc>
        <w:tc>
          <w:tcPr>
            <w:tcW w:w="218" w:type="pct"/>
            <w:shd w:val="clear" w:color="auto" w:fill="auto"/>
            <w:vAlign w:val="center"/>
          </w:tcPr>
          <w:p w14:paraId="7D036F6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单元</w:t>
            </w:r>
          </w:p>
        </w:tc>
        <w:tc>
          <w:tcPr>
            <w:tcW w:w="3864" w:type="pct"/>
            <w:shd w:val="clear" w:color="auto" w:fill="auto"/>
            <w:vAlign w:val="center"/>
          </w:tcPr>
          <w:p w14:paraId="68FE2EA0">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同序号33</w:t>
            </w:r>
          </w:p>
        </w:tc>
      </w:tr>
      <w:tr w14:paraId="36FA3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1554AEE">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85</w:t>
            </w:r>
          </w:p>
        </w:tc>
        <w:tc>
          <w:tcPr>
            <w:tcW w:w="489" w:type="pct"/>
            <w:shd w:val="clear" w:color="auto" w:fill="auto"/>
            <w:vAlign w:val="center"/>
          </w:tcPr>
          <w:p w14:paraId="78DB739D">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55寸前维护</w:t>
            </w:r>
          </w:p>
          <w:p w14:paraId="2288B299">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液压支架3</w:t>
            </w:r>
          </w:p>
        </w:tc>
        <w:tc>
          <w:tcPr>
            <w:tcW w:w="232" w:type="pct"/>
            <w:shd w:val="clear" w:color="auto" w:fill="auto"/>
            <w:vAlign w:val="center"/>
          </w:tcPr>
          <w:p w14:paraId="712C14E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9</w:t>
            </w:r>
          </w:p>
        </w:tc>
        <w:tc>
          <w:tcPr>
            <w:tcW w:w="218" w:type="pct"/>
            <w:shd w:val="clear" w:color="auto" w:fill="auto"/>
            <w:vAlign w:val="center"/>
          </w:tcPr>
          <w:p w14:paraId="7F061A1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单元</w:t>
            </w:r>
          </w:p>
        </w:tc>
        <w:tc>
          <w:tcPr>
            <w:tcW w:w="3864" w:type="pct"/>
            <w:shd w:val="clear" w:color="auto" w:fill="auto"/>
            <w:vAlign w:val="center"/>
          </w:tcPr>
          <w:p w14:paraId="1D6D618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同序号34</w:t>
            </w:r>
          </w:p>
        </w:tc>
      </w:tr>
      <w:tr w14:paraId="48DD0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6811DD1">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86</w:t>
            </w:r>
          </w:p>
        </w:tc>
        <w:tc>
          <w:tcPr>
            <w:tcW w:w="489" w:type="pct"/>
            <w:shd w:val="clear" w:color="auto" w:fill="auto"/>
            <w:vAlign w:val="center"/>
          </w:tcPr>
          <w:p w14:paraId="0B7E30AA">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红外触摸框</w:t>
            </w:r>
          </w:p>
          <w:p w14:paraId="53637EF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1*9单元</w:t>
            </w:r>
          </w:p>
        </w:tc>
        <w:tc>
          <w:tcPr>
            <w:tcW w:w="232" w:type="pct"/>
            <w:shd w:val="clear" w:color="auto" w:fill="auto"/>
            <w:vAlign w:val="center"/>
          </w:tcPr>
          <w:p w14:paraId="531771A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FD7AF5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082131C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1.定制；</w:t>
            </w:r>
          </w:p>
          <w:p w14:paraId="03D6CBE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2.插值分辨率：≥32768*32768；</w:t>
            </w:r>
          </w:p>
          <w:p w14:paraId="007BDFD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3.触摸精度：2mm（或优于）；</w:t>
            </w:r>
          </w:p>
          <w:p w14:paraId="0EA9054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4.扫描速度：50scans/s（或优于）；</w:t>
            </w:r>
          </w:p>
          <w:p w14:paraId="0F8F289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5.触摸寿命：≥8000万次/点；</w:t>
            </w:r>
          </w:p>
          <w:p w14:paraId="419A2E7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6.工作功率：＜1W；</w:t>
            </w:r>
          </w:p>
          <w:p w14:paraId="7B9369A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7.工作电压：DC5V；</w:t>
            </w:r>
          </w:p>
          <w:p w14:paraId="6A7724C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8.供电方式：USB；</w:t>
            </w:r>
          </w:p>
          <w:p w14:paraId="10EAE8F7">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9.接口协议：TUIO、SDK二次开发。</w:t>
            </w:r>
          </w:p>
        </w:tc>
      </w:tr>
      <w:tr w14:paraId="0B08B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29257AA">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87</w:t>
            </w:r>
          </w:p>
        </w:tc>
        <w:tc>
          <w:tcPr>
            <w:tcW w:w="489" w:type="pct"/>
            <w:shd w:val="clear" w:color="auto" w:fill="auto"/>
            <w:vAlign w:val="center"/>
          </w:tcPr>
          <w:p w14:paraId="705D5DB3">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多屏宝3</w:t>
            </w:r>
          </w:p>
        </w:tc>
        <w:tc>
          <w:tcPr>
            <w:tcW w:w="232" w:type="pct"/>
            <w:shd w:val="clear" w:color="auto" w:fill="auto"/>
            <w:vAlign w:val="center"/>
          </w:tcPr>
          <w:p w14:paraId="5710467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369D0CD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95CD80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1.六屏宝；</w:t>
            </w:r>
          </w:p>
          <w:p w14:paraId="58086EF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2.输入接口：DP或HDMI；</w:t>
            </w:r>
          </w:p>
          <w:p w14:paraId="3A09DCA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3.输出接口：≥6路HDMI；</w:t>
            </w:r>
          </w:p>
          <w:p w14:paraId="43813AB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4.分辨率</w:t>
            </w:r>
          </w:p>
          <w:p w14:paraId="18821CF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4.1 横屏点对点拼接：1*2最大支持≥3840*1200@60Hz、1*3最大支持≥5760*1200@60Hz、1*4最大支持≥7680*1200@60Hz、2*2最大支持≥3840*2400@60Hz；</w:t>
            </w:r>
          </w:p>
          <w:p w14:paraId="6687C64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4.2 竖屏点对点拼接：2*1最大支持≥1920*2400@60Hz、3*1最大支持≥1920*3600@60Hz、4*1最大支持≥1920*4320@60Hz。</w:t>
            </w:r>
          </w:p>
          <w:p w14:paraId="4005138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5.输入接口：≥1个DP接口（与HDMI复用）、≥1个HDMI接口（与DP复用）；</w:t>
            </w:r>
          </w:p>
          <w:p w14:paraId="176BEB3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6.输出接口：≥3个HDMI、≥1个3.5mm音频；</w:t>
            </w:r>
          </w:p>
          <w:p w14:paraId="50CD699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7.电源：DC12V 3A。</w:t>
            </w:r>
          </w:p>
        </w:tc>
      </w:tr>
      <w:tr w14:paraId="2CB59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803E382">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88</w:t>
            </w:r>
          </w:p>
        </w:tc>
        <w:tc>
          <w:tcPr>
            <w:tcW w:w="489" w:type="pct"/>
            <w:shd w:val="clear" w:color="auto" w:fill="auto"/>
            <w:vAlign w:val="center"/>
          </w:tcPr>
          <w:p w14:paraId="6CCB295A">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工控主机5</w:t>
            </w:r>
          </w:p>
        </w:tc>
        <w:tc>
          <w:tcPr>
            <w:tcW w:w="232" w:type="pct"/>
            <w:shd w:val="clear" w:color="auto" w:fill="auto"/>
            <w:vAlign w:val="center"/>
          </w:tcPr>
          <w:p w14:paraId="5FAB2C2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3A68B55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CF3C711">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同序号37</w:t>
            </w:r>
          </w:p>
        </w:tc>
      </w:tr>
      <w:tr w14:paraId="40CFC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DBE499D">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89</w:t>
            </w:r>
          </w:p>
        </w:tc>
        <w:tc>
          <w:tcPr>
            <w:tcW w:w="489" w:type="pct"/>
            <w:shd w:val="clear" w:color="auto" w:fill="auto"/>
            <w:vAlign w:val="center"/>
          </w:tcPr>
          <w:p w14:paraId="181C92B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带蓝牙定阻</w:t>
            </w:r>
          </w:p>
          <w:p w14:paraId="6870166C">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功放3</w:t>
            </w:r>
          </w:p>
        </w:tc>
        <w:tc>
          <w:tcPr>
            <w:tcW w:w="232" w:type="pct"/>
            <w:shd w:val="clear" w:color="auto" w:fill="auto"/>
            <w:vAlign w:val="center"/>
          </w:tcPr>
          <w:p w14:paraId="29F3D24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04148B4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5F9BDB2">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同序号38</w:t>
            </w:r>
          </w:p>
        </w:tc>
      </w:tr>
      <w:tr w14:paraId="686E4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F7E66EA">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90</w:t>
            </w:r>
          </w:p>
        </w:tc>
        <w:tc>
          <w:tcPr>
            <w:tcW w:w="489" w:type="pct"/>
            <w:shd w:val="clear" w:color="auto" w:fill="auto"/>
            <w:vAlign w:val="center"/>
          </w:tcPr>
          <w:p w14:paraId="41675A08">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同轴吸顶音箱3</w:t>
            </w:r>
          </w:p>
        </w:tc>
        <w:tc>
          <w:tcPr>
            <w:tcW w:w="232" w:type="pct"/>
            <w:shd w:val="clear" w:color="auto" w:fill="auto"/>
            <w:vAlign w:val="center"/>
          </w:tcPr>
          <w:p w14:paraId="2804C18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736CD32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55F028AE">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同序号39</w:t>
            </w:r>
          </w:p>
        </w:tc>
      </w:tr>
      <w:tr w14:paraId="63FB8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3153C33">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91</w:t>
            </w:r>
          </w:p>
        </w:tc>
        <w:tc>
          <w:tcPr>
            <w:tcW w:w="489" w:type="pct"/>
            <w:shd w:val="clear" w:color="auto" w:fill="auto"/>
            <w:vAlign w:val="center"/>
          </w:tcPr>
          <w:p w14:paraId="4D728B3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Logo墙展示画面</w:t>
            </w:r>
          </w:p>
        </w:tc>
        <w:tc>
          <w:tcPr>
            <w:tcW w:w="232" w:type="pct"/>
            <w:shd w:val="clear" w:color="auto" w:fill="auto"/>
            <w:vAlign w:val="center"/>
          </w:tcPr>
          <w:p w14:paraId="397A4A4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6F94400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0A7683A7">
            <w:pPr>
              <w:keepNext w:val="0"/>
              <w:keepLines w:val="0"/>
              <w:widowControl/>
              <w:suppressLineNumbers w:val="0"/>
              <w:jc w:val="both"/>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1.通过图片、文字信息展示合作单位介绍信息</w:t>
            </w:r>
          </w:p>
          <w:p w14:paraId="71B3F1C6">
            <w:pPr>
              <w:keepNext w:val="0"/>
              <w:keepLines w:val="0"/>
              <w:widowControl/>
              <w:suppressLineNumbers w:val="0"/>
              <w:jc w:val="both"/>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含3级以内菜单、16个以内小按钮、16个以内播放弹窗互动界面平面设计、系统分析逻辑结构搭建&amp;框架布署、核心程序代码编译、分层链接程序编译、分级嵌入模块编译、代码封装、软件Bug调试、压力测试、程序最终打包。</w:t>
            </w:r>
          </w:p>
        </w:tc>
      </w:tr>
      <w:tr w14:paraId="46D7E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212C90B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未来课堂沉浸式体验展示系统</w:t>
            </w:r>
          </w:p>
        </w:tc>
      </w:tr>
      <w:tr w14:paraId="46280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2EA757C">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92</w:t>
            </w:r>
          </w:p>
        </w:tc>
        <w:tc>
          <w:tcPr>
            <w:tcW w:w="489" w:type="pct"/>
            <w:shd w:val="clear" w:color="auto" w:fill="auto"/>
            <w:vAlign w:val="center"/>
          </w:tcPr>
          <w:p w14:paraId="34B53592">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弧形软膜全彩LED显示屏2</w:t>
            </w:r>
          </w:p>
        </w:tc>
        <w:tc>
          <w:tcPr>
            <w:tcW w:w="232" w:type="pct"/>
            <w:shd w:val="clear" w:color="auto" w:fill="auto"/>
            <w:vAlign w:val="center"/>
          </w:tcPr>
          <w:p w14:paraId="208D453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65.33</w:t>
            </w:r>
          </w:p>
        </w:tc>
        <w:tc>
          <w:tcPr>
            <w:tcW w:w="218" w:type="pct"/>
            <w:shd w:val="clear" w:color="auto" w:fill="auto"/>
            <w:vAlign w:val="center"/>
          </w:tcPr>
          <w:p w14:paraId="42CA65E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4BC3CAB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1.规格：18.56m*3.52m；</w:t>
            </w:r>
          </w:p>
          <w:p w14:paraId="29D7DE1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2.像素点间距：≤1.8mm；</w:t>
            </w:r>
          </w:p>
          <w:p w14:paraId="0181ABC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3.整屏平整度≤0.04mm、模组平整度≤0.03mm、拼接缝≤0.03mm；</w:t>
            </w:r>
          </w:p>
          <w:p w14:paraId="261FB28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4.亮度≥600cd/m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，像素失控率＜0.01%；</w:t>
            </w:r>
          </w:p>
          <w:p w14:paraId="53616F9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5.横向装配弯曲角度：外弧≥135°、内弧≥120°；</w:t>
            </w:r>
          </w:p>
          <w:p w14:paraId="2D45F2B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6.竖向装配弯曲角度：内/外弧均≥170°；</w:t>
            </w:r>
          </w:p>
          <w:p w14:paraId="5E71C7D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7.色温：1000~18000K；</w:t>
            </w:r>
          </w:p>
          <w:p w14:paraId="5E7326E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8.刷新率≥3840Hz，对比度≥7000:1；</w:t>
            </w:r>
          </w:p>
          <w:p w14:paraId="050CB7D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9.发光点中心偏距＜0.8%，反光率≤1%，衰减率≤10%；</w:t>
            </w:r>
          </w:p>
          <w:p w14:paraId="12E5AEE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10.画面延时：≤500ns；</w:t>
            </w:r>
          </w:p>
          <w:p w14:paraId="3F2EFCF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11.1m范围内测试4个位置（前后左右）：噪音＜1.5dB、信噪比≥47dB；</w:t>
            </w:r>
          </w:p>
          <w:p w14:paraId="3B54D19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12.峰值功耗≤430W/m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，平均功耗≤130W/m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w:t>
            </w:r>
          </w:p>
          <w:p w14:paraId="45264EF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13.漏电流：≤0.5mA；</w:t>
            </w:r>
          </w:p>
          <w:p w14:paraId="6DC72C50">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14.机械强度≥30Mpa，抗拉强度≥230Mpa，屈服强度≥170Mpa；</w:t>
            </w:r>
          </w:p>
          <w:p w14:paraId="5AEA3C9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15.防信号、防电力远程窃密；</w:t>
            </w:r>
          </w:p>
          <w:p w14:paraId="16B9D99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16.配套控制接收卡；</w:t>
            </w:r>
          </w:p>
          <w:p w14:paraId="077AA57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17.配套电源：额定输入电压200~240VAC，输入频率47~63Hz，工作温度-40℃~+70℃；</w:t>
            </w:r>
          </w:p>
          <w:p w14:paraId="0E5750F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18.模组配套连接线缆：含连接电源线、网线、接卡线、排线、高清线、DP转接头、miniDP转接头、DP转高清线、高清信号放大器等；</w:t>
            </w:r>
          </w:p>
          <w:p w14:paraId="4D14AA8D">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19.箱体：≥1.2cm厚SPCC冷轧钢板制作，酸洗磷化、高温烘干、静电喷涂、高温烤塑处理。</w:t>
            </w:r>
          </w:p>
        </w:tc>
      </w:tr>
      <w:tr w14:paraId="7CC47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544C79A">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highlight w:val="none"/>
                <w:u w:val="none"/>
                <w:lang w:val="en-US" w:eastAsia="zh-CN" w:bidi="ar"/>
              </w:rPr>
            </w:pPr>
            <w:r>
              <w:rPr>
                <w:rFonts w:hint="eastAsia" w:ascii="仿宋" w:hAnsi="仿宋" w:eastAsia="仿宋" w:cs="仿宋"/>
                <w:b w:val="0"/>
                <w:bCs w:val="0"/>
                <w:i w:val="0"/>
                <w:iCs w:val="0"/>
                <w:color w:val="auto"/>
                <w:kern w:val="0"/>
                <w:sz w:val="18"/>
                <w:szCs w:val="18"/>
                <w:highlight w:val="none"/>
                <w:u w:val="none"/>
                <w:lang w:val="en-US" w:eastAsia="zh-CN" w:bidi="ar"/>
              </w:rPr>
              <w:t>93</w:t>
            </w:r>
          </w:p>
        </w:tc>
        <w:tc>
          <w:tcPr>
            <w:tcW w:w="489" w:type="pct"/>
            <w:shd w:val="clear" w:color="auto" w:fill="auto"/>
            <w:vAlign w:val="center"/>
          </w:tcPr>
          <w:p w14:paraId="0988EB7D">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0"/>
                <w:sz w:val="18"/>
                <w:szCs w:val="18"/>
                <w:highlight w:val="none"/>
                <w:u w:val="none"/>
                <w:lang w:val="en-US" w:eastAsia="zh-CN" w:bidi="ar"/>
              </w:rPr>
              <w:t>弧形框架结构2</w:t>
            </w:r>
          </w:p>
        </w:tc>
        <w:tc>
          <w:tcPr>
            <w:tcW w:w="232" w:type="pct"/>
            <w:shd w:val="clear" w:color="auto" w:fill="auto"/>
            <w:vAlign w:val="center"/>
          </w:tcPr>
          <w:p w14:paraId="41965853">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2"/>
                <w:sz w:val="18"/>
                <w:szCs w:val="18"/>
                <w:highlight w:val="none"/>
                <w:u w:val="none"/>
                <w:lang w:val="en-US" w:eastAsia="zh-CN" w:bidi="ar-SA"/>
              </w:rPr>
              <w:t>66</w:t>
            </w:r>
          </w:p>
        </w:tc>
        <w:tc>
          <w:tcPr>
            <w:tcW w:w="218" w:type="pct"/>
            <w:shd w:val="clear" w:color="auto" w:fill="auto"/>
            <w:vAlign w:val="center"/>
          </w:tcPr>
          <w:p w14:paraId="29E54F1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0"/>
                <w:sz w:val="18"/>
                <w:szCs w:val="18"/>
                <w:highlight w:val="none"/>
                <w:u w:val="none"/>
                <w:lang w:val="en-US" w:eastAsia="zh-CN" w:bidi="ar"/>
              </w:rPr>
              <w:t>㎡</w:t>
            </w:r>
          </w:p>
        </w:tc>
        <w:tc>
          <w:tcPr>
            <w:tcW w:w="3864" w:type="pct"/>
            <w:shd w:val="clear" w:color="auto" w:fill="auto"/>
            <w:vAlign w:val="center"/>
          </w:tcPr>
          <w:p w14:paraId="438CB64B">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highlight w:val="none"/>
                <w:u w:val="none"/>
                <w:lang w:val="en-US" w:eastAsia="zh-CN" w:bidi="ar-SA"/>
              </w:rPr>
            </w:pPr>
            <w:r>
              <w:rPr>
                <w:rFonts w:hint="eastAsia" w:ascii="仿宋" w:hAnsi="仿宋" w:eastAsia="仿宋" w:cs="仿宋"/>
                <w:b w:val="0"/>
                <w:bCs w:val="0"/>
                <w:i w:val="0"/>
                <w:iCs w:val="0"/>
                <w:color w:val="auto"/>
                <w:kern w:val="0"/>
                <w:sz w:val="18"/>
                <w:szCs w:val="18"/>
                <w:highlight w:val="none"/>
                <w:u w:val="none"/>
                <w:lang w:val="en-US" w:eastAsia="zh-CN" w:bidi="ar"/>
              </w:rPr>
              <w:t>同序号50</w:t>
            </w:r>
          </w:p>
        </w:tc>
      </w:tr>
      <w:tr w14:paraId="7E126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66F7765">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94</w:t>
            </w:r>
          </w:p>
        </w:tc>
        <w:tc>
          <w:tcPr>
            <w:tcW w:w="489" w:type="pct"/>
            <w:shd w:val="clear" w:color="auto" w:fill="auto"/>
            <w:vAlign w:val="center"/>
          </w:tcPr>
          <w:p w14:paraId="0D9906C7">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视频处理器4</w:t>
            </w:r>
          </w:p>
        </w:tc>
        <w:tc>
          <w:tcPr>
            <w:tcW w:w="232" w:type="pct"/>
            <w:shd w:val="clear" w:color="auto" w:fill="auto"/>
            <w:vAlign w:val="center"/>
          </w:tcPr>
          <w:p w14:paraId="266D272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6D8583B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4C1FCD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1.标准19英寸金属结构机箱，后挂耳结构，上盖无螺钉安装，外壳防护等级符合IP20要求，纯硬件FPGA架构设计；</w:t>
            </w:r>
          </w:p>
          <w:p w14:paraId="3A75803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2.输入接口：≥2路HDMI 2.0、≥1路DP 1.2或HDMI 2.0、≥4路HDMI 1.3、≥1路USB 3.0、≥1路3G-SDI（IN+LOOP），最大支持≥3路4096*2160@60Hz信号同时输入；</w:t>
            </w:r>
          </w:p>
          <w:p w14:paraId="164792B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3.视频输出支持≥40个千兆网口、≥4路10G-OPT光口，最大带载≥2600万像素，最宽≥16384像素、最高≥8192像素；</w:t>
            </w:r>
          </w:p>
          <w:p w14:paraId="401E750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4.音频输入支持视频口伴随音频输入及独立输入模式，音频输出支持网口扩展输出及3.5mm独立音频口输出，支持的音频编码包括MPEG1/2 Layer I、MPEG1/2 Layer II、MPEG1/2 Layer III、AAC-LC、VORBIS、PCM、FLAC；</w:t>
            </w:r>
          </w:p>
          <w:p w14:paraId="47D43F6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5.具有输入源备份功能，主源丢失下无需人为操作可自动切换至备源显示，切换过程无黑屏；</w:t>
            </w:r>
          </w:p>
          <w:p w14:paraId="62EE834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6.最大支持144Hz高帧率输入输出，输出具有插帧、抽帧、倍频（2倍频、3倍频、4倍频）功能，可将30Hz信号倍频至120Hz输出；</w:t>
            </w:r>
          </w:p>
          <w:p w14:paraId="1E2520F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7.最大支持≥16个2K图层或≥4个4K图层，全部图层大小和位置可单独调节，4K接口输入2K图层按2K图层计算图层资源；</w:t>
            </w:r>
          </w:p>
          <w:p w14:paraId="6269630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支持通过上位机软件实现对显示屏的连接、控制，包括输入源切换、窗口位置及大小调节、分辨率自定义等；软件端支持可视化呈现设备各接口实时状态，包括视频输入状态及分辨率、网口带载利用率、接屏体温度、电压、误码率、通讯状态等的检测；</w:t>
            </w:r>
          </w:p>
          <w:p w14:paraId="243BD38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具有U盘即插即播功能，最大支持4K级（3840*2160@60fps）图片和视频的流畅播放，播放列表切换效果支持自定义编排，最多支持27种图片切换特效，包括水波涟漪、镜头拉近、直接推出、立体翻转、百叶窗、左右擦除、上下擦除、立方体旋转、溶解转场、网格转场、扇扫转场、画卷转场、淡入淡出、旋转扭曲、心形转场、拉帘推出、透视三角、圆形消失、矩形弹跳、星形旋转；</w:t>
            </w:r>
          </w:p>
          <w:p w14:paraId="3D4FE26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10.标配全彩液晶，搭配实体按键，功能按键及丝印信息采用全中文提示，无需粘贴额外的标签纸加以区分；</w:t>
            </w:r>
          </w:p>
          <w:p w14:paraId="4186333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11.支持标准模式和专业模式满足不同角色对显示屏的分权管理；</w:t>
            </w:r>
          </w:p>
          <w:p w14:paraId="46A5D64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12.支持微信小程序快捷控制，包括亮度调节、输出画质调节、待机模式、画面冻结、场景切换、U盘播放等；</w:t>
            </w:r>
          </w:p>
          <w:p w14:paraId="368BC75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13.支持平板对控制器进行快捷控制，包括亮度调节、图层布局调节、画面冻结、黑屏、场景切换、音量大小等；</w:t>
            </w:r>
          </w:p>
          <w:p w14:paraId="3208740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14.支持创建多个设备还原点，将当前设备的配屏、场景、输出等参数存储为还原点，系统工作异常时可根据还原点一键快速还原；</w:t>
            </w:r>
          </w:p>
          <w:p w14:paraId="3040718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15.支持控制设备白名单，可通过MAC地址限制控制设备，非白名单内设备无法控制设备、不允许对设备进行操作；</w:t>
            </w:r>
          </w:p>
          <w:p w14:paraId="7FF4AC0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16.MTBF≥150000小时，MTTR平均修复小于10分钟可用度＞99%，整机寿命≥150000小时；</w:t>
            </w:r>
          </w:p>
          <w:p w14:paraId="76A3CF06">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17.上电即可正常工作，无需做任何其它设置。</w:t>
            </w:r>
          </w:p>
        </w:tc>
      </w:tr>
      <w:tr w14:paraId="1DE03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CEB508C">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95</w:t>
            </w:r>
          </w:p>
        </w:tc>
        <w:tc>
          <w:tcPr>
            <w:tcW w:w="489" w:type="pct"/>
            <w:shd w:val="clear" w:color="auto" w:fill="auto"/>
            <w:vAlign w:val="center"/>
          </w:tcPr>
          <w:p w14:paraId="56AB815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多媒体工控主机</w:t>
            </w:r>
          </w:p>
        </w:tc>
        <w:tc>
          <w:tcPr>
            <w:tcW w:w="232" w:type="pct"/>
            <w:shd w:val="clear" w:color="auto" w:fill="auto"/>
            <w:vAlign w:val="center"/>
          </w:tcPr>
          <w:p w14:paraId="169F9B2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01053DA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A3255E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1.19英寸标准机架安装，金属结构机箱，外壳防护等级符合IP20要求；</w:t>
            </w:r>
          </w:p>
          <w:p w14:paraId="6C08C26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2.X86嵌入式系统架构，内存≥32G、硬盘≥500G SSD；</w:t>
            </w:r>
          </w:p>
          <w:p w14:paraId="7648C5A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3.≥1路MIC IN、≥1路Line IN、≥1路Line OUT音频接口，支持接口扩展；</w:t>
            </w:r>
          </w:p>
          <w:p w14:paraId="50B746E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4.≥4路DP独立输出，拼接同步显示，拼接带载分辨率≥8192*4320@60Hz；</w:t>
            </w:r>
          </w:p>
          <w:p w14:paraId="0BD4203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5.支持≥4台服务器间拼接输出，通过主机实现对全部从机的集中控制；</w:t>
            </w:r>
          </w:p>
          <w:p w14:paraId="7C11073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6.支持接口虚拟放大缩小及输出接口标记、定位输出接口位置；</w:t>
            </w:r>
          </w:p>
          <w:p w14:paraId="2E90691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7.支持通过平板或手机端控制软件对多媒体服务器进行播放、暂停、停止、节目切换、音量调节、黑屏等操作；</w:t>
            </w:r>
          </w:p>
          <w:p w14:paraId="0B0095F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8.支持3D视频源播放输出，分辨率≥3840*2160@60Hz；</w:t>
            </w:r>
          </w:p>
          <w:p w14:paraId="2DB798B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9.支持设备热备份、播放画面实时同步，切换无黑屏、闪屏；</w:t>
            </w:r>
          </w:p>
          <w:p w14:paraId="34514BA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10.支持多画面同时播放时按主计时媒体进行跳转；</w:t>
            </w:r>
          </w:p>
          <w:p w14:paraId="7C421FC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11.支持预编辑输出，可在预览编辑完成后再进行媒体素材的一键输出播放，具有切换特效及抠像功能；</w:t>
            </w:r>
          </w:p>
          <w:p w14:paraId="19BF170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12.支持输出画面拆分重组及输出任意角度旋转；</w:t>
            </w:r>
          </w:p>
          <w:p w14:paraId="0F06CFE3">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13.支持对节目中任意一个媒体按区域进行画质调节、裁剪、遮罩。</w:t>
            </w:r>
          </w:p>
        </w:tc>
      </w:tr>
      <w:tr w14:paraId="3E44E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CF1262B">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96</w:t>
            </w:r>
          </w:p>
        </w:tc>
        <w:tc>
          <w:tcPr>
            <w:tcW w:w="489" w:type="pct"/>
            <w:shd w:val="clear" w:color="auto" w:fill="auto"/>
            <w:vAlign w:val="center"/>
          </w:tcPr>
          <w:p w14:paraId="3BAD579A">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LED显示屏</w:t>
            </w:r>
          </w:p>
          <w:p w14:paraId="6F702C3C">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专用配电柜3</w:t>
            </w:r>
          </w:p>
        </w:tc>
        <w:tc>
          <w:tcPr>
            <w:tcW w:w="232" w:type="pct"/>
            <w:shd w:val="clear" w:color="auto" w:fill="auto"/>
            <w:vAlign w:val="center"/>
          </w:tcPr>
          <w:p w14:paraId="119076F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758B940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145478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规格（高*宽*厚）：700*500*200mm</w:t>
            </w:r>
          </w:p>
          <w:p w14:paraId="2F1B22B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1.室内环境挂墙固定安装；</w:t>
            </w:r>
          </w:p>
          <w:p w14:paraId="76C233E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2.手动控制方式：屏体一键启停；</w:t>
            </w:r>
          </w:p>
          <w:p w14:paraId="6DEE6BD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3.远程控制方式：多功能卡电脑控制；</w:t>
            </w:r>
          </w:p>
          <w:p w14:paraId="26B46EE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4.通讯方式：网口、RS-232；</w:t>
            </w:r>
          </w:p>
          <w:p w14:paraId="3ED4594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5.供电方式：三相380V，三相五线制；</w:t>
            </w:r>
          </w:p>
          <w:p w14:paraId="35E4860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6.输入电压：交流380V；</w:t>
            </w:r>
          </w:p>
          <w:p w14:paraId="33ADD20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7.输入频率：50/60Hz；</w:t>
            </w:r>
          </w:p>
          <w:p w14:paraId="7199481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8.输出接线方式：单相220V，3线输出，L、N、PE（火、零、地）；</w:t>
            </w:r>
          </w:p>
          <w:p w14:paraId="53387C6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9.输出≥12路；</w:t>
            </w:r>
          </w:p>
          <w:p w14:paraId="29F4D1F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10.输出电压：交流220V；</w:t>
            </w:r>
          </w:p>
          <w:p w14:paraId="05CD69D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11.单路输出功率：每路3.3kW（MAX），均匀接入显示屏；</w:t>
            </w:r>
          </w:p>
          <w:p w14:paraId="173486D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12.传感器：电流电压表、温湿度传感器、烟雾传感器、亮度；</w:t>
            </w:r>
          </w:p>
          <w:p w14:paraId="7C9FDEF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13.防雷：浪涌保护器；</w:t>
            </w:r>
          </w:p>
          <w:p w14:paraId="15E1B04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14.防护等级：IP43（或优于）；</w:t>
            </w:r>
          </w:p>
          <w:p w14:paraId="368914E3">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15.输入电缆：YJV4*16+1*10mm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，国标铜线；</w:t>
            </w:r>
          </w:p>
          <w:p w14:paraId="586FA7CF">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16.输出电缆：3*2.5mm</w:t>
            </w:r>
            <w:r>
              <w:rPr>
                <w:rStyle w:val="115"/>
                <w:rFonts w:hint="eastAsia" w:ascii="仿宋" w:hAnsi="仿宋" w:eastAsia="仿宋" w:cs="仿宋"/>
                <w:b w:val="0"/>
                <w:bCs w:val="0"/>
                <w:color w:val="auto"/>
                <w:sz w:val="18"/>
                <w:szCs w:val="18"/>
                <w:lang w:val="en-US" w:eastAsia="zh-CN" w:bidi="ar"/>
              </w:rPr>
              <w:t>²</w:t>
            </w:r>
            <w:r>
              <w:rPr>
                <w:rStyle w:val="114"/>
                <w:rFonts w:hint="eastAsia" w:ascii="仿宋" w:hAnsi="仿宋" w:eastAsia="仿宋" w:cs="仿宋"/>
                <w:b w:val="0"/>
                <w:bCs w:val="0"/>
                <w:color w:val="auto"/>
                <w:sz w:val="18"/>
                <w:szCs w:val="18"/>
                <w:lang w:val="en-US" w:eastAsia="zh-CN" w:bidi="ar"/>
              </w:rPr>
              <w:t>，国标铜线12组。</w:t>
            </w:r>
          </w:p>
        </w:tc>
      </w:tr>
      <w:tr w14:paraId="7C393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6B7852C">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97</w:t>
            </w:r>
          </w:p>
        </w:tc>
        <w:tc>
          <w:tcPr>
            <w:tcW w:w="489" w:type="pct"/>
            <w:shd w:val="clear" w:color="auto" w:fill="auto"/>
            <w:vAlign w:val="center"/>
          </w:tcPr>
          <w:p w14:paraId="14C3EBA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数模合并功放3</w:t>
            </w:r>
          </w:p>
        </w:tc>
        <w:tc>
          <w:tcPr>
            <w:tcW w:w="232" w:type="pct"/>
            <w:shd w:val="clear" w:color="auto" w:fill="auto"/>
            <w:vAlign w:val="center"/>
          </w:tcPr>
          <w:p w14:paraId="0A00861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0577323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74AE27A">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同序号46</w:t>
            </w:r>
          </w:p>
        </w:tc>
      </w:tr>
      <w:tr w14:paraId="74315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B67ECDC">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98</w:t>
            </w:r>
          </w:p>
        </w:tc>
        <w:tc>
          <w:tcPr>
            <w:tcW w:w="489" w:type="pct"/>
            <w:shd w:val="clear" w:color="auto" w:fill="auto"/>
            <w:vAlign w:val="center"/>
          </w:tcPr>
          <w:p w14:paraId="38D0F38C">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二分频同轴式</w:t>
            </w:r>
          </w:p>
          <w:p w14:paraId="4B8BD02A">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天花音箱3</w:t>
            </w:r>
          </w:p>
        </w:tc>
        <w:tc>
          <w:tcPr>
            <w:tcW w:w="232" w:type="pct"/>
            <w:shd w:val="clear" w:color="auto" w:fill="auto"/>
            <w:vAlign w:val="center"/>
          </w:tcPr>
          <w:p w14:paraId="5F3B622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w:t>
            </w:r>
          </w:p>
        </w:tc>
        <w:tc>
          <w:tcPr>
            <w:tcW w:w="218" w:type="pct"/>
            <w:shd w:val="clear" w:color="auto" w:fill="auto"/>
            <w:vAlign w:val="center"/>
          </w:tcPr>
          <w:p w14:paraId="63AD5E3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29E3CFBF">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同序号47</w:t>
            </w:r>
          </w:p>
        </w:tc>
      </w:tr>
      <w:tr w14:paraId="05E78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8261196">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99</w:t>
            </w:r>
          </w:p>
        </w:tc>
        <w:tc>
          <w:tcPr>
            <w:tcW w:w="489" w:type="pct"/>
            <w:shd w:val="clear" w:color="auto" w:fill="auto"/>
            <w:vAlign w:val="center"/>
          </w:tcPr>
          <w:p w14:paraId="06F0B77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电容识别屏</w:t>
            </w:r>
          </w:p>
        </w:tc>
        <w:tc>
          <w:tcPr>
            <w:tcW w:w="232" w:type="pct"/>
            <w:shd w:val="clear" w:color="auto" w:fill="auto"/>
            <w:vAlign w:val="center"/>
          </w:tcPr>
          <w:p w14:paraId="62452BF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8</w:t>
            </w:r>
          </w:p>
        </w:tc>
        <w:tc>
          <w:tcPr>
            <w:tcW w:w="218" w:type="pct"/>
            <w:shd w:val="clear" w:color="auto" w:fill="auto"/>
            <w:vAlign w:val="center"/>
          </w:tcPr>
          <w:p w14:paraId="291B54F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89ABD7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55寸，冷光源防蓝光技术液晶面板，使用寿命≥30000h，亮度≥350cd/㎡，对比度≥1200，色域≥72%，支持颜色≥16.7M，水平视角≥178°、垂直视角≥178°，显示比例16:9，LED区域背光自动调节技术，亮度均匀性≥98%，图像重显率≥96%，白平衡误差优于±0.01；</w:t>
            </w:r>
          </w:p>
          <w:p w14:paraId="0D48BB5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2.航空铝材质圆弧窄边框设计，铝氧化处理，显示面积占比≥85%；</w:t>
            </w:r>
          </w:p>
          <w:p w14:paraId="4EAB8CD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3.≥4mm厚防爆钢化玻璃面板，防撞、防尘、防水、防雷、防静电、防辐射；</w:t>
            </w:r>
          </w:p>
          <w:p w14:paraId="620A585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4.电容触摸寿命≥6万小时，长时间使用不延迟，触摸点数≥40点，触摸精度1mm，响应时间≤5ms；</w:t>
            </w:r>
          </w:p>
          <w:p w14:paraId="17A4F66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5.部件模块与机柜结合紧密，屏幕漏光度＜0.0001cd/㎡；</w:t>
            </w:r>
          </w:p>
          <w:p w14:paraId="0A51EF6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6.识别令牌底部光滑、无任何凸起，触摸点数≤5点，旋转精度≤5°，ID算法支持125种，支持单独使用或与其它实物结合使用；</w:t>
            </w:r>
          </w:p>
          <w:p w14:paraId="34A6479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7.内置静电释放系统；</w:t>
            </w:r>
          </w:p>
          <w:p w14:paraId="70AC4B6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8.支持使用TUIO消息替代Unity自身的触摸消息处理机制，防止触点丢失；</w:t>
            </w:r>
          </w:p>
          <w:p w14:paraId="15E9C19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9.具有关闭WPF的手写笔功能；</w:t>
            </w:r>
          </w:p>
          <w:p w14:paraId="650405F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10.支持UICreator在委托方法中根据令牌新增、更新和移除事件来创建和更新MarkerUI；</w:t>
            </w:r>
          </w:p>
          <w:p w14:paraId="2C9792D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11.支持在UICreator创建出新的MarkerUI后通过MarkerUI的InitMarker方法来初始化UI的编码、位置和旋转角度；</w:t>
            </w:r>
          </w:p>
          <w:p w14:paraId="17D8C40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12.支持令牌移除时UICreator调用Destroy方法来销毁MarkerUI对象；</w:t>
            </w:r>
          </w:p>
          <w:p w14:paraId="13062D3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13.支持二次开发接口，提供Unity、UE4等开发插件；</w:t>
            </w:r>
          </w:p>
          <w:p w14:paraId="6ACD53D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14.支持触摸效果的物理展示和消失的切换；</w:t>
            </w:r>
          </w:p>
          <w:p w14:paraId="4975321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15.支持调整弹出媒体窗的位置、方向和大小等；</w:t>
            </w:r>
          </w:p>
          <w:p w14:paraId="37DEDA7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16.支持通过编辑器界面设置物体关联的媒体文件；</w:t>
            </w:r>
          </w:p>
          <w:p w14:paraId="36BC346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17.支持让真实物体与数字对象直接关联；</w:t>
            </w:r>
          </w:p>
          <w:p w14:paraId="53968F9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18.具有自然兼容标准Windows触摸功能；</w:t>
            </w:r>
          </w:p>
          <w:p w14:paraId="0008732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19.支持运行任何支持TUIO的应用程序；</w:t>
            </w:r>
          </w:p>
          <w:p w14:paraId="5FE8F94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20.支持单屏交互、多屏互动、多人操作、多人协作任务联动；</w:t>
            </w:r>
          </w:p>
          <w:p w14:paraId="50EBD9A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21.支持自行开发专属的内容开发工具；</w:t>
            </w:r>
          </w:p>
          <w:p w14:paraId="42BE302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22.支持主流媒体文件格式和软件开发接口；</w:t>
            </w:r>
          </w:p>
          <w:p w14:paraId="0141E28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23.具有杀毒软件自动提示误报功能；</w:t>
            </w:r>
          </w:p>
          <w:p w14:paraId="4D9FA24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24.具有屏幕底图和识别令牌位置错位时自动纠错复位功能；</w:t>
            </w:r>
          </w:p>
          <w:p w14:paraId="787B004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25.支持二维和三维场景下的导航、交互；</w:t>
            </w:r>
          </w:p>
          <w:p w14:paraId="04B7826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26.输入信号源自动切换功能可自主选择是否开启；</w:t>
            </w:r>
          </w:p>
          <w:p w14:paraId="42EA8545">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27.软件具有用户权限限制安全保密性且通过无病毒检查，建立新窗口、场景保存、系统设置对关键功能数据进行有效校验，运行发生错误时有提示且可恢复正常。</w:t>
            </w:r>
          </w:p>
        </w:tc>
      </w:tr>
      <w:tr w14:paraId="1CB9A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2E2913E">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100</w:t>
            </w:r>
          </w:p>
        </w:tc>
        <w:tc>
          <w:tcPr>
            <w:tcW w:w="489" w:type="pct"/>
            <w:shd w:val="clear" w:color="auto" w:fill="auto"/>
            <w:vAlign w:val="center"/>
          </w:tcPr>
          <w:p w14:paraId="1B70217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落地框架</w:t>
            </w:r>
          </w:p>
        </w:tc>
        <w:tc>
          <w:tcPr>
            <w:tcW w:w="232" w:type="pct"/>
            <w:shd w:val="clear" w:color="auto" w:fill="auto"/>
            <w:vAlign w:val="center"/>
          </w:tcPr>
          <w:p w14:paraId="7349A30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B94B8F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0A5D37D9">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≥1.2cm厚SPCC冷轧钢板制作，经酸洗磷化、高温烘干、静电喷涂、高温烤塑。</w:t>
            </w:r>
          </w:p>
        </w:tc>
      </w:tr>
      <w:tr w14:paraId="1C79F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8FF857C">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101</w:t>
            </w:r>
          </w:p>
        </w:tc>
        <w:tc>
          <w:tcPr>
            <w:tcW w:w="489" w:type="pct"/>
            <w:shd w:val="clear" w:color="auto" w:fill="auto"/>
            <w:vAlign w:val="center"/>
          </w:tcPr>
          <w:p w14:paraId="120DBE6E">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AR眼镜+主机</w:t>
            </w:r>
          </w:p>
        </w:tc>
        <w:tc>
          <w:tcPr>
            <w:tcW w:w="232" w:type="pct"/>
            <w:shd w:val="clear" w:color="auto" w:fill="auto"/>
            <w:vAlign w:val="center"/>
          </w:tcPr>
          <w:p w14:paraId="467E7EA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10</w:t>
            </w:r>
          </w:p>
        </w:tc>
        <w:tc>
          <w:tcPr>
            <w:tcW w:w="218" w:type="pct"/>
            <w:shd w:val="clear" w:color="auto" w:fill="auto"/>
            <w:vAlign w:val="center"/>
          </w:tcPr>
          <w:p w14:paraId="03CF963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副</w:t>
            </w:r>
          </w:p>
        </w:tc>
        <w:tc>
          <w:tcPr>
            <w:tcW w:w="3864" w:type="pct"/>
            <w:shd w:val="clear" w:color="auto" w:fill="auto"/>
            <w:vAlign w:val="center"/>
          </w:tcPr>
          <w:p w14:paraId="79AABA1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1.AR眼镜</w:t>
            </w:r>
          </w:p>
          <w:p w14:paraId="59B7E46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 单体重量：≤80g；</w:t>
            </w:r>
          </w:p>
          <w:p w14:paraId="7FDD630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 具备6Dof空间计算能力；</w:t>
            </w:r>
          </w:p>
          <w:p w14:paraId="3986A63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 镜腿可折叠；</w:t>
            </w:r>
          </w:p>
          <w:p w14:paraId="669D449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 麦克风：≥2个；</w:t>
            </w:r>
          </w:p>
          <w:p w14:paraId="4A9EC7B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 扬声器：≥2个；</w:t>
            </w:r>
          </w:p>
          <w:p w14:paraId="02EC673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 支持9轴IMU（三轴陀螺仪、三轴加速计、三轴磁力计）；</w:t>
            </w:r>
          </w:p>
          <w:p w14:paraId="65B21B2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1.7 双目Birdbath光学方案；</w:t>
            </w:r>
          </w:p>
          <w:p w14:paraId="4CABE5A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1.8 视场角：≥50°；</w:t>
            </w:r>
          </w:p>
          <w:p w14:paraId="3842023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1.9 屏幕最高亮度≥5000nits，入眼最高亮度≥500nits；</w:t>
            </w:r>
          </w:p>
          <w:p w14:paraId="4BA75CF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1.10 分辨率：≥3840*1200P；</w:t>
            </w:r>
          </w:p>
          <w:p w14:paraId="0761E50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1.11 对比度：≥100000:1；</w:t>
            </w:r>
          </w:p>
          <w:p w14:paraId="67E8DA6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1.12 单个超大广角镜头摄像头实现点云+SLAM大场景空间计算与定位。</w:t>
            </w:r>
          </w:p>
          <w:p w14:paraId="5B3FC3E2">
            <w:pPr>
              <w:keepNext w:val="0"/>
              <w:keepLines w:val="0"/>
              <w:widowControl/>
              <w:suppressLineNumbers w:val="0"/>
              <w:jc w:val="left"/>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2.主机</w:t>
            </w:r>
          </w:p>
          <w:p w14:paraId="35BF37E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2.1 处理器：≥8核8线程2.8GHz；</w:t>
            </w:r>
          </w:p>
          <w:p w14:paraId="0DEEBFD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 存储：≥12G内存、≥128G存储空间；</w:t>
            </w:r>
          </w:p>
          <w:p w14:paraId="0A0775F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2.3 摄像头：拍摄≥4800万像素，视场角≥115°，具有闪光灯；</w:t>
            </w:r>
          </w:p>
          <w:p w14:paraId="2E95665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2.4 具有定位功能，支持GPS、北斗；</w:t>
            </w:r>
          </w:p>
          <w:p w14:paraId="07C8EDE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2.5 具备USBtype-C2.0/3.0接口；</w:t>
            </w:r>
          </w:p>
          <w:p w14:paraId="3E63B37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2.6 支持WIFI 6E 、2.4G/5G/6G三频、WiFi 11a/b/g/n/ac/ax19的方式进行数据通讯；</w:t>
            </w:r>
          </w:p>
          <w:p w14:paraId="5B4054D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2.7 电池容量及续航：≥7500mAh及≥4小时；</w:t>
            </w:r>
          </w:p>
          <w:p w14:paraId="65B6C3B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2.8 支持手势交互、按键交互、语音交互，主机按键包括方向键（上、下、左、右）、确认键、X键、O键、电源键、主页键、菜单键，音量+/音量-；</w:t>
            </w:r>
          </w:p>
          <w:p w14:paraId="3A8D42EA">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2.9 支持Unity及其他开放平台后期开发。</w:t>
            </w:r>
          </w:p>
        </w:tc>
      </w:tr>
      <w:tr w14:paraId="30F02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5D5612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102</w:t>
            </w:r>
          </w:p>
        </w:tc>
        <w:tc>
          <w:tcPr>
            <w:tcW w:w="489" w:type="pct"/>
            <w:shd w:val="clear" w:color="auto" w:fill="auto"/>
            <w:vAlign w:val="center"/>
          </w:tcPr>
          <w:p w14:paraId="7C25990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耳机</w:t>
            </w:r>
          </w:p>
        </w:tc>
        <w:tc>
          <w:tcPr>
            <w:tcW w:w="232" w:type="pct"/>
            <w:shd w:val="clear" w:color="auto" w:fill="auto"/>
            <w:vAlign w:val="center"/>
          </w:tcPr>
          <w:p w14:paraId="50A7AFF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10</w:t>
            </w:r>
          </w:p>
        </w:tc>
        <w:tc>
          <w:tcPr>
            <w:tcW w:w="218" w:type="pct"/>
            <w:shd w:val="clear" w:color="auto" w:fill="auto"/>
            <w:vAlign w:val="center"/>
          </w:tcPr>
          <w:p w14:paraId="6CC9D4A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副</w:t>
            </w:r>
          </w:p>
        </w:tc>
        <w:tc>
          <w:tcPr>
            <w:tcW w:w="3864" w:type="pct"/>
            <w:shd w:val="clear" w:color="auto" w:fill="auto"/>
            <w:vAlign w:val="center"/>
          </w:tcPr>
          <w:p w14:paraId="7E6A118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1.集成处理器+HD降噪处理器，≥8麦克风系统，智能降噪优化，双金标HiFi音质认证，360°全景环绕音效，9D杜比空间音频；</w:t>
            </w:r>
          </w:p>
          <w:p w14:paraId="55E2F5B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2.支持蓝牙无线+有线连接，配备3.5mm音频转接线；</w:t>
            </w:r>
          </w:p>
          <w:p w14:paraId="0296225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3.Type-C、USB充电接口，充电≤1.5小时、续航≥80小时、待机≥800小时；</w:t>
            </w:r>
          </w:p>
          <w:p w14:paraId="3DC23338">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4.佩戴零压感，多档伸缩头梁，双耳折叠结构，专业级IPX6防水。</w:t>
            </w:r>
          </w:p>
        </w:tc>
      </w:tr>
      <w:tr w14:paraId="6DAF3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877BC0B">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103</w:t>
            </w:r>
          </w:p>
        </w:tc>
        <w:tc>
          <w:tcPr>
            <w:tcW w:w="489" w:type="pct"/>
            <w:shd w:val="clear" w:color="auto" w:fill="auto"/>
            <w:vAlign w:val="center"/>
          </w:tcPr>
          <w:p w14:paraId="1E9E5A3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未来课堂沉浸式体验程序</w:t>
            </w:r>
          </w:p>
        </w:tc>
        <w:tc>
          <w:tcPr>
            <w:tcW w:w="232" w:type="pct"/>
            <w:shd w:val="clear" w:color="auto" w:fill="auto"/>
            <w:vAlign w:val="center"/>
          </w:tcPr>
          <w:p w14:paraId="481C298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31A5A6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7D48862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1.触控桌面系统界面设计+互动程序开发；</w:t>
            </w:r>
          </w:p>
          <w:p w14:paraId="0E63B38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2.通过感应模块切换LED显示屏显示西配楼零碳楼宇智慧管理系统中的不同版块（甲供信号接口），双屏联动交互形式；</w:t>
            </w:r>
          </w:p>
          <w:p w14:paraId="5210B389">
            <w:pPr>
              <w:keepNext w:val="0"/>
              <w:keepLines w:val="0"/>
              <w:widowControl/>
              <w:suppressLineNumbers w:val="0"/>
              <w:jc w:val="left"/>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含3级以内菜单、16个以内小按钮、16个以内播放弹窗互动界面平面设计、系统分析逻辑结构搭建&amp;框架布署、核心程序代码编译、分层链接程序编译、分级嵌入模块编译、代码封装、软件Bug调试、压力测试、程序最终打包。</w:t>
            </w:r>
          </w:p>
        </w:tc>
      </w:tr>
      <w:tr w14:paraId="12ADC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2B2F8DE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点播学习区展示系统</w:t>
            </w:r>
          </w:p>
        </w:tc>
      </w:tr>
      <w:tr w14:paraId="3FDD9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7107D90">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104</w:t>
            </w:r>
          </w:p>
        </w:tc>
        <w:tc>
          <w:tcPr>
            <w:tcW w:w="489" w:type="pct"/>
            <w:shd w:val="clear" w:color="auto" w:fill="auto"/>
            <w:vAlign w:val="center"/>
          </w:tcPr>
          <w:p w14:paraId="0FE3BB77">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98寸显示一体机</w:t>
            </w:r>
          </w:p>
        </w:tc>
        <w:tc>
          <w:tcPr>
            <w:tcW w:w="232" w:type="pct"/>
            <w:shd w:val="clear" w:color="auto" w:fill="auto"/>
            <w:vAlign w:val="center"/>
          </w:tcPr>
          <w:p w14:paraId="47467BD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253C9D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275560C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最低要求：I5-6代处理器、8G内存、256G SSD、非触摸、分辨率4K</w:t>
            </w:r>
          </w:p>
        </w:tc>
      </w:tr>
      <w:tr w14:paraId="23312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1B84540">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105</w:t>
            </w:r>
          </w:p>
        </w:tc>
        <w:tc>
          <w:tcPr>
            <w:tcW w:w="489" w:type="pct"/>
            <w:shd w:val="clear" w:color="auto" w:fill="auto"/>
            <w:vAlign w:val="center"/>
          </w:tcPr>
          <w:p w14:paraId="1EC608AE">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98寸前维护</w:t>
            </w:r>
          </w:p>
          <w:p w14:paraId="4BEB4E7B">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液压支架1</w:t>
            </w:r>
          </w:p>
        </w:tc>
        <w:tc>
          <w:tcPr>
            <w:tcW w:w="232" w:type="pct"/>
            <w:shd w:val="clear" w:color="auto" w:fill="auto"/>
            <w:vAlign w:val="center"/>
          </w:tcPr>
          <w:p w14:paraId="0936986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4EA87B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B64C58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同序号34</w:t>
            </w:r>
          </w:p>
        </w:tc>
      </w:tr>
      <w:tr w14:paraId="299AB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460C636">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106</w:t>
            </w:r>
          </w:p>
        </w:tc>
        <w:tc>
          <w:tcPr>
            <w:tcW w:w="489" w:type="pct"/>
            <w:shd w:val="clear" w:color="auto" w:fill="auto"/>
            <w:vAlign w:val="center"/>
          </w:tcPr>
          <w:p w14:paraId="667ED86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识别装置</w:t>
            </w:r>
          </w:p>
        </w:tc>
        <w:tc>
          <w:tcPr>
            <w:tcW w:w="232" w:type="pct"/>
            <w:shd w:val="clear" w:color="auto" w:fill="auto"/>
            <w:vAlign w:val="center"/>
          </w:tcPr>
          <w:p w14:paraId="4030A7B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373C958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2FA157F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通过插卡形式和屏进行联动</w:t>
            </w:r>
          </w:p>
        </w:tc>
      </w:tr>
      <w:tr w14:paraId="6A948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71906C0">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107</w:t>
            </w:r>
          </w:p>
        </w:tc>
        <w:tc>
          <w:tcPr>
            <w:tcW w:w="489" w:type="pct"/>
            <w:shd w:val="clear" w:color="auto" w:fill="auto"/>
            <w:vAlign w:val="center"/>
          </w:tcPr>
          <w:p w14:paraId="5ED396F9">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互动展示程序4</w:t>
            </w:r>
          </w:p>
        </w:tc>
        <w:tc>
          <w:tcPr>
            <w:tcW w:w="232" w:type="pct"/>
            <w:shd w:val="clear" w:color="auto" w:fill="auto"/>
            <w:vAlign w:val="center"/>
          </w:tcPr>
          <w:p w14:paraId="18A8997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0332EED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47B0D43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1.一体机系统界面设计+互动程序开发；</w:t>
            </w:r>
          </w:p>
          <w:p w14:paraId="5726152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2.通过卡片感应切换一体机显示零碳楼宇教育系统中的不同课件（甲供信号接口）；</w:t>
            </w:r>
          </w:p>
          <w:p w14:paraId="20E77E4A">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含3级以内菜单、16个以内小按钮、16个以内播放弹窗互动界面平面设计、系统分析逻辑结构搭建&amp;框架布署、核心程序代码编译、分层链接程序编译、分级嵌入模块编译、代码封装、软件Bug调试、压力测试、程序最终打包。</w:t>
            </w:r>
          </w:p>
        </w:tc>
      </w:tr>
      <w:tr w14:paraId="48CD8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63EFDF1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一体机</w:t>
            </w:r>
          </w:p>
        </w:tc>
      </w:tr>
      <w:tr w14:paraId="0CECF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6B67BD6C">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108</w:t>
            </w:r>
          </w:p>
        </w:tc>
        <w:tc>
          <w:tcPr>
            <w:tcW w:w="489" w:type="pct"/>
            <w:shd w:val="clear" w:color="auto" w:fill="auto"/>
            <w:vAlign w:val="center"/>
          </w:tcPr>
          <w:p w14:paraId="3DE5592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98寸触摸一体机</w:t>
            </w:r>
          </w:p>
        </w:tc>
        <w:tc>
          <w:tcPr>
            <w:tcW w:w="232" w:type="pct"/>
            <w:shd w:val="clear" w:color="auto" w:fill="auto"/>
            <w:vAlign w:val="center"/>
          </w:tcPr>
          <w:p w14:paraId="61A6BB0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w:t>
            </w:r>
          </w:p>
        </w:tc>
        <w:tc>
          <w:tcPr>
            <w:tcW w:w="218" w:type="pct"/>
            <w:shd w:val="clear" w:color="auto" w:fill="auto"/>
            <w:vAlign w:val="center"/>
          </w:tcPr>
          <w:p w14:paraId="6323FDA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A489C3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最低要求：I5-6代处理器、8G内存、128G SSD、红外触摸、分辨率4K</w:t>
            </w:r>
          </w:p>
        </w:tc>
      </w:tr>
      <w:tr w14:paraId="17961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5882C4D">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109</w:t>
            </w:r>
          </w:p>
        </w:tc>
        <w:tc>
          <w:tcPr>
            <w:tcW w:w="489" w:type="pct"/>
            <w:shd w:val="clear" w:color="auto" w:fill="auto"/>
            <w:vAlign w:val="center"/>
          </w:tcPr>
          <w:p w14:paraId="676EFE9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98寸前维护</w:t>
            </w:r>
          </w:p>
          <w:p w14:paraId="6FAB92ED">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液压支架2</w:t>
            </w:r>
          </w:p>
        </w:tc>
        <w:tc>
          <w:tcPr>
            <w:tcW w:w="232" w:type="pct"/>
            <w:shd w:val="clear" w:color="auto" w:fill="auto"/>
            <w:vAlign w:val="center"/>
          </w:tcPr>
          <w:p w14:paraId="4E4D805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6F8F819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184A94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同序号34</w:t>
            </w:r>
          </w:p>
        </w:tc>
      </w:tr>
      <w:tr w14:paraId="29B17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EB789FD">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110</w:t>
            </w:r>
          </w:p>
        </w:tc>
        <w:tc>
          <w:tcPr>
            <w:tcW w:w="489" w:type="pct"/>
            <w:shd w:val="clear" w:color="auto" w:fill="auto"/>
            <w:vAlign w:val="center"/>
          </w:tcPr>
          <w:p w14:paraId="1E2FA51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98寸移动支架</w:t>
            </w:r>
          </w:p>
        </w:tc>
        <w:tc>
          <w:tcPr>
            <w:tcW w:w="232" w:type="pct"/>
            <w:shd w:val="clear" w:color="auto" w:fill="auto"/>
            <w:vAlign w:val="center"/>
          </w:tcPr>
          <w:p w14:paraId="3A3D80A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52ACED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047462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与一体机配套</w:t>
            </w:r>
          </w:p>
        </w:tc>
      </w:tr>
      <w:tr w14:paraId="57FCC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21DEAD3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bCs/>
                <w:i w:val="0"/>
                <w:iCs w:val="0"/>
                <w:color w:val="auto"/>
                <w:kern w:val="2"/>
                <w:sz w:val="18"/>
                <w:szCs w:val="18"/>
                <w:u w:val="none"/>
                <w:lang w:val="en-US" w:eastAsia="zh-CN" w:bidi="ar-SA"/>
              </w:rPr>
              <w:t>绿色燃料动力平台</w:t>
            </w:r>
            <w:r>
              <w:rPr>
                <w:rFonts w:hint="eastAsia" w:ascii="仿宋" w:hAnsi="仿宋" w:eastAsia="仿宋" w:cs="仿宋"/>
                <w:b/>
                <w:bCs/>
                <w:i w:val="0"/>
                <w:iCs w:val="0"/>
                <w:color w:val="auto"/>
                <w:kern w:val="0"/>
                <w:sz w:val="18"/>
                <w:szCs w:val="18"/>
                <w:u w:val="none"/>
                <w:lang w:val="en-US" w:eastAsia="zh-CN" w:bidi="ar"/>
              </w:rPr>
              <w:t>展示系统</w:t>
            </w:r>
          </w:p>
        </w:tc>
      </w:tr>
      <w:tr w14:paraId="7FEB8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38D2608">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111</w:t>
            </w:r>
          </w:p>
        </w:tc>
        <w:tc>
          <w:tcPr>
            <w:tcW w:w="489" w:type="pct"/>
            <w:shd w:val="clear" w:color="auto" w:fill="auto"/>
            <w:vAlign w:val="center"/>
          </w:tcPr>
          <w:p w14:paraId="391EB554">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LED显示屏3</w:t>
            </w:r>
          </w:p>
        </w:tc>
        <w:tc>
          <w:tcPr>
            <w:tcW w:w="232" w:type="pct"/>
            <w:shd w:val="clear" w:color="auto" w:fill="auto"/>
            <w:vAlign w:val="center"/>
          </w:tcPr>
          <w:p w14:paraId="52C1249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4.1</w:t>
            </w:r>
          </w:p>
        </w:tc>
        <w:tc>
          <w:tcPr>
            <w:tcW w:w="218" w:type="pct"/>
            <w:shd w:val="clear" w:color="auto" w:fill="auto"/>
            <w:vAlign w:val="center"/>
          </w:tcPr>
          <w:p w14:paraId="6C8DBCA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71CF660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1.规格：2.56*1.6m；</w:t>
            </w:r>
          </w:p>
          <w:p w14:paraId="3511C1D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2.像素点间距：≤1.5mm；</w:t>
            </w:r>
          </w:p>
          <w:p w14:paraId="559A8BF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3.整屏平整度≤0.04mm、模组平整度≤0.03mm、拼接缝≤0.03mm；</w:t>
            </w:r>
          </w:p>
          <w:p w14:paraId="46EEF72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4.亮度≥600cd/m</w:t>
            </w:r>
            <w:r>
              <w:rPr>
                <w:rStyle w:val="115"/>
                <w:rFonts w:hint="eastAsia" w:ascii="仿宋" w:hAnsi="仿宋" w:eastAsia="仿宋" w:cs="仿宋"/>
                <w:b w:val="0"/>
                <w:bCs w:val="0"/>
                <w:color w:val="auto"/>
                <w:sz w:val="18"/>
                <w:szCs w:val="18"/>
                <w:lang w:val="en-US" w:eastAsia="zh-CN" w:bidi="ar"/>
              </w:rPr>
              <w:t>²，亮度均匀性≥99%</w:t>
            </w:r>
            <w:r>
              <w:rPr>
                <w:rStyle w:val="114"/>
                <w:rFonts w:hint="eastAsia" w:ascii="仿宋" w:hAnsi="仿宋" w:eastAsia="仿宋" w:cs="仿宋"/>
                <w:b w:val="0"/>
                <w:bCs w:val="0"/>
                <w:color w:val="auto"/>
                <w:sz w:val="18"/>
                <w:szCs w:val="18"/>
                <w:lang w:val="en-US" w:eastAsia="zh-CN" w:bidi="ar"/>
              </w:rPr>
              <w:t>；</w:t>
            </w:r>
          </w:p>
          <w:p w14:paraId="693C0E6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5.色温：1000~18000K；</w:t>
            </w:r>
          </w:p>
          <w:p w14:paraId="642F5443">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6.刷新率≥3840Hz，对比度≥8700:1；</w:t>
            </w:r>
          </w:p>
          <w:p w14:paraId="1E24B91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7.像素失控率：＜0.01%；</w:t>
            </w:r>
          </w:p>
          <w:p w14:paraId="46748A3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8.发光点中心偏距＜0.8%，反光率≤1%，衰减率≤10%；</w:t>
            </w:r>
          </w:p>
          <w:p w14:paraId="0C0D528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9.画面延时：≤500ns；</w:t>
            </w:r>
          </w:p>
          <w:p w14:paraId="7540FE5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10.1m范围内测试4个位置（前后左右）：噪音＜1.5dB、信噪比≥47dB；</w:t>
            </w:r>
          </w:p>
          <w:p w14:paraId="10A4C4F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11.峰值功耗≤260W/m²，平均功耗≤110W/m²；</w:t>
            </w:r>
          </w:p>
          <w:p w14:paraId="5B45BF9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12.漏电流：≤0.5mA；</w:t>
            </w:r>
          </w:p>
          <w:p w14:paraId="7F6F0105">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13.机械强度≥30Mpa，抗拉强度≥230Mpa，屈服强度≥170Mpa；</w:t>
            </w:r>
          </w:p>
          <w:p w14:paraId="27804D3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14.防信号、防电力远程窃密；</w:t>
            </w:r>
          </w:p>
          <w:p w14:paraId="1CF88520">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15.配套控制接收卡；</w:t>
            </w:r>
          </w:p>
          <w:p w14:paraId="1986B33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16.配套电源：额定输入电压200~240VAC，输入频率47~63Hz，工作温度-40℃~+70℃；</w:t>
            </w:r>
          </w:p>
          <w:p w14:paraId="119F385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17.模组配套连接线缆：含连接电源线、网线、接卡线、排线、高清线、DP转接头、miniDP转接头、DP转高清线、高清信号放大器等。</w:t>
            </w:r>
          </w:p>
        </w:tc>
      </w:tr>
      <w:tr w14:paraId="33E16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265E21E">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112</w:t>
            </w:r>
          </w:p>
        </w:tc>
        <w:tc>
          <w:tcPr>
            <w:tcW w:w="489" w:type="pct"/>
            <w:shd w:val="clear" w:color="auto" w:fill="auto"/>
            <w:vAlign w:val="center"/>
          </w:tcPr>
          <w:p w14:paraId="487A03AF">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框架结构3</w:t>
            </w:r>
          </w:p>
        </w:tc>
        <w:tc>
          <w:tcPr>
            <w:tcW w:w="232" w:type="pct"/>
            <w:shd w:val="clear" w:color="auto" w:fill="auto"/>
            <w:vAlign w:val="center"/>
          </w:tcPr>
          <w:p w14:paraId="661F247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4.1</w:t>
            </w:r>
          </w:p>
        </w:tc>
        <w:tc>
          <w:tcPr>
            <w:tcW w:w="218" w:type="pct"/>
            <w:shd w:val="clear" w:color="auto" w:fill="auto"/>
            <w:vAlign w:val="center"/>
          </w:tcPr>
          <w:p w14:paraId="172E7A1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2FDA29D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1.钢架构件（含接合板）采用Q235B钢制作；</w:t>
            </w:r>
          </w:p>
          <w:p w14:paraId="06B3450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2.手工焊连接用E43系列焊条、自动焊连接用H08系列焊条；</w:t>
            </w:r>
          </w:p>
          <w:p w14:paraId="2E68A5E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3.抗震≥7级、抗风≥8级；</w:t>
            </w:r>
          </w:p>
          <w:p w14:paraId="0B4EE358">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4.不锈钢包边。</w:t>
            </w:r>
          </w:p>
        </w:tc>
      </w:tr>
      <w:tr w14:paraId="7B3D8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F8118C1">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113</w:t>
            </w:r>
          </w:p>
        </w:tc>
        <w:tc>
          <w:tcPr>
            <w:tcW w:w="489" w:type="pct"/>
            <w:shd w:val="clear" w:color="auto" w:fill="auto"/>
            <w:vAlign w:val="center"/>
          </w:tcPr>
          <w:p w14:paraId="6B7CD880">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视频处理器5</w:t>
            </w:r>
          </w:p>
        </w:tc>
        <w:tc>
          <w:tcPr>
            <w:tcW w:w="232" w:type="pct"/>
            <w:shd w:val="clear" w:color="auto" w:fill="auto"/>
            <w:vAlign w:val="center"/>
          </w:tcPr>
          <w:p w14:paraId="7AF5F18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3147EBA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72BD6AE">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1.</w:t>
            </w:r>
            <w:r>
              <w:rPr>
                <w:rFonts w:hint="eastAsia" w:ascii="仿宋" w:hAnsi="仿宋" w:eastAsia="仿宋" w:cs="仿宋"/>
                <w:color w:val="auto"/>
                <w:sz w:val="18"/>
                <w:szCs w:val="18"/>
              </w:rPr>
              <w:t>输入接口：</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1路DVI</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1路HDMI</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1路VGA</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1路USB</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1路CVBS；</w:t>
            </w:r>
          </w:p>
          <w:p w14:paraId="6DB571E7">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发送卡和视频处理器二合一；</w:t>
            </w:r>
          </w:p>
          <w:p w14:paraId="249AB0A7">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3.</w:t>
            </w:r>
            <w:r>
              <w:rPr>
                <w:rFonts w:hint="eastAsia" w:ascii="仿宋" w:hAnsi="仿宋" w:eastAsia="仿宋" w:cs="仿宋"/>
                <w:color w:val="auto"/>
                <w:sz w:val="18"/>
                <w:szCs w:val="18"/>
              </w:rPr>
              <w:t>支持插入U盘播放，最大支持1920</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1080@60Hz视频输入；</w:t>
            </w:r>
          </w:p>
          <w:p w14:paraId="53E536F0">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4.前面板配备LCD显示界面可实时显示型号、IP地址、窗口及信号源分辨率、网口状态、屏幕大小及帧频、USB或网线连接状态、屏体亮度等信息；</w:t>
            </w:r>
          </w:p>
          <w:p w14:paraId="792C970D">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5.</w:t>
            </w:r>
            <w:r>
              <w:rPr>
                <w:rFonts w:hint="eastAsia" w:ascii="仿宋" w:hAnsi="仿宋" w:eastAsia="仿宋" w:cs="仿宋"/>
                <w:color w:val="auto"/>
                <w:sz w:val="18"/>
                <w:szCs w:val="18"/>
              </w:rPr>
              <w:t>支持配合多功能卡实现对屏体电源的手动控制</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自动控制及软件控制</w:t>
            </w:r>
            <w:r>
              <w:rPr>
                <w:rFonts w:hint="eastAsia" w:ascii="仿宋" w:hAnsi="仿宋" w:eastAsia="仿宋" w:cs="仿宋"/>
                <w:color w:val="auto"/>
                <w:sz w:val="18"/>
                <w:szCs w:val="18"/>
                <w:lang w:eastAsia="zh-CN"/>
              </w:rPr>
              <w:t>；</w:t>
            </w:r>
          </w:p>
          <w:p w14:paraId="258981AD">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6.</w:t>
            </w:r>
            <w:r>
              <w:rPr>
                <w:rFonts w:hint="eastAsia" w:ascii="仿宋" w:hAnsi="仿宋" w:eastAsia="仿宋" w:cs="仿宋"/>
                <w:color w:val="auto"/>
                <w:sz w:val="18"/>
                <w:szCs w:val="18"/>
              </w:rPr>
              <w:t>支持DVI、HDMI的输入分辨率自定义调节</w:t>
            </w:r>
            <w:r>
              <w:rPr>
                <w:rFonts w:hint="eastAsia" w:ascii="仿宋" w:hAnsi="仿宋" w:eastAsia="仿宋" w:cs="仿宋"/>
                <w:color w:val="auto"/>
                <w:sz w:val="18"/>
                <w:szCs w:val="18"/>
                <w:lang w:eastAsia="zh-CN"/>
              </w:rPr>
              <w:t>；</w:t>
            </w:r>
          </w:p>
          <w:p w14:paraId="7744003D">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7.</w:t>
            </w:r>
            <w:r>
              <w:rPr>
                <w:rFonts w:hint="eastAsia" w:ascii="仿宋" w:hAnsi="仿宋" w:eastAsia="仿宋" w:cs="仿宋"/>
                <w:color w:val="auto"/>
                <w:sz w:val="18"/>
                <w:szCs w:val="18"/>
              </w:rPr>
              <w:t>支持逐点亮度校正，可对每个灯点的亮度和色度进行采集校正</w:t>
            </w:r>
            <w:r>
              <w:rPr>
                <w:rFonts w:hint="eastAsia" w:ascii="仿宋" w:hAnsi="仿宋" w:eastAsia="仿宋" w:cs="仿宋"/>
                <w:color w:val="auto"/>
                <w:sz w:val="18"/>
                <w:szCs w:val="18"/>
                <w:lang w:eastAsia="zh-CN"/>
              </w:rPr>
              <w:t>；</w:t>
            </w:r>
          </w:p>
          <w:p w14:paraId="224EF4CC">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8.</w:t>
            </w:r>
            <w:r>
              <w:rPr>
                <w:rFonts w:hint="eastAsia" w:ascii="仿宋" w:hAnsi="仿宋" w:eastAsia="仿宋" w:cs="仿宋"/>
                <w:color w:val="auto"/>
                <w:sz w:val="18"/>
                <w:szCs w:val="18"/>
              </w:rPr>
              <w:t>支持通过设备旋转按钮实现快捷配屏和高级配屏功能点亮屏体；</w:t>
            </w:r>
          </w:p>
          <w:p w14:paraId="75E8462E">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9.</w:t>
            </w:r>
            <w:r>
              <w:rPr>
                <w:rFonts w:hint="eastAsia" w:ascii="仿宋" w:hAnsi="仿宋" w:eastAsia="仿宋" w:cs="仿宋"/>
                <w:color w:val="auto"/>
                <w:sz w:val="18"/>
                <w:szCs w:val="18"/>
              </w:rPr>
              <w:t>支持</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4个千兆网口输出，最大带载</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260万像素</w:t>
            </w:r>
            <w:r>
              <w:rPr>
                <w:rFonts w:hint="eastAsia" w:ascii="仿宋" w:hAnsi="仿宋" w:eastAsia="仿宋" w:cs="仿宋"/>
                <w:color w:val="auto"/>
                <w:sz w:val="18"/>
                <w:szCs w:val="18"/>
                <w:lang w:eastAsia="zh-CN"/>
              </w:rPr>
              <w:t>；</w:t>
            </w:r>
          </w:p>
          <w:p w14:paraId="224E25F6">
            <w:pPr>
              <w:keepNext w:val="0"/>
              <w:keepLines w:val="0"/>
              <w:widowControl/>
              <w:suppressLineNumbers w:val="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10.</w:t>
            </w:r>
            <w:r>
              <w:rPr>
                <w:rFonts w:hint="eastAsia" w:ascii="仿宋" w:hAnsi="仿宋" w:eastAsia="仿宋" w:cs="仿宋"/>
                <w:color w:val="auto"/>
                <w:sz w:val="18"/>
                <w:szCs w:val="18"/>
              </w:rPr>
              <w:t>支持创建</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6个用户场景作为模板保存</w:t>
            </w:r>
            <w:r>
              <w:rPr>
                <w:rFonts w:hint="eastAsia" w:ascii="仿宋" w:hAnsi="仿宋" w:eastAsia="仿宋" w:cs="仿宋"/>
                <w:color w:val="auto"/>
                <w:sz w:val="18"/>
                <w:szCs w:val="18"/>
                <w:lang w:eastAsia="zh-CN"/>
              </w:rPr>
              <w:t>；</w:t>
            </w:r>
          </w:p>
          <w:p w14:paraId="3F8FC59D">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color w:val="auto"/>
                <w:sz w:val="18"/>
                <w:szCs w:val="18"/>
                <w:lang w:val="en-US" w:eastAsia="zh-CN"/>
              </w:rPr>
              <w:t>11.</w:t>
            </w:r>
            <w:r>
              <w:rPr>
                <w:rFonts w:hint="eastAsia" w:ascii="仿宋" w:hAnsi="仿宋" w:eastAsia="仿宋" w:cs="仿宋"/>
                <w:color w:val="auto"/>
                <w:sz w:val="18"/>
                <w:szCs w:val="18"/>
              </w:rPr>
              <w:t>支持通过中控设备进行统一控制。</w:t>
            </w:r>
          </w:p>
        </w:tc>
      </w:tr>
      <w:tr w14:paraId="203F8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EF5370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114</w:t>
            </w:r>
          </w:p>
        </w:tc>
        <w:tc>
          <w:tcPr>
            <w:tcW w:w="489" w:type="pct"/>
            <w:shd w:val="clear" w:color="auto" w:fill="auto"/>
            <w:vAlign w:val="center"/>
          </w:tcPr>
          <w:p w14:paraId="7EB10A28">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工控主机6</w:t>
            </w:r>
          </w:p>
        </w:tc>
        <w:tc>
          <w:tcPr>
            <w:tcW w:w="232" w:type="pct"/>
            <w:shd w:val="clear" w:color="auto" w:fill="auto"/>
            <w:vAlign w:val="center"/>
          </w:tcPr>
          <w:p w14:paraId="0480E7D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512192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FFFFFF" w:fill="FFFFFF"/>
            <w:vAlign w:val="center"/>
          </w:tcPr>
          <w:p w14:paraId="4ABBBE94">
            <w:pPr>
              <w:widowControl/>
              <w:adjustRightInd w:val="0"/>
              <w:snapToGrid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color w:val="auto"/>
                <w:kern w:val="0"/>
                <w:sz w:val="18"/>
                <w:szCs w:val="18"/>
                <w:lang w:bidi="ar"/>
              </w:rPr>
              <w:t>最低要求：</w:t>
            </w:r>
            <w:r>
              <w:rPr>
                <w:rFonts w:hint="eastAsia" w:ascii="仿宋" w:hAnsi="仿宋" w:eastAsia="仿宋" w:cs="仿宋"/>
                <w:color w:val="auto"/>
                <w:kern w:val="0"/>
                <w:sz w:val="18"/>
                <w:szCs w:val="18"/>
                <w:shd w:val="clear" w:color="auto" w:fill="FFFFFF" w:themeFill="background1"/>
                <w:lang w:bidi="ar"/>
              </w:rPr>
              <w:t>海光3350处理器</w:t>
            </w:r>
            <w:r>
              <w:rPr>
                <w:rFonts w:hint="eastAsia" w:ascii="仿宋" w:hAnsi="仿宋" w:eastAsia="仿宋" w:cs="仿宋"/>
                <w:color w:val="auto"/>
                <w:kern w:val="0"/>
                <w:sz w:val="18"/>
                <w:szCs w:val="18"/>
                <w:shd w:val="clear" w:color="auto" w:fill="FFFFFF" w:themeFill="background1"/>
                <w:lang w:eastAsia="zh-CN" w:bidi="ar"/>
              </w:rPr>
              <w:t>、</w:t>
            </w:r>
            <w:r>
              <w:rPr>
                <w:rFonts w:hint="eastAsia" w:ascii="仿宋" w:hAnsi="仿宋" w:eastAsia="仿宋" w:cs="仿宋"/>
                <w:color w:val="auto"/>
                <w:kern w:val="0"/>
                <w:sz w:val="18"/>
                <w:szCs w:val="18"/>
                <w:shd w:val="clear" w:color="auto" w:fill="FFFFFF" w:themeFill="background1"/>
                <w:lang w:val="en-US" w:eastAsia="zh-CN" w:bidi="ar"/>
              </w:rPr>
              <w:t>8</w:t>
            </w:r>
            <w:r>
              <w:rPr>
                <w:rFonts w:hint="eastAsia" w:ascii="仿宋" w:hAnsi="仿宋" w:eastAsia="仿宋" w:cs="仿宋"/>
                <w:color w:val="auto"/>
                <w:kern w:val="0"/>
                <w:sz w:val="18"/>
                <w:szCs w:val="18"/>
                <w:shd w:val="clear" w:color="auto" w:fill="FFFFFF" w:themeFill="background1"/>
                <w:lang w:bidi="ar"/>
              </w:rPr>
              <w:t>G</w:t>
            </w:r>
            <w:r>
              <w:rPr>
                <w:rFonts w:hint="eastAsia" w:ascii="仿宋" w:hAnsi="仿宋" w:eastAsia="仿宋" w:cs="仿宋"/>
                <w:color w:val="auto"/>
                <w:kern w:val="0"/>
                <w:sz w:val="18"/>
                <w:szCs w:val="18"/>
                <w:shd w:val="clear" w:color="auto" w:fill="FFFFFF" w:themeFill="background1"/>
                <w:lang w:val="en-US" w:eastAsia="zh-CN" w:bidi="ar"/>
              </w:rPr>
              <w:t>内存、</w:t>
            </w:r>
            <w:r>
              <w:rPr>
                <w:rFonts w:hint="eastAsia" w:ascii="仿宋" w:hAnsi="仿宋" w:eastAsia="仿宋" w:cs="仿宋"/>
                <w:color w:val="auto"/>
                <w:kern w:val="0"/>
                <w:sz w:val="18"/>
                <w:szCs w:val="18"/>
                <w:shd w:val="clear" w:color="auto" w:fill="FFFFFF" w:themeFill="background1"/>
                <w:lang w:bidi="ar"/>
              </w:rPr>
              <w:t>256G SSD</w:t>
            </w:r>
            <w:r>
              <w:rPr>
                <w:rFonts w:hint="eastAsia" w:ascii="仿宋" w:hAnsi="仿宋" w:eastAsia="仿宋" w:cs="仿宋"/>
                <w:color w:val="auto"/>
                <w:kern w:val="0"/>
                <w:sz w:val="18"/>
                <w:szCs w:val="18"/>
                <w:shd w:val="clear" w:color="auto" w:fill="FFFFFF" w:themeFill="background1"/>
                <w:lang w:eastAsia="zh-CN" w:bidi="ar"/>
              </w:rPr>
              <w:t>、</w:t>
            </w:r>
            <w:r>
              <w:rPr>
                <w:rFonts w:hint="eastAsia" w:ascii="仿宋" w:hAnsi="仿宋" w:eastAsia="仿宋" w:cs="仿宋"/>
                <w:color w:val="auto"/>
                <w:kern w:val="0"/>
                <w:sz w:val="18"/>
                <w:szCs w:val="18"/>
                <w:shd w:val="clear" w:color="auto" w:fill="FFFFFF" w:themeFill="background1"/>
                <w:lang w:bidi="ar"/>
              </w:rPr>
              <w:t>6G独显</w:t>
            </w:r>
            <w:r>
              <w:rPr>
                <w:rFonts w:hint="eastAsia" w:ascii="仿宋" w:hAnsi="仿宋" w:eastAsia="仿宋" w:cs="仿宋"/>
                <w:color w:val="auto"/>
                <w:kern w:val="0"/>
                <w:sz w:val="18"/>
                <w:szCs w:val="18"/>
                <w:shd w:val="clear" w:color="auto" w:fill="FFFFFF" w:themeFill="background1"/>
                <w:lang w:eastAsia="zh-CN" w:bidi="ar"/>
              </w:rPr>
              <w:t>（</w:t>
            </w:r>
            <w:r>
              <w:rPr>
                <w:rFonts w:hint="eastAsia" w:ascii="仿宋" w:hAnsi="仿宋" w:eastAsia="仿宋" w:cs="仿宋"/>
                <w:color w:val="auto"/>
                <w:kern w:val="0"/>
                <w:sz w:val="18"/>
                <w:szCs w:val="18"/>
                <w:shd w:val="clear" w:color="auto" w:fill="FFFFFF" w:themeFill="background1"/>
                <w:lang w:bidi="ar"/>
              </w:rPr>
              <w:t>显存位宽192Bit</w:t>
            </w:r>
            <w:r>
              <w:rPr>
                <w:rFonts w:hint="eastAsia" w:ascii="仿宋" w:hAnsi="仿宋" w:eastAsia="仿宋" w:cs="仿宋"/>
                <w:color w:val="auto"/>
                <w:kern w:val="0"/>
                <w:sz w:val="18"/>
                <w:szCs w:val="18"/>
                <w:shd w:val="clear" w:color="auto" w:fill="FFFFFF" w:themeFill="background1"/>
                <w:lang w:eastAsia="zh-CN" w:bidi="ar"/>
              </w:rPr>
              <w:t>）、</w:t>
            </w:r>
            <w:r>
              <w:rPr>
                <w:rFonts w:hint="eastAsia" w:ascii="仿宋" w:hAnsi="仿宋" w:eastAsia="仿宋" w:cs="仿宋"/>
                <w:color w:val="auto"/>
                <w:kern w:val="0"/>
                <w:sz w:val="18"/>
                <w:szCs w:val="18"/>
                <w:shd w:val="clear" w:color="auto" w:fill="FFFFFF" w:themeFill="background1"/>
                <w:lang w:bidi="ar"/>
              </w:rPr>
              <w:t>550W电源</w:t>
            </w:r>
            <w:r>
              <w:rPr>
                <w:rFonts w:hint="eastAsia" w:ascii="仿宋" w:hAnsi="仿宋" w:eastAsia="仿宋" w:cs="仿宋"/>
                <w:color w:val="auto"/>
                <w:kern w:val="0"/>
                <w:sz w:val="18"/>
                <w:szCs w:val="18"/>
                <w:shd w:val="clear" w:color="auto" w:fill="FFFFFF" w:themeFill="background1"/>
                <w:lang w:eastAsia="zh-CN" w:bidi="ar"/>
              </w:rPr>
              <w:t>、</w:t>
            </w:r>
            <w:r>
              <w:rPr>
                <w:rFonts w:hint="eastAsia" w:ascii="仿宋" w:hAnsi="仿宋" w:eastAsia="仿宋" w:cs="仿宋"/>
                <w:color w:val="auto"/>
                <w:kern w:val="0"/>
                <w:sz w:val="18"/>
                <w:szCs w:val="18"/>
                <w:shd w:val="clear" w:color="auto" w:fill="FFFFFF" w:themeFill="background1"/>
                <w:lang w:bidi="ar"/>
              </w:rPr>
              <w:t>统信</w:t>
            </w:r>
            <w:r>
              <w:rPr>
                <w:rFonts w:hint="eastAsia" w:ascii="仿宋" w:hAnsi="仿宋" w:eastAsia="仿宋" w:cs="仿宋"/>
                <w:color w:val="auto"/>
                <w:kern w:val="0"/>
                <w:sz w:val="18"/>
                <w:szCs w:val="18"/>
                <w:shd w:val="clear" w:color="auto" w:fill="FFFFFF" w:themeFill="background1"/>
                <w:lang w:val="en-US" w:eastAsia="zh-CN" w:bidi="ar"/>
              </w:rPr>
              <w:t>操作</w:t>
            </w:r>
            <w:r>
              <w:rPr>
                <w:rFonts w:hint="eastAsia" w:ascii="仿宋" w:hAnsi="仿宋" w:eastAsia="仿宋" w:cs="仿宋"/>
                <w:color w:val="auto"/>
                <w:kern w:val="0"/>
                <w:sz w:val="18"/>
                <w:szCs w:val="18"/>
                <w:shd w:val="clear" w:color="auto" w:fill="FFFFFF" w:themeFill="background1"/>
                <w:lang w:bidi="ar"/>
              </w:rPr>
              <w:t>系统</w:t>
            </w:r>
          </w:p>
        </w:tc>
      </w:tr>
      <w:tr w14:paraId="48BD1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B4A4D40">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115</w:t>
            </w:r>
          </w:p>
        </w:tc>
        <w:tc>
          <w:tcPr>
            <w:tcW w:w="489" w:type="pct"/>
            <w:shd w:val="clear" w:color="auto" w:fill="auto"/>
            <w:vAlign w:val="center"/>
          </w:tcPr>
          <w:p w14:paraId="42C65A66">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带蓝牙定阻</w:t>
            </w:r>
          </w:p>
          <w:p w14:paraId="1619F2A7">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功放4</w:t>
            </w:r>
          </w:p>
        </w:tc>
        <w:tc>
          <w:tcPr>
            <w:tcW w:w="232" w:type="pct"/>
            <w:shd w:val="clear" w:color="auto" w:fill="auto"/>
            <w:vAlign w:val="center"/>
          </w:tcPr>
          <w:p w14:paraId="1884D53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252CEDE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4B0DDB2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同序号38</w:t>
            </w:r>
          </w:p>
        </w:tc>
      </w:tr>
      <w:tr w14:paraId="46AE6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F1BB9DF">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116</w:t>
            </w:r>
          </w:p>
        </w:tc>
        <w:tc>
          <w:tcPr>
            <w:tcW w:w="489" w:type="pct"/>
            <w:shd w:val="clear" w:color="auto" w:fill="auto"/>
            <w:vAlign w:val="center"/>
          </w:tcPr>
          <w:p w14:paraId="054131AA">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同轴吸顶音箱4</w:t>
            </w:r>
          </w:p>
        </w:tc>
        <w:tc>
          <w:tcPr>
            <w:tcW w:w="232" w:type="pct"/>
            <w:shd w:val="clear" w:color="auto" w:fill="auto"/>
            <w:vAlign w:val="center"/>
          </w:tcPr>
          <w:p w14:paraId="5F7B6DE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55801FA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5488D67">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同序号39</w:t>
            </w:r>
          </w:p>
        </w:tc>
      </w:tr>
      <w:tr w14:paraId="764E1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2EAB2B9E">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科教融合学院会议室显示系统</w:t>
            </w:r>
          </w:p>
        </w:tc>
      </w:tr>
      <w:tr w14:paraId="10DFD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F36EE16">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117</w:t>
            </w:r>
          </w:p>
        </w:tc>
        <w:tc>
          <w:tcPr>
            <w:tcW w:w="489" w:type="pct"/>
            <w:shd w:val="clear" w:color="auto" w:fill="auto"/>
            <w:vAlign w:val="center"/>
          </w:tcPr>
          <w:p w14:paraId="6DF816F0">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LED显示屏4</w:t>
            </w:r>
          </w:p>
        </w:tc>
        <w:tc>
          <w:tcPr>
            <w:tcW w:w="232" w:type="pct"/>
            <w:shd w:val="clear" w:color="auto" w:fill="auto"/>
            <w:vAlign w:val="center"/>
          </w:tcPr>
          <w:p w14:paraId="1F369AF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4.1</w:t>
            </w:r>
          </w:p>
        </w:tc>
        <w:tc>
          <w:tcPr>
            <w:tcW w:w="218" w:type="pct"/>
            <w:shd w:val="clear" w:color="auto" w:fill="auto"/>
            <w:vAlign w:val="center"/>
          </w:tcPr>
          <w:p w14:paraId="52D1F74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138FB53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1.规格：2.56*1.6m；</w:t>
            </w:r>
          </w:p>
          <w:p w14:paraId="6C67B1F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2.像素点间距：≤1.5mm；</w:t>
            </w:r>
          </w:p>
          <w:p w14:paraId="15D1F32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3.整屏平整度≤0.04mm、模组平整度≤0.03mm、拼接缝≤0.03mm；</w:t>
            </w:r>
          </w:p>
          <w:p w14:paraId="3550B8F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4.亮度≥600cd/m</w:t>
            </w:r>
            <w:r>
              <w:rPr>
                <w:rStyle w:val="115"/>
                <w:rFonts w:hint="eastAsia" w:ascii="仿宋" w:hAnsi="仿宋" w:eastAsia="仿宋" w:cs="仿宋"/>
                <w:b w:val="0"/>
                <w:bCs w:val="0"/>
                <w:color w:val="auto"/>
                <w:sz w:val="18"/>
                <w:szCs w:val="18"/>
                <w:lang w:val="en-US" w:eastAsia="zh-CN" w:bidi="ar"/>
              </w:rPr>
              <w:t>²，亮度均匀性≥99%</w:t>
            </w:r>
            <w:r>
              <w:rPr>
                <w:rStyle w:val="114"/>
                <w:rFonts w:hint="eastAsia" w:ascii="仿宋" w:hAnsi="仿宋" w:eastAsia="仿宋" w:cs="仿宋"/>
                <w:b w:val="0"/>
                <w:bCs w:val="0"/>
                <w:color w:val="auto"/>
                <w:sz w:val="18"/>
                <w:szCs w:val="18"/>
                <w:lang w:val="en-US" w:eastAsia="zh-CN" w:bidi="ar"/>
              </w:rPr>
              <w:t>；</w:t>
            </w:r>
          </w:p>
          <w:p w14:paraId="1BBDA70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5.色温：1000~18000K；</w:t>
            </w:r>
          </w:p>
          <w:p w14:paraId="78761B5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6.刷新率≥3840Hz，对比度≥8700:1；</w:t>
            </w:r>
          </w:p>
          <w:p w14:paraId="060BED3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7.像素失控率：＜0.01%；</w:t>
            </w:r>
          </w:p>
          <w:p w14:paraId="65FD8A4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8.发光点中心偏距＜0.8%，反光率≤1%，衰减率≤10%；</w:t>
            </w:r>
          </w:p>
          <w:p w14:paraId="7EFC361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9.画面延时：≤500ns；</w:t>
            </w:r>
          </w:p>
          <w:p w14:paraId="72D2793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10.1m范围内测试4个位置（前后左右）：噪音＜1.5dB、信噪比≥47dB；</w:t>
            </w:r>
          </w:p>
          <w:p w14:paraId="473368B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11.峰值功耗≤260W/m²，平均功耗≤110W/m²；</w:t>
            </w:r>
          </w:p>
          <w:p w14:paraId="1BE6088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12.漏电流：≤0.5mA；</w:t>
            </w:r>
          </w:p>
          <w:p w14:paraId="623F201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13.机械强度≥30Mpa，抗拉强度≥230Mpa，屈服强度≥170Mpa；</w:t>
            </w:r>
          </w:p>
          <w:p w14:paraId="7BBC20B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14.防信号、防电力远程窃密；</w:t>
            </w:r>
          </w:p>
          <w:p w14:paraId="5758011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15.配套控制接收卡；</w:t>
            </w:r>
          </w:p>
          <w:p w14:paraId="6D7FB6B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16.配套电源：额定输入电压200~240VAC，输入频率47~63Hz，工作温度-40℃~+70℃；</w:t>
            </w:r>
          </w:p>
          <w:p w14:paraId="687C234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17.模组配套连接线缆：含连接电源线、网线、接卡线、排线、高清线、DP转接头、miniDP转接头、DP转高清线、高清信号放大器等。</w:t>
            </w:r>
          </w:p>
        </w:tc>
      </w:tr>
      <w:tr w14:paraId="01BAC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2D4FD00">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118</w:t>
            </w:r>
          </w:p>
        </w:tc>
        <w:tc>
          <w:tcPr>
            <w:tcW w:w="489" w:type="pct"/>
            <w:shd w:val="clear" w:color="auto" w:fill="auto"/>
            <w:vAlign w:val="center"/>
          </w:tcPr>
          <w:p w14:paraId="7B56551E">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框架结构4</w:t>
            </w:r>
          </w:p>
        </w:tc>
        <w:tc>
          <w:tcPr>
            <w:tcW w:w="232" w:type="pct"/>
            <w:shd w:val="clear" w:color="auto" w:fill="auto"/>
            <w:vAlign w:val="center"/>
          </w:tcPr>
          <w:p w14:paraId="298CB47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4.1</w:t>
            </w:r>
          </w:p>
        </w:tc>
        <w:tc>
          <w:tcPr>
            <w:tcW w:w="218" w:type="pct"/>
            <w:shd w:val="clear" w:color="auto" w:fill="auto"/>
            <w:vAlign w:val="center"/>
          </w:tcPr>
          <w:p w14:paraId="1F8BEBC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w:t>
            </w:r>
          </w:p>
        </w:tc>
        <w:tc>
          <w:tcPr>
            <w:tcW w:w="3864" w:type="pct"/>
            <w:shd w:val="clear" w:color="auto" w:fill="auto"/>
            <w:vAlign w:val="center"/>
          </w:tcPr>
          <w:p w14:paraId="3FF376F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1.钢架构件（含接合板）采用Q235B钢制作；</w:t>
            </w:r>
          </w:p>
          <w:p w14:paraId="7A02776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2.手工焊连接用E43系列焊条、自动焊连接用H08系列焊条；</w:t>
            </w:r>
          </w:p>
          <w:p w14:paraId="0892304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3.抗震≥7级、抗风≥8级；</w:t>
            </w:r>
          </w:p>
          <w:p w14:paraId="298B7060">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4.不锈钢包边。</w:t>
            </w:r>
          </w:p>
        </w:tc>
      </w:tr>
      <w:tr w14:paraId="01B3C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E63918D">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119</w:t>
            </w:r>
          </w:p>
        </w:tc>
        <w:tc>
          <w:tcPr>
            <w:tcW w:w="489" w:type="pct"/>
            <w:shd w:val="clear" w:color="auto" w:fill="auto"/>
            <w:vAlign w:val="center"/>
          </w:tcPr>
          <w:p w14:paraId="1B455D74">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视频处理器6</w:t>
            </w:r>
          </w:p>
        </w:tc>
        <w:tc>
          <w:tcPr>
            <w:tcW w:w="232" w:type="pct"/>
            <w:shd w:val="clear" w:color="auto" w:fill="auto"/>
            <w:vAlign w:val="center"/>
          </w:tcPr>
          <w:p w14:paraId="73015B5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3DB2F3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161744F">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同序号113</w:t>
            </w:r>
          </w:p>
        </w:tc>
      </w:tr>
      <w:tr w14:paraId="19CAA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D56654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120</w:t>
            </w:r>
          </w:p>
        </w:tc>
        <w:tc>
          <w:tcPr>
            <w:tcW w:w="489" w:type="pct"/>
            <w:shd w:val="clear" w:color="auto" w:fill="auto"/>
            <w:vAlign w:val="center"/>
          </w:tcPr>
          <w:p w14:paraId="2CDCD78B">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工控主机7</w:t>
            </w:r>
          </w:p>
        </w:tc>
        <w:tc>
          <w:tcPr>
            <w:tcW w:w="232" w:type="pct"/>
            <w:shd w:val="clear" w:color="auto" w:fill="auto"/>
            <w:vAlign w:val="center"/>
          </w:tcPr>
          <w:p w14:paraId="0A7B967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7E154CC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FFFFFF" w:fill="FFFFFF"/>
            <w:vAlign w:val="center"/>
          </w:tcPr>
          <w:p w14:paraId="4B0E73E5">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同序号114</w:t>
            </w:r>
          </w:p>
        </w:tc>
      </w:tr>
      <w:tr w14:paraId="2A146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66DB350">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121</w:t>
            </w:r>
          </w:p>
        </w:tc>
        <w:tc>
          <w:tcPr>
            <w:tcW w:w="489" w:type="pct"/>
            <w:shd w:val="clear" w:color="auto" w:fill="auto"/>
            <w:vAlign w:val="center"/>
          </w:tcPr>
          <w:p w14:paraId="1B3A8759">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带蓝牙定阻</w:t>
            </w:r>
          </w:p>
          <w:p w14:paraId="4DDBDFCB">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功放5</w:t>
            </w:r>
          </w:p>
        </w:tc>
        <w:tc>
          <w:tcPr>
            <w:tcW w:w="232" w:type="pct"/>
            <w:shd w:val="clear" w:color="auto" w:fill="auto"/>
            <w:vAlign w:val="center"/>
          </w:tcPr>
          <w:p w14:paraId="1D9231A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0C17AA1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4BC81165">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同序号38</w:t>
            </w:r>
          </w:p>
        </w:tc>
      </w:tr>
      <w:tr w14:paraId="6AF65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E6A6966">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122</w:t>
            </w:r>
          </w:p>
        </w:tc>
        <w:tc>
          <w:tcPr>
            <w:tcW w:w="489" w:type="pct"/>
            <w:shd w:val="clear" w:color="auto" w:fill="auto"/>
            <w:vAlign w:val="center"/>
          </w:tcPr>
          <w:p w14:paraId="18A1B573">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同轴吸顶音箱5</w:t>
            </w:r>
          </w:p>
        </w:tc>
        <w:tc>
          <w:tcPr>
            <w:tcW w:w="232" w:type="pct"/>
            <w:shd w:val="clear" w:color="auto" w:fill="auto"/>
            <w:vAlign w:val="center"/>
          </w:tcPr>
          <w:p w14:paraId="40DB7EC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w:t>
            </w:r>
          </w:p>
        </w:tc>
        <w:tc>
          <w:tcPr>
            <w:tcW w:w="218" w:type="pct"/>
            <w:shd w:val="clear" w:color="auto" w:fill="auto"/>
            <w:vAlign w:val="center"/>
          </w:tcPr>
          <w:p w14:paraId="00B9DED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554712C5">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同序号39</w:t>
            </w:r>
          </w:p>
        </w:tc>
      </w:tr>
      <w:tr w14:paraId="06C19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3BC839DC">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bCs/>
                <w:i w:val="0"/>
                <w:iCs w:val="0"/>
                <w:color w:val="auto"/>
                <w:kern w:val="0"/>
                <w:sz w:val="18"/>
                <w:szCs w:val="18"/>
                <w:u w:val="none"/>
                <w:lang w:val="en-US" w:eastAsia="zh-CN" w:bidi="ar"/>
              </w:rPr>
              <w:t>科教融合学院会议室会议系统</w:t>
            </w:r>
          </w:p>
        </w:tc>
      </w:tr>
      <w:tr w14:paraId="38D0B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4A898AA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123</w:t>
            </w:r>
          </w:p>
        </w:tc>
        <w:tc>
          <w:tcPr>
            <w:tcW w:w="489" w:type="pct"/>
            <w:shd w:val="clear" w:color="auto" w:fill="auto"/>
            <w:vAlign w:val="center"/>
          </w:tcPr>
          <w:p w14:paraId="5A1D8DA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全频音箱</w:t>
            </w:r>
          </w:p>
        </w:tc>
        <w:tc>
          <w:tcPr>
            <w:tcW w:w="232" w:type="pct"/>
            <w:shd w:val="clear" w:color="auto" w:fill="auto"/>
            <w:vAlign w:val="center"/>
          </w:tcPr>
          <w:p w14:paraId="36DE6BB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w:t>
            </w:r>
          </w:p>
        </w:tc>
        <w:tc>
          <w:tcPr>
            <w:tcW w:w="218" w:type="pct"/>
            <w:shd w:val="clear" w:color="auto" w:fill="auto"/>
            <w:vAlign w:val="center"/>
          </w:tcPr>
          <w:p w14:paraId="1457F15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0E6833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1.频率响应：55Hz~20kHz；</w:t>
            </w:r>
          </w:p>
          <w:p w14:paraId="0B1E687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2.功率（连续/峰值）：≥80W/130W；</w:t>
            </w:r>
          </w:p>
          <w:p w14:paraId="31903B5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3.灵敏度（1W/1M）：87dB（或优于）；</w:t>
            </w:r>
          </w:p>
          <w:p w14:paraId="541A9E2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4.最大声压级：108dB（或优于）；</w:t>
            </w:r>
          </w:p>
          <w:p w14:paraId="2AD3CC5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5.阻抗：16</w:t>
            </w:r>
            <w:r>
              <w:rPr>
                <w:rStyle w:val="117"/>
                <w:rFonts w:hint="eastAsia" w:ascii="仿宋" w:hAnsi="仿宋" w:eastAsia="仿宋" w:cs="仿宋"/>
                <w:b w:val="0"/>
                <w:bCs w:val="0"/>
                <w:color w:val="auto"/>
                <w:sz w:val="18"/>
                <w:szCs w:val="18"/>
                <w:lang w:val="en-US" w:eastAsia="zh-CN" w:bidi="ar"/>
              </w:rPr>
              <w:t>Ω</w:t>
            </w:r>
            <w:r>
              <w:rPr>
                <w:rStyle w:val="114"/>
                <w:rFonts w:hint="eastAsia" w:ascii="仿宋" w:hAnsi="仿宋" w:eastAsia="仿宋" w:cs="仿宋"/>
                <w:b w:val="0"/>
                <w:bCs w:val="0"/>
                <w:color w:val="auto"/>
                <w:sz w:val="18"/>
                <w:szCs w:val="18"/>
                <w:lang w:val="en-US" w:eastAsia="zh-CN" w:bidi="ar"/>
              </w:rPr>
              <w:t>（或优于）；</w:t>
            </w:r>
          </w:p>
          <w:p w14:paraId="2180283B">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6.低音单元（最低要求）：1*6</w:t>
            </w:r>
            <w:r>
              <w:rPr>
                <w:rFonts w:hint="eastAsia" w:ascii="仿宋" w:hAnsi="仿宋" w:eastAsia="仿宋" w:cs="仿宋"/>
                <w:b w:val="0"/>
                <w:bCs w:val="0"/>
                <w:i w:val="0"/>
                <w:iCs w:val="0"/>
                <w:color w:val="auto"/>
                <w:kern w:val="0"/>
                <w:sz w:val="18"/>
                <w:szCs w:val="18"/>
                <w:u w:val="none"/>
                <w:lang w:val="en-US" w:eastAsia="zh-CN" w:bidi="ar"/>
              </w:rPr>
              <w:t>"</w:t>
            </w:r>
            <w:r>
              <w:rPr>
                <w:rStyle w:val="114"/>
                <w:rFonts w:hint="eastAsia" w:ascii="仿宋" w:hAnsi="仿宋" w:eastAsia="仿宋" w:cs="仿宋"/>
                <w:b w:val="0"/>
                <w:bCs w:val="0"/>
                <w:color w:val="auto"/>
                <w:sz w:val="18"/>
                <w:szCs w:val="18"/>
                <w:lang w:val="en-US" w:eastAsia="zh-CN" w:bidi="ar"/>
              </w:rPr>
              <w:t>铁氧体单元，1</w:t>
            </w:r>
            <w:r>
              <w:rPr>
                <w:rFonts w:hint="eastAsia" w:ascii="仿宋" w:hAnsi="仿宋" w:eastAsia="仿宋" w:cs="仿宋"/>
                <w:b w:val="0"/>
                <w:bCs w:val="0"/>
                <w:i w:val="0"/>
                <w:iCs w:val="0"/>
                <w:color w:val="auto"/>
                <w:kern w:val="0"/>
                <w:sz w:val="18"/>
                <w:szCs w:val="18"/>
                <w:u w:val="none"/>
                <w:lang w:val="en-US" w:eastAsia="zh-CN" w:bidi="ar"/>
              </w:rPr>
              <w:t>"</w:t>
            </w:r>
            <w:r>
              <w:rPr>
                <w:rStyle w:val="114"/>
                <w:rFonts w:hint="eastAsia" w:ascii="仿宋" w:hAnsi="仿宋" w:eastAsia="仿宋" w:cs="仿宋"/>
                <w:b w:val="0"/>
                <w:bCs w:val="0"/>
                <w:color w:val="auto"/>
                <w:sz w:val="18"/>
                <w:szCs w:val="18"/>
                <w:lang w:val="en-US" w:eastAsia="zh-CN" w:bidi="ar"/>
              </w:rPr>
              <w:t>音圈；</w:t>
            </w:r>
          </w:p>
          <w:p w14:paraId="6AED65B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7.高音单元（最低要求）：1*1</w:t>
            </w:r>
            <w:r>
              <w:rPr>
                <w:rFonts w:hint="eastAsia" w:ascii="仿宋" w:hAnsi="仿宋" w:eastAsia="仿宋" w:cs="仿宋"/>
                <w:b w:val="0"/>
                <w:bCs w:val="0"/>
                <w:i w:val="0"/>
                <w:iCs w:val="0"/>
                <w:color w:val="auto"/>
                <w:kern w:val="0"/>
                <w:sz w:val="18"/>
                <w:szCs w:val="18"/>
                <w:u w:val="none"/>
                <w:lang w:val="en-US" w:eastAsia="zh-CN" w:bidi="ar"/>
              </w:rPr>
              <w:t>"</w:t>
            </w:r>
            <w:r>
              <w:rPr>
                <w:rStyle w:val="114"/>
                <w:rFonts w:hint="eastAsia" w:ascii="仿宋" w:hAnsi="仿宋" w:eastAsia="仿宋" w:cs="仿宋"/>
                <w:b w:val="0"/>
                <w:bCs w:val="0"/>
                <w:color w:val="auto"/>
                <w:sz w:val="18"/>
                <w:szCs w:val="18"/>
                <w:lang w:val="en-US" w:eastAsia="zh-CN" w:bidi="ar"/>
              </w:rPr>
              <w:t>钕磁丝膜单元，1</w:t>
            </w:r>
            <w:r>
              <w:rPr>
                <w:rFonts w:hint="eastAsia" w:ascii="仿宋" w:hAnsi="仿宋" w:eastAsia="仿宋" w:cs="仿宋"/>
                <w:b w:val="0"/>
                <w:bCs w:val="0"/>
                <w:i w:val="0"/>
                <w:iCs w:val="0"/>
                <w:color w:val="auto"/>
                <w:kern w:val="0"/>
                <w:sz w:val="18"/>
                <w:szCs w:val="18"/>
                <w:u w:val="none"/>
                <w:lang w:val="en-US" w:eastAsia="zh-CN" w:bidi="ar"/>
              </w:rPr>
              <w:t>"</w:t>
            </w:r>
            <w:r>
              <w:rPr>
                <w:rStyle w:val="114"/>
                <w:rFonts w:hint="eastAsia" w:ascii="仿宋" w:hAnsi="仿宋" w:eastAsia="仿宋" w:cs="仿宋"/>
                <w:b w:val="0"/>
                <w:bCs w:val="0"/>
                <w:color w:val="auto"/>
                <w:sz w:val="18"/>
                <w:szCs w:val="18"/>
                <w:lang w:val="en-US" w:eastAsia="zh-CN" w:bidi="ar"/>
              </w:rPr>
              <w:t>音圈；</w:t>
            </w:r>
          </w:p>
          <w:p w14:paraId="4FE2738F">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8.指向角度：60°*60°（或优于）；</w:t>
            </w:r>
          </w:p>
          <w:p w14:paraId="4BE50D20">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9.连接器：夹式连接；</w:t>
            </w:r>
          </w:p>
          <w:p w14:paraId="79507B34">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10.含定制360°旋转壁挂件。</w:t>
            </w:r>
          </w:p>
        </w:tc>
      </w:tr>
      <w:tr w14:paraId="40AE5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277CD85">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124</w:t>
            </w:r>
          </w:p>
        </w:tc>
        <w:tc>
          <w:tcPr>
            <w:tcW w:w="489" w:type="pct"/>
            <w:shd w:val="clear" w:color="auto" w:fill="auto"/>
            <w:vAlign w:val="center"/>
          </w:tcPr>
          <w:p w14:paraId="0D4F5D5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数字功率放大器</w:t>
            </w:r>
          </w:p>
        </w:tc>
        <w:tc>
          <w:tcPr>
            <w:tcW w:w="232" w:type="pct"/>
            <w:shd w:val="clear" w:color="auto" w:fill="auto"/>
            <w:vAlign w:val="center"/>
          </w:tcPr>
          <w:p w14:paraId="119B0C4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327776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53C7CF6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1.额定功率（立体声/并接模式）：2*400W/8Ω、2*550W/4Ω；</w:t>
            </w:r>
          </w:p>
          <w:p w14:paraId="4930E7B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2.桥接：1200W/8Ω、1600W/4Ω；</w:t>
            </w:r>
          </w:p>
          <w:p w14:paraId="338FE29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3.总谐波失真：1kHZ＜0.08%；</w:t>
            </w:r>
          </w:p>
          <w:p w14:paraId="2B7FC2F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4.互调失真（60Hz/7Hz）：4:1＜0.05%；</w:t>
            </w:r>
          </w:p>
          <w:p w14:paraId="21D73A9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5.频率响应：20~20kHZ＜±0.1dB；</w:t>
            </w:r>
          </w:p>
          <w:p w14:paraId="4BD139A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6.信噪比（单通道工作）：8Ω负载A计权＞98dB；</w:t>
            </w:r>
          </w:p>
          <w:p w14:paraId="4CB4561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7.阻尼系数（单通道工作）：8Ω负载400Hz≥280；</w:t>
            </w:r>
          </w:p>
          <w:p w14:paraId="668A4FD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8.转换速率（单通道工作）：8Ω负载10Hz方波≥30V/μs；</w:t>
            </w:r>
          </w:p>
          <w:p w14:paraId="62BD392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9.输入灵敏度（单通道工作）：8Ω负载0.775V；</w:t>
            </w:r>
          </w:p>
          <w:p w14:paraId="0EAC754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10.输入阻抗（正常工作条件）：1Hz20Kohms平衡输入、10Kohms非平衡输入；</w:t>
            </w:r>
          </w:p>
          <w:p w14:paraId="0E4A6FF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11.最低负载阻抗（单通道工作）：＞4Ω；</w:t>
            </w:r>
          </w:p>
          <w:p w14:paraId="67BACFB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12.输入接口：XLR卡侬公/XLR卡侬母；</w:t>
            </w:r>
          </w:p>
          <w:p w14:paraId="791EF6C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13.输出接口：卡侬/接线柱；</w:t>
            </w:r>
          </w:p>
          <w:p w14:paraId="51392EB5">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14.保护模式：过热、过载、欠压、输出直流。</w:t>
            </w:r>
          </w:p>
        </w:tc>
      </w:tr>
      <w:tr w14:paraId="40E36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0626A8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125</w:t>
            </w:r>
          </w:p>
        </w:tc>
        <w:tc>
          <w:tcPr>
            <w:tcW w:w="489" w:type="pct"/>
            <w:shd w:val="clear" w:color="auto" w:fill="auto"/>
            <w:vAlign w:val="center"/>
          </w:tcPr>
          <w:p w14:paraId="0E2952F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专业音频处理器（网络控制）</w:t>
            </w:r>
          </w:p>
        </w:tc>
        <w:tc>
          <w:tcPr>
            <w:tcW w:w="232" w:type="pct"/>
            <w:shd w:val="clear" w:color="auto" w:fill="auto"/>
            <w:vAlign w:val="center"/>
          </w:tcPr>
          <w:p w14:paraId="3CF26D4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36525F6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77B7B4C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w:t>
            </w:r>
            <w:r>
              <w:rPr>
                <w:rStyle w:val="114"/>
                <w:rFonts w:hint="default"/>
                <w:b w:val="0"/>
                <w:bCs w:val="0"/>
                <w:color w:val="auto"/>
                <w:sz w:val="18"/>
                <w:szCs w:val="18"/>
                <w:lang w:bidi="ar"/>
              </w:rPr>
              <w:t>配备</w:t>
            </w:r>
            <w:r>
              <w:rPr>
                <w:rFonts w:hint="eastAsia" w:ascii="仿宋" w:hAnsi="仿宋" w:eastAsia="仿宋" w:cs="仿宋"/>
                <w:color w:val="auto"/>
                <w:kern w:val="0"/>
                <w:sz w:val="18"/>
                <w:szCs w:val="18"/>
                <w:lang w:bidi="ar"/>
              </w:rPr>
              <w:t>≥</w:t>
            </w:r>
            <w:r>
              <w:rPr>
                <w:rStyle w:val="114"/>
                <w:rFonts w:hint="default"/>
                <w:b w:val="0"/>
                <w:bCs w:val="0"/>
                <w:color w:val="auto"/>
                <w:sz w:val="18"/>
                <w:szCs w:val="18"/>
                <w:lang w:bidi="ar"/>
              </w:rPr>
              <w:t>3路模拟（平衡）输入和</w:t>
            </w:r>
            <w:r>
              <w:rPr>
                <w:rFonts w:hint="eastAsia" w:ascii="仿宋" w:hAnsi="仿宋" w:eastAsia="仿宋" w:cs="仿宋"/>
                <w:color w:val="auto"/>
                <w:kern w:val="0"/>
                <w:sz w:val="18"/>
                <w:szCs w:val="18"/>
                <w:lang w:bidi="ar"/>
              </w:rPr>
              <w:t>≥</w:t>
            </w:r>
            <w:r>
              <w:rPr>
                <w:rStyle w:val="114"/>
                <w:rFonts w:hint="default"/>
                <w:b w:val="0"/>
                <w:bCs w:val="0"/>
                <w:color w:val="auto"/>
                <w:sz w:val="18"/>
                <w:szCs w:val="18"/>
                <w:lang w:bidi="ar"/>
              </w:rPr>
              <w:t>6路模拟（平衡）输出</w:t>
            </w:r>
            <w:r>
              <w:rPr>
                <w:rStyle w:val="114"/>
                <w:rFonts w:hint="eastAsia" w:ascii="仿宋" w:hAnsi="仿宋" w:eastAsia="仿宋" w:cs="仿宋"/>
                <w:b w:val="0"/>
                <w:bCs w:val="0"/>
                <w:color w:val="auto"/>
                <w:sz w:val="18"/>
                <w:szCs w:val="18"/>
                <w:lang w:val="en-US" w:eastAsia="zh-CN" w:bidi="ar"/>
              </w:rPr>
              <w:t>，具有专业的分频、EQ、压限、延时、信号发生器、矩阵混音等功能；</w:t>
            </w:r>
          </w:p>
          <w:p w14:paraId="7936EC7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2.配备网口、RS-232、RS-485、GPIO接口实现快速配置及远程调试和监控；</w:t>
            </w:r>
          </w:p>
          <w:p w14:paraId="08EA8BF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3.采用DSP技术；</w:t>
            </w:r>
          </w:p>
          <w:p w14:paraId="35ABE87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4.输入输出每通道提供</w:t>
            </w:r>
            <w:r>
              <w:rPr>
                <w:rFonts w:hint="eastAsia" w:ascii="仿宋" w:hAnsi="仿宋" w:eastAsia="仿宋" w:cs="仿宋"/>
                <w:b w:val="0"/>
                <w:bCs w:val="0"/>
                <w:i w:val="0"/>
                <w:iCs w:val="0"/>
                <w:color w:val="auto"/>
                <w:kern w:val="0"/>
                <w:sz w:val="18"/>
                <w:szCs w:val="18"/>
                <w:u w:val="none"/>
                <w:lang w:val="en-US" w:eastAsia="zh-CN" w:bidi="ar"/>
              </w:rPr>
              <w:t>≥</w:t>
            </w:r>
            <w:r>
              <w:rPr>
                <w:rStyle w:val="114"/>
                <w:rFonts w:hint="eastAsia" w:ascii="仿宋" w:hAnsi="仿宋" w:eastAsia="仿宋" w:cs="仿宋"/>
                <w:b w:val="0"/>
                <w:bCs w:val="0"/>
                <w:color w:val="auto"/>
                <w:sz w:val="18"/>
                <w:szCs w:val="18"/>
                <w:lang w:val="en-US" w:eastAsia="zh-CN" w:bidi="ar"/>
              </w:rPr>
              <w:t>7段PEQ和高低通及≥1000ms的延时设置；</w:t>
            </w:r>
          </w:p>
          <w:p w14:paraId="3162009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5.信号发生器：正弦、粉噪、白噪；</w:t>
            </w:r>
          </w:p>
          <w:p w14:paraId="5BF1D133">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6.信号处理：32-bit fixed/floating-point DSP（或优于）；</w:t>
            </w:r>
          </w:p>
          <w:p w14:paraId="6B6E63F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7.音频系统延迟：＜1ms；</w:t>
            </w:r>
          </w:p>
          <w:p w14:paraId="2A61E1D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8.数模转换：24-bit（或优于）；</w:t>
            </w:r>
          </w:p>
          <w:p w14:paraId="23883F9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9.采样率：≥48kHz；</w:t>
            </w:r>
          </w:p>
          <w:p w14:paraId="13465BF2">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10.音频接口：XLR；</w:t>
            </w:r>
          </w:p>
          <w:p w14:paraId="1C58BC5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11.输入阻抗：10k</w:t>
            </w:r>
            <w:r>
              <w:rPr>
                <w:rStyle w:val="117"/>
                <w:rFonts w:hint="eastAsia" w:ascii="仿宋" w:hAnsi="仿宋" w:eastAsia="仿宋" w:cs="仿宋"/>
                <w:b w:val="0"/>
                <w:bCs w:val="0"/>
                <w:color w:val="auto"/>
                <w:sz w:val="18"/>
                <w:szCs w:val="18"/>
                <w:lang w:val="en-US" w:eastAsia="zh-CN" w:bidi="ar"/>
              </w:rPr>
              <w:t>Ω</w:t>
            </w:r>
            <w:r>
              <w:rPr>
                <w:rStyle w:val="114"/>
                <w:rFonts w:hint="eastAsia" w:ascii="仿宋" w:hAnsi="仿宋" w:eastAsia="仿宋" w:cs="仿宋"/>
                <w:b w:val="0"/>
                <w:bCs w:val="0"/>
                <w:color w:val="auto"/>
                <w:sz w:val="18"/>
                <w:szCs w:val="18"/>
                <w:lang w:val="en-US" w:eastAsia="zh-CN" w:bidi="ar"/>
              </w:rPr>
              <w:t>（或优于）；</w:t>
            </w:r>
          </w:p>
          <w:p w14:paraId="0426C1B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12.最大输入电平：18dBu（或优于）；</w:t>
            </w:r>
          </w:p>
          <w:p w14:paraId="02CB0E3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13.输入通道延时：0~1000ms/通道；</w:t>
            </w:r>
          </w:p>
          <w:p w14:paraId="7D28525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14.输出阻抗：100</w:t>
            </w:r>
            <w:r>
              <w:rPr>
                <w:rStyle w:val="117"/>
                <w:rFonts w:hint="eastAsia" w:ascii="仿宋" w:hAnsi="仿宋" w:eastAsia="仿宋" w:cs="仿宋"/>
                <w:b w:val="0"/>
                <w:bCs w:val="0"/>
                <w:color w:val="auto"/>
                <w:sz w:val="18"/>
                <w:szCs w:val="18"/>
                <w:lang w:val="en-US" w:eastAsia="zh-CN" w:bidi="ar"/>
              </w:rPr>
              <w:t>Ω</w:t>
            </w:r>
            <w:r>
              <w:rPr>
                <w:rStyle w:val="114"/>
                <w:rFonts w:hint="eastAsia" w:ascii="仿宋" w:hAnsi="仿宋" w:eastAsia="仿宋" w:cs="仿宋"/>
                <w:b w:val="0"/>
                <w:bCs w:val="0"/>
                <w:color w:val="auto"/>
                <w:sz w:val="18"/>
                <w:szCs w:val="18"/>
                <w:lang w:val="en-US" w:eastAsia="zh-CN" w:bidi="ar"/>
              </w:rPr>
              <w:t>（或优于）；</w:t>
            </w:r>
          </w:p>
          <w:p w14:paraId="2A2CCC3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15.最大输出电平：18dBu（或优于）；</w:t>
            </w:r>
          </w:p>
          <w:p w14:paraId="04E0A536">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16.输出通道延时：0~1000ms/通道；</w:t>
            </w:r>
          </w:p>
          <w:p w14:paraId="5BB992B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17.具有噪声门、压缩器功能；</w:t>
            </w:r>
          </w:p>
          <w:p w14:paraId="10DB65E9">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18.滤波器：HPF、LPF、7PEQs；</w:t>
            </w:r>
          </w:p>
          <w:p w14:paraId="4473199C">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19.频率响应：20Hz~20kHz±0.3dB；</w:t>
            </w:r>
          </w:p>
          <w:p w14:paraId="3487241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20.总谐波失真：＜0.003%THD+N@1kHz；</w:t>
            </w:r>
          </w:p>
          <w:p w14:paraId="561EDC1A">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21.动态范围：120dB（或优于）；</w:t>
            </w:r>
          </w:p>
          <w:p w14:paraId="330BD14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22.本底噪声：＜-93dB；</w:t>
            </w:r>
          </w:p>
          <w:p w14:paraId="7D68D24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23.通道串音：＜-100dB@1kHz</w:t>
            </w:r>
          </w:p>
          <w:p w14:paraId="30A09A7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24.上位机接口：RJ-45网口；</w:t>
            </w:r>
          </w:p>
          <w:p w14:paraId="7FE30E7D">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25.RS-232/RS-485：凤凰座；</w:t>
            </w:r>
          </w:p>
          <w:p w14:paraId="72C09B2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26.GPIO口：凤凰座；</w:t>
            </w:r>
          </w:p>
          <w:p w14:paraId="01EF299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27.LCD显示屏；</w:t>
            </w:r>
          </w:p>
          <w:p w14:paraId="59BD232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28.指示灯：Power、Link、输入输出音频信号、输出禁音；</w:t>
            </w:r>
          </w:p>
          <w:p w14:paraId="79FAF2C5">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29.工作温度：-10℃~+60℃。</w:t>
            </w:r>
          </w:p>
        </w:tc>
      </w:tr>
      <w:tr w14:paraId="2FCED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CE8DDEF">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126</w:t>
            </w:r>
          </w:p>
        </w:tc>
        <w:tc>
          <w:tcPr>
            <w:tcW w:w="489" w:type="pct"/>
            <w:shd w:val="clear" w:color="auto" w:fill="auto"/>
            <w:vAlign w:val="center"/>
          </w:tcPr>
          <w:p w14:paraId="6649B46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调音台</w:t>
            </w:r>
          </w:p>
        </w:tc>
        <w:tc>
          <w:tcPr>
            <w:tcW w:w="232" w:type="pct"/>
            <w:shd w:val="clear" w:color="auto" w:fill="auto"/>
            <w:vAlign w:val="center"/>
          </w:tcPr>
          <w:p w14:paraId="0912B16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1E0EA1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094677C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1.≥6个话筒/≥12个线路输入（≥4个单声道+≥4个立体声）；</w:t>
            </w:r>
          </w:p>
          <w:p w14:paraId="1C1298E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2.≥2编组母线+≥1立体声母线；</w:t>
            </w:r>
          </w:p>
          <w:p w14:paraId="17D4F4A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3.≥2AUX（包括FX）；</w:t>
            </w:r>
          </w:p>
          <w:p w14:paraId="3623066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4.带倒向晶体管电路；</w:t>
            </w:r>
          </w:p>
          <w:p w14:paraId="524E682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5.单旋钮压缩器；</w:t>
            </w:r>
          </w:p>
          <w:p w14:paraId="616D1A2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6.单声道输入通道上的PAD开关；</w:t>
            </w:r>
          </w:p>
          <w:p w14:paraId="57D3E43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7.+48V幻象供电；</w:t>
            </w:r>
          </w:p>
          <w:p w14:paraId="66B6870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8.XLR平衡输出；</w:t>
            </w:r>
          </w:p>
          <w:p w14:paraId="307BE13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9.内部全局供电；</w:t>
            </w:r>
          </w:p>
          <w:p w14:paraId="24E1FC7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10.金属机身；</w:t>
            </w:r>
          </w:p>
          <w:p w14:paraId="6C445C18">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11.含安装套件。</w:t>
            </w:r>
          </w:p>
        </w:tc>
      </w:tr>
      <w:tr w14:paraId="1DB45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05148CB">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127</w:t>
            </w:r>
          </w:p>
        </w:tc>
        <w:tc>
          <w:tcPr>
            <w:tcW w:w="489" w:type="pct"/>
            <w:shd w:val="clear" w:color="auto" w:fill="auto"/>
            <w:vAlign w:val="center"/>
          </w:tcPr>
          <w:p w14:paraId="05F38679">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数字反馈抑制器</w:t>
            </w:r>
          </w:p>
        </w:tc>
        <w:tc>
          <w:tcPr>
            <w:tcW w:w="232" w:type="pct"/>
            <w:shd w:val="clear" w:color="auto" w:fill="auto"/>
            <w:vAlign w:val="center"/>
          </w:tcPr>
          <w:p w14:paraId="2BE3568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1C02904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3159AD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1.数字DSP处理技术，内置极速自动混音模块，回音抵消和消除反射算法；</w:t>
            </w:r>
          </w:p>
          <w:p w14:paraId="584513B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2.自动分析输入信号与输出信号的频率和相位，具有自动检测现场啸叫点功能；</w:t>
            </w:r>
          </w:p>
          <w:p w14:paraId="2133999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3.拾音距离：30~100cm；</w:t>
            </w:r>
          </w:p>
          <w:p w14:paraId="6657995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4.内置音频系统噪声实时动态检测仪，配置抗干扰电路和噪声门；</w:t>
            </w:r>
          </w:p>
          <w:p w14:paraId="0939C7D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5任何使用情况下均可获得6dB的增益，最高达12dB；</w:t>
            </w:r>
          </w:p>
          <w:p w14:paraId="3F0C3530">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6.一键式智能操作。</w:t>
            </w:r>
          </w:p>
        </w:tc>
      </w:tr>
      <w:tr w14:paraId="5348A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296D9FB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128</w:t>
            </w:r>
          </w:p>
        </w:tc>
        <w:tc>
          <w:tcPr>
            <w:tcW w:w="489" w:type="pct"/>
            <w:shd w:val="clear" w:color="auto" w:fill="auto"/>
            <w:vAlign w:val="center"/>
          </w:tcPr>
          <w:p w14:paraId="52E6B2C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真分集无线手持话筒</w:t>
            </w:r>
          </w:p>
        </w:tc>
        <w:tc>
          <w:tcPr>
            <w:tcW w:w="232" w:type="pct"/>
            <w:shd w:val="clear" w:color="auto" w:fill="auto"/>
            <w:vAlign w:val="center"/>
          </w:tcPr>
          <w:p w14:paraId="3C8017E7">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7903310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套</w:t>
            </w:r>
          </w:p>
        </w:tc>
        <w:tc>
          <w:tcPr>
            <w:tcW w:w="3864" w:type="pct"/>
            <w:shd w:val="clear" w:color="auto" w:fill="auto"/>
            <w:vAlign w:val="center"/>
          </w:tcPr>
          <w:p w14:paraId="7D8CB3E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1.接收机</w:t>
            </w:r>
          </w:p>
          <w:p w14:paraId="180EAE3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1.1 接收类型：超外差二次变频；</w:t>
            </w:r>
          </w:p>
          <w:p w14:paraId="18FF7DD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 接收频率范围：560~829.75MHz；</w:t>
            </w:r>
          </w:p>
          <w:p w14:paraId="289B035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 频道数：≥200；</w:t>
            </w:r>
          </w:p>
          <w:p w14:paraId="03E4754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 灵敏度（1kHz,-22dBV,40dB SINAD）：-100dBm（或优于）；</w:t>
            </w:r>
          </w:p>
          <w:p w14:paraId="3CEBD7B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1.5 失真度（1kHz,-22dBV）：≥0.5%（MAX）；</w:t>
            </w:r>
          </w:p>
          <w:p w14:paraId="5A5260F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1.6 非平衡输出：10mv~0.5V；</w:t>
            </w:r>
          </w:p>
          <w:p w14:paraId="1F3F835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1.7 平衡输出：20mv~1V；</w:t>
            </w:r>
          </w:p>
          <w:p w14:paraId="2DC45AA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1.8 天线接口（50Ω）：BNC。</w:t>
            </w:r>
          </w:p>
          <w:p w14:paraId="1C8D609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2.麦克风</w:t>
            </w:r>
          </w:p>
          <w:p w14:paraId="14D83E4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2.1 发射频率：560~829.75MHz（0~199Ch），调制方式FM；</w:t>
            </w:r>
          </w:p>
          <w:p w14:paraId="31A2F4E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2.2 发射功率：3~10mW；</w:t>
            </w:r>
          </w:p>
          <w:p w14:paraId="2C5324E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2.3 频率稳定度：±0.005%内；</w:t>
            </w:r>
          </w:p>
          <w:p w14:paraId="55AB59A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2.4 最大频偏：±45kHz；</w:t>
            </w:r>
          </w:p>
          <w:p w14:paraId="44E9A31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2.5 频率响应：40Hz~15kHz；</w:t>
            </w:r>
          </w:p>
          <w:p w14:paraId="50AA4CFB">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2.6 动态范围：100dB（或优于）；</w:t>
            </w:r>
          </w:p>
          <w:p w14:paraId="290B195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2.7 类型：动圈式。</w:t>
            </w:r>
          </w:p>
        </w:tc>
      </w:tr>
      <w:tr w14:paraId="6C265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4A83E6A">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129</w:t>
            </w:r>
          </w:p>
        </w:tc>
        <w:tc>
          <w:tcPr>
            <w:tcW w:w="489" w:type="pct"/>
            <w:shd w:val="clear" w:color="auto" w:fill="auto"/>
            <w:vAlign w:val="center"/>
          </w:tcPr>
          <w:p w14:paraId="48BDC03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电源控制时序器</w:t>
            </w:r>
          </w:p>
        </w:tc>
        <w:tc>
          <w:tcPr>
            <w:tcW w:w="232" w:type="pct"/>
            <w:shd w:val="clear" w:color="auto" w:fill="auto"/>
            <w:vAlign w:val="center"/>
          </w:tcPr>
          <w:p w14:paraId="36AC092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9E33D8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4CFAA1C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1.≥2寸彩色液晶智能显示窗实时显示当前电压、日期时间、通道开关状态；</w:t>
            </w:r>
          </w:p>
          <w:p w14:paraId="38A005B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2.具有定时开关机功能，内置时钟芯片，可根据日期时间设定；</w:t>
            </w:r>
          </w:p>
          <w:p w14:paraId="13A835E8">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3.≥8路通道输出，每路延时开启和关闭时间可自由设置（范围0~999S）；</w:t>
            </w:r>
          </w:p>
          <w:p w14:paraId="2D4D558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4.≥10组设备开关场景数据保存/调用；</w:t>
            </w:r>
          </w:p>
          <w:p w14:paraId="7922746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5.具有欠压、超压检测及报警功能，总功率≥6000W，单路最大功率≥2000W；</w:t>
            </w:r>
          </w:p>
          <w:p w14:paraId="679315E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6.支持多台设备级联控制，级联状态可自动检测及设置；</w:t>
            </w:r>
          </w:p>
          <w:p w14:paraId="1B5A50F7">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7.配置RS232接口，支持外部中央控制设备控制；</w:t>
            </w:r>
          </w:p>
          <w:p w14:paraId="4F31E8FE">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8.可远程集中控制，每台设备自带设备编码ID检测和设置；</w:t>
            </w:r>
          </w:p>
          <w:p w14:paraId="0D431A31">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9.具有面板锁定功能；</w:t>
            </w:r>
          </w:p>
          <w:p w14:paraId="4D8677E4">
            <w:pPr>
              <w:keepNext w:val="0"/>
              <w:keepLines w:val="0"/>
              <w:widowControl/>
              <w:suppressLineNumbers w:val="0"/>
              <w:jc w:val="left"/>
              <w:textAlignment w:val="center"/>
              <w:rPr>
                <w:rStyle w:val="114"/>
                <w:rFonts w:hint="eastAsia" w:ascii="仿宋" w:hAnsi="仿宋" w:eastAsia="仿宋" w:cs="仿宋"/>
                <w:b w:val="0"/>
                <w:bCs w:val="0"/>
                <w:color w:val="auto"/>
                <w:sz w:val="18"/>
                <w:szCs w:val="18"/>
                <w:lang w:val="en-US" w:eastAsia="zh-CN" w:bidi="ar"/>
              </w:rPr>
            </w:pPr>
            <w:r>
              <w:rPr>
                <w:rStyle w:val="114"/>
                <w:rFonts w:hint="eastAsia" w:ascii="仿宋" w:hAnsi="仿宋" w:eastAsia="仿宋" w:cs="仿宋"/>
                <w:b w:val="0"/>
                <w:bCs w:val="0"/>
                <w:color w:val="auto"/>
                <w:sz w:val="18"/>
                <w:szCs w:val="18"/>
                <w:lang w:val="en-US" w:eastAsia="zh-CN" w:bidi="ar"/>
              </w:rPr>
              <w:t>10.支持手机（苹果、安卓）APP、电脑PC端更新，网络控制；</w:t>
            </w:r>
          </w:p>
          <w:p w14:paraId="2A7CD5ED">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Style w:val="114"/>
                <w:rFonts w:hint="eastAsia" w:ascii="仿宋" w:hAnsi="仿宋" w:eastAsia="仿宋" w:cs="仿宋"/>
                <w:b w:val="0"/>
                <w:bCs w:val="0"/>
                <w:color w:val="auto"/>
                <w:sz w:val="18"/>
                <w:szCs w:val="18"/>
                <w:lang w:val="en-US" w:eastAsia="zh-CN" w:bidi="ar"/>
              </w:rPr>
              <w:t>11.带滤波器。</w:t>
            </w:r>
          </w:p>
        </w:tc>
      </w:tr>
      <w:tr w14:paraId="4CC76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7A1BF338">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130</w:t>
            </w:r>
          </w:p>
        </w:tc>
        <w:tc>
          <w:tcPr>
            <w:tcW w:w="489" w:type="pct"/>
            <w:shd w:val="clear" w:color="auto" w:fill="auto"/>
            <w:vAlign w:val="center"/>
          </w:tcPr>
          <w:p w14:paraId="2B75884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无线手拉手鹅颈话筒</w:t>
            </w:r>
          </w:p>
        </w:tc>
        <w:tc>
          <w:tcPr>
            <w:tcW w:w="232" w:type="pct"/>
            <w:shd w:val="clear" w:color="auto" w:fill="auto"/>
            <w:vAlign w:val="center"/>
          </w:tcPr>
          <w:p w14:paraId="33A2DEDE">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30</w:t>
            </w:r>
          </w:p>
        </w:tc>
        <w:tc>
          <w:tcPr>
            <w:tcW w:w="218" w:type="pct"/>
            <w:shd w:val="clear" w:color="auto" w:fill="auto"/>
            <w:vAlign w:val="center"/>
          </w:tcPr>
          <w:p w14:paraId="20E62E0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DEDD40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1.发言开关键待机时按键灯绿色、发言时按键灯红色；</w:t>
            </w:r>
          </w:p>
          <w:p w14:paraId="123DEF9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2.同时发言人数1~4人可选；</w:t>
            </w:r>
          </w:p>
          <w:p w14:paraId="71E5966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3.具有单元话筒独立调节音量功能；</w:t>
            </w:r>
          </w:p>
          <w:p w14:paraId="1E6C82F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4.内置</w:t>
            </w:r>
            <w:r>
              <w:rPr>
                <w:rStyle w:val="114"/>
                <w:rFonts w:hint="eastAsia" w:ascii="仿宋" w:hAnsi="仿宋" w:eastAsia="仿宋" w:cs="仿宋"/>
                <w:b w:val="0"/>
                <w:bCs w:val="0"/>
                <w:color w:val="auto"/>
                <w:sz w:val="18"/>
                <w:szCs w:val="18"/>
                <w:lang w:val="en-US" w:eastAsia="zh-CN" w:bidi="ar"/>
              </w:rPr>
              <w:t>≥</w:t>
            </w:r>
            <w:r>
              <w:rPr>
                <w:rFonts w:hint="eastAsia" w:ascii="仿宋" w:hAnsi="仿宋" w:eastAsia="仿宋" w:cs="仿宋"/>
                <w:b w:val="0"/>
                <w:bCs w:val="0"/>
                <w:i w:val="0"/>
                <w:iCs w:val="0"/>
                <w:color w:val="auto"/>
                <w:kern w:val="0"/>
                <w:sz w:val="18"/>
                <w:szCs w:val="18"/>
                <w:u w:val="none"/>
                <w:lang w:val="en-US" w:eastAsia="zh-CN" w:bidi="ar"/>
              </w:rPr>
              <w:t>1600mAh锂电池供电，支持</w:t>
            </w:r>
            <w:r>
              <w:rPr>
                <w:rStyle w:val="114"/>
                <w:rFonts w:hint="eastAsia" w:ascii="仿宋" w:hAnsi="仿宋" w:eastAsia="仿宋" w:cs="仿宋"/>
                <w:b w:val="0"/>
                <w:bCs w:val="0"/>
                <w:color w:val="auto"/>
                <w:sz w:val="18"/>
                <w:szCs w:val="18"/>
                <w:lang w:val="en-US" w:eastAsia="zh-CN" w:bidi="ar"/>
              </w:rPr>
              <w:t>≥</w:t>
            </w:r>
            <w:r>
              <w:rPr>
                <w:rFonts w:hint="eastAsia" w:ascii="仿宋" w:hAnsi="仿宋" w:eastAsia="仿宋" w:cs="仿宋"/>
                <w:b w:val="0"/>
                <w:bCs w:val="0"/>
                <w:i w:val="0"/>
                <w:iCs w:val="0"/>
                <w:color w:val="auto"/>
                <w:kern w:val="0"/>
                <w:sz w:val="18"/>
                <w:szCs w:val="18"/>
                <w:u w:val="none"/>
                <w:lang w:val="en-US" w:eastAsia="zh-CN" w:bidi="ar"/>
              </w:rPr>
              <w:t>10小时的连续发言时间；</w:t>
            </w:r>
          </w:p>
          <w:p w14:paraId="4A2DDFB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5.≥2.4寸全高清彩色显示屏实时显示话筒状态，如剩余电量、ID号、使用频道及发言时间、日期；</w:t>
            </w:r>
          </w:p>
          <w:p w14:paraId="175C3B1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6.连接方式：无线；</w:t>
            </w:r>
          </w:p>
          <w:p w14:paraId="7128E380">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7.单独配有电源适配器。</w:t>
            </w:r>
          </w:p>
        </w:tc>
      </w:tr>
      <w:tr w14:paraId="58136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FAD42D7">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131</w:t>
            </w:r>
          </w:p>
        </w:tc>
        <w:tc>
          <w:tcPr>
            <w:tcW w:w="489" w:type="pct"/>
            <w:shd w:val="clear" w:color="auto" w:fill="auto"/>
            <w:vAlign w:val="center"/>
          </w:tcPr>
          <w:p w14:paraId="4CBDA78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无线会议主机</w:t>
            </w:r>
          </w:p>
        </w:tc>
        <w:tc>
          <w:tcPr>
            <w:tcW w:w="232" w:type="pct"/>
            <w:shd w:val="clear" w:color="auto" w:fill="auto"/>
            <w:vAlign w:val="center"/>
          </w:tcPr>
          <w:p w14:paraId="35F66A3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70201A54">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21A798E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1.采用128位AES加密技术，支持WPA/WPA2无线安全技术；</w:t>
            </w:r>
          </w:p>
          <w:p w14:paraId="3E2BB974">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2.高亮度彩色≥2.8寸显示屏显示频率信道、信号指示和工作状态等；</w:t>
            </w:r>
          </w:p>
          <w:p w14:paraId="7EF5E55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3.单台主机可接入≥99个话筒单元，最多可≥10主机同时使用，支持最大话筒容量≥999个；</w:t>
            </w:r>
          </w:p>
          <w:p w14:paraId="08A02C4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4.内置高性能CPU；</w:t>
            </w:r>
          </w:p>
          <w:p w14:paraId="62D97BF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5.前面板带USB接口，具有录音功能；</w:t>
            </w:r>
          </w:p>
          <w:p w14:paraId="66A7E30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6.同时发言人数1~4人可选，最多支持2个主席；</w:t>
            </w:r>
          </w:p>
          <w:p w14:paraId="342B6C91">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7.具有先进先出、限时、主席多种发言模式；</w:t>
            </w:r>
          </w:p>
          <w:p w14:paraId="049DCAD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8.具有计时发言、单元话筒独立调节音量、一键关闭所有会议单元功能；</w:t>
            </w:r>
          </w:p>
          <w:p w14:paraId="210970D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9.全自动定频，系统预设≥11组不同的频段通道，可设置多套系统在同一会场使用；</w:t>
            </w:r>
          </w:p>
          <w:p w14:paraId="056A2D22">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10.无线工作距离：≥50m。</w:t>
            </w:r>
          </w:p>
        </w:tc>
      </w:tr>
      <w:tr w14:paraId="49DA9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D27290E">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132</w:t>
            </w:r>
          </w:p>
        </w:tc>
        <w:tc>
          <w:tcPr>
            <w:tcW w:w="489" w:type="pct"/>
            <w:shd w:val="clear" w:color="auto" w:fill="auto"/>
            <w:vAlign w:val="center"/>
          </w:tcPr>
          <w:p w14:paraId="7474BDAF">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机柜2</w:t>
            </w:r>
          </w:p>
        </w:tc>
        <w:tc>
          <w:tcPr>
            <w:tcW w:w="232" w:type="pct"/>
            <w:shd w:val="clear" w:color="auto" w:fill="auto"/>
            <w:vAlign w:val="center"/>
          </w:tcPr>
          <w:p w14:paraId="7F977691">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54CFEA2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75E9C852">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18U、含机架</w:t>
            </w:r>
          </w:p>
        </w:tc>
      </w:tr>
      <w:tr w14:paraId="2217C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58BABE2A">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133</w:t>
            </w:r>
          </w:p>
        </w:tc>
        <w:tc>
          <w:tcPr>
            <w:tcW w:w="489" w:type="pct"/>
            <w:shd w:val="clear" w:color="auto" w:fill="auto"/>
            <w:vAlign w:val="center"/>
          </w:tcPr>
          <w:p w14:paraId="15A19D86">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视频会议终端</w:t>
            </w:r>
          </w:p>
        </w:tc>
        <w:tc>
          <w:tcPr>
            <w:tcW w:w="232" w:type="pct"/>
            <w:shd w:val="clear" w:color="auto" w:fill="auto"/>
            <w:vAlign w:val="center"/>
          </w:tcPr>
          <w:p w14:paraId="70AA6568">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3FC963D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6A4D2E59">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1.分体式设计；</w:t>
            </w:r>
          </w:p>
          <w:p w14:paraId="7410E47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2.带遥控器；</w:t>
            </w:r>
          </w:p>
          <w:p w14:paraId="5AF91C0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3.4K人像视频+内容共享；</w:t>
            </w:r>
          </w:p>
          <w:p w14:paraId="27D788A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4.支持H.323、腾讯会议、亿联会议、UME、Zoom平台；</w:t>
            </w:r>
          </w:p>
          <w:p w14:paraId="236B06E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5.支持线性音频输入/输出；</w:t>
            </w:r>
          </w:p>
          <w:p w14:paraId="1EA5164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6.支持HDMI in投屏；</w:t>
            </w:r>
          </w:p>
          <w:p w14:paraId="44954CF9">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7.含挂墙架及机柜挂耳。</w:t>
            </w:r>
          </w:p>
        </w:tc>
      </w:tr>
      <w:tr w14:paraId="23162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106EC0E9">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134</w:t>
            </w:r>
          </w:p>
        </w:tc>
        <w:tc>
          <w:tcPr>
            <w:tcW w:w="489" w:type="pct"/>
            <w:shd w:val="clear" w:color="auto" w:fill="auto"/>
            <w:vAlign w:val="center"/>
          </w:tcPr>
          <w:p w14:paraId="4E6D329A">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会议摄像机</w:t>
            </w:r>
          </w:p>
        </w:tc>
        <w:tc>
          <w:tcPr>
            <w:tcW w:w="232" w:type="pct"/>
            <w:shd w:val="clear" w:color="auto" w:fill="auto"/>
            <w:vAlign w:val="center"/>
          </w:tcPr>
          <w:p w14:paraId="31A4B41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479814BB">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1641743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1.4Kp30超清分辨率；</w:t>
            </w:r>
          </w:p>
          <w:p w14:paraId="1A7A97ED">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2.≥12倍光学变焦；</w:t>
            </w:r>
          </w:p>
          <w:p w14:paraId="7B0DBB1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3.带云台，支持PTZ控制；</w:t>
            </w:r>
          </w:p>
          <w:p w14:paraId="6B9BC34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4.镜头可垂直向下保护隐私；</w:t>
            </w:r>
          </w:p>
          <w:p w14:paraId="5B69D720">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5.支持POE供电；</w:t>
            </w:r>
          </w:p>
          <w:p w14:paraId="5E99E512">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6.≥1个千兆网口、≥1个USB-B接口、1个DC电源接口；</w:t>
            </w:r>
          </w:p>
          <w:p w14:paraId="79BABFC8">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7.支持VCS/USB双模；</w:t>
            </w:r>
          </w:p>
          <w:p w14:paraId="77F6A7A1">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8.含挂墙架。</w:t>
            </w:r>
          </w:p>
        </w:tc>
      </w:tr>
      <w:tr w14:paraId="4362F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356D2E7">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135</w:t>
            </w:r>
          </w:p>
        </w:tc>
        <w:tc>
          <w:tcPr>
            <w:tcW w:w="489" w:type="pct"/>
            <w:shd w:val="clear" w:color="auto" w:fill="auto"/>
            <w:vAlign w:val="center"/>
          </w:tcPr>
          <w:p w14:paraId="6A896100">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无线投屏器1</w:t>
            </w:r>
          </w:p>
        </w:tc>
        <w:tc>
          <w:tcPr>
            <w:tcW w:w="232" w:type="pct"/>
            <w:shd w:val="clear" w:color="auto" w:fill="auto"/>
            <w:vAlign w:val="center"/>
          </w:tcPr>
          <w:p w14:paraId="50922353">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79B31C6F">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285EFE83">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1.硬件编码投屏；</w:t>
            </w:r>
          </w:p>
          <w:p w14:paraId="1D28339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2.支持4K无线投屏；</w:t>
            </w:r>
          </w:p>
          <w:p w14:paraId="2413C54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3.USB-C接口，带USB-A转接头；</w:t>
            </w:r>
          </w:p>
          <w:p w14:paraId="47C61809">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4.支持MeetingBoard。</w:t>
            </w:r>
          </w:p>
        </w:tc>
      </w:tr>
      <w:tr w14:paraId="340C5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01135F8D">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136</w:t>
            </w:r>
          </w:p>
        </w:tc>
        <w:tc>
          <w:tcPr>
            <w:tcW w:w="489" w:type="pct"/>
            <w:shd w:val="clear" w:color="auto" w:fill="auto"/>
            <w:vAlign w:val="center"/>
          </w:tcPr>
          <w:p w14:paraId="45131F5D">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视频会议终端（带摄像头）</w:t>
            </w:r>
          </w:p>
        </w:tc>
        <w:tc>
          <w:tcPr>
            <w:tcW w:w="232" w:type="pct"/>
            <w:shd w:val="clear" w:color="auto" w:fill="auto"/>
            <w:vAlign w:val="center"/>
          </w:tcPr>
          <w:p w14:paraId="0803D4DC">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7ADDFB1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31EE63BA">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1.支持H.323/SIP、腾讯会议、飞书会议室、亿联会议、UME、微软Teams、Zoom等视频会议平台；</w:t>
            </w:r>
          </w:p>
          <w:p w14:paraId="5153C4AF">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2.≥110°视角，≥800万像素镜头，电子云台；</w:t>
            </w:r>
          </w:p>
          <w:p w14:paraId="72DFF2C7">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3.支持USB-C投屏、有线/无线BYOD；</w:t>
            </w:r>
          </w:p>
          <w:p w14:paraId="50D0585E">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4.带遥控器；</w:t>
            </w:r>
          </w:p>
          <w:p w14:paraId="186EB16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5.一体化设计；</w:t>
            </w:r>
          </w:p>
          <w:p w14:paraId="3E76030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6.4K摄像头；</w:t>
            </w:r>
          </w:p>
          <w:p w14:paraId="7DE5CCA6">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7.电子隐私盖；</w:t>
            </w:r>
          </w:p>
          <w:p w14:paraId="2017D655">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8.具有自动框人像及语音追踪功能；</w:t>
            </w:r>
          </w:p>
          <w:p w14:paraId="4591904C">
            <w:pPr>
              <w:keepNext w:val="0"/>
              <w:keepLines w:val="0"/>
              <w:widowControl/>
              <w:suppressLineNumbers w:val="0"/>
              <w:jc w:val="left"/>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9.内置蓝牙4.2、双频Wi-Fi；</w:t>
            </w:r>
          </w:p>
          <w:p w14:paraId="3F2FE5E5">
            <w:pPr>
              <w:keepNext w:val="0"/>
              <w:keepLines w:val="0"/>
              <w:widowControl/>
              <w:suppressLineNumbers w:val="0"/>
              <w:jc w:val="left"/>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10.支持内容共享。</w:t>
            </w:r>
          </w:p>
        </w:tc>
      </w:tr>
      <w:tr w14:paraId="768E1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auto"/>
            <w:vAlign w:val="center"/>
          </w:tcPr>
          <w:p w14:paraId="333A1751">
            <w:pPr>
              <w:keepNext w:val="0"/>
              <w:keepLines w:val="0"/>
              <w:widowControl/>
              <w:suppressLineNumbers w:val="0"/>
              <w:jc w:val="center"/>
              <w:textAlignment w:val="center"/>
              <w:rPr>
                <w:rFonts w:hint="default"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137</w:t>
            </w:r>
          </w:p>
        </w:tc>
        <w:tc>
          <w:tcPr>
            <w:tcW w:w="489" w:type="pct"/>
            <w:shd w:val="clear" w:color="auto" w:fill="auto"/>
            <w:vAlign w:val="center"/>
          </w:tcPr>
          <w:p w14:paraId="0E8AAF74">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无线投屏器2</w:t>
            </w:r>
          </w:p>
        </w:tc>
        <w:tc>
          <w:tcPr>
            <w:tcW w:w="232" w:type="pct"/>
            <w:shd w:val="clear" w:color="auto" w:fill="auto"/>
            <w:vAlign w:val="center"/>
          </w:tcPr>
          <w:p w14:paraId="172A98A0">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auto"/>
            <w:vAlign w:val="center"/>
          </w:tcPr>
          <w:p w14:paraId="72BEEF75">
            <w:pPr>
              <w:keepNext w:val="0"/>
              <w:keepLines w:val="0"/>
              <w:widowControl/>
              <w:suppressLineNumbers w:val="0"/>
              <w:jc w:val="center"/>
              <w:textAlignment w:val="center"/>
              <w:rPr>
                <w:rFonts w:hint="eastAsia"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auto"/>
            <w:vAlign w:val="center"/>
          </w:tcPr>
          <w:p w14:paraId="44E7F3C7">
            <w:pPr>
              <w:keepNext w:val="0"/>
              <w:keepLines w:val="0"/>
              <w:widowControl/>
              <w:suppressLineNumbers w:val="0"/>
              <w:jc w:val="center"/>
              <w:textAlignment w:val="center"/>
              <w:rPr>
                <w:rFonts w:hint="default" w:ascii="仿宋" w:hAnsi="仿宋" w:eastAsia="仿宋" w:cs="仿宋"/>
                <w:b w:val="0"/>
                <w:bCs w:val="0"/>
                <w:i w:val="0"/>
                <w:iCs w:val="0"/>
                <w:color w:val="auto"/>
                <w:kern w:val="2"/>
                <w:sz w:val="18"/>
                <w:szCs w:val="18"/>
                <w:u w:val="none"/>
                <w:lang w:val="en-US" w:eastAsia="zh-CN" w:bidi="ar-SA"/>
              </w:rPr>
            </w:pPr>
            <w:r>
              <w:rPr>
                <w:rFonts w:hint="eastAsia" w:ascii="仿宋" w:hAnsi="仿宋" w:eastAsia="仿宋" w:cs="仿宋"/>
                <w:b w:val="0"/>
                <w:bCs w:val="0"/>
                <w:i w:val="0"/>
                <w:iCs w:val="0"/>
                <w:color w:val="auto"/>
                <w:kern w:val="2"/>
                <w:sz w:val="18"/>
                <w:szCs w:val="18"/>
                <w:u w:val="none"/>
                <w:lang w:val="en-US" w:eastAsia="zh-CN" w:bidi="ar-SA"/>
              </w:rPr>
              <w:t>同序号135</w:t>
            </w:r>
          </w:p>
        </w:tc>
      </w:tr>
      <w:tr w14:paraId="2FE88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FFFFFF" w:themeFill="background1"/>
            <w:vAlign w:val="center"/>
          </w:tcPr>
          <w:p w14:paraId="34CF40EA">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138</w:t>
            </w:r>
          </w:p>
        </w:tc>
        <w:tc>
          <w:tcPr>
            <w:tcW w:w="489" w:type="pct"/>
            <w:shd w:val="clear" w:color="auto" w:fill="FFFFFF" w:themeFill="background1"/>
            <w:vAlign w:val="center"/>
          </w:tcPr>
          <w:p w14:paraId="7488DD38">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应用服务器</w:t>
            </w:r>
          </w:p>
        </w:tc>
        <w:tc>
          <w:tcPr>
            <w:tcW w:w="232" w:type="pct"/>
            <w:shd w:val="clear" w:color="auto" w:fill="FFFFFF" w:themeFill="background1"/>
            <w:vAlign w:val="center"/>
          </w:tcPr>
          <w:p w14:paraId="0918695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FFFFFF" w:themeFill="background1"/>
            <w:vAlign w:val="center"/>
          </w:tcPr>
          <w:p w14:paraId="584685BB">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FFFFFF" w:themeFill="background1"/>
            <w:vAlign w:val="center"/>
          </w:tcPr>
          <w:p w14:paraId="7113F22E">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w:t>
            </w:r>
            <w:r>
              <w:rPr>
                <w:rFonts w:hint="eastAsia" w:ascii="仿宋" w:hAnsi="仿宋" w:eastAsia="仿宋" w:cs="仿宋"/>
                <w:color w:val="auto"/>
                <w:sz w:val="18"/>
                <w:szCs w:val="18"/>
              </w:rPr>
              <w:t>2U机架式</w:t>
            </w:r>
            <w:r>
              <w:rPr>
                <w:rFonts w:hint="eastAsia" w:ascii="仿宋" w:hAnsi="仿宋" w:eastAsia="仿宋" w:cs="仿宋"/>
                <w:color w:val="auto"/>
                <w:sz w:val="18"/>
                <w:szCs w:val="18"/>
                <w:lang w:eastAsia="zh-CN"/>
              </w:rPr>
              <w:t>；</w:t>
            </w:r>
          </w:p>
          <w:p w14:paraId="73DFF662">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CPU：海光5380</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1，</w:t>
            </w:r>
            <w:r>
              <w:rPr>
                <w:rFonts w:hint="eastAsia" w:ascii="仿宋" w:hAnsi="仿宋" w:eastAsia="仿宋" w:cs="仿宋"/>
                <w:color w:val="auto"/>
                <w:sz w:val="18"/>
                <w:szCs w:val="18"/>
              </w:rPr>
              <w:t>≥16核2.5G</w:t>
            </w:r>
            <w:r>
              <w:rPr>
                <w:rFonts w:hint="eastAsia" w:ascii="仿宋" w:hAnsi="仿宋" w:eastAsia="仿宋" w:cs="仿宋"/>
                <w:color w:val="auto"/>
                <w:sz w:val="18"/>
                <w:szCs w:val="18"/>
                <w:lang w:eastAsia="zh-CN"/>
              </w:rPr>
              <w:t>；</w:t>
            </w:r>
          </w:p>
          <w:p w14:paraId="50C64140">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3.</w:t>
            </w:r>
            <w:r>
              <w:rPr>
                <w:rFonts w:hint="eastAsia" w:ascii="仿宋" w:hAnsi="仿宋" w:eastAsia="仿宋" w:cs="仿宋"/>
                <w:color w:val="auto"/>
                <w:sz w:val="18"/>
                <w:szCs w:val="18"/>
              </w:rPr>
              <w:t>内存：≥256G，支持≥8根DDR4内存扩展</w:t>
            </w:r>
            <w:r>
              <w:rPr>
                <w:rFonts w:hint="eastAsia" w:ascii="仿宋" w:hAnsi="仿宋" w:eastAsia="仿宋" w:cs="仿宋"/>
                <w:color w:val="auto"/>
                <w:sz w:val="18"/>
                <w:szCs w:val="18"/>
                <w:lang w:eastAsia="zh-CN"/>
              </w:rPr>
              <w:t>；</w:t>
            </w:r>
          </w:p>
          <w:p w14:paraId="6605D584">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4.</w:t>
            </w:r>
            <w:r>
              <w:rPr>
                <w:rFonts w:hint="eastAsia" w:ascii="仿宋" w:hAnsi="仿宋" w:eastAsia="仿宋" w:cs="仿宋"/>
                <w:color w:val="auto"/>
                <w:sz w:val="18"/>
                <w:szCs w:val="18"/>
              </w:rPr>
              <w:t>系统盘：≥2*960G</w:t>
            </w:r>
            <w:r>
              <w:rPr>
                <w:rFonts w:hint="eastAsia" w:ascii="仿宋" w:hAnsi="仿宋" w:eastAsia="仿宋" w:cs="仿宋"/>
                <w:color w:val="auto"/>
                <w:sz w:val="18"/>
                <w:szCs w:val="18"/>
                <w:lang w:eastAsia="zh-CN"/>
              </w:rPr>
              <w:t>；</w:t>
            </w:r>
          </w:p>
          <w:p w14:paraId="4651D3E2">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5.</w:t>
            </w:r>
            <w:r>
              <w:rPr>
                <w:rFonts w:hint="eastAsia" w:ascii="仿宋" w:hAnsi="仿宋" w:eastAsia="仿宋" w:cs="仿宋"/>
                <w:color w:val="auto"/>
                <w:sz w:val="18"/>
                <w:szCs w:val="18"/>
              </w:rPr>
              <w:t>数据盘：≥4*4T（7200转服务器</w:t>
            </w:r>
            <w:r>
              <w:rPr>
                <w:rFonts w:hint="eastAsia" w:ascii="仿宋" w:hAnsi="仿宋" w:eastAsia="仿宋" w:cs="仿宋"/>
                <w:color w:val="auto"/>
                <w:sz w:val="18"/>
                <w:szCs w:val="18"/>
                <w:lang w:val="en-US" w:eastAsia="zh-CN"/>
              </w:rPr>
              <w:t>级</w:t>
            </w:r>
            <w:r>
              <w:rPr>
                <w:rFonts w:hint="eastAsia" w:ascii="仿宋" w:hAnsi="仿宋" w:eastAsia="仿宋" w:cs="仿宋"/>
                <w:color w:val="auto"/>
                <w:sz w:val="18"/>
                <w:szCs w:val="18"/>
              </w:rPr>
              <w:t>硬盘），支持≥12个3.5/2.5英寸盘位</w:t>
            </w:r>
            <w:r>
              <w:rPr>
                <w:rFonts w:hint="eastAsia" w:ascii="仿宋" w:hAnsi="仿宋" w:eastAsia="仿宋" w:cs="仿宋"/>
                <w:color w:val="auto"/>
                <w:sz w:val="18"/>
                <w:szCs w:val="18"/>
                <w:lang w:eastAsia="zh-CN"/>
              </w:rPr>
              <w:t>；</w:t>
            </w:r>
          </w:p>
          <w:p w14:paraId="35607CD6">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6.</w:t>
            </w:r>
            <w:r>
              <w:rPr>
                <w:rFonts w:hint="eastAsia" w:ascii="仿宋" w:hAnsi="仿宋" w:eastAsia="仿宋" w:cs="仿宋"/>
                <w:color w:val="auto"/>
                <w:sz w:val="18"/>
                <w:szCs w:val="18"/>
              </w:rPr>
              <w:t>阵列卡：支持RAID</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0、1、10、5、50、6、60</w:t>
            </w:r>
            <w:r>
              <w:rPr>
                <w:rFonts w:hint="eastAsia" w:ascii="仿宋" w:hAnsi="仿宋" w:eastAsia="仿宋" w:cs="仿宋"/>
                <w:color w:val="auto"/>
                <w:sz w:val="18"/>
                <w:szCs w:val="18"/>
                <w:lang w:val="en-US" w:eastAsia="zh-CN"/>
              </w:rPr>
              <w:t>及</w:t>
            </w:r>
            <w:r>
              <w:rPr>
                <w:rFonts w:hint="eastAsia" w:ascii="仿宋" w:hAnsi="仿宋" w:eastAsia="仿宋" w:cs="仿宋"/>
                <w:color w:val="auto"/>
                <w:sz w:val="18"/>
                <w:szCs w:val="18"/>
              </w:rPr>
              <w:t>Cache电容保护</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硬盘热插拔</w:t>
            </w:r>
            <w:r>
              <w:rPr>
                <w:rFonts w:hint="eastAsia" w:ascii="仿宋" w:hAnsi="仿宋" w:eastAsia="仿宋" w:cs="仿宋"/>
                <w:color w:val="auto"/>
                <w:sz w:val="18"/>
                <w:szCs w:val="18"/>
                <w:lang w:eastAsia="zh-CN"/>
              </w:rPr>
              <w:t>；</w:t>
            </w:r>
          </w:p>
          <w:p w14:paraId="19F3A672">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7.</w:t>
            </w:r>
            <w:r>
              <w:rPr>
                <w:rFonts w:hint="eastAsia" w:ascii="仿宋" w:hAnsi="仿宋" w:eastAsia="仿宋" w:cs="仿宋"/>
                <w:color w:val="auto"/>
                <w:sz w:val="18"/>
                <w:szCs w:val="18"/>
              </w:rPr>
              <w:t>≥4个标准PCIe 4.0插槽</w:t>
            </w:r>
            <w:r>
              <w:rPr>
                <w:rFonts w:hint="eastAsia" w:ascii="仿宋" w:hAnsi="仿宋" w:eastAsia="仿宋" w:cs="仿宋"/>
                <w:color w:val="auto"/>
                <w:sz w:val="18"/>
                <w:szCs w:val="18"/>
                <w:lang w:eastAsia="zh-CN"/>
              </w:rPr>
              <w:t>；</w:t>
            </w:r>
          </w:p>
          <w:p w14:paraId="430E2DF7">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8.</w:t>
            </w:r>
            <w:r>
              <w:rPr>
                <w:rFonts w:hint="eastAsia" w:ascii="仿宋" w:hAnsi="仿宋" w:eastAsia="仿宋" w:cs="仿宋"/>
                <w:color w:val="auto"/>
                <w:sz w:val="18"/>
                <w:szCs w:val="18"/>
              </w:rPr>
              <w:t>板载≥2个千兆网络接口，1个独立千兆管理专用以太网口</w:t>
            </w:r>
            <w:r>
              <w:rPr>
                <w:rFonts w:hint="eastAsia" w:ascii="仿宋" w:hAnsi="仿宋" w:eastAsia="仿宋" w:cs="仿宋"/>
                <w:color w:val="auto"/>
                <w:sz w:val="18"/>
                <w:szCs w:val="18"/>
                <w:lang w:eastAsia="zh-CN"/>
              </w:rPr>
              <w:t>；</w:t>
            </w:r>
          </w:p>
          <w:p w14:paraId="3A10FF08">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9.</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*550W电源</w:t>
            </w:r>
            <w:r>
              <w:rPr>
                <w:rFonts w:hint="eastAsia" w:ascii="仿宋" w:hAnsi="仿宋" w:eastAsia="仿宋" w:cs="仿宋"/>
                <w:color w:val="auto"/>
                <w:sz w:val="18"/>
                <w:szCs w:val="18"/>
                <w:lang w:eastAsia="zh-CN"/>
              </w:rPr>
              <w:t>；</w:t>
            </w:r>
          </w:p>
          <w:p w14:paraId="4EC61A1B">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10.</w:t>
            </w:r>
            <w:r>
              <w:rPr>
                <w:rFonts w:hint="eastAsia" w:ascii="仿宋" w:hAnsi="仿宋" w:eastAsia="仿宋" w:cs="仿宋"/>
                <w:color w:val="auto"/>
                <w:sz w:val="18"/>
                <w:szCs w:val="18"/>
              </w:rPr>
              <w:t>支持华为欧拉、统信、银河麒麟操作系统</w:t>
            </w:r>
            <w:r>
              <w:rPr>
                <w:rFonts w:hint="eastAsia" w:ascii="仿宋" w:hAnsi="仿宋" w:eastAsia="仿宋" w:cs="仿宋"/>
                <w:color w:val="auto"/>
                <w:sz w:val="18"/>
                <w:szCs w:val="18"/>
                <w:lang w:eastAsia="zh-CN"/>
              </w:rPr>
              <w:t>；</w:t>
            </w:r>
          </w:p>
          <w:p w14:paraId="5DCC9FF2">
            <w:pPr>
              <w:pStyle w:val="103"/>
              <w:widowControl/>
              <w:numPr>
                <w:ilvl w:val="0"/>
                <w:numId w:val="0"/>
              </w:numPr>
              <w:adjustRightInd w:val="0"/>
              <w:snapToGrid w:val="0"/>
              <w:ind w:leftChars="0"/>
              <w:jc w:val="left"/>
              <w:textAlignment w:val="center"/>
              <w:rPr>
                <w:rFonts w:hint="eastAsia" w:ascii="仿宋" w:hAnsi="仿宋" w:eastAsia="仿宋" w:cs="仿宋"/>
                <w:color w:val="auto"/>
                <w:kern w:val="2"/>
                <w:sz w:val="18"/>
                <w:szCs w:val="18"/>
                <w:lang w:val="en-US" w:eastAsia="zh-CN" w:bidi="ar-SA"/>
              </w:rPr>
            </w:pPr>
            <w:r>
              <w:rPr>
                <w:rFonts w:hint="eastAsia" w:ascii="仿宋" w:hAnsi="仿宋" w:eastAsia="仿宋" w:cs="仿宋"/>
                <w:color w:val="auto"/>
                <w:sz w:val="18"/>
                <w:szCs w:val="18"/>
                <w:lang w:val="en-US" w:eastAsia="zh-CN"/>
              </w:rPr>
              <w:t>11.接口（最低要求）：3个</w:t>
            </w:r>
            <w:r>
              <w:rPr>
                <w:rFonts w:hint="eastAsia" w:ascii="仿宋" w:hAnsi="仿宋" w:eastAsia="仿宋" w:cs="仿宋"/>
                <w:color w:val="auto"/>
                <w:sz w:val="18"/>
                <w:szCs w:val="18"/>
              </w:rPr>
              <w:t>USB</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3.0</w:t>
            </w:r>
            <w:r>
              <w:rPr>
                <w:rFonts w:hint="eastAsia" w:ascii="仿宋" w:hAnsi="仿宋" w:eastAsia="仿宋" w:cs="仿宋"/>
                <w:color w:val="auto"/>
                <w:sz w:val="18"/>
                <w:szCs w:val="18"/>
                <w:lang w:val="en-US" w:eastAsia="zh-CN"/>
              </w:rPr>
              <w:t>、1个</w:t>
            </w:r>
            <w:r>
              <w:rPr>
                <w:rFonts w:hint="eastAsia" w:ascii="仿宋" w:hAnsi="仿宋" w:eastAsia="仿宋" w:cs="仿宋"/>
                <w:color w:val="auto"/>
                <w:sz w:val="18"/>
                <w:szCs w:val="18"/>
              </w:rPr>
              <w:t>USB</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2.0</w:t>
            </w:r>
            <w:r>
              <w:rPr>
                <w:rFonts w:hint="eastAsia" w:ascii="仿宋" w:hAnsi="仿宋" w:eastAsia="仿宋" w:cs="仿宋"/>
                <w:color w:val="auto"/>
                <w:sz w:val="18"/>
                <w:szCs w:val="18"/>
                <w:lang w:val="en-US" w:eastAsia="zh-CN"/>
              </w:rPr>
              <w:t>、2个</w:t>
            </w:r>
            <w:r>
              <w:rPr>
                <w:rFonts w:hint="eastAsia" w:ascii="仿宋" w:hAnsi="仿宋" w:eastAsia="仿宋" w:cs="仿宋"/>
                <w:color w:val="auto"/>
                <w:sz w:val="18"/>
                <w:szCs w:val="18"/>
              </w:rPr>
              <w:t>VGA</w:t>
            </w:r>
            <w:r>
              <w:rPr>
                <w:rFonts w:hint="eastAsia" w:ascii="仿宋" w:hAnsi="仿宋" w:eastAsia="仿宋" w:cs="仿宋"/>
                <w:color w:val="auto"/>
                <w:sz w:val="18"/>
                <w:szCs w:val="18"/>
                <w:lang w:val="en-US" w:eastAsia="zh-CN"/>
              </w:rPr>
              <w:t>、1个</w:t>
            </w:r>
            <w:r>
              <w:rPr>
                <w:rFonts w:hint="eastAsia" w:ascii="仿宋" w:hAnsi="仿宋" w:eastAsia="仿宋" w:cs="仿宋"/>
                <w:color w:val="auto"/>
                <w:sz w:val="18"/>
                <w:szCs w:val="18"/>
              </w:rPr>
              <w:t>系统串口</w:t>
            </w:r>
            <w:r>
              <w:rPr>
                <w:rFonts w:hint="eastAsia" w:ascii="仿宋" w:hAnsi="仿宋" w:eastAsia="仿宋" w:cs="仿宋"/>
                <w:color w:val="auto"/>
                <w:sz w:val="18"/>
                <w:szCs w:val="18"/>
                <w:lang w:val="en-US" w:eastAsia="zh-CN"/>
              </w:rPr>
              <w:t>、1个</w:t>
            </w:r>
            <w:r>
              <w:rPr>
                <w:rFonts w:hint="eastAsia" w:ascii="仿宋" w:hAnsi="仿宋" w:eastAsia="仿宋" w:cs="仿宋"/>
                <w:color w:val="auto"/>
                <w:sz w:val="18"/>
                <w:szCs w:val="18"/>
              </w:rPr>
              <w:t>BMC串口</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1个管理网口</w:t>
            </w:r>
            <w:r>
              <w:rPr>
                <w:rFonts w:hint="eastAsia" w:ascii="仿宋" w:hAnsi="仿宋" w:eastAsia="仿宋" w:cs="仿宋"/>
                <w:color w:val="auto"/>
                <w:sz w:val="18"/>
                <w:szCs w:val="18"/>
                <w:lang w:eastAsia="zh-CN"/>
              </w:rPr>
              <w:t>。</w:t>
            </w:r>
          </w:p>
        </w:tc>
      </w:tr>
      <w:tr w14:paraId="7DBFB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FFFFFF" w:themeFill="background1"/>
            <w:vAlign w:val="center"/>
          </w:tcPr>
          <w:p w14:paraId="3F8D2B85">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139</w:t>
            </w:r>
          </w:p>
        </w:tc>
        <w:tc>
          <w:tcPr>
            <w:tcW w:w="489" w:type="pct"/>
            <w:shd w:val="clear" w:color="auto" w:fill="FFFFFF" w:themeFill="background1"/>
            <w:vAlign w:val="center"/>
          </w:tcPr>
          <w:p w14:paraId="373C06B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数据服务器</w:t>
            </w:r>
          </w:p>
        </w:tc>
        <w:tc>
          <w:tcPr>
            <w:tcW w:w="232" w:type="pct"/>
            <w:shd w:val="clear" w:color="auto" w:fill="FFFFFF" w:themeFill="background1"/>
            <w:vAlign w:val="center"/>
          </w:tcPr>
          <w:p w14:paraId="688BA631">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FFFFFF" w:themeFill="background1"/>
            <w:vAlign w:val="center"/>
          </w:tcPr>
          <w:p w14:paraId="79D5A20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FFFFFF" w:themeFill="background1"/>
            <w:vAlign w:val="center"/>
          </w:tcPr>
          <w:p w14:paraId="2B80A996">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w:t>
            </w:r>
            <w:r>
              <w:rPr>
                <w:rFonts w:hint="eastAsia" w:ascii="仿宋" w:hAnsi="仿宋" w:eastAsia="仿宋" w:cs="仿宋"/>
                <w:color w:val="auto"/>
                <w:sz w:val="18"/>
                <w:szCs w:val="18"/>
              </w:rPr>
              <w:t>2U机架式</w:t>
            </w:r>
            <w:r>
              <w:rPr>
                <w:rFonts w:hint="eastAsia" w:ascii="仿宋" w:hAnsi="仿宋" w:eastAsia="仿宋" w:cs="仿宋"/>
                <w:color w:val="auto"/>
                <w:sz w:val="18"/>
                <w:szCs w:val="18"/>
                <w:lang w:eastAsia="zh-CN"/>
              </w:rPr>
              <w:t>；</w:t>
            </w:r>
          </w:p>
          <w:p w14:paraId="0EC698A0">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CPU：海光5380</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1，</w:t>
            </w:r>
            <w:r>
              <w:rPr>
                <w:rFonts w:hint="eastAsia" w:ascii="仿宋" w:hAnsi="仿宋" w:eastAsia="仿宋" w:cs="仿宋"/>
                <w:color w:val="auto"/>
                <w:sz w:val="18"/>
                <w:szCs w:val="18"/>
              </w:rPr>
              <w:t>≥16核2.5G</w:t>
            </w:r>
            <w:r>
              <w:rPr>
                <w:rFonts w:hint="eastAsia" w:ascii="仿宋" w:hAnsi="仿宋" w:eastAsia="仿宋" w:cs="仿宋"/>
                <w:color w:val="auto"/>
                <w:sz w:val="18"/>
                <w:szCs w:val="18"/>
                <w:lang w:eastAsia="zh-CN"/>
              </w:rPr>
              <w:t>；</w:t>
            </w:r>
          </w:p>
          <w:p w14:paraId="4E32CE68">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3.</w:t>
            </w:r>
            <w:r>
              <w:rPr>
                <w:rFonts w:hint="eastAsia" w:ascii="仿宋" w:hAnsi="仿宋" w:eastAsia="仿宋" w:cs="仿宋"/>
                <w:color w:val="auto"/>
                <w:sz w:val="18"/>
                <w:szCs w:val="18"/>
              </w:rPr>
              <w:t>内存：≥256G，支持≥8根DDR4内存扩展</w:t>
            </w:r>
            <w:r>
              <w:rPr>
                <w:rFonts w:hint="eastAsia" w:ascii="仿宋" w:hAnsi="仿宋" w:eastAsia="仿宋" w:cs="仿宋"/>
                <w:color w:val="auto"/>
                <w:sz w:val="18"/>
                <w:szCs w:val="18"/>
                <w:lang w:eastAsia="zh-CN"/>
              </w:rPr>
              <w:t>；</w:t>
            </w:r>
          </w:p>
          <w:p w14:paraId="47B2C1F8">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4.</w:t>
            </w:r>
            <w:r>
              <w:rPr>
                <w:rFonts w:hint="eastAsia" w:ascii="仿宋" w:hAnsi="仿宋" w:eastAsia="仿宋" w:cs="仿宋"/>
                <w:color w:val="auto"/>
                <w:sz w:val="18"/>
                <w:szCs w:val="18"/>
              </w:rPr>
              <w:t>系统盘：≥2*960G</w:t>
            </w:r>
            <w:r>
              <w:rPr>
                <w:rFonts w:hint="eastAsia" w:ascii="仿宋" w:hAnsi="仿宋" w:eastAsia="仿宋" w:cs="仿宋"/>
                <w:color w:val="auto"/>
                <w:sz w:val="18"/>
                <w:szCs w:val="18"/>
                <w:lang w:eastAsia="zh-CN"/>
              </w:rPr>
              <w:t>；</w:t>
            </w:r>
          </w:p>
          <w:p w14:paraId="5EED1624">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5.</w:t>
            </w:r>
            <w:r>
              <w:rPr>
                <w:rFonts w:hint="eastAsia" w:ascii="仿宋" w:hAnsi="仿宋" w:eastAsia="仿宋" w:cs="仿宋"/>
                <w:color w:val="auto"/>
                <w:sz w:val="18"/>
                <w:szCs w:val="18"/>
              </w:rPr>
              <w:t>数据盘：≥8*20T（7200转服务器级硬盘），支持≥12个3.5/2.5英寸盘位</w:t>
            </w:r>
            <w:r>
              <w:rPr>
                <w:rFonts w:hint="eastAsia" w:ascii="仿宋" w:hAnsi="仿宋" w:eastAsia="仿宋" w:cs="仿宋"/>
                <w:color w:val="auto"/>
                <w:sz w:val="18"/>
                <w:szCs w:val="18"/>
                <w:lang w:eastAsia="zh-CN"/>
              </w:rPr>
              <w:t>；</w:t>
            </w:r>
          </w:p>
          <w:p w14:paraId="5D945FA9">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6.</w:t>
            </w:r>
            <w:r>
              <w:rPr>
                <w:rFonts w:hint="eastAsia" w:ascii="仿宋" w:hAnsi="仿宋" w:eastAsia="仿宋" w:cs="仿宋"/>
                <w:color w:val="auto"/>
                <w:sz w:val="18"/>
                <w:szCs w:val="18"/>
              </w:rPr>
              <w:t>阵列卡：支持RAID</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0、1、10、5、50、6、60</w:t>
            </w:r>
            <w:r>
              <w:rPr>
                <w:rFonts w:hint="eastAsia" w:ascii="仿宋" w:hAnsi="仿宋" w:eastAsia="仿宋" w:cs="仿宋"/>
                <w:color w:val="auto"/>
                <w:sz w:val="18"/>
                <w:szCs w:val="18"/>
                <w:lang w:val="en-US" w:eastAsia="zh-CN"/>
              </w:rPr>
              <w:t>及</w:t>
            </w:r>
            <w:r>
              <w:rPr>
                <w:rFonts w:hint="eastAsia" w:ascii="仿宋" w:hAnsi="仿宋" w:eastAsia="仿宋" w:cs="仿宋"/>
                <w:color w:val="auto"/>
                <w:sz w:val="18"/>
                <w:szCs w:val="18"/>
              </w:rPr>
              <w:t>Cache电容保护</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硬盘热插拔</w:t>
            </w:r>
            <w:r>
              <w:rPr>
                <w:rFonts w:hint="eastAsia" w:ascii="仿宋" w:hAnsi="仿宋" w:eastAsia="仿宋" w:cs="仿宋"/>
                <w:color w:val="auto"/>
                <w:sz w:val="18"/>
                <w:szCs w:val="18"/>
                <w:lang w:eastAsia="zh-CN"/>
              </w:rPr>
              <w:t>；</w:t>
            </w:r>
          </w:p>
          <w:p w14:paraId="499AFFEF">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7.</w:t>
            </w:r>
            <w:r>
              <w:rPr>
                <w:rFonts w:hint="eastAsia" w:ascii="仿宋" w:hAnsi="仿宋" w:eastAsia="仿宋" w:cs="仿宋"/>
                <w:color w:val="auto"/>
                <w:sz w:val="18"/>
                <w:szCs w:val="18"/>
              </w:rPr>
              <w:t>≥4个标准PCIe 4.0插槽</w:t>
            </w:r>
            <w:r>
              <w:rPr>
                <w:rFonts w:hint="eastAsia" w:ascii="仿宋" w:hAnsi="仿宋" w:eastAsia="仿宋" w:cs="仿宋"/>
                <w:color w:val="auto"/>
                <w:sz w:val="18"/>
                <w:szCs w:val="18"/>
                <w:lang w:eastAsia="zh-CN"/>
              </w:rPr>
              <w:t>；</w:t>
            </w:r>
          </w:p>
          <w:p w14:paraId="103F9F23">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8.</w:t>
            </w:r>
            <w:r>
              <w:rPr>
                <w:rFonts w:hint="eastAsia" w:ascii="仿宋" w:hAnsi="仿宋" w:eastAsia="仿宋" w:cs="仿宋"/>
                <w:color w:val="auto"/>
                <w:sz w:val="18"/>
                <w:szCs w:val="18"/>
              </w:rPr>
              <w:t>板载≥2个千兆网络接口，1个独立千兆管理专用以太网口</w:t>
            </w:r>
            <w:r>
              <w:rPr>
                <w:rFonts w:hint="eastAsia" w:ascii="仿宋" w:hAnsi="仿宋" w:eastAsia="仿宋" w:cs="仿宋"/>
                <w:color w:val="auto"/>
                <w:sz w:val="18"/>
                <w:szCs w:val="18"/>
                <w:lang w:eastAsia="zh-CN"/>
              </w:rPr>
              <w:t>；</w:t>
            </w:r>
          </w:p>
          <w:p w14:paraId="052E6D4B">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9.</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*550W电源</w:t>
            </w:r>
            <w:r>
              <w:rPr>
                <w:rFonts w:hint="eastAsia" w:ascii="仿宋" w:hAnsi="仿宋" w:eastAsia="仿宋" w:cs="仿宋"/>
                <w:color w:val="auto"/>
                <w:sz w:val="18"/>
                <w:szCs w:val="18"/>
                <w:lang w:eastAsia="zh-CN"/>
              </w:rPr>
              <w:t>；</w:t>
            </w:r>
          </w:p>
          <w:p w14:paraId="1067F1F0">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10.</w:t>
            </w:r>
            <w:r>
              <w:rPr>
                <w:rFonts w:hint="eastAsia" w:ascii="仿宋" w:hAnsi="仿宋" w:eastAsia="仿宋" w:cs="仿宋"/>
                <w:color w:val="auto"/>
                <w:sz w:val="18"/>
                <w:szCs w:val="18"/>
              </w:rPr>
              <w:t>支持华为欧拉、统信、银河麒麟操作系统</w:t>
            </w:r>
            <w:r>
              <w:rPr>
                <w:rFonts w:hint="eastAsia" w:ascii="仿宋" w:hAnsi="仿宋" w:eastAsia="仿宋" w:cs="仿宋"/>
                <w:color w:val="auto"/>
                <w:sz w:val="18"/>
                <w:szCs w:val="18"/>
                <w:lang w:eastAsia="zh-CN"/>
              </w:rPr>
              <w:t>；</w:t>
            </w:r>
          </w:p>
          <w:p w14:paraId="2CB077C5">
            <w:pPr>
              <w:pStyle w:val="103"/>
              <w:widowControl/>
              <w:numPr>
                <w:ilvl w:val="0"/>
                <w:numId w:val="0"/>
              </w:numPr>
              <w:adjustRightInd w:val="0"/>
              <w:snapToGrid w:val="0"/>
              <w:ind w:leftChars="0"/>
              <w:jc w:val="left"/>
              <w:textAlignment w:val="center"/>
              <w:rPr>
                <w:rFonts w:hint="eastAsia" w:ascii="仿宋" w:hAnsi="仿宋" w:eastAsia="仿宋" w:cs="仿宋"/>
                <w:color w:val="auto"/>
                <w:kern w:val="2"/>
                <w:sz w:val="18"/>
                <w:szCs w:val="18"/>
                <w:lang w:val="en-US" w:eastAsia="zh-CN" w:bidi="ar-SA"/>
              </w:rPr>
            </w:pPr>
            <w:r>
              <w:rPr>
                <w:rFonts w:hint="eastAsia" w:ascii="仿宋" w:hAnsi="仿宋" w:eastAsia="仿宋" w:cs="仿宋"/>
                <w:color w:val="auto"/>
                <w:sz w:val="18"/>
                <w:szCs w:val="18"/>
                <w:lang w:val="en-US" w:eastAsia="zh-CN"/>
              </w:rPr>
              <w:t>11.接口（最低要求）：3个</w:t>
            </w:r>
            <w:r>
              <w:rPr>
                <w:rFonts w:hint="eastAsia" w:ascii="仿宋" w:hAnsi="仿宋" w:eastAsia="仿宋" w:cs="仿宋"/>
                <w:color w:val="auto"/>
                <w:sz w:val="18"/>
                <w:szCs w:val="18"/>
              </w:rPr>
              <w:t>USB</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3.0</w:t>
            </w:r>
            <w:r>
              <w:rPr>
                <w:rFonts w:hint="eastAsia" w:ascii="仿宋" w:hAnsi="仿宋" w:eastAsia="仿宋" w:cs="仿宋"/>
                <w:color w:val="auto"/>
                <w:sz w:val="18"/>
                <w:szCs w:val="18"/>
                <w:lang w:val="en-US" w:eastAsia="zh-CN"/>
              </w:rPr>
              <w:t>、1个</w:t>
            </w:r>
            <w:r>
              <w:rPr>
                <w:rFonts w:hint="eastAsia" w:ascii="仿宋" w:hAnsi="仿宋" w:eastAsia="仿宋" w:cs="仿宋"/>
                <w:color w:val="auto"/>
                <w:sz w:val="18"/>
                <w:szCs w:val="18"/>
              </w:rPr>
              <w:t>USB</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2.0</w:t>
            </w:r>
            <w:r>
              <w:rPr>
                <w:rFonts w:hint="eastAsia" w:ascii="仿宋" w:hAnsi="仿宋" w:eastAsia="仿宋" w:cs="仿宋"/>
                <w:color w:val="auto"/>
                <w:sz w:val="18"/>
                <w:szCs w:val="18"/>
                <w:lang w:val="en-US" w:eastAsia="zh-CN"/>
              </w:rPr>
              <w:t>、2个</w:t>
            </w:r>
            <w:r>
              <w:rPr>
                <w:rFonts w:hint="eastAsia" w:ascii="仿宋" w:hAnsi="仿宋" w:eastAsia="仿宋" w:cs="仿宋"/>
                <w:color w:val="auto"/>
                <w:sz w:val="18"/>
                <w:szCs w:val="18"/>
              </w:rPr>
              <w:t>VGA</w:t>
            </w:r>
            <w:r>
              <w:rPr>
                <w:rFonts w:hint="eastAsia" w:ascii="仿宋" w:hAnsi="仿宋" w:eastAsia="仿宋" w:cs="仿宋"/>
                <w:color w:val="auto"/>
                <w:sz w:val="18"/>
                <w:szCs w:val="18"/>
                <w:lang w:val="en-US" w:eastAsia="zh-CN"/>
              </w:rPr>
              <w:t>、1个</w:t>
            </w:r>
            <w:r>
              <w:rPr>
                <w:rFonts w:hint="eastAsia" w:ascii="仿宋" w:hAnsi="仿宋" w:eastAsia="仿宋" w:cs="仿宋"/>
                <w:color w:val="auto"/>
                <w:sz w:val="18"/>
                <w:szCs w:val="18"/>
              </w:rPr>
              <w:t>系统串口</w:t>
            </w:r>
            <w:r>
              <w:rPr>
                <w:rFonts w:hint="eastAsia" w:ascii="仿宋" w:hAnsi="仿宋" w:eastAsia="仿宋" w:cs="仿宋"/>
                <w:color w:val="auto"/>
                <w:sz w:val="18"/>
                <w:szCs w:val="18"/>
                <w:lang w:val="en-US" w:eastAsia="zh-CN"/>
              </w:rPr>
              <w:t>、1个</w:t>
            </w:r>
            <w:r>
              <w:rPr>
                <w:rFonts w:hint="eastAsia" w:ascii="仿宋" w:hAnsi="仿宋" w:eastAsia="仿宋" w:cs="仿宋"/>
                <w:color w:val="auto"/>
                <w:sz w:val="18"/>
                <w:szCs w:val="18"/>
              </w:rPr>
              <w:t>BMC串口</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1个管理网口</w:t>
            </w:r>
            <w:r>
              <w:rPr>
                <w:rFonts w:hint="eastAsia" w:ascii="仿宋" w:hAnsi="仿宋" w:eastAsia="仿宋" w:cs="仿宋"/>
                <w:color w:val="auto"/>
                <w:sz w:val="18"/>
                <w:szCs w:val="18"/>
                <w:lang w:eastAsia="zh-CN"/>
              </w:rPr>
              <w:t>。</w:t>
            </w:r>
          </w:p>
        </w:tc>
      </w:tr>
      <w:tr w14:paraId="2A249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 w:type="pct"/>
            <w:shd w:val="clear" w:color="auto" w:fill="FFFFFF" w:themeFill="background1"/>
            <w:vAlign w:val="center"/>
          </w:tcPr>
          <w:p w14:paraId="48F62A44">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140</w:t>
            </w:r>
          </w:p>
        </w:tc>
        <w:tc>
          <w:tcPr>
            <w:tcW w:w="489" w:type="pct"/>
            <w:shd w:val="clear" w:color="auto" w:fill="FFFFFF" w:themeFill="background1"/>
            <w:vAlign w:val="center"/>
          </w:tcPr>
          <w:p w14:paraId="13F564C0">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计算服务器</w:t>
            </w:r>
          </w:p>
        </w:tc>
        <w:tc>
          <w:tcPr>
            <w:tcW w:w="232" w:type="pct"/>
            <w:shd w:val="clear" w:color="auto" w:fill="FFFFFF" w:themeFill="background1"/>
            <w:vAlign w:val="center"/>
          </w:tcPr>
          <w:p w14:paraId="1842F83D">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1</w:t>
            </w:r>
          </w:p>
        </w:tc>
        <w:tc>
          <w:tcPr>
            <w:tcW w:w="218" w:type="pct"/>
            <w:shd w:val="clear" w:color="auto" w:fill="FFFFFF" w:themeFill="background1"/>
            <w:vAlign w:val="center"/>
          </w:tcPr>
          <w:p w14:paraId="2C83AB43">
            <w:pPr>
              <w:keepNext w:val="0"/>
              <w:keepLines w:val="0"/>
              <w:widowControl/>
              <w:suppressLineNumbers w:val="0"/>
              <w:jc w:val="center"/>
              <w:textAlignment w:val="center"/>
              <w:rPr>
                <w:rFonts w:hint="eastAsia" w:ascii="仿宋" w:hAnsi="仿宋" w:eastAsia="仿宋" w:cs="仿宋"/>
                <w:b w:val="0"/>
                <w:bCs w:val="0"/>
                <w:i w:val="0"/>
                <w:iCs w:val="0"/>
                <w:color w:val="auto"/>
                <w:kern w:val="0"/>
                <w:sz w:val="18"/>
                <w:szCs w:val="18"/>
                <w:u w:val="none"/>
                <w:lang w:val="en-US" w:eastAsia="zh-CN" w:bidi="ar"/>
              </w:rPr>
            </w:pPr>
            <w:r>
              <w:rPr>
                <w:rFonts w:hint="eastAsia" w:ascii="仿宋" w:hAnsi="仿宋" w:eastAsia="仿宋" w:cs="仿宋"/>
                <w:b w:val="0"/>
                <w:bCs w:val="0"/>
                <w:i w:val="0"/>
                <w:iCs w:val="0"/>
                <w:color w:val="auto"/>
                <w:kern w:val="0"/>
                <w:sz w:val="18"/>
                <w:szCs w:val="18"/>
                <w:u w:val="none"/>
                <w:lang w:val="en-US" w:eastAsia="zh-CN" w:bidi="ar"/>
              </w:rPr>
              <w:t>台</w:t>
            </w:r>
          </w:p>
        </w:tc>
        <w:tc>
          <w:tcPr>
            <w:tcW w:w="3864" w:type="pct"/>
            <w:shd w:val="clear" w:color="auto" w:fill="FFFFFF" w:themeFill="background1"/>
            <w:vAlign w:val="center"/>
          </w:tcPr>
          <w:p w14:paraId="12EECA18">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w:t>
            </w:r>
            <w:r>
              <w:rPr>
                <w:rFonts w:hint="eastAsia" w:ascii="仿宋" w:hAnsi="仿宋" w:eastAsia="仿宋" w:cs="仿宋"/>
                <w:color w:val="auto"/>
                <w:sz w:val="18"/>
                <w:szCs w:val="18"/>
              </w:rPr>
              <w:t>2U机架式</w:t>
            </w:r>
            <w:r>
              <w:rPr>
                <w:rFonts w:hint="eastAsia" w:ascii="仿宋" w:hAnsi="仿宋" w:eastAsia="仿宋" w:cs="仿宋"/>
                <w:color w:val="auto"/>
                <w:sz w:val="18"/>
                <w:szCs w:val="18"/>
                <w:lang w:eastAsia="zh-CN"/>
              </w:rPr>
              <w:t>；</w:t>
            </w:r>
          </w:p>
          <w:p w14:paraId="1AEB7D16">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CPU：海光7360</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≥48核2.2G</w:t>
            </w:r>
            <w:r>
              <w:rPr>
                <w:rFonts w:hint="eastAsia" w:ascii="仿宋" w:hAnsi="仿宋" w:eastAsia="仿宋" w:cs="仿宋"/>
                <w:color w:val="auto"/>
                <w:sz w:val="18"/>
                <w:szCs w:val="18"/>
                <w:lang w:eastAsia="zh-CN"/>
              </w:rPr>
              <w:t>；</w:t>
            </w:r>
          </w:p>
          <w:p w14:paraId="485EFAD3">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3.</w:t>
            </w:r>
            <w:r>
              <w:rPr>
                <w:rFonts w:hint="eastAsia" w:ascii="仿宋" w:hAnsi="仿宋" w:eastAsia="仿宋" w:cs="仿宋"/>
                <w:color w:val="auto"/>
                <w:sz w:val="18"/>
                <w:szCs w:val="18"/>
              </w:rPr>
              <w:t>内存：≥256G，支持≥8根DDR4内存扩展</w:t>
            </w:r>
            <w:r>
              <w:rPr>
                <w:rFonts w:hint="eastAsia" w:ascii="仿宋" w:hAnsi="仿宋" w:eastAsia="仿宋" w:cs="仿宋"/>
                <w:color w:val="auto"/>
                <w:sz w:val="18"/>
                <w:szCs w:val="18"/>
                <w:lang w:eastAsia="zh-CN"/>
              </w:rPr>
              <w:t>；</w:t>
            </w:r>
          </w:p>
          <w:p w14:paraId="5A30DE31">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4.</w:t>
            </w:r>
            <w:r>
              <w:rPr>
                <w:rFonts w:hint="eastAsia" w:ascii="仿宋" w:hAnsi="仿宋" w:eastAsia="仿宋" w:cs="仿宋"/>
                <w:color w:val="auto"/>
                <w:sz w:val="18"/>
                <w:szCs w:val="18"/>
              </w:rPr>
              <w:t>系统盘：≥2*960G</w:t>
            </w:r>
            <w:r>
              <w:rPr>
                <w:rFonts w:hint="eastAsia" w:ascii="仿宋" w:hAnsi="仿宋" w:eastAsia="仿宋" w:cs="仿宋"/>
                <w:color w:val="auto"/>
                <w:sz w:val="18"/>
                <w:szCs w:val="18"/>
                <w:lang w:eastAsia="zh-CN"/>
              </w:rPr>
              <w:t>；</w:t>
            </w:r>
          </w:p>
          <w:p w14:paraId="35429B20">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5.</w:t>
            </w:r>
            <w:r>
              <w:rPr>
                <w:rFonts w:hint="eastAsia" w:ascii="仿宋" w:hAnsi="仿宋" w:eastAsia="仿宋" w:cs="仿宋"/>
                <w:color w:val="auto"/>
                <w:sz w:val="18"/>
                <w:szCs w:val="18"/>
              </w:rPr>
              <w:t>数据盘：≥4*20T（7200转服务器级硬盘），支持≥12个3.5/2.5英寸盘位</w:t>
            </w:r>
            <w:r>
              <w:rPr>
                <w:rFonts w:hint="eastAsia" w:ascii="仿宋" w:hAnsi="仿宋" w:eastAsia="仿宋" w:cs="仿宋"/>
                <w:color w:val="auto"/>
                <w:sz w:val="18"/>
                <w:szCs w:val="18"/>
                <w:lang w:eastAsia="zh-CN"/>
              </w:rPr>
              <w:t>；</w:t>
            </w:r>
          </w:p>
          <w:p w14:paraId="68C029FD">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6.</w:t>
            </w:r>
            <w:r>
              <w:rPr>
                <w:rFonts w:hint="eastAsia" w:ascii="仿宋" w:hAnsi="仿宋" w:eastAsia="仿宋" w:cs="仿宋"/>
                <w:color w:val="auto"/>
                <w:sz w:val="18"/>
                <w:szCs w:val="18"/>
              </w:rPr>
              <w:t>阵列卡：支持RAID</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0、1、10、5、50、6、60</w:t>
            </w:r>
            <w:r>
              <w:rPr>
                <w:rFonts w:hint="eastAsia" w:ascii="仿宋" w:hAnsi="仿宋" w:eastAsia="仿宋" w:cs="仿宋"/>
                <w:color w:val="auto"/>
                <w:sz w:val="18"/>
                <w:szCs w:val="18"/>
                <w:lang w:val="en-US" w:eastAsia="zh-CN"/>
              </w:rPr>
              <w:t>及</w:t>
            </w:r>
            <w:r>
              <w:rPr>
                <w:rFonts w:hint="eastAsia" w:ascii="仿宋" w:hAnsi="仿宋" w:eastAsia="仿宋" w:cs="仿宋"/>
                <w:color w:val="auto"/>
                <w:sz w:val="18"/>
                <w:szCs w:val="18"/>
              </w:rPr>
              <w:t>Cache电容保护</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硬盘热插拔</w:t>
            </w:r>
            <w:r>
              <w:rPr>
                <w:rFonts w:hint="eastAsia" w:ascii="仿宋" w:hAnsi="仿宋" w:eastAsia="仿宋" w:cs="仿宋"/>
                <w:color w:val="auto"/>
                <w:sz w:val="18"/>
                <w:szCs w:val="18"/>
                <w:lang w:eastAsia="zh-CN"/>
              </w:rPr>
              <w:t>；</w:t>
            </w:r>
          </w:p>
          <w:p w14:paraId="683E679D">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7.</w:t>
            </w:r>
            <w:r>
              <w:rPr>
                <w:rFonts w:hint="eastAsia" w:ascii="仿宋" w:hAnsi="仿宋" w:eastAsia="仿宋" w:cs="仿宋"/>
                <w:color w:val="auto"/>
                <w:sz w:val="18"/>
                <w:szCs w:val="18"/>
              </w:rPr>
              <w:t>≥4个标准PCIe 4.0插槽</w:t>
            </w:r>
            <w:r>
              <w:rPr>
                <w:rFonts w:hint="eastAsia" w:ascii="仿宋" w:hAnsi="仿宋" w:eastAsia="仿宋" w:cs="仿宋"/>
                <w:color w:val="auto"/>
                <w:sz w:val="18"/>
                <w:szCs w:val="18"/>
                <w:lang w:eastAsia="zh-CN"/>
              </w:rPr>
              <w:t>；</w:t>
            </w:r>
          </w:p>
          <w:p w14:paraId="0B2ADCA7">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8.</w:t>
            </w:r>
            <w:r>
              <w:rPr>
                <w:rFonts w:hint="eastAsia" w:ascii="仿宋" w:hAnsi="仿宋" w:eastAsia="仿宋" w:cs="仿宋"/>
                <w:color w:val="auto"/>
                <w:sz w:val="18"/>
                <w:szCs w:val="18"/>
              </w:rPr>
              <w:t>板载≥2个千兆网络接口，1个独立千兆管理专用以太网口</w:t>
            </w:r>
            <w:r>
              <w:rPr>
                <w:rFonts w:hint="eastAsia" w:ascii="仿宋" w:hAnsi="仿宋" w:eastAsia="仿宋" w:cs="仿宋"/>
                <w:color w:val="auto"/>
                <w:sz w:val="18"/>
                <w:szCs w:val="18"/>
                <w:lang w:eastAsia="zh-CN"/>
              </w:rPr>
              <w:t>；</w:t>
            </w:r>
          </w:p>
          <w:p w14:paraId="73E5D8F4">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9.</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*1000W电源</w:t>
            </w:r>
            <w:r>
              <w:rPr>
                <w:rFonts w:hint="eastAsia" w:ascii="仿宋" w:hAnsi="仿宋" w:eastAsia="仿宋" w:cs="仿宋"/>
                <w:color w:val="auto"/>
                <w:sz w:val="18"/>
                <w:szCs w:val="18"/>
                <w:lang w:eastAsia="zh-CN"/>
              </w:rPr>
              <w:t>；</w:t>
            </w:r>
          </w:p>
          <w:p w14:paraId="324DC1A7">
            <w:pPr>
              <w:pStyle w:val="103"/>
              <w:widowControl/>
              <w:numPr>
                <w:ilvl w:val="0"/>
                <w:numId w:val="0"/>
              </w:numPr>
              <w:adjustRightInd w:val="0"/>
              <w:snapToGrid w:val="0"/>
              <w:ind w:leftChars="0"/>
              <w:jc w:val="left"/>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val="en-US" w:eastAsia="zh-CN"/>
              </w:rPr>
              <w:t>10.</w:t>
            </w:r>
            <w:r>
              <w:rPr>
                <w:rFonts w:hint="eastAsia" w:ascii="仿宋" w:hAnsi="仿宋" w:eastAsia="仿宋" w:cs="仿宋"/>
                <w:color w:val="auto"/>
                <w:sz w:val="18"/>
                <w:szCs w:val="18"/>
              </w:rPr>
              <w:t>支持华为欧拉、统信、银河麒麟操作系统</w:t>
            </w:r>
            <w:r>
              <w:rPr>
                <w:rFonts w:hint="eastAsia" w:ascii="仿宋" w:hAnsi="仿宋" w:eastAsia="仿宋" w:cs="仿宋"/>
                <w:color w:val="auto"/>
                <w:sz w:val="18"/>
                <w:szCs w:val="18"/>
                <w:lang w:eastAsia="zh-CN"/>
              </w:rPr>
              <w:t>；</w:t>
            </w:r>
          </w:p>
          <w:p w14:paraId="7F34A504">
            <w:pPr>
              <w:pStyle w:val="103"/>
              <w:widowControl/>
              <w:numPr>
                <w:ilvl w:val="0"/>
                <w:numId w:val="0"/>
              </w:numPr>
              <w:adjustRightInd w:val="0"/>
              <w:snapToGrid w:val="0"/>
              <w:ind w:leftChars="0"/>
              <w:jc w:val="left"/>
              <w:textAlignment w:val="center"/>
              <w:rPr>
                <w:rFonts w:hint="eastAsia" w:ascii="仿宋" w:hAnsi="仿宋" w:eastAsia="仿宋" w:cs="仿宋"/>
                <w:color w:val="auto"/>
                <w:kern w:val="2"/>
                <w:sz w:val="18"/>
                <w:szCs w:val="18"/>
                <w:lang w:val="en-US" w:eastAsia="zh-CN" w:bidi="ar-SA"/>
              </w:rPr>
            </w:pPr>
            <w:r>
              <w:rPr>
                <w:rFonts w:hint="eastAsia" w:ascii="仿宋" w:hAnsi="仿宋" w:eastAsia="仿宋" w:cs="仿宋"/>
                <w:color w:val="auto"/>
                <w:sz w:val="18"/>
                <w:szCs w:val="18"/>
                <w:lang w:val="en-US" w:eastAsia="zh-CN"/>
              </w:rPr>
              <w:t>11.接口（最低要求）：3个</w:t>
            </w:r>
            <w:r>
              <w:rPr>
                <w:rFonts w:hint="eastAsia" w:ascii="仿宋" w:hAnsi="仿宋" w:eastAsia="仿宋" w:cs="仿宋"/>
                <w:color w:val="auto"/>
                <w:sz w:val="18"/>
                <w:szCs w:val="18"/>
              </w:rPr>
              <w:t>USB</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3.0</w:t>
            </w:r>
            <w:r>
              <w:rPr>
                <w:rFonts w:hint="eastAsia" w:ascii="仿宋" w:hAnsi="仿宋" w:eastAsia="仿宋" w:cs="仿宋"/>
                <w:color w:val="auto"/>
                <w:sz w:val="18"/>
                <w:szCs w:val="18"/>
                <w:lang w:val="en-US" w:eastAsia="zh-CN"/>
              </w:rPr>
              <w:t>、1个</w:t>
            </w:r>
            <w:r>
              <w:rPr>
                <w:rFonts w:hint="eastAsia" w:ascii="仿宋" w:hAnsi="仿宋" w:eastAsia="仿宋" w:cs="仿宋"/>
                <w:color w:val="auto"/>
                <w:sz w:val="18"/>
                <w:szCs w:val="18"/>
              </w:rPr>
              <w:t>USB</w:t>
            </w:r>
            <w:r>
              <w:rPr>
                <w:rFonts w:hint="eastAsia" w:ascii="仿宋" w:hAnsi="仿宋" w:eastAsia="仿宋" w:cs="仿宋"/>
                <w:color w:val="auto"/>
                <w:sz w:val="18"/>
                <w:szCs w:val="18"/>
                <w:lang w:val="en-US" w:eastAsia="zh-CN"/>
              </w:rPr>
              <w:t xml:space="preserve"> </w:t>
            </w:r>
            <w:r>
              <w:rPr>
                <w:rFonts w:hint="eastAsia" w:ascii="仿宋" w:hAnsi="仿宋" w:eastAsia="仿宋" w:cs="仿宋"/>
                <w:color w:val="auto"/>
                <w:sz w:val="18"/>
                <w:szCs w:val="18"/>
              </w:rPr>
              <w:t>2.0</w:t>
            </w:r>
            <w:r>
              <w:rPr>
                <w:rFonts w:hint="eastAsia" w:ascii="仿宋" w:hAnsi="仿宋" w:eastAsia="仿宋" w:cs="仿宋"/>
                <w:color w:val="auto"/>
                <w:sz w:val="18"/>
                <w:szCs w:val="18"/>
                <w:lang w:val="en-US" w:eastAsia="zh-CN"/>
              </w:rPr>
              <w:t>、2个</w:t>
            </w:r>
            <w:r>
              <w:rPr>
                <w:rFonts w:hint="eastAsia" w:ascii="仿宋" w:hAnsi="仿宋" w:eastAsia="仿宋" w:cs="仿宋"/>
                <w:color w:val="auto"/>
                <w:sz w:val="18"/>
                <w:szCs w:val="18"/>
              </w:rPr>
              <w:t>VGA</w:t>
            </w:r>
            <w:r>
              <w:rPr>
                <w:rFonts w:hint="eastAsia" w:ascii="仿宋" w:hAnsi="仿宋" w:eastAsia="仿宋" w:cs="仿宋"/>
                <w:color w:val="auto"/>
                <w:sz w:val="18"/>
                <w:szCs w:val="18"/>
                <w:lang w:val="en-US" w:eastAsia="zh-CN"/>
              </w:rPr>
              <w:t>、1个</w:t>
            </w:r>
            <w:r>
              <w:rPr>
                <w:rFonts w:hint="eastAsia" w:ascii="仿宋" w:hAnsi="仿宋" w:eastAsia="仿宋" w:cs="仿宋"/>
                <w:color w:val="auto"/>
                <w:sz w:val="18"/>
                <w:szCs w:val="18"/>
              </w:rPr>
              <w:t>系统串口</w:t>
            </w:r>
            <w:r>
              <w:rPr>
                <w:rFonts w:hint="eastAsia" w:ascii="仿宋" w:hAnsi="仿宋" w:eastAsia="仿宋" w:cs="仿宋"/>
                <w:color w:val="auto"/>
                <w:sz w:val="18"/>
                <w:szCs w:val="18"/>
                <w:lang w:val="en-US" w:eastAsia="zh-CN"/>
              </w:rPr>
              <w:t>、1个</w:t>
            </w:r>
            <w:r>
              <w:rPr>
                <w:rFonts w:hint="eastAsia" w:ascii="仿宋" w:hAnsi="仿宋" w:eastAsia="仿宋" w:cs="仿宋"/>
                <w:color w:val="auto"/>
                <w:sz w:val="18"/>
                <w:szCs w:val="18"/>
              </w:rPr>
              <w:t>BMC串口</w:t>
            </w:r>
            <w:r>
              <w:rPr>
                <w:rFonts w:hint="eastAsia" w:ascii="仿宋" w:hAnsi="仿宋" w:eastAsia="仿宋" w:cs="仿宋"/>
                <w:color w:val="auto"/>
                <w:sz w:val="18"/>
                <w:szCs w:val="18"/>
                <w:lang w:val="en-US" w:eastAsia="zh-CN"/>
              </w:rPr>
              <w:t>、</w:t>
            </w:r>
            <w:r>
              <w:rPr>
                <w:rFonts w:hint="eastAsia" w:ascii="仿宋" w:hAnsi="仿宋" w:eastAsia="仿宋" w:cs="仿宋"/>
                <w:color w:val="auto"/>
                <w:sz w:val="18"/>
                <w:szCs w:val="18"/>
              </w:rPr>
              <w:t>1个管理网口</w:t>
            </w:r>
            <w:r>
              <w:rPr>
                <w:rFonts w:hint="eastAsia" w:ascii="仿宋" w:hAnsi="仿宋" w:eastAsia="仿宋" w:cs="仿宋"/>
                <w:color w:val="auto"/>
                <w:sz w:val="18"/>
                <w:szCs w:val="18"/>
                <w:lang w:eastAsia="zh-CN"/>
              </w:rPr>
              <w:t>。</w:t>
            </w:r>
          </w:p>
        </w:tc>
      </w:tr>
      <w:tr w14:paraId="5F57D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000" w:type="pct"/>
            <w:gridSpan w:val="5"/>
            <w:shd w:val="clear" w:color="auto" w:fill="auto"/>
            <w:vAlign w:val="center"/>
          </w:tcPr>
          <w:p w14:paraId="37C25C88">
            <w:pPr>
              <w:keepNext w:val="0"/>
              <w:keepLines w:val="0"/>
              <w:pageBreakBefore w:val="0"/>
              <w:kinsoku/>
              <w:wordWrap/>
              <w:overflowPunct/>
              <w:topLinePunct w:val="0"/>
              <w:autoSpaceDE/>
              <w:autoSpaceDN/>
              <w:bidi w:val="0"/>
              <w:adjustRightInd/>
              <w:snapToGrid w:val="0"/>
              <w:spacing w:line="240" w:lineRule="auto"/>
              <w:jc w:val="both"/>
              <w:textAlignment w:val="auto"/>
              <w:rPr>
                <w:rFonts w:hint="eastAsia" w:ascii="仿宋" w:hAnsi="仿宋" w:eastAsia="仿宋" w:cs="仿宋"/>
                <w:b w:val="0"/>
                <w:bCs w:val="0"/>
                <w:color w:val="auto"/>
                <w:kern w:val="2"/>
                <w:sz w:val="18"/>
                <w:szCs w:val="18"/>
                <w:highlight w:val="none"/>
                <w:lang w:val="en-US" w:eastAsia="zh-CN" w:bidi="ar-SA"/>
              </w:rPr>
            </w:pPr>
            <w:r>
              <w:rPr>
                <w:rFonts w:hint="eastAsia" w:ascii="仿宋" w:hAnsi="仿宋" w:eastAsia="仿宋" w:cs="仿宋"/>
                <w:b/>
                <w:bCs/>
                <w:color w:val="auto"/>
                <w:sz w:val="18"/>
                <w:szCs w:val="18"/>
                <w:highlight w:val="none"/>
                <w:lang w:val="en-US" w:eastAsia="zh-CN"/>
              </w:rPr>
              <w:t>备注：投标人应充分自行勘查现场（采购人不集中组织），对现场和周围环境进行踏勘和了解，以获取有关编制投标文件和签署合同所需的各种资料，并充分考虑影响投标报价的因素、预计实施过程中各种不利因素，由此可能发生的费用均由投标人考虑并包含在投标报价中，因现场勘查不充分导致的投标报价缺失由投标人自行承担，中标后中标人不得再以不完全了解现场情况等为理由而提出额外付款或延长交付时间等要求，若有此类要求采购人将不作任何答复与考虑，现场勘查所产生的一切责任、风险、费用和后果由投标人自行承担。现场踏勘需遵循采购人要求，持法人授权委托书、本人身份证参加，联系人及联系方式同项目联系人。</w:t>
            </w:r>
          </w:p>
        </w:tc>
      </w:tr>
    </w:tbl>
    <w:p w14:paraId="0D9F7E30">
      <w:pPr>
        <w:pStyle w:val="8"/>
        <w:keepNext w:val="0"/>
        <w:keepLines w:val="0"/>
        <w:pageBreakBefore w:val="0"/>
        <w:widowControl w:val="0"/>
        <w:kinsoku/>
        <w:wordWrap/>
        <w:overflowPunct/>
        <w:topLinePunct w:val="0"/>
        <w:autoSpaceDE/>
        <w:autoSpaceDN/>
        <w:bidi w:val="0"/>
        <w:adjustRightInd/>
        <w:snapToGrid/>
        <w:spacing w:before="0" w:beforeLines="0" w:after="0" w:afterLines="0" w:line="288" w:lineRule="auto"/>
        <w:jc w:val="center"/>
        <w:textAlignment w:val="auto"/>
      </w:pPr>
      <w:r>
        <w:drawing>
          <wp:inline distT="0" distB="0" distL="114300" distR="114300">
            <wp:extent cx="2484120" cy="2339975"/>
            <wp:effectExtent l="0" t="0" r="0" b="6985"/>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7"/>
                    <a:stretch>
                      <a:fillRect/>
                    </a:stretch>
                  </pic:blipFill>
                  <pic:spPr>
                    <a:xfrm>
                      <a:off x="0" y="0"/>
                      <a:ext cx="2484120" cy="2339975"/>
                    </a:xfrm>
                    <a:prstGeom prst="rect">
                      <a:avLst/>
                    </a:prstGeom>
                    <a:noFill/>
                    <a:ln>
                      <a:noFill/>
                    </a:ln>
                  </pic:spPr>
                </pic:pic>
              </a:graphicData>
            </a:graphic>
          </wp:inline>
        </w:drawing>
      </w:r>
    </w:p>
    <w:p w14:paraId="02384331">
      <w:pPr>
        <w:pStyle w:val="8"/>
        <w:keepNext w:val="0"/>
        <w:keepLines w:val="0"/>
        <w:pageBreakBefore w:val="0"/>
        <w:widowControl w:val="0"/>
        <w:kinsoku/>
        <w:wordWrap/>
        <w:overflowPunct/>
        <w:topLinePunct w:val="0"/>
        <w:autoSpaceDE/>
        <w:autoSpaceDN/>
        <w:bidi w:val="0"/>
        <w:adjustRightInd/>
        <w:snapToGrid/>
        <w:spacing w:before="0" w:beforeLines="0" w:after="0" w:afterLines="0" w:line="288" w:lineRule="auto"/>
        <w:jc w:val="both"/>
        <w:textAlignment w:val="auto"/>
      </w:pPr>
    </w:p>
    <w:p w14:paraId="1FFE1D0A">
      <w:pPr>
        <w:pStyle w:val="8"/>
        <w:keepNext w:val="0"/>
        <w:keepLines w:val="0"/>
        <w:pageBreakBefore w:val="0"/>
        <w:widowControl w:val="0"/>
        <w:kinsoku/>
        <w:wordWrap/>
        <w:overflowPunct/>
        <w:topLinePunct w:val="0"/>
        <w:autoSpaceDE/>
        <w:autoSpaceDN/>
        <w:bidi w:val="0"/>
        <w:adjustRightInd/>
        <w:snapToGrid/>
        <w:spacing w:before="0" w:beforeLines="0" w:after="0" w:afterLines="0" w:line="288" w:lineRule="auto"/>
        <w:jc w:val="center"/>
        <w:textAlignment w:val="auto"/>
        <w:sectPr>
          <w:pgSz w:w="16838" w:h="11906" w:orient="landscape"/>
          <w:pgMar w:top="1247" w:right="1440" w:bottom="1247" w:left="1440" w:header="340" w:footer="850" w:gutter="0"/>
          <w:pgNumType w:start="1"/>
          <w:cols w:space="0" w:num="1"/>
          <w:rtlGutter w:val="0"/>
          <w:docGrid w:linePitch="381" w:charSpace="0"/>
        </w:sectPr>
      </w:pPr>
    </w:p>
    <w:p w14:paraId="359EB6F4">
      <w:pPr>
        <w:adjustRightInd w:val="0"/>
        <w:snapToGrid w:val="0"/>
        <w:spacing w:line="288" w:lineRule="auto"/>
        <w:ind w:left="0" w:leftChars="0" w:right="0" w:rightChars="0" w:firstLine="0" w:firstLineChars="0"/>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第三章  投标人须知</w:t>
      </w:r>
    </w:p>
    <w:p w14:paraId="4C310779">
      <w:pPr>
        <w:adjustRightInd w:val="0"/>
        <w:snapToGrid w:val="0"/>
        <w:spacing w:line="288" w:lineRule="auto"/>
        <w:jc w:val="center"/>
        <w:outlineLvl w:val="1"/>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投标人须知前附表</w:t>
      </w:r>
    </w:p>
    <w:tbl>
      <w:tblPr>
        <w:tblStyle w:val="24"/>
        <w:tblW w:w="51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1"/>
        <w:gridCol w:w="1559"/>
        <w:gridCol w:w="7402"/>
      </w:tblGrid>
      <w:tr w14:paraId="29894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0B21FA17">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条款号</w:t>
            </w:r>
          </w:p>
        </w:tc>
        <w:tc>
          <w:tcPr>
            <w:tcW w:w="779" w:type="pct"/>
            <w:vAlign w:val="center"/>
          </w:tcPr>
          <w:p w14:paraId="1166638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内容</w:t>
            </w:r>
          </w:p>
        </w:tc>
        <w:tc>
          <w:tcPr>
            <w:tcW w:w="3699" w:type="pct"/>
            <w:vAlign w:val="center"/>
          </w:tcPr>
          <w:p w14:paraId="49914C7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说明与要求</w:t>
            </w:r>
          </w:p>
        </w:tc>
      </w:tr>
      <w:tr w14:paraId="79122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03E02A76">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（一）</w:t>
            </w:r>
          </w:p>
        </w:tc>
        <w:tc>
          <w:tcPr>
            <w:tcW w:w="779" w:type="pct"/>
            <w:vAlign w:val="center"/>
          </w:tcPr>
          <w:p w14:paraId="0492AF8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适用范围</w:t>
            </w:r>
          </w:p>
        </w:tc>
        <w:tc>
          <w:tcPr>
            <w:tcW w:w="3699" w:type="pct"/>
            <w:vAlign w:val="center"/>
          </w:tcPr>
          <w:p w14:paraId="79768744">
            <w:pPr>
              <w:keepNext w:val="0"/>
              <w:keepLines w:val="0"/>
              <w:pageBreakBefore w:val="0"/>
              <w:widowControl w:val="0"/>
              <w:kinsoku/>
              <w:wordWrap/>
              <w:overflowPunct/>
              <w:topLinePunct w:val="0"/>
              <w:autoSpaceDE/>
              <w:autoSpaceDN/>
              <w:bidi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本招标文件适用于</w:t>
            </w:r>
            <w:r>
              <w:rPr>
                <w:rFonts w:hint="eastAsia" w:ascii="仿宋" w:hAnsi="仿宋" w:eastAsia="仿宋" w:cs="仿宋"/>
                <w:color w:val="auto"/>
                <w:sz w:val="18"/>
                <w:szCs w:val="18"/>
                <w:highlight w:val="none"/>
                <w:lang w:eastAsia="zh-CN"/>
              </w:rPr>
              <w:t>浙江工业大学能碳管理显示系统</w:t>
            </w:r>
            <w:r>
              <w:rPr>
                <w:rFonts w:hint="eastAsia" w:ascii="仿宋" w:hAnsi="仿宋" w:eastAsia="仿宋" w:cs="仿宋"/>
                <w:color w:val="auto"/>
                <w:sz w:val="18"/>
                <w:szCs w:val="18"/>
                <w:highlight w:val="none"/>
              </w:rPr>
              <w:t>的招标、评标、定标、验收、合同履约、付款等（法律、法规另有规定的，从其规定）</w:t>
            </w:r>
          </w:p>
        </w:tc>
      </w:tr>
      <w:tr w14:paraId="370F9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434A9AAF">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三</w:t>
            </w:r>
            <w:r>
              <w:rPr>
                <w:rFonts w:hint="eastAsia" w:ascii="仿宋" w:hAnsi="仿宋" w:eastAsia="仿宋" w:cs="仿宋"/>
                <w:b/>
                <w:bCs/>
                <w:color w:val="auto"/>
                <w:sz w:val="18"/>
                <w:szCs w:val="18"/>
                <w:highlight w:val="none"/>
              </w:rPr>
              <w:t>）</w:t>
            </w:r>
          </w:p>
        </w:tc>
        <w:tc>
          <w:tcPr>
            <w:tcW w:w="779" w:type="pct"/>
            <w:vAlign w:val="center"/>
          </w:tcPr>
          <w:p w14:paraId="4B0DDB7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招标方式</w:t>
            </w:r>
          </w:p>
        </w:tc>
        <w:tc>
          <w:tcPr>
            <w:tcW w:w="3699" w:type="pct"/>
            <w:vAlign w:val="center"/>
          </w:tcPr>
          <w:p w14:paraId="261F9946">
            <w:pPr>
              <w:keepNext w:val="0"/>
              <w:keepLines w:val="0"/>
              <w:pageBreakBefore w:val="0"/>
              <w:widowControl w:val="0"/>
              <w:kinsoku/>
              <w:wordWrap/>
              <w:overflowPunct/>
              <w:topLinePunct w:val="0"/>
              <w:autoSpaceDE/>
              <w:autoSpaceDN/>
              <w:bidi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本次招标采用公开招标（线上电子招投标）方式进行</w:t>
            </w:r>
          </w:p>
        </w:tc>
      </w:tr>
      <w:tr w14:paraId="7D0E7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520E885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四</w:t>
            </w:r>
            <w:r>
              <w:rPr>
                <w:rFonts w:hint="eastAsia" w:ascii="仿宋" w:hAnsi="仿宋" w:eastAsia="仿宋" w:cs="仿宋"/>
                <w:b/>
                <w:bCs/>
                <w:color w:val="auto"/>
                <w:sz w:val="18"/>
                <w:szCs w:val="18"/>
                <w:highlight w:val="none"/>
              </w:rPr>
              <w:t>）</w:t>
            </w:r>
          </w:p>
        </w:tc>
        <w:tc>
          <w:tcPr>
            <w:tcW w:w="779" w:type="pct"/>
            <w:vAlign w:val="center"/>
          </w:tcPr>
          <w:p w14:paraId="3270E5D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投标费用</w:t>
            </w:r>
          </w:p>
        </w:tc>
        <w:tc>
          <w:tcPr>
            <w:tcW w:w="3699" w:type="pct"/>
            <w:vAlign w:val="center"/>
          </w:tcPr>
          <w:p w14:paraId="43DF8AE8">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不论投标结果如何，投标人均应自行承担所有与投标有关的全部费用；</w:t>
            </w:r>
          </w:p>
          <w:p w14:paraId="782A42EE">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中标人在中标通知书发出之日起七个工作日内向采购代理机构交纳代理服务费；</w:t>
            </w:r>
          </w:p>
          <w:p w14:paraId="37F0CD7D">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中标人逾期支付代理服务费，须承担代理服务费每日百分之三的违约金，逾期十日未支付的，采购代理机构有权向杭州仲裁委员会对中标人提起仲裁，仲裁费用（包括仲裁受理费和仲裁处理费）均由中标人承担；</w:t>
            </w:r>
          </w:p>
          <w:p w14:paraId="14A3FA3A">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lang w:val="en-US" w:eastAsia="zh-CN"/>
              </w:rPr>
              <w:t>4.</w:t>
            </w:r>
            <w:r>
              <w:rPr>
                <w:rFonts w:hint="eastAsia" w:ascii="仿宋" w:hAnsi="仿宋" w:eastAsia="仿宋" w:cs="仿宋"/>
                <w:color w:val="auto"/>
                <w:spacing w:val="-6"/>
                <w:sz w:val="18"/>
                <w:szCs w:val="18"/>
                <w:highlight w:val="none"/>
                <w:lang w:eastAsia="zh-CN"/>
              </w:rPr>
              <w:t>收费标准（差额累进）：</w:t>
            </w:r>
          </w:p>
          <w:tbl>
            <w:tblPr>
              <w:tblStyle w:val="24"/>
              <w:tblW w:w="538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2062"/>
              <w:gridCol w:w="3322"/>
            </w:tblGrid>
            <w:tr w14:paraId="108EC4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50A36891">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中标金额（万元）</w:t>
                  </w:r>
                </w:p>
              </w:tc>
              <w:tc>
                <w:tcPr>
                  <w:tcW w:w="3322" w:type="dxa"/>
                  <w:tcMar>
                    <w:top w:w="0" w:type="dxa"/>
                    <w:left w:w="108" w:type="dxa"/>
                    <w:bottom w:w="0" w:type="dxa"/>
                    <w:right w:w="108" w:type="dxa"/>
                  </w:tcMar>
                  <w:vAlign w:val="center"/>
                </w:tcPr>
                <w:p w14:paraId="5105A1D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收费标准（费率，%）</w:t>
                  </w:r>
                </w:p>
              </w:tc>
            </w:tr>
            <w:tr w14:paraId="7D73C0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3A381F3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100以下</w:t>
                  </w:r>
                </w:p>
              </w:tc>
              <w:tc>
                <w:tcPr>
                  <w:tcW w:w="3322" w:type="dxa"/>
                  <w:tcMar>
                    <w:top w:w="0" w:type="dxa"/>
                    <w:left w:w="108" w:type="dxa"/>
                    <w:bottom w:w="0" w:type="dxa"/>
                    <w:right w:w="108" w:type="dxa"/>
                  </w:tcMar>
                  <w:vAlign w:val="center"/>
                </w:tcPr>
                <w:p w14:paraId="0BCABB7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1.05（不足</w:t>
                  </w:r>
                  <w:r>
                    <w:rPr>
                      <w:rFonts w:hint="eastAsia" w:ascii="仿宋" w:hAnsi="仿宋" w:eastAsia="仿宋" w:cs="仿宋"/>
                      <w:color w:val="auto"/>
                      <w:sz w:val="18"/>
                      <w:szCs w:val="18"/>
                      <w:highlight w:val="none"/>
                      <w:lang w:eastAsia="zh-CN"/>
                    </w:rPr>
                    <w:t>叁仟元</w:t>
                  </w:r>
                  <w:r>
                    <w:rPr>
                      <w:rFonts w:hint="eastAsia" w:ascii="仿宋" w:hAnsi="仿宋" w:eastAsia="仿宋" w:cs="仿宋"/>
                      <w:color w:val="auto"/>
                      <w:sz w:val="18"/>
                      <w:szCs w:val="18"/>
                      <w:highlight w:val="none"/>
                    </w:rPr>
                    <w:t>按</w:t>
                  </w:r>
                  <w:r>
                    <w:rPr>
                      <w:rFonts w:hint="eastAsia" w:ascii="仿宋" w:hAnsi="仿宋" w:eastAsia="仿宋" w:cs="仿宋"/>
                      <w:color w:val="auto"/>
                      <w:sz w:val="18"/>
                      <w:szCs w:val="18"/>
                      <w:highlight w:val="none"/>
                      <w:lang w:eastAsia="zh-CN"/>
                    </w:rPr>
                    <w:t>叁仟元</w:t>
                  </w:r>
                  <w:r>
                    <w:rPr>
                      <w:rFonts w:hint="eastAsia" w:ascii="仿宋" w:hAnsi="仿宋" w:eastAsia="仿宋" w:cs="仿宋"/>
                      <w:color w:val="auto"/>
                      <w:sz w:val="18"/>
                      <w:szCs w:val="18"/>
                      <w:highlight w:val="none"/>
                    </w:rPr>
                    <w:t>收取）</w:t>
                  </w:r>
                </w:p>
              </w:tc>
            </w:tr>
            <w:tr w14:paraId="6E0B53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6DE7A777">
                  <w:pPr>
                    <w:keepNext w:val="0"/>
                    <w:keepLines w:val="0"/>
                    <w:pageBreakBefore w:val="0"/>
                    <w:widowControl w:val="0"/>
                    <w:kinsoku/>
                    <w:wordWrap/>
                    <w:overflowPunct/>
                    <w:topLinePunct w:val="0"/>
                    <w:autoSpaceDE/>
                    <w:autoSpaceDN/>
                    <w:bidi w:val="0"/>
                    <w:snapToGrid w:val="0"/>
                    <w:jc w:val="center"/>
                    <w:textAlignment w:val="auto"/>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100-500</w:t>
                  </w:r>
                </w:p>
              </w:tc>
              <w:tc>
                <w:tcPr>
                  <w:tcW w:w="3322" w:type="dxa"/>
                  <w:tcMar>
                    <w:top w:w="0" w:type="dxa"/>
                    <w:left w:w="108" w:type="dxa"/>
                    <w:bottom w:w="0" w:type="dxa"/>
                    <w:right w:w="108" w:type="dxa"/>
                  </w:tcMar>
                  <w:vAlign w:val="center"/>
                </w:tcPr>
                <w:p w14:paraId="3E366FD7">
                  <w:pPr>
                    <w:keepNext w:val="0"/>
                    <w:keepLines w:val="0"/>
                    <w:pageBreakBefore w:val="0"/>
                    <w:widowControl w:val="0"/>
                    <w:kinsoku/>
                    <w:wordWrap/>
                    <w:overflowPunct/>
                    <w:topLinePunct w:val="0"/>
                    <w:autoSpaceDE/>
                    <w:autoSpaceDN/>
                    <w:bidi w:val="0"/>
                    <w:snapToGrid w:val="0"/>
                    <w:jc w:val="center"/>
                    <w:textAlignment w:val="auto"/>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0.77</w:t>
                  </w:r>
                </w:p>
              </w:tc>
            </w:tr>
          </w:tbl>
          <w:p w14:paraId="30C122AF">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lang w:val="en-US" w:eastAsia="zh-CN"/>
              </w:rPr>
              <w:t>5.</w:t>
            </w:r>
            <w:r>
              <w:rPr>
                <w:rFonts w:hint="eastAsia" w:ascii="仿宋" w:hAnsi="仿宋" w:eastAsia="仿宋" w:cs="仿宋"/>
                <w:color w:val="auto"/>
                <w:spacing w:val="-6"/>
                <w:sz w:val="18"/>
                <w:szCs w:val="18"/>
                <w:highlight w:val="none"/>
              </w:rPr>
              <w:t>投标保证金：无</w:t>
            </w:r>
          </w:p>
        </w:tc>
      </w:tr>
      <w:tr w14:paraId="345CE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71A6218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rPr>
              <w:t>）</w:t>
            </w:r>
          </w:p>
        </w:tc>
        <w:tc>
          <w:tcPr>
            <w:tcW w:w="779" w:type="pct"/>
            <w:vAlign w:val="center"/>
          </w:tcPr>
          <w:p w14:paraId="4FDF2CF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投标委托</w:t>
            </w:r>
          </w:p>
        </w:tc>
        <w:tc>
          <w:tcPr>
            <w:tcW w:w="3699" w:type="pct"/>
            <w:vAlign w:val="center"/>
          </w:tcPr>
          <w:p w14:paraId="235E20D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投标人代表是法定代表人（单位负责人、自然人本人）的提供本人身份证明</w:t>
            </w:r>
            <w:r>
              <w:rPr>
                <w:rFonts w:hint="eastAsia" w:ascii="仿宋" w:hAnsi="仿宋" w:eastAsia="仿宋" w:cs="仿宋"/>
                <w:color w:val="auto"/>
                <w:sz w:val="18"/>
                <w:szCs w:val="18"/>
                <w:highlight w:val="none"/>
                <w:lang w:eastAsia="zh-CN"/>
              </w:rPr>
              <w:t>；</w:t>
            </w:r>
          </w:p>
          <w:p w14:paraId="5B19B884">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投标人代表不是法定代表人（单位负责人、自然人本人）的提供授权委托书（格式详见招标文件第六章）和授权代表社保缴纳</w:t>
            </w:r>
            <w:r>
              <w:rPr>
                <w:rFonts w:hint="eastAsia" w:ascii="仿宋" w:hAnsi="仿宋" w:eastAsia="仿宋" w:cs="仿宋"/>
                <w:color w:val="auto"/>
                <w:sz w:val="18"/>
                <w:szCs w:val="18"/>
                <w:highlight w:val="none"/>
                <w:lang w:eastAsia="zh-CN"/>
              </w:rPr>
              <w:t>[2025年1月（含）至今任意一月]</w:t>
            </w:r>
            <w:r>
              <w:rPr>
                <w:rFonts w:hint="eastAsia" w:ascii="仿宋" w:hAnsi="仿宋" w:eastAsia="仿宋" w:cs="仿宋"/>
                <w:color w:val="auto"/>
                <w:sz w:val="18"/>
                <w:szCs w:val="18"/>
                <w:highlight w:val="none"/>
              </w:rPr>
              <w:t>证明；</w:t>
            </w:r>
          </w:p>
          <w:p w14:paraId="521800AA">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投标人委派不在本单位缴纳社保的人员作为授权代表的，在投标文件中说明具体原因、授权代表缴纳社保单位并附列该授权代表缴纳社保清单。</w:t>
            </w:r>
          </w:p>
        </w:tc>
      </w:tr>
      <w:tr w14:paraId="5C27F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5DE25541">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六</w:t>
            </w:r>
            <w:r>
              <w:rPr>
                <w:rFonts w:hint="eastAsia" w:ascii="仿宋" w:hAnsi="仿宋" w:eastAsia="仿宋" w:cs="仿宋"/>
                <w:b/>
                <w:bCs/>
                <w:color w:val="auto"/>
                <w:sz w:val="18"/>
                <w:szCs w:val="18"/>
                <w:highlight w:val="none"/>
              </w:rPr>
              <w:t>）</w:t>
            </w:r>
          </w:p>
        </w:tc>
        <w:tc>
          <w:tcPr>
            <w:tcW w:w="779" w:type="pct"/>
            <w:vAlign w:val="center"/>
          </w:tcPr>
          <w:p w14:paraId="51B8536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联合体投标</w:t>
            </w:r>
          </w:p>
        </w:tc>
        <w:tc>
          <w:tcPr>
            <w:tcW w:w="3699" w:type="pct"/>
            <w:vAlign w:val="center"/>
          </w:tcPr>
          <w:p w14:paraId="11209141">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本项目接受联合体投标。</w:t>
            </w:r>
          </w:p>
          <w:p w14:paraId="6DC889B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两个以上的自然人、法人或者其他组织可以组成一个联合体，以一个供应商的身份共同参加政府采购。</w:t>
            </w:r>
          </w:p>
          <w:p w14:paraId="3F868747">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tc>
      </w:tr>
      <w:tr w14:paraId="23274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1BF2D9C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七</w:t>
            </w:r>
            <w:r>
              <w:rPr>
                <w:rFonts w:hint="eastAsia" w:ascii="仿宋" w:hAnsi="仿宋" w:eastAsia="仿宋" w:cs="仿宋"/>
                <w:b/>
                <w:bCs/>
                <w:color w:val="auto"/>
                <w:sz w:val="18"/>
                <w:szCs w:val="18"/>
                <w:highlight w:val="none"/>
              </w:rPr>
              <w:t>）</w:t>
            </w:r>
          </w:p>
        </w:tc>
        <w:tc>
          <w:tcPr>
            <w:tcW w:w="779" w:type="pct"/>
            <w:vAlign w:val="center"/>
          </w:tcPr>
          <w:p w14:paraId="25D748E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转包与分包</w:t>
            </w:r>
          </w:p>
        </w:tc>
        <w:tc>
          <w:tcPr>
            <w:tcW w:w="3699" w:type="pct"/>
            <w:vAlign w:val="center"/>
          </w:tcPr>
          <w:p w14:paraId="480B11AF">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pacing w:val="-6"/>
                <w:sz w:val="18"/>
                <w:szCs w:val="18"/>
                <w:highlight w:val="none"/>
                <w:lang w:val="en-US" w:eastAsia="zh-CN"/>
              </w:rPr>
            </w:pPr>
            <w:r>
              <w:rPr>
                <w:rFonts w:hint="eastAsia" w:ascii="仿宋" w:hAnsi="仿宋" w:eastAsia="仿宋" w:cs="仿宋"/>
                <w:color w:val="auto"/>
                <w:spacing w:val="-6"/>
                <w:sz w:val="18"/>
                <w:szCs w:val="18"/>
                <w:highlight w:val="none"/>
                <w:lang w:val="en-US" w:eastAsia="zh-CN"/>
              </w:rPr>
              <w:t>1.本项目不允许转包；</w:t>
            </w:r>
          </w:p>
          <w:p w14:paraId="79E1442F">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pacing w:val="-6"/>
                <w:sz w:val="18"/>
                <w:szCs w:val="18"/>
                <w:highlight w:val="none"/>
                <w:lang w:val="en-US" w:eastAsia="zh-CN"/>
              </w:rPr>
            </w:pPr>
            <w:r>
              <w:rPr>
                <w:rFonts w:hint="eastAsia" w:ascii="仿宋" w:hAnsi="仿宋" w:eastAsia="仿宋" w:cs="仿宋"/>
                <w:color w:val="auto"/>
                <w:spacing w:val="-6"/>
                <w:sz w:val="18"/>
                <w:szCs w:val="18"/>
                <w:highlight w:val="none"/>
                <w:lang w:val="en-US" w:eastAsia="zh-CN"/>
              </w:rPr>
              <w:t>2.本项目允许分包，可以分包履行的（非主体、非关键性的工作）具体内容、金额或者比例：运输。</w:t>
            </w:r>
          </w:p>
          <w:p w14:paraId="02302D5B">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z w:val="18"/>
                <w:szCs w:val="18"/>
                <w:highlight w:val="none"/>
              </w:rPr>
            </w:pPr>
            <w:r>
              <w:rPr>
                <w:rFonts w:hint="eastAsia" w:ascii="仿宋" w:hAnsi="仿宋" w:eastAsia="仿宋" w:cs="仿宋"/>
                <w:b/>
                <w:bCs/>
                <w:color w:val="auto"/>
                <w:spacing w:val="-6"/>
                <w:sz w:val="18"/>
                <w:szCs w:val="18"/>
                <w:highlight w:val="none"/>
                <w:lang w:val="en-US" w:eastAsia="zh-CN"/>
              </w:rPr>
              <w:t>说明：投标人根据招标文件的规定，拟在中标后将中标项目的非主体、非关键性工作分包的，应当在投标文件中载明分包承担主体，分包承担主体应当具备相应资质条件且不得再次分包。</w:t>
            </w:r>
          </w:p>
        </w:tc>
      </w:tr>
      <w:tr w14:paraId="639E2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4FE86EF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二</w:t>
            </w:r>
            <w:r>
              <w:rPr>
                <w:rFonts w:hint="eastAsia" w:ascii="仿宋" w:hAnsi="仿宋" w:eastAsia="仿宋" w:cs="仿宋"/>
                <w:b/>
                <w:bCs/>
                <w:color w:val="auto"/>
                <w:sz w:val="18"/>
                <w:szCs w:val="18"/>
                <w:highlight w:val="none"/>
                <w:lang w:eastAsia="zh-CN"/>
              </w:rPr>
              <w:t>）</w:t>
            </w:r>
          </w:p>
        </w:tc>
        <w:tc>
          <w:tcPr>
            <w:tcW w:w="779" w:type="pct"/>
            <w:vAlign w:val="center"/>
          </w:tcPr>
          <w:p w14:paraId="46CBF40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4.</w:t>
            </w:r>
            <w:r>
              <w:rPr>
                <w:rFonts w:hint="eastAsia" w:ascii="仿宋" w:hAnsi="仿宋" w:eastAsia="仿宋" w:cs="仿宋"/>
                <w:b/>
                <w:bCs/>
                <w:color w:val="auto"/>
                <w:sz w:val="18"/>
                <w:szCs w:val="18"/>
                <w:highlight w:val="none"/>
              </w:rPr>
              <w:t>投标文件份数</w:t>
            </w:r>
          </w:p>
        </w:tc>
        <w:tc>
          <w:tcPr>
            <w:tcW w:w="3699" w:type="pct"/>
            <w:vAlign w:val="center"/>
          </w:tcPr>
          <w:p w14:paraId="683EB531">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电子加密投标文件：政府采购云平台在线上传一份，备份投标文件：密封包装后以EMS或顺丰邮寄形式递交一份（邮寄地址：</w:t>
            </w:r>
            <w:r>
              <w:rPr>
                <w:rFonts w:hint="eastAsia" w:ascii="仿宋" w:hAnsi="仿宋" w:eastAsia="仿宋" w:cs="仿宋"/>
                <w:b/>
                <w:bCs/>
                <w:color w:val="auto"/>
                <w:sz w:val="18"/>
                <w:szCs w:val="18"/>
                <w:highlight w:val="none"/>
              </w:rPr>
              <w:t>杭州市西湖区玉古路173号</w:t>
            </w:r>
            <w:r>
              <w:rPr>
                <w:rFonts w:hint="eastAsia" w:ascii="仿宋" w:hAnsi="仿宋" w:eastAsia="仿宋" w:cs="仿宋"/>
                <w:b/>
                <w:bCs/>
                <w:color w:val="auto"/>
                <w:sz w:val="18"/>
                <w:szCs w:val="18"/>
                <w:highlight w:val="none"/>
                <w:lang w:eastAsia="zh-CN"/>
              </w:rPr>
              <w:t>中田大厦21楼</w:t>
            </w:r>
            <w:r>
              <w:rPr>
                <w:rFonts w:hint="eastAsia" w:ascii="仿宋" w:hAnsi="仿宋" w:eastAsia="仿宋" w:cs="仿宋"/>
                <w:b/>
                <w:bCs/>
                <w:color w:val="auto"/>
                <w:sz w:val="18"/>
                <w:szCs w:val="18"/>
                <w:highlight w:val="none"/>
              </w:rPr>
              <w:t>H室，浙江求是招标代理有限公司</w:t>
            </w:r>
            <w:r>
              <w:rPr>
                <w:rFonts w:hint="eastAsia" w:ascii="仿宋" w:hAnsi="仿宋" w:eastAsia="仿宋" w:cs="仿宋"/>
                <w:b/>
                <w:bCs/>
                <w:color w:val="auto"/>
                <w:sz w:val="18"/>
                <w:szCs w:val="18"/>
                <w:highlight w:val="none"/>
                <w:lang w:eastAsia="zh-CN"/>
              </w:rPr>
              <w:t>招标八部收</w:t>
            </w:r>
            <w:r>
              <w:rPr>
                <w:rFonts w:hint="eastAsia" w:ascii="仿宋" w:hAnsi="仿宋" w:eastAsia="仿宋" w:cs="仿宋"/>
                <w:b/>
                <w:bCs/>
                <w:color w:val="auto"/>
                <w:sz w:val="18"/>
                <w:szCs w:val="18"/>
                <w:highlight w:val="none"/>
              </w:rPr>
              <w:t>，电话：0571-87679349，寄出后将快递单号、项目名称、公司名称、联系方式等相关信息发至zb08@qszb.net以便查收）。</w:t>
            </w:r>
          </w:p>
          <w:p w14:paraId="67D4AB1B">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b/>
                <w:color w:val="auto"/>
                <w:sz w:val="18"/>
                <w:szCs w:val="18"/>
                <w:highlight w:val="none"/>
              </w:rPr>
              <w:t>特别说明：双休日和法定节假日不收件，投标人自行承担邮寄风险。</w:t>
            </w:r>
          </w:p>
        </w:tc>
      </w:tr>
      <w:tr w14:paraId="563C5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285E141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lang w:eastAsia="zh-CN"/>
              </w:rPr>
              <w:t>）</w:t>
            </w:r>
          </w:p>
        </w:tc>
        <w:tc>
          <w:tcPr>
            <w:tcW w:w="779" w:type="pct"/>
            <w:vAlign w:val="center"/>
          </w:tcPr>
          <w:p w14:paraId="4A650A1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投标报价</w:t>
            </w:r>
          </w:p>
        </w:tc>
        <w:tc>
          <w:tcPr>
            <w:tcW w:w="3699" w:type="pct"/>
            <w:vAlign w:val="center"/>
          </w:tcPr>
          <w:p w14:paraId="2FEB6201">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ascii="仿宋" w:hAnsi="仿宋" w:eastAsia="仿宋" w:cs="仿宋"/>
                <w:sz w:val="18"/>
                <w:szCs w:val="18"/>
                <w:highlight w:val="none"/>
              </w:rPr>
            </w:pPr>
            <w:r>
              <w:rPr>
                <w:rFonts w:hint="eastAsia" w:ascii="仿宋" w:hAnsi="仿宋" w:eastAsia="仿宋" w:cs="仿宋"/>
                <w:sz w:val="18"/>
                <w:szCs w:val="18"/>
                <w:highlight w:val="none"/>
                <w:lang w:val="en-US" w:eastAsia="zh-CN"/>
              </w:rPr>
              <w:t>1.</w:t>
            </w:r>
            <w:r>
              <w:rPr>
                <w:rFonts w:hint="eastAsia" w:ascii="仿宋" w:hAnsi="仿宋" w:eastAsia="仿宋" w:cs="仿宋"/>
                <w:sz w:val="18"/>
                <w:szCs w:val="18"/>
                <w:highlight w:val="none"/>
              </w:rPr>
              <w:t>报价应按招标文件要求的格式编制、</w:t>
            </w:r>
            <w:r>
              <w:rPr>
                <w:rFonts w:hint="eastAsia" w:ascii="仿宋" w:hAnsi="仿宋" w:eastAsia="仿宋" w:cs="仿宋"/>
                <w:sz w:val="18"/>
                <w:szCs w:val="18"/>
                <w:highlight w:val="none"/>
                <w:lang w:eastAsia="zh-CN"/>
              </w:rPr>
              <w:t>填写报价内容</w:t>
            </w:r>
            <w:r>
              <w:rPr>
                <w:rFonts w:hint="eastAsia" w:ascii="仿宋" w:hAnsi="仿宋" w:eastAsia="仿宋" w:cs="仿宋"/>
                <w:sz w:val="18"/>
                <w:szCs w:val="18"/>
                <w:highlight w:val="none"/>
              </w:rPr>
              <w:t>，未按招标文件要求编制、填写的投标文件可能被拒绝；</w:t>
            </w:r>
          </w:p>
          <w:p w14:paraId="69C79771">
            <w:pPr>
              <w:keepNext w:val="0"/>
              <w:keepLines w:val="0"/>
              <w:pageBreakBefore w:val="0"/>
              <w:widowControl w:val="0"/>
              <w:kinsoku/>
              <w:wordWrap/>
              <w:overflowPunct/>
              <w:topLinePunct w:val="0"/>
              <w:autoSpaceDE/>
              <w:autoSpaceDN/>
              <w:bidi w:val="0"/>
              <w:snapToGrid w:val="0"/>
              <w:jc w:val="left"/>
              <w:textAlignment w:val="auto"/>
              <w:rPr>
                <w:rFonts w:hint="eastAsia" w:ascii="仿宋" w:hAnsi="仿宋" w:eastAsia="仿宋" w:cs="仿宋"/>
                <w:sz w:val="18"/>
                <w:szCs w:val="18"/>
                <w:highlight w:val="none"/>
              </w:rPr>
            </w:pPr>
            <w:r>
              <w:rPr>
                <w:rFonts w:hint="eastAsia" w:ascii="仿宋" w:hAnsi="仿宋" w:eastAsia="仿宋" w:cs="仿宋"/>
                <w:bCs/>
                <w:color w:val="auto"/>
                <w:sz w:val="18"/>
                <w:szCs w:val="18"/>
                <w:highlight w:val="none"/>
                <w:lang w:val="en-US" w:eastAsia="zh-CN"/>
              </w:rPr>
              <w:t>2.</w:t>
            </w:r>
            <w:r>
              <w:rPr>
                <w:rFonts w:hint="eastAsia" w:ascii="仿宋" w:hAnsi="仿宋" w:eastAsia="仿宋" w:cs="仿宋"/>
                <w:bCs/>
                <w:color w:val="auto"/>
                <w:sz w:val="18"/>
                <w:szCs w:val="18"/>
                <w:highlight w:val="none"/>
              </w:rPr>
              <w:t>投标报价是履行合同的最终价格，应</w:t>
            </w:r>
            <w:r>
              <w:rPr>
                <w:rFonts w:hint="eastAsia" w:ascii="仿宋" w:hAnsi="仿宋" w:eastAsia="仿宋" w:cs="仿宋"/>
                <w:bCs/>
                <w:color w:val="auto"/>
                <w:sz w:val="18"/>
                <w:szCs w:val="18"/>
                <w:highlight w:val="none"/>
                <w:lang w:eastAsia="zh-CN"/>
              </w:rPr>
              <w:t>包括系统设计、货物金额、仓储</w:t>
            </w:r>
            <w:r>
              <w:rPr>
                <w:rFonts w:hint="eastAsia" w:ascii="仿宋" w:hAnsi="仿宋" w:eastAsia="仿宋" w:cs="仿宋"/>
                <w:bCs/>
                <w:color w:val="auto"/>
                <w:sz w:val="18"/>
                <w:szCs w:val="18"/>
                <w:highlight w:val="none"/>
              </w:rPr>
              <w:t>、包装、运输保险费、装卸费、安装及相关材料费、检验费、税金等为确保合法、正常使用货物及中标人履行合同项下约定的所有义务所需支出的</w:t>
            </w:r>
            <w:r>
              <w:rPr>
                <w:rFonts w:hint="eastAsia" w:ascii="仿宋" w:hAnsi="仿宋" w:eastAsia="仿宋" w:cs="仿宋"/>
                <w:bCs/>
                <w:color w:val="auto"/>
                <w:sz w:val="18"/>
                <w:szCs w:val="18"/>
                <w:highlight w:val="none"/>
                <w:lang w:eastAsia="zh-CN"/>
              </w:rPr>
              <w:t>全部费用；</w:t>
            </w:r>
          </w:p>
          <w:p w14:paraId="7B83F2FB">
            <w:pPr>
              <w:pStyle w:val="8"/>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hint="eastAsia" w:ascii="仿宋" w:hAnsi="仿宋" w:eastAsia="仿宋" w:cs="仿宋"/>
                <w:sz w:val="18"/>
                <w:szCs w:val="18"/>
                <w:highlight w:val="none"/>
                <w:lang w:eastAsia="zh-CN"/>
              </w:rPr>
            </w:pPr>
            <w:r>
              <w:rPr>
                <w:rFonts w:hint="eastAsia" w:ascii="仿宋" w:hAnsi="仿宋" w:eastAsia="仿宋" w:cs="仿宋"/>
                <w:sz w:val="18"/>
                <w:szCs w:val="18"/>
                <w:highlight w:val="none"/>
              </w:rPr>
              <w:t>▲</w:t>
            </w:r>
            <w:r>
              <w:rPr>
                <w:rFonts w:hint="eastAsia" w:ascii="仿宋" w:hAnsi="仿宋" w:eastAsia="仿宋" w:cs="仿宋"/>
                <w:sz w:val="18"/>
                <w:szCs w:val="18"/>
                <w:highlight w:val="none"/>
                <w:lang w:val="en-US" w:eastAsia="zh-CN"/>
              </w:rPr>
              <w:t>3.</w:t>
            </w:r>
            <w:r>
              <w:rPr>
                <w:rFonts w:hint="eastAsia" w:ascii="仿宋" w:hAnsi="仿宋" w:eastAsia="仿宋" w:cs="仿宋"/>
                <w:sz w:val="18"/>
                <w:szCs w:val="18"/>
                <w:highlight w:val="none"/>
              </w:rPr>
              <w:t>采购人将以合同形式</w:t>
            </w:r>
            <w:r>
              <w:rPr>
                <w:rFonts w:hint="eastAsia" w:ascii="仿宋" w:hAnsi="仿宋" w:eastAsia="仿宋" w:cs="仿宋"/>
                <w:sz w:val="18"/>
                <w:szCs w:val="18"/>
                <w:highlight w:val="none"/>
                <w:lang w:eastAsia="zh-CN"/>
              </w:rPr>
              <w:t>有偿取得货物、服务</w:t>
            </w:r>
            <w:r>
              <w:rPr>
                <w:rFonts w:hint="eastAsia" w:ascii="仿宋" w:hAnsi="仿宋" w:eastAsia="仿宋" w:cs="仿宋"/>
                <w:sz w:val="18"/>
                <w:szCs w:val="18"/>
                <w:highlight w:val="none"/>
              </w:rPr>
              <w:t>，不接受投标人给予的赠品、回扣或者与采购无关的其他商品、服务</w:t>
            </w:r>
            <w:r>
              <w:rPr>
                <w:rFonts w:hint="eastAsia" w:ascii="仿宋" w:hAnsi="仿宋" w:eastAsia="仿宋" w:cs="仿宋"/>
                <w:sz w:val="18"/>
                <w:szCs w:val="18"/>
                <w:highlight w:val="none"/>
                <w:lang w:eastAsia="zh-CN"/>
              </w:rPr>
              <w:t>；</w:t>
            </w:r>
          </w:p>
          <w:p w14:paraId="0EB25361">
            <w:pPr>
              <w:pStyle w:val="8"/>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hint="eastAsia" w:ascii="仿宋" w:hAnsi="仿宋" w:eastAsia="仿宋" w:cs="仿宋"/>
                <w:b/>
                <w:color w:val="auto"/>
                <w:sz w:val="18"/>
                <w:szCs w:val="18"/>
                <w:highlight w:val="none"/>
              </w:rPr>
            </w:pPr>
            <w:r>
              <w:rPr>
                <w:rFonts w:hint="eastAsia" w:ascii="仿宋" w:hAnsi="仿宋" w:eastAsia="仿宋" w:cs="仿宋"/>
                <w:sz w:val="18"/>
                <w:szCs w:val="18"/>
                <w:highlight w:val="none"/>
                <w:lang w:val="en-US" w:eastAsia="zh-CN"/>
              </w:rPr>
              <w:t>4.投标</w:t>
            </w:r>
            <w:r>
              <w:rPr>
                <w:rFonts w:hint="eastAsia" w:ascii="仿宋" w:hAnsi="仿宋" w:eastAsia="仿宋" w:cs="仿宋"/>
                <w:sz w:val="18"/>
                <w:szCs w:val="18"/>
                <w:highlight w:val="none"/>
                <w:lang w:eastAsia="zh-CN"/>
              </w:rPr>
              <w:t>总价不为零，分项报价中部分产品、服务单价为零的，视作已包含在</w:t>
            </w:r>
            <w:r>
              <w:rPr>
                <w:rFonts w:hint="eastAsia" w:ascii="仿宋" w:hAnsi="仿宋" w:eastAsia="仿宋" w:cs="仿宋"/>
                <w:sz w:val="18"/>
                <w:szCs w:val="18"/>
                <w:highlight w:val="none"/>
                <w:lang w:val="en-US" w:eastAsia="zh-CN"/>
              </w:rPr>
              <w:t>投标</w:t>
            </w:r>
            <w:r>
              <w:rPr>
                <w:rFonts w:hint="eastAsia" w:ascii="仿宋" w:hAnsi="仿宋" w:eastAsia="仿宋" w:cs="仿宋"/>
                <w:sz w:val="18"/>
                <w:szCs w:val="18"/>
                <w:highlight w:val="none"/>
                <w:lang w:eastAsia="zh-CN"/>
              </w:rPr>
              <w:t>总价中。</w:t>
            </w:r>
          </w:p>
        </w:tc>
      </w:tr>
      <w:tr w14:paraId="6338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190946C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六</w:t>
            </w:r>
            <w:r>
              <w:rPr>
                <w:rFonts w:hint="eastAsia" w:ascii="仿宋" w:hAnsi="仿宋" w:eastAsia="仿宋" w:cs="仿宋"/>
                <w:b/>
                <w:bCs/>
                <w:color w:val="auto"/>
                <w:sz w:val="18"/>
                <w:szCs w:val="18"/>
                <w:highlight w:val="none"/>
                <w:lang w:eastAsia="zh-CN"/>
              </w:rPr>
              <w:t>）</w:t>
            </w:r>
          </w:p>
        </w:tc>
        <w:tc>
          <w:tcPr>
            <w:tcW w:w="779" w:type="pct"/>
            <w:vAlign w:val="center"/>
          </w:tcPr>
          <w:p w14:paraId="7516D733">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投标有效期</w:t>
            </w:r>
          </w:p>
        </w:tc>
        <w:tc>
          <w:tcPr>
            <w:tcW w:w="3699" w:type="pct"/>
            <w:vAlign w:val="center"/>
          </w:tcPr>
          <w:p w14:paraId="4579D5DE">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color w:val="auto"/>
                <w:sz w:val="18"/>
                <w:szCs w:val="18"/>
                <w:highlight w:val="none"/>
              </w:rPr>
            </w:pPr>
            <w:r>
              <w:rPr>
                <w:rFonts w:hint="eastAsia" w:ascii="仿宋" w:hAnsi="仿宋" w:eastAsia="仿宋" w:cs="仿宋"/>
                <w:color w:val="auto"/>
                <w:spacing w:val="-6"/>
                <w:sz w:val="18"/>
                <w:szCs w:val="18"/>
                <w:highlight w:val="none"/>
              </w:rPr>
              <w:t>▲从提交投标文件的截止之日起90天，在原投标有效期满之前，如果出现特殊情况，采购人或采购代理机构以书面形式通知投标人延长投标有效期。</w:t>
            </w:r>
          </w:p>
        </w:tc>
      </w:tr>
      <w:tr w14:paraId="72876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095A47E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w:t>
            </w:r>
          </w:p>
        </w:tc>
        <w:tc>
          <w:tcPr>
            <w:tcW w:w="779" w:type="pct"/>
            <w:vAlign w:val="center"/>
          </w:tcPr>
          <w:p w14:paraId="2FD82A8B">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资格审查要求的资格证明材料</w:t>
            </w:r>
          </w:p>
        </w:tc>
        <w:tc>
          <w:tcPr>
            <w:tcW w:w="3699" w:type="pct"/>
            <w:vAlign w:val="center"/>
          </w:tcPr>
          <w:p w14:paraId="48EB509B">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资格审查要求的资格证明材料（均需加盖公章）</w:t>
            </w:r>
          </w:p>
          <w:p w14:paraId="61CFC17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1.</w:t>
            </w:r>
            <w:r>
              <w:rPr>
                <w:rFonts w:hint="eastAsia" w:ascii="仿宋" w:hAnsi="仿宋" w:eastAsia="仿宋" w:cs="仿宋"/>
                <w:b/>
                <w:bCs/>
                <w:color w:val="auto"/>
                <w:sz w:val="18"/>
                <w:szCs w:val="18"/>
                <w:highlight w:val="none"/>
              </w:rPr>
              <w:t>有效的法人或者其他组织的营业执照等证明文件/自然人的身份证明</w:t>
            </w:r>
          </w:p>
          <w:p w14:paraId="335F50A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2.</w:t>
            </w:r>
            <w:r>
              <w:rPr>
                <w:rFonts w:hint="eastAsia" w:ascii="仿宋" w:hAnsi="仿宋" w:eastAsia="仿宋" w:cs="仿宋"/>
                <w:b/>
                <w:bCs/>
                <w:color w:val="auto"/>
                <w:sz w:val="18"/>
                <w:szCs w:val="18"/>
                <w:highlight w:val="none"/>
              </w:rPr>
              <w:t>符合参加政府采购活动应当具备的一般条件的承诺函</w:t>
            </w:r>
          </w:p>
          <w:p w14:paraId="09AFEFA8">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pacing w:val="-6"/>
                <w:sz w:val="18"/>
                <w:szCs w:val="18"/>
                <w:highlight w:val="none"/>
              </w:rPr>
            </w:pPr>
            <w:r>
              <w:rPr>
                <w:rFonts w:hint="eastAsia" w:ascii="仿宋" w:hAnsi="仿宋" w:eastAsia="仿宋" w:cs="仿宋"/>
                <w:b/>
                <w:bCs/>
                <w:color w:val="auto"/>
                <w:sz w:val="18"/>
                <w:szCs w:val="18"/>
                <w:highlight w:val="none"/>
                <w:lang w:val="en-US" w:eastAsia="zh-CN"/>
              </w:rPr>
              <w:t>3.</w:t>
            </w:r>
            <w:r>
              <w:rPr>
                <w:rFonts w:hint="eastAsia" w:ascii="仿宋" w:hAnsi="仿宋" w:eastAsia="仿宋" w:cs="仿宋"/>
                <w:b/>
                <w:bCs/>
                <w:color w:val="auto"/>
                <w:sz w:val="18"/>
                <w:szCs w:val="18"/>
                <w:highlight w:val="none"/>
              </w:rPr>
              <w:t>联合协议（若联合体投标）</w:t>
            </w:r>
          </w:p>
        </w:tc>
      </w:tr>
      <w:tr w14:paraId="502EF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54EC75F6">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三</w:t>
            </w:r>
            <w:r>
              <w:rPr>
                <w:rFonts w:hint="eastAsia" w:ascii="仿宋" w:hAnsi="仿宋" w:eastAsia="仿宋" w:cs="仿宋"/>
                <w:b/>
                <w:bCs/>
                <w:color w:val="auto"/>
                <w:sz w:val="18"/>
                <w:szCs w:val="18"/>
                <w:highlight w:val="none"/>
                <w:lang w:eastAsia="zh-CN"/>
              </w:rPr>
              <w:t>）</w:t>
            </w:r>
          </w:p>
        </w:tc>
        <w:tc>
          <w:tcPr>
            <w:tcW w:w="779" w:type="pct"/>
            <w:vAlign w:val="center"/>
          </w:tcPr>
          <w:p w14:paraId="15B58D1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信用信息查询</w:t>
            </w:r>
          </w:p>
        </w:tc>
        <w:tc>
          <w:tcPr>
            <w:tcW w:w="3699" w:type="pct"/>
            <w:vAlign w:val="center"/>
          </w:tcPr>
          <w:p w14:paraId="007BD193">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根据财库[2016]125号《关于在政府采购活动中查询及使用信用记录有关问题的通知》要求，采购代理机构会对投标人信用记录进行查询并甄别。</w:t>
            </w:r>
          </w:p>
          <w:p w14:paraId="018D8D3C">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1.信用信息查询的截止时点：投标截止时间；</w:t>
            </w:r>
          </w:p>
          <w:p w14:paraId="06A959B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2.查询渠道：“信用中国”（www.creditchina.gov.cn）、“中国政府采购网”（www.ccgp.gov.cn）；</w:t>
            </w:r>
          </w:p>
          <w:p w14:paraId="1EC3E658">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3.信用信息查询记录和证据留存具体方式：采购代理机构经办人和监督人员将查询网页打印、签名与其他采购文件一并保存；</w:t>
            </w:r>
          </w:p>
          <w:p w14:paraId="70109E80">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4.信用信息的使用规则：投标人被列入失信被执行人、重大税收违法案件当事人名单、政府采购严重违法失信行为记录名单的，拒绝其参与政府采购活动。</w:t>
            </w:r>
          </w:p>
          <w:p w14:paraId="18623AF7">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38A1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1929E51B">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w:t>
            </w:r>
          </w:p>
        </w:tc>
        <w:tc>
          <w:tcPr>
            <w:tcW w:w="779" w:type="pct"/>
            <w:vAlign w:val="center"/>
          </w:tcPr>
          <w:p w14:paraId="33A998B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lang w:eastAsia="zh-CN"/>
              </w:rPr>
              <w:t>评标方法和评标标准</w:t>
            </w:r>
          </w:p>
        </w:tc>
        <w:tc>
          <w:tcPr>
            <w:tcW w:w="3699" w:type="pct"/>
            <w:vAlign w:val="center"/>
          </w:tcPr>
          <w:p w14:paraId="7E54995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rPr>
              <w:t xml:space="preserve">详见“第四章  </w:t>
            </w:r>
            <w:r>
              <w:rPr>
                <w:rFonts w:hint="eastAsia" w:ascii="仿宋" w:hAnsi="仿宋" w:eastAsia="仿宋" w:cs="仿宋"/>
                <w:color w:val="auto"/>
                <w:spacing w:val="-6"/>
                <w:sz w:val="18"/>
                <w:szCs w:val="18"/>
                <w:highlight w:val="none"/>
                <w:lang w:eastAsia="zh-CN"/>
              </w:rPr>
              <w:t>评标方法和评标标准</w:t>
            </w:r>
            <w:r>
              <w:rPr>
                <w:rFonts w:hint="eastAsia" w:ascii="仿宋" w:hAnsi="仿宋" w:eastAsia="仿宋" w:cs="仿宋"/>
                <w:color w:val="auto"/>
                <w:spacing w:val="-6"/>
                <w:sz w:val="18"/>
                <w:szCs w:val="18"/>
                <w:highlight w:val="none"/>
              </w:rPr>
              <w:t>”</w:t>
            </w:r>
          </w:p>
        </w:tc>
      </w:tr>
      <w:tr w14:paraId="594BC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117827C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七、</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lang w:eastAsia="zh-CN"/>
              </w:rPr>
              <w:t>）</w:t>
            </w:r>
          </w:p>
        </w:tc>
        <w:tc>
          <w:tcPr>
            <w:tcW w:w="779" w:type="pct"/>
            <w:vAlign w:val="center"/>
          </w:tcPr>
          <w:p w14:paraId="4965DCD9">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3</w:t>
            </w:r>
            <w:r>
              <w:rPr>
                <w:rFonts w:hint="eastAsia" w:ascii="仿宋" w:hAnsi="仿宋" w:eastAsia="仿宋" w:cs="仿宋"/>
                <w:b/>
                <w:bCs/>
                <w:color w:val="auto"/>
                <w:sz w:val="18"/>
                <w:szCs w:val="18"/>
                <w:highlight w:val="none"/>
                <w:lang w:eastAsia="zh-CN"/>
              </w:rPr>
              <w:t>”</w:t>
            </w:r>
          </w:p>
        </w:tc>
        <w:tc>
          <w:tcPr>
            <w:tcW w:w="3699" w:type="pct"/>
            <w:vAlign w:val="center"/>
          </w:tcPr>
          <w:p w14:paraId="35F6C664">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z w:val="18"/>
                <w:szCs w:val="18"/>
                <w:highlight w:val="none"/>
              </w:rPr>
              <w:t>评标结果公示媒体：浙江政府采购网（http://zfcg.czt.zj.gov.cn）</w:t>
            </w:r>
          </w:p>
        </w:tc>
      </w:tr>
      <w:tr w14:paraId="487B0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0" w:type="pct"/>
            <w:vAlign w:val="center"/>
          </w:tcPr>
          <w:p w14:paraId="0445636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七、</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二）</w:t>
            </w:r>
          </w:p>
        </w:tc>
        <w:tc>
          <w:tcPr>
            <w:tcW w:w="779" w:type="pct"/>
            <w:vAlign w:val="center"/>
          </w:tcPr>
          <w:p w14:paraId="62DE2D0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合同</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1</w:t>
            </w:r>
            <w:r>
              <w:rPr>
                <w:rFonts w:hint="eastAsia" w:ascii="仿宋" w:hAnsi="仿宋" w:eastAsia="仿宋" w:cs="仿宋"/>
                <w:b/>
                <w:bCs/>
                <w:color w:val="auto"/>
                <w:sz w:val="18"/>
                <w:szCs w:val="18"/>
                <w:highlight w:val="none"/>
                <w:lang w:eastAsia="zh-CN"/>
              </w:rPr>
              <w:t>”</w:t>
            </w:r>
          </w:p>
        </w:tc>
        <w:tc>
          <w:tcPr>
            <w:tcW w:w="3699" w:type="pct"/>
            <w:vAlign w:val="center"/>
          </w:tcPr>
          <w:p w14:paraId="68F300C5">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tc>
      </w:tr>
    </w:tbl>
    <w:p w14:paraId="4B2473B0">
      <w:pPr>
        <w:adjustRightInd w:val="0"/>
        <w:snapToGrid w:val="0"/>
        <w:spacing w:line="288" w:lineRule="auto"/>
        <w:ind w:left="0" w:leftChars="0" w:right="0" w:rightChars="0" w:firstLine="0" w:firstLineChars="0"/>
        <w:jc w:val="center"/>
        <w:rPr>
          <w:rFonts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5FCE0ECF">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一、总  则</w:t>
      </w:r>
    </w:p>
    <w:p w14:paraId="6DA151B1">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4" w:name="_Hlk94018326"/>
      <w:r>
        <w:rPr>
          <w:rFonts w:hint="eastAsia" w:ascii="仿宋" w:hAnsi="仿宋" w:eastAsia="仿宋" w:cs="仿宋"/>
          <w:color w:val="auto"/>
          <w:spacing w:val="-6"/>
          <w:szCs w:val="21"/>
          <w:highlight w:val="none"/>
        </w:rPr>
        <w:t>投标人应仔细阅读招标文件的所有内容，按照招标文件的要求提交投标文件，并对所提供的全部资料的真实性承担法律责任。</w:t>
      </w:r>
    </w:p>
    <w:bookmarkEnd w:id="34"/>
    <w:p w14:paraId="46815F7D">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适用范围</w:t>
      </w:r>
    </w:p>
    <w:p w14:paraId="2AD14736">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本招标文件适用于</w:t>
      </w:r>
      <w:r>
        <w:rPr>
          <w:rFonts w:hint="eastAsia" w:ascii="仿宋" w:hAnsi="仿宋" w:eastAsia="仿宋" w:cs="仿宋"/>
          <w:color w:val="auto"/>
          <w:spacing w:val="-6"/>
          <w:szCs w:val="21"/>
          <w:highlight w:val="none"/>
          <w:lang w:eastAsia="zh-CN"/>
        </w:rPr>
        <w:t>浙江工业大学能碳管理显示系统</w:t>
      </w:r>
      <w:r>
        <w:rPr>
          <w:rFonts w:hint="eastAsia" w:ascii="仿宋" w:hAnsi="仿宋" w:eastAsia="仿宋" w:cs="仿宋"/>
          <w:color w:val="auto"/>
          <w:spacing w:val="-6"/>
          <w:szCs w:val="21"/>
          <w:highlight w:val="none"/>
        </w:rPr>
        <w:t>的招标、评标、定标、验收、合同履约、付款等（法律、法规另有规定的，从其规定）。</w:t>
      </w:r>
    </w:p>
    <w:p w14:paraId="09731FAD">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定义</w:t>
      </w:r>
    </w:p>
    <w:p w14:paraId="636617A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.“采购人”系指浙江工业大学；</w:t>
      </w:r>
    </w:p>
    <w:p w14:paraId="40087D4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2.“采购代理机构”系指组织本次招标的浙江求是招标代理有限公司；</w:t>
      </w:r>
    </w:p>
    <w:p w14:paraId="7D11A1C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.“投标人”系指响应招标、参加投标竞争的法人、其他组织或者自然人；</w:t>
      </w:r>
    </w:p>
    <w:p w14:paraId="1D57B71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.“书面形式”包括合同书、信件和数据电文（包括电报、电传、传真、电子数据交换和电子邮件）等可以有形地表现所载内容的形式；</w:t>
      </w:r>
    </w:p>
    <w:p w14:paraId="75942BC5">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5</w:t>
      </w:r>
      <w:r>
        <w:rPr>
          <w:rFonts w:hint="eastAsia" w:ascii="仿宋" w:hAnsi="仿宋" w:eastAsia="仿宋" w:cs="仿宋"/>
          <w:b/>
          <w:bCs/>
          <w:color w:val="auto"/>
          <w:spacing w:val="-6"/>
          <w:szCs w:val="21"/>
          <w:highlight w:val="none"/>
        </w:rPr>
        <w:t>.“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35" w:name="_Hlk96327615"/>
      <w:r>
        <w:rPr>
          <w:rFonts w:hint="eastAsia" w:ascii="仿宋" w:hAnsi="仿宋" w:eastAsia="仿宋" w:cs="仿宋"/>
          <w:b/>
          <w:bCs/>
          <w:color w:val="auto"/>
          <w:spacing w:val="-6"/>
          <w:szCs w:val="21"/>
          <w:highlight w:val="none"/>
        </w:rPr>
        <w:t>，</w:t>
      </w:r>
      <w:r>
        <w:rPr>
          <w:rFonts w:hint="eastAsia" w:ascii="仿宋" w:hAnsi="仿宋" w:eastAsia="仿宋" w:cs="仿宋"/>
          <w:b/>
          <w:bCs/>
          <w:color w:val="auto"/>
          <w:szCs w:val="21"/>
          <w:highlight w:val="none"/>
        </w:rPr>
        <w:t>“电子签名”系指数据电文中以电子形式所含、所附用于识别签名人身份并表明签名人认可其中内容的数据，“公章”系指单位法定名称章</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因特殊原因需要使用冠以法定名称的业务专用章的，投标</w:t>
      </w:r>
      <w:r>
        <w:rPr>
          <w:rFonts w:hint="eastAsia" w:ascii="仿宋" w:hAnsi="仿宋" w:eastAsia="仿宋" w:cs="仿宋"/>
          <w:b/>
          <w:bCs/>
          <w:color w:val="auto"/>
          <w:szCs w:val="21"/>
          <w:highlight w:val="none"/>
          <w:lang w:val="en-US" w:eastAsia="zh-CN"/>
        </w:rPr>
        <w:t>时须</w:t>
      </w:r>
      <w:r>
        <w:rPr>
          <w:rFonts w:hint="eastAsia" w:ascii="仿宋" w:hAnsi="仿宋" w:eastAsia="仿宋" w:cs="仿宋"/>
          <w:b/>
          <w:bCs/>
          <w:color w:val="auto"/>
          <w:szCs w:val="21"/>
          <w:highlight w:val="none"/>
        </w:rPr>
        <w:t>提供《业务专用章使用说明函》（附件1）</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w:t>
      </w:r>
      <w:r>
        <w:rPr>
          <w:rFonts w:hint="eastAsia" w:ascii="仿宋" w:hAnsi="仿宋" w:eastAsia="仿宋" w:cs="仿宋"/>
          <w:b/>
          <w:bCs/>
          <w:color w:val="auto"/>
          <w:spacing w:val="-6"/>
          <w:szCs w:val="21"/>
          <w:highlight w:val="none"/>
        </w:rPr>
        <w:t>招标文件对投标文件签署、盖章的要求适用于电子签名；</w:t>
      </w:r>
    </w:p>
    <w:bookmarkEnd w:id="35"/>
    <w:p w14:paraId="7E587A6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“▲”系指实质性要求条款，投标人应当做出实质性响应。</w:t>
      </w:r>
    </w:p>
    <w:p w14:paraId="5004370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招标方式</w:t>
      </w:r>
    </w:p>
    <w:p w14:paraId="4412AC9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本次招标采用公开招标（线上电子招投标）方式进行。</w:t>
      </w:r>
    </w:p>
    <w:p w14:paraId="69523883">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投标费用</w:t>
      </w:r>
    </w:p>
    <w:p w14:paraId="1963BDAA">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.不论投标结果如何，投标人均应自行承担所有与投标有关的全部费用；</w:t>
      </w:r>
    </w:p>
    <w:p w14:paraId="60A143A8">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.中标人在中标通知书发出之日起七个工作日内向采购代理机构交纳代理服务费；</w:t>
      </w:r>
    </w:p>
    <w:p w14:paraId="0E8C32D3">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中标人逾期支付代理服务费，须承担代理服务费每日百分之三的违约金，逾期十日未支付的，采购代理机构有权向杭州仲裁委员会对中标人提起仲裁，仲裁费用（包括仲裁受理费和仲裁处理费）均由中标人承担；</w:t>
      </w:r>
    </w:p>
    <w:p w14:paraId="5C8D9B17">
      <w:pPr>
        <w:adjustRightInd w:val="0"/>
        <w:snapToGrid w:val="0"/>
        <w:spacing w:line="288" w:lineRule="auto"/>
        <w:ind w:firstLine="424" w:firstLineChars="202"/>
        <w:jc w:val="left"/>
        <w:rPr>
          <w:rFonts w:ascii="仿宋" w:hAnsi="仿宋" w:eastAsia="仿宋" w:cs="仿宋"/>
          <w:color w:val="auto"/>
          <w:spacing w:val="-6"/>
          <w:szCs w:val="21"/>
          <w:highlight w:val="none"/>
        </w:rPr>
      </w:pPr>
      <w:r>
        <w:rPr>
          <w:rFonts w:hint="eastAsia" w:ascii="仿宋" w:hAnsi="仿宋" w:eastAsia="仿宋" w:cs="仿宋"/>
          <w:color w:val="auto"/>
          <w:szCs w:val="21"/>
          <w:highlight w:val="none"/>
        </w:rPr>
        <w:t>4.</w:t>
      </w:r>
      <w:r>
        <w:rPr>
          <w:rFonts w:hint="eastAsia" w:ascii="仿宋" w:hAnsi="仿宋" w:eastAsia="仿宋" w:cs="仿宋"/>
          <w:color w:val="auto"/>
          <w:spacing w:val="-6"/>
          <w:szCs w:val="21"/>
          <w:highlight w:val="none"/>
          <w:lang w:eastAsia="zh-CN"/>
        </w:rPr>
        <w:t>收费标准（差额累进）：</w:t>
      </w:r>
    </w:p>
    <w:tbl>
      <w:tblPr>
        <w:tblStyle w:val="24"/>
        <w:tblW w:w="538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062"/>
        <w:gridCol w:w="3322"/>
      </w:tblGrid>
      <w:tr w14:paraId="6F73CE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78A4C3D0">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中标金额（万元）</w:t>
            </w:r>
          </w:p>
        </w:tc>
        <w:tc>
          <w:tcPr>
            <w:tcW w:w="3322" w:type="dxa"/>
            <w:tcMar>
              <w:top w:w="0" w:type="dxa"/>
              <w:left w:w="108" w:type="dxa"/>
              <w:bottom w:w="0" w:type="dxa"/>
              <w:right w:w="108" w:type="dxa"/>
            </w:tcMar>
            <w:vAlign w:val="center"/>
          </w:tcPr>
          <w:p w14:paraId="4344900A">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收费标准（费率，%）</w:t>
            </w:r>
          </w:p>
        </w:tc>
      </w:tr>
      <w:tr w14:paraId="537B82A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7EDAF319">
            <w:pPr>
              <w:jc w:val="center"/>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100以下</w:t>
            </w:r>
          </w:p>
        </w:tc>
        <w:tc>
          <w:tcPr>
            <w:tcW w:w="3322" w:type="dxa"/>
            <w:tcMar>
              <w:top w:w="0" w:type="dxa"/>
              <w:left w:w="108" w:type="dxa"/>
              <w:bottom w:w="0" w:type="dxa"/>
              <w:right w:w="108" w:type="dxa"/>
            </w:tcMar>
            <w:vAlign w:val="center"/>
          </w:tcPr>
          <w:p w14:paraId="661F881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1.05（不足</w:t>
            </w:r>
            <w:r>
              <w:rPr>
                <w:rFonts w:hint="eastAsia" w:ascii="仿宋" w:hAnsi="仿宋" w:eastAsia="仿宋" w:cs="仿宋"/>
                <w:color w:val="auto"/>
                <w:szCs w:val="21"/>
                <w:highlight w:val="none"/>
                <w:lang w:eastAsia="zh-CN"/>
              </w:rPr>
              <w:t>叁仟元</w:t>
            </w:r>
            <w:r>
              <w:rPr>
                <w:rFonts w:hint="eastAsia" w:ascii="仿宋" w:hAnsi="仿宋" w:eastAsia="仿宋" w:cs="仿宋"/>
                <w:color w:val="auto"/>
                <w:szCs w:val="21"/>
                <w:highlight w:val="none"/>
              </w:rPr>
              <w:t>按</w:t>
            </w:r>
            <w:r>
              <w:rPr>
                <w:rFonts w:hint="eastAsia" w:ascii="仿宋" w:hAnsi="仿宋" w:eastAsia="仿宋" w:cs="仿宋"/>
                <w:color w:val="auto"/>
                <w:szCs w:val="21"/>
                <w:highlight w:val="none"/>
                <w:lang w:eastAsia="zh-CN"/>
              </w:rPr>
              <w:t>叁仟元</w:t>
            </w:r>
            <w:r>
              <w:rPr>
                <w:rFonts w:hint="eastAsia" w:ascii="仿宋" w:hAnsi="仿宋" w:eastAsia="仿宋" w:cs="仿宋"/>
                <w:color w:val="auto"/>
                <w:szCs w:val="21"/>
                <w:highlight w:val="none"/>
              </w:rPr>
              <w:t>收取）</w:t>
            </w:r>
          </w:p>
        </w:tc>
      </w:tr>
      <w:tr w14:paraId="69B791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3D053611">
            <w:pPr>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100-500</w:t>
            </w:r>
          </w:p>
        </w:tc>
        <w:tc>
          <w:tcPr>
            <w:tcW w:w="3322" w:type="dxa"/>
            <w:tcMar>
              <w:top w:w="0" w:type="dxa"/>
              <w:left w:w="108" w:type="dxa"/>
              <w:bottom w:w="0" w:type="dxa"/>
              <w:right w:w="108" w:type="dxa"/>
            </w:tcMar>
            <w:vAlign w:val="center"/>
          </w:tcPr>
          <w:p w14:paraId="36D82B12">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0.77</w:t>
            </w:r>
          </w:p>
        </w:tc>
      </w:tr>
    </w:tbl>
    <w:p w14:paraId="23724D0F">
      <w:pPr>
        <w:adjustRightInd w:val="0"/>
        <w:snapToGrid w:val="0"/>
        <w:spacing w:line="288" w:lineRule="auto"/>
        <w:ind w:firstLine="399" w:firstLineChars="202"/>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.投标保证金：无</w:t>
      </w:r>
    </w:p>
    <w:p w14:paraId="42358015">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投标委托</w:t>
      </w:r>
    </w:p>
    <w:p w14:paraId="611E9CE6">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.投标人代表是法定代表人（单位负责人、自然人本人）的提供本人身份证明；</w:t>
      </w:r>
    </w:p>
    <w:p w14:paraId="717ECABA">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.投标人代表不是法定代表人（单位负责人、自然人本人）的提供授权委托书（格式详见招标文件第六章）和授权代表社保缴纳</w:t>
      </w:r>
      <w:r>
        <w:rPr>
          <w:rFonts w:hint="eastAsia" w:ascii="仿宋" w:hAnsi="仿宋" w:eastAsia="仿宋" w:cs="仿宋"/>
          <w:color w:val="auto"/>
          <w:spacing w:val="-6"/>
          <w:szCs w:val="21"/>
          <w:highlight w:val="none"/>
          <w:lang w:eastAsia="zh-CN"/>
        </w:rPr>
        <w:t>[2025年1月（含）至今任意一月]</w:t>
      </w:r>
      <w:r>
        <w:rPr>
          <w:rFonts w:hint="eastAsia" w:ascii="仿宋" w:hAnsi="仿宋" w:eastAsia="仿宋" w:cs="仿宋"/>
          <w:color w:val="auto"/>
          <w:spacing w:val="-6"/>
          <w:szCs w:val="21"/>
          <w:highlight w:val="none"/>
        </w:rPr>
        <w:t>证明；</w:t>
      </w:r>
    </w:p>
    <w:p w14:paraId="56EC3663">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.投标人委派不在本单位缴纳社保的人员作为授权代表的，在投标文件中说明具体原因、授权代表缴纳社保单位并附列该授权代表缴纳社保清单。</w:t>
      </w:r>
    </w:p>
    <w:p w14:paraId="3F34A567">
      <w:pPr>
        <w:adjustRightInd w:val="0"/>
        <w:snapToGrid w:val="0"/>
        <w:spacing w:line="288" w:lineRule="auto"/>
        <w:outlineLvl w:val="2"/>
        <w:rPr>
          <w:rFonts w:ascii="仿宋" w:hAnsi="仿宋" w:eastAsia="仿宋" w:cs="仿宋"/>
          <w:b/>
          <w:bCs/>
          <w:color w:val="auto"/>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六</w:t>
      </w:r>
      <w:r>
        <w:rPr>
          <w:rFonts w:hint="eastAsia" w:ascii="仿宋" w:hAnsi="仿宋" w:eastAsia="仿宋" w:cs="仿宋"/>
          <w:b/>
          <w:color w:val="auto"/>
          <w:spacing w:val="-6"/>
          <w:szCs w:val="21"/>
          <w:highlight w:val="none"/>
          <w:lang w:eastAsia="zh-CN"/>
        </w:rPr>
        <w:t>）</w:t>
      </w:r>
      <w:r>
        <w:rPr>
          <w:rFonts w:hint="eastAsia" w:ascii="仿宋" w:hAnsi="仿宋" w:eastAsia="仿宋" w:cs="仿宋"/>
          <w:b/>
          <w:bCs/>
          <w:color w:val="auto"/>
          <w:szCs w:val="21"/>
          <w:highlight w:val="none"/>
        </w:rPr>
        <w:t>联合体投标</w:t>
      </w:r>
    </w:p>
    <w:p w14:paraId="0994D614">
      <w:pPr>
        <w:adjustRightInd w:val="0"/>
        <w:snapToGrid w:val="0"/>
        <w:spacing w:line="288"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本项目接受联合体投标。</w:t>
      </w:r>
    </w:p>
    <w:p w14:paraId="2DD3DEC1">
      <w:pPr>
        <w:adjustRightInd w:val="0"/>
        <w:snapToGrid w:val="0"/>
        <w:spacing w:line="288" w:lineRule="auto"/>
        <w:ind w:firstLine="42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两个以上的自然人、法人或者其他组织可以组成一个联合体，以一个供应商的身份共同参加政府采购。</w:t>
      </w:r>
    </w:p>
    <w:p w14:paraId="66CD0DC8">
      <w:pPr>
        <w:adjustRightInd w:val="0"/>
        <w:snapToGrid w:val="0"/>
        <w:spacing w:line="288"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24923563">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七</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转包与分包</w:t>
      </w:r>
    </w:p>
    <w:p w14:paraId="4D7567A4">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1.</w:t>
      </w:r>
      <w:r>
        <w:rPr>
          <w:rFonts w:hint="eastAsia" w:ascii="仿宋" w:hAnsi="仿宋" w:eastAsia="仿宋" w:cs="仿宋"/>
          <w:spacing w:val="-6"/>
          <w:szCs w:val="21"/>
          <w:highlight w:val="none"/>
        </w:rPr>
        <w:t>本项目不允许转包；</w:t>
      </w:r>
    </w:p>
    <w:p w14:paraId="745E856D">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2.本项目允许分包，可以分包履行的（非主体、非关键性的工作）具体内容、金额或者比例：</w:t>
      </w:r>
      <w:r>
        <w:rPr>
          <w:rFonts w:hint="eastAsia" w:ascii="仿宋" w:hAnsi="仿宋" w:eastAsia="仿宋" w:cs="仿宋"/>
          <w:spacing w:val="-6"/>
          <w:szCs w:val="21"/>
          <w:highlight w:val="none"/>
        </w:rPr>
        <w:t>运输。</w:t>
      </w:r>
    </w:p>
    <w:p w14:paraId="3A88B7F4">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rPr>
        <w:t>说明：</w:t>
      </w:r>
      <w:r>
        <w:rPr>
          <w:rFonts w:hint="eastAsia" w:ascii="仿宋" w:hAnsi="仿宋" w:eastAsia="仿宋" w:cs="仿宋"/>
          <w:b/>
          <w:bCs/>
          <w:spacing w:val="-6"/>
          <w:szCs w:val="21"/>
          <w:highlight w:val="none"/>
          <w:lang w:eastAsia="zh-CN"/>
        </w:rPr>
        <w:t>投标人根据招标文件的规定</w:t>
      </w:r>
      <w:r>
        <w:rPr>
          <w:rFonts w:hint="eastAsia" w:ascii="仿宋" w:hAnsi="仿宋" w:eastAsia="仿宋" w:cs="仿宋"/>
          <w:b/>
          <w:bCs/>
          <w:spacing w:val="-6"/>
          <w:szCs w:val="21"/>
          <w:highlight w:val="none"/>
        </w:rPr>
        <w:t>，拟在中标后将中标项目的非主体、非关键性工作分包的，应当在投标文件中载明分包承担主体，分包承担主体应当具备相应资质条件且不得再次分包。</w:t>
      </w:r>
    </w:p>
    <w:p w14:paraId="12F01EF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八</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质疑和投诉</w:t>
      </w:r>
    </w:p>
    <w:p w14:paraId="5E92EBA1">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6" w:name="_Hlk92273406"/>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认为招标文件、招标过程、中标结果使自己的权益受到损害的，可以在知道或者应知其权益受到损害之日起7个工作日内，以书面形式向采购人、采购代理机构提出质疑。质疑供应商对采购人、采购代理机构的答复不满意，或者采购人、采购代理机构未在规定时间内作出答复的，可以在答复期满后15个工作日内向本级财政部门提起投诉。</w:t>
      </w:r>
    </w:p>
    <w:bookmarkEnd w:id="36"/>
    <w:p w14:paraId="7D9834B0">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2.</w:t>
      </w:r>
      <w:r>
        <w:rPr>
          <w:rFonts w:hint="eastAsia" w:ascii="仿宋" w:hAnsi="仿宋" w:eastAsia="仿宋" w:cs="仿宋"/>
          <w:b/>
          <w:bCs/>
          <w:color w:val="auto"/>
          <w:spacing w:val="-6"/>
          <w:szCs w:val="21"/>
          <w:highlight w:val="none"/>
        </w:rPr>
        <w:t>投标人提出质疑应当提交质疑函和必要的证明材料，质疑函应当包括下列内容：</w:t>
      </w:r>
    </w:p>
    <w:p w14:paraId="6D83320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（1）供应商的姓名或者名称、地址、邮编、联系人及联系电话</w:t>
      </w:r>
    </w:p>
    <w:p w14:paraId="4446E77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（2）质疑项目的名称、编号</w:t>
      </w:r>
    </w:p>
    <w:p w14:paraId="44DCD734">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（3）具体、明确的质疑事项和与质疑事项相关的请求</w:t>
      </w:r>
    </w:p>
    <w:p w14:paraId="685A353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（4）事实依据</w:t>
      </w:r>
    </w:p>
    <w:p w14:paraId="35323A2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（5）必要的法律依据</w:t>
      </w:r>
    </w:p>
    <w:p w14:paraId="6DE556D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（6）提出质疑的日期</w:t>
      </w:r>
    </w:p>
    <w:p w14:paraId="472182D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投标人为自然人的，应当由本人签名；投标人为法人或者其他组织的，应当由法定代表人、主要负责人，或者其授权代表签名或者盖章，并加盖公章。</w:t>
      </w:r>
    </w:p>
    <w:p w14:paraId="56961577">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提出质疑的供应商应当是参与本项目招标活动的投标人。</w:t>
      </w:r>
      <w:r>
        <w:rPr>
          <w:rFonts w:hint="eastAsia" w:ascii="仿宋" w:hAnsi="仿宋" w:eastAsia="仿宋" w:cs="仿宋"/>
          <w:b/>
          <w:color w:val="auto"/>
          <w:spacing w:val="-6"/>
          <w:szCs w:val="21"/>
          <w:highlight w:val="none"/>
        </w:rPr>
        <w:t>投标人在法定质疑期内应一次性提出针对同一采购程序环节的质疑。</w:t>
      </w:r>
    </w:p>
    <w:p w14:paraId="4DD378E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根据《政府采购质疑和投诉办法》第三十七条的规定，投诉人在全国范围12个月内三次以上投诉查无实据的，由财政部门列入不良行为记录名单。</w:t>
      </w:r>
    </w:p>
    <w:p w14:paraId="2AD5D133">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投诉人有下列行为之一的，属于虚假、恶意投诉，由财政部门列入不良行为记录名单，禁止其1至3年内参加政府采购活动：</w:t>
      </w:r>
    </w:p>
    <w:p w14:paraId="2BC98CF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（1）捏造事实；</w:t>
      </w:r>
    </w:p>
    <w:p w14:paraId="74B5FFA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（2）提供虚假材料；</w:t>
      </w:r>
    </w:p>
    <w:p w14:paraId="61CB386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（3）以非法手段取得证明材料。证据来源的合法性存在明显疑问，投诉人无法证明其取得方式合法的，视为以非法手段取得证明材料。</w:t>
      </w:r>
    </w:p>
    <w:p w14:paraId="1599E28C">
      <w:pPr>
        <w:adjustRightInd w:val="0"/>
        <w:snapToGrid w:val="0"/>
        <w:spacing w:line="288" w:lineRule="auto"/>
        <w:outlineLvl w:val="2"/>
        <w:rPr>
          <w:rFonts w:ascii="仿宋" w:hAnsi="仿宋" w:eastAsia="仿宋" w:cs="仿宋"/>
          <w:color w:val="auto"/>
          <w:szCs w:val="21"/>
          <w:highlight w:val="none"/>
        </w:rPr>
      </w:pPr>
      <w:bookmarkStart w:id="37" w:name="_Hlk92273111"/>
      <w:bookmarkStart w:id="38" w:name="_Hlk94018492"/>
      <w:r>
        <w:rPr>
          <w:rFonts w:hint="eastAsia" w:ascii="仿宋" w:hAnsi="仿宋" w:eastAsia="仿宋" w:cs="仿宋"/>
          <w:b/>
          <w:color w:val="auto"/>
          <w:spacing w:val="-6"/>
          <w:kern w:val="0"/>
          <w:szCs w:val="21"/>
          <w:highlight w:val="none"/>
          <w:lang w:eastAsia="zh-CN"/>
        </w:rPr>
        <w:t>（</w:t>
      </w:r>
      <w:r>
        <w:rPr>
          <w:rFonts w:hint="eastAsia" w:ascii="仿宋" w:hAnsi="仿宋" w:eastAsia="仿宋" w:cs="仿宋"/>
          <w:b/>
          <w:color w:val="auto"/>
          <w:spacing w:val="-6"/>
          <w:kern w:val="0"/>
          <w:szCs w:val="21"/>
          <w:highlight w:val="none"/>
          <w:lang w:val="en-US" w:eastAsia="zh-CN"/>
        </w:rPr>
        <w:t>九</w:t>
      </w:r>
      <w:r>
        <w:rPr>
          <w:rFonts w:hint="eastAsia" w:ascii="仿宋" w:hAnsi="仿宋" w:eastAsia="仿宋" w:cs="仿宋"/>
          <w:b/>
          <w:color w:val="auto"/>
          <w:spacing w:val="-6"/>
          <w:kern w:val="0"/>
          <w:szCs w:val="21"/>
          <w:highlight w:val="none"/>
          <w:lang w:eastAsia="zh-CN"/>
        </w:rPr>
        <w:t>）</w:t>
      </w:r>
      <w:r>
        <w:rPr>
          <w:rFonts w:hint="eastAsia" w:ascii="仿宋" w:hAnsi="仿宋" w:eastAsia="仿宋" w:cs="仿宋"/>
          <w:b/>
          <w:color w:val="auto"/>
          <w:spacing w:val="-6"/>
          <w:kern w:val="0"/>
          <w:szCs w:val="21"/>
          <w:highlight w:val="none"/>
        </w:rPr>
        <w:t>采购项目需要落实的政府采购政策</w:t>
      </w:r>
    </w:p>
    <w:bookmarkEnd w:id="37"/>
    <w:p w14:paraId="2FA5457E">
      <w:pPr>
        <w:adjustRightInd w:val="0"/>
        <w:snapToGrid w:val="0"/>
        <w:spacing w:line="288" w:lineRule="auto"/>
        <w:ind w:firstLine="398" w:firstLineChars="200"/>
        <w:jc w:val="left"/>
        <w:rPr>
          <w:rFonts w:hint="eastAsia" w:ascii="仿宋" w:hAnsi="仿宋" w:eastAsia="仿宋" w:cs="仿宋"/>
          <w:b/>
          <w:bCs/>
          <w:spacing w:val="-6"/>
          <w:szCs w:val="21"/>
          <w:highlight w:val="none"/>
          <w:lang w:val="en-US" w:eastAsia="zh-CN"/>
        </w:rPr>
      </w:pPr>
      <w:r>
        <w:rPr>
          <w:rFonts w:hint="eastAsia" w:ascii="仿宋" w:hAnsi="仿宋" w:eastAsia="仿宋" w:cs="仿宋"/>
          <w:b/>
          <w:bCs/>
          <w:spacing w:val="-6"/>
          <w:szCs w:val="21"/>
          <w:highlight w:val="none"/>
          <w:lang w:val="en-US" w:eastAsia="zh-CN"/>
        </w:rPr>
        <w:t>1.进口产品</w:t>
      </w:r>
    </w:p>
    <w:p w14:paraId="64615623">
      <w:pPr>
        <w:adjustRightInd w:val="0"/>
        <w:snapToGrid w:val="0"/>
        <w:spacing w:line="288" w:lineRule="auto"/>
        <w:ind w:firstLine="396" w:firstLineChars="200"/>
        <w:jc w:val="left"/>
        <w:rPr>
          <w:rFonts w:hint="eastAsia" w:ascii="仿宋" w:hAnsi="仿宋" w:eastAsia="仿宋" w:cs="仿宋"/>
          <w:b w:val="0"/>
          <w:bCs w:val="0"/>
          <w:spacing w:val="-6"/>
          <w:szCs w:val="21"/>
          <w:highlight w:val="none"/>
          <w:lang w:val="en-US" w:eastAsia="zh-CN"/>
        </w:rPr>
      </w:pPr>
      <w:r>
        <w:rPr>
          <w:rFonts w:hint="eastAsia" w:ascii="仿宋" w:hAnsi="仿宋" w:eastAsia="仿宋" w:cs="仿宋"/>
          <w:b w:val="0"/>
          <w:bCs w:val="0"/>
          <w:spacing w:val="-6"/>
          <w:szCs w:val="21"/>
          <w:highlight w:val="none"/>
          <w:lang w:val="en-US" w:eastAsia="zh-CN"/>
        </w:rPr>
        <w:t>本项目原则上采购本国生产的货物、服务，不允许采购进口产品。优先采购向我国企业转让技术、与我国企业签订消化吸收再创新方案的供应商的进口产品。</w:t>
      </w:r>
    </w:p>
    <w:p w14:paraId="10B3EBAD">
      <w:pPr>
        <w:adjustRightInd w:val="0"/>
        <w:snapToGrid w:val="0"/>
        <w:spacing w:line="288" w:lineRule="auto"/>
        <w:ind w:firstLine="396" w:firstLineChars="200"/>
        <w:jc w:val="left"/>
        <w:rPr>
          <w:rFonts w:hint="eastAsia" w:ascii="仿宋" w:hAnsi="仿宋" w:eastAsia="仿宋" w:cs="仿宋"/>
          <w:b w:val="0"/>
          <w:bCs w:val="0"/>
          <w:spacing w:val="-6"/>
          <w:szCs w:val="21"/>
          <w:highlight w:val="none"/>
          <w:lang w:val="en-US" w:eastAsia="zh-CN"/>
        </w:rPr>
      </w:pPr>
      <w:r>
        <w:rPr>
          <w:rFonts w:hint="eastAsia" w:ascii="仿宋" w:hAnsi="仿宋" w:eastAsia="仿宋" w:cs="仿宋"/>
          <w:b w:val="0"/>
          <w:bCs w:val="0"/>
          <w:spacing w:val="-6"/>
          <w:szCs w:val="21"/>
          <w:highlight w:val="none"/>
          <w:lang w:val="en-US" w:eastAsia="zh-CN"/>
        </w:rPr>
        <w:t>采购人已经在采购活动开始前向财政部门提出申请并获得财政部门审核同意（高校和科研院所采购用于科研的进口仪器设备，以及其他根据财政部规定实行备案管理的，实行备案管理）购买进口产品的，将在招标文件中明确规定可以采购进口产品（但如果因信息不对称等原因，仍有满足需求的国内产品要求参与采购竞争的，不会对其加以限制，仍将按照公平竞争原则实施采购）。</w:t>
      </w:r>
    </w:p>
    <w:p w14:paraId="4AB663C3">
      <w:pPr>
        <w:adjustRightInd w:val="0"/>
        <w:snapToGrid w:val="0"/>
        <w:spacing w:line="288" w:lineRule="auto"/>
        <w:ind w:firstLine="396" w:firstLineChars="200"/>
        <w:jc w:val="left"/>
        <w:rPr>
          <w:rFonts w:ascii="仿宋" w:hAnsi="仿宋" w:eastAsia="仿宋" w:cs="仿宋"/>
          <w:b w:val="0"/>
          <w:bCs w:val="0"/>
          <w:spacing w:val="-6"/>
          <w:szCs w:val="21"/>
          <w:highlight w:val="none"/>
        </w:rPr>
      </w:pPr>
      <w:r>
        <w:rPr>
          <w:rFonts w:hint="eastAsia" w:ascii="仿宋" w:hAnsi="仿宋" w:eastAsia="仿宋" w:cs="仿宋"/>
          <w:b w:val="0"/>
          <w:bCs w:val="0"/>
          <w:spacing w:val="-6"/>
          <w:szCs w:val="21"/>
          <w:highlight w:val="none"/>
          <w:lang w:val="en-US" w:eastAsia="zh-CN"/>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7BC5FD48">
      <w:pPr>
        <w:adjustRightInd w:val="0"/>
        <w:snapToGrid w:val="0"/>
        <w:spacing w:line="288" w:lineRule="auto"/>
        <w:ind w:firstLine="398"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2.支持绿色发展</w:t>
      </w:r>
    </w:p>
    <w:p w14:paraId="11A1AEF3">
      <w:pPr>
        <w:adjustRightInd w:val="0"/>
        <w:snapToGrid w:val="0"/>
        <w:spacing w:line="288" w:lineRule="auto"/>
        <w:ind w:firstLine="396"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val="0"/>
          <w:bCs w:val="0"/>
          <w:color w:val="auto"/>
          <w:spacing w:val="-6"/>
          <w:szCs w:val="21"/>
          <w:highlight w:val="none"/>
          <w:lang w:val="en-US" w:eastAsia="zh-CN"/>
        </w:rPr>
        <w:t>采购人拟采购的产品属于节能产品、环境标志产品政府采购品目清单范围的，将依据国家确定的认证机构出具的、处于有效期之内的节能产品、环境标志产品认证证书，对获得证书的产品实施政府优先采购或强制采购。</w:t>
      </w:r>
    </w:p>
    <w:p w14:paraId="320F2DFF">
      <w:pPr>
        <w:adjustRightInd w:val="0"/>
        <w:snapToGrid w:val="0"/>
        <w:spacing w:line="288" w:lineRule="auto"/>
        <w:ind w:firstLine="396"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val="0"/>
          <w:bCs w:val="0"/>
          <w:color w:val="auto"/>
          <w:spacing w:val="-6"/>
          <w:szCs w:val="21"/>
          <w:highlight w:val="none"/>
          <w:lang w:val="en-US" w:eastAsia="zh-CN"/>
        </w:rPr>
        <w:t>▲采购人拟采购产品属于节能产品政府采购清单规定必须强制采购的，将在招标文件中明确载明，供应商相应的投标产品须提供国家确定的认证机构出具的、处于有效期之内的节能产品认证证书。</w:t>
      </w:r>
    </w:p>
    <w:p w14:paraId="6F68DBC7">
      <w:pPr>
        <w:adjustRightInd w:val="0"/>
        <w:snapToGrid w:val="0"/>
        <w:spacing w:line="288" w:lineRule="auto"/>
        <w:ind w:firstLine="398" w:firstLineChars="200"/>
        <w:jc w:val="left"/>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3.</w:t>
      </w:r>
      <w:r>
        <w:rPr>
          <w:rFonts w:hint="eastAsia" w:ascii="仿宋" w:hAnsi="仿宋" w:eastAsia="仿宋" w:cs="仿宋"/>
          <w:b/>
          <w:bCs/>
          <w:color w:val="auto"/>
          <w:spacing w:val="-6"/>
          <w:szCs w:val="21"/>
          <w:highlight w:val="none"/>
        </w:rPr>
        <w:t>支持科技创新</w:t>
      </w:r>
    </w:p>
    <w:p w14:paraId="78E5B2AE">
      <w:pPr>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采购人优先采购被认定为首台套产品和“制造精品”的自主创新产品。</w:t>
      </w:r>
    </w:p>
    <w:p w14:paraId="79721730">
      <w:pPr>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对省级以上主管部门认定的首台套产品，自纳入《省推广应用指导目录》起3年内参加政府采购活动，视同已具备相应销售业绩，业绩分为满分。</w:t>
      </w:r>
    </w:p>
    <w:p w14:paraId="3F0232BC">
      <w:pPr>
        <w:adjustRightInd w:val="0"/>
        <w:snapToGrid w:val="0"/>
        <w:spacing w:line="288" w:lineRule="auto"/>
        <w:ind w:firstLine="396" w:firstLineChars="200"/>
        <w:jc w:val="left"/>
        <w:rPr>
          <w:rFonts w:hint="eastAsia" w:ascii="仿宋" w:hAnsi="仿宋" w:eastAsia="仿宋" w:cs="仿宋"/>
          <w:b/>
          <w:bCs/>
          <w:spacing w:val="-6"/>
          <w:szCs w:val="21"/>
          <w:highlight w:val="none"/>
        </w:rPr>
      </w:pPr>
      <w:r>
        <w:rPr>
          <w:rFonts w:hint="eastAsia" w:ascii="仿宋" w:hAnsi="仿宋" w:eastAsia="仿宋" w:cs="仿宋"/>
          <w:color w:val="auto"/>
          <w:spacing w:val="-6"/>
          <w:szCs w:val="21"/>
          <w:highlight w:val="none"/>
        </w:rPr>
        <w:t>产品核心技术高于国内领先水平，并具有明晰自主知识产权的“制造精品”产品，自认定之日起2年内视同已具备相应销售业绩，参加政府采购活动时业绩分值为满分。</w:t>
      </w:r>
    </w:p>
    <w:p w14:paraId="4B63D7A1">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4.</w:t>
      </w:r>
      <w:r>
        <w:rPr>
          <w:rFonts w:hint="eastAsia" w:ascii="仿宋" w:hAnsi="仿宋" w:eastAsia="仿宋" w:cs="仿宋"/>
          <w:b/>
          <w:bCs/>
          <w:spacing w:val="-6"/>
          <w:szCs w:val="21"/>
          <w:highlight w:val="none"/>
        </w:rPr>
        <w:t>支持中小企业发展</w:t>
      </w:r>
    </w:p>
    <w:p w14:paraId="7C06F70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21D3C07">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.2 在政府采购活动中，供应商提供的货物或者服务符合下列情形的，享受中小企业扶持政策：在货物采购项目中，货物由中小企业制造，即货物由中小企业生产且使用该中小企业商号或者注册商标。如果一个采购项目或采购包含有多个采购标的的，则每个采购标的均应由中小企业制造。在服务采购项目中，服务由中小企业承接，即提供服务的人员为中小企业依照《中华人民共和国劳动合同法》订立劳动合同的从业人员。</w:t>
      </w:r>
    </w:p>
    <w:p w14:paraId="562718C6">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.3 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w:t>
      </w:r>
    </w:p>
    <w:p w14:paraId="5ED872A1">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中小企业享受扶持政策获得政府采购合同的，小微企业不得将合同分包给大中型企业，中型企业不得将合同分包给大型企业。</w:t>
      </w:r>
    </w:p>
    <w:p w14:paraId="7BB04AF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.4 以联合体形式参加政府采购活动，联合体各方均为中小企业的，联合体视同中小企业。其中，联合体各方均为小微企业的，联合体视同小微企业。</w:t>
      </w:r>
    </w:p>
    <w:p w14:paraId="160B34FE">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.5 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66895A05">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组成联合体或者接受分包合同的中小企业与联合体内其他企业、分包企业之间不得存在直接控股、管理关系。</w:t>
      </w:r>
    </w:p>
    <w:p w14:paraId="34BC52F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专门面向中小企业采购的项目或者采购包，不再执行价格评审优惠的扶持政策。</w:t>
      </w:r>
    </w:p>
    <w:p w14:paraId="14E1A1C5">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.6 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1A97F3E">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.7 中小企业参加政府采购活动，应当出具办法规定的《中小企业声明函》，否则不得享受相关中小企业扶持政策。</w:t>
      </w:r>
    </w:p>
    <w:p w14:paraId="36B7C24A">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4F352B58">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.8 供应商提供《中小企业声明函》内容不实的，属于提供虚假材料谋取中标，依照《中华人民共和国政府采购法》等国家有关规定追究相应责任。</w:t>
      </w:r>
    </w:p>
    <w:p w14:paraId="2DAACFE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.9 供应商提供的《中小企业声明函》中，企业数据（如从业人员</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营业收入</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资产总额）有误的，采购</w:t>
      </w:r>
      <w:r>
        <w:rPr>
          <w:rFonts w:hint="eastAsia" w:ascii="仿宋" w:hAnsi="仿宋" w:eastAsia="仿宋" w:cs="仿宋"/>
          <w:spacing w:val="-6"/>
          <w:szCs w:val="21"/>
          <w:highlight w:val="none"/>
          <w:lang w:val="en-US" w:eastAsia="zh-CN"/>
        </w:rPr>
        <w:t>代理</w:t>
      </w:r>
      <w:r>
        <w:rPr>
          <w:rFonts w:hint="eastAsia" w:ascii="仿宋" w:hAnsi="仿宋" w:eastAsia="仿宋" w:cs="仿宋"/>
          <w:spacing w:val="-6"/>
          <w:szCs w:val="21"/>
          <w:highlight w:val="none"/>
        </w:rPr>
        <w:t>机构或评标委员会可以要求供应商进行澄清、说明。但《中小企业声明函》出现下列情形的，《中小企业声明函》无效，不享受《政府采购促进中小企业发展管理办法》规定的中小企业扶持政策：</w:t>
      </w:r>
    </w:p>
    <w:p w14:paraId="5C942B1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（1）内容未包括全部采购标的；</w:t>
      </w:r>
    </w:p>
    <w:p w14:paraId="259D10A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（2）未填写标的所属行业，或者填写的所属行业与</w:t>
      </w:r>
      <w:r>
        <w:rPr>
          <w:rFonts w:hint="eastAsia" w:ascii="仿宋" w:hAnsi="仿宋" w:eastAsia="仿宋" w:cs="仿宋"/>
          <w:spacing w:val="-6"/>
          <w:szCs w:val="21"/>
          <w:highlight w:val="none"/>
          <w:lang w:val="en-US" w:eastAsia="zh-CN"/>
        </w:rPr>
        <w:t>招标</w:t>
      </w:r>
      <w:r>
        <w:rPr>
          <w:rFonts w:hint="eastAsia" w:ascii="仿宋" w:hAnsi="仿宋" w:eastAsia="仿宋" w:cs="仿宋"/>
          <w:spacing w:val="-6"/>
          <w:szCs w:val="21"/>
          <w:highlight w:val="none"/>
        </w:rPr>
        <w:t>文件明确的所属行业不一致；</w:t>
      </w:r>
    </w:p>
    <w:p w14:paraId="55D74A1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（3）未填写企业类型、填写的企业类型不明确或填写的企业类型与实际不符（即：企业类型（中型企业、小型企业或微型企业）填写错误）。</w:t>
      </w:r>
    </w:p>
    <w:p w14:paraId="0ACF6CE6">
      <w:pPr>
        <w:adjustRightInd w:val="0"/>
        <w:snapToGrid w:val="0"/>
        <w:spacing w:line="288" w:lineRule="auto"/>
        <w:ind w:firstLine="396" w:firstLineChars="200"/>
        <w:jc w:val="left"/>
        <w:rPr>
          <w:rFonts w:ascii="仿宋" w:hAnsi="仿宋" w:eastAsia="仿宋" w:cs="仿宋"/>
          <w:spacing w:val="-6"/>
          <w:szCs w:val="21"/>
          <w:highlight w:val="none"/>
        </w:rPr>
      </w:pPr>
      <w:r>
        <w:rPr>
          <w:rFonts w:hint="eastAsia" w:ascii="仿宋" w:hAnsi="仿宋" w:eastAsia="仿宋" w:cs="仿宋"/>
          <w:spacing w:val="-6"/>
          <w:szCs w:val="21"/>
          <w:highlight w:val="none"/>
        </w:rPr>
        <w:t>供应商声明的类型获得了本不应获得的利益（价格扣除或者资格审查通过），属于提供虚假材料。构成“提供虚假材料谋取中标的”，依法承担法律责任。</w:t>
      </w:r>
    </w:p>
    <w:p w14:paraId="59131A58">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5.</w:t>
      </w:r>
      <w:r>
        <w:rPr>
          <w:rFonts w:hint="eastAsia" w:ascii="仿宋" w:hAnsi="仿宋" w:eastAsia="仿宋" w:cs="仿宋"/>
          <w:b/>
          <w:bCs/>
          <w:spacing w:val="-6"/>
          <w:szCs w:val="21"/>
          <w:highlight w:val="none"/>
        </w:rPr>
        <w:t>政府采购支持监狱企业发展</w:t>
      </w:r>
    </w:p>
    <w:p w14:paraId="00CF307E">
      <w:pPr>
        <w:adjustRightInd w:val="0"/>
        <w:snapToGrid w:val="0"/>
        <w:spacing w:line="288" w:lineRule="auto"/>
        <w:ind w:firstLine="396" w:firstLineChars="200"/>
        <w:jc w:val="left"/>
        <w:rPr>
          <w:rFonts w:ascii="仿宋" w:hAnsi="仿宋" w:eastAsia="仿宋" w:cs="仿宋"/>
          <w:spacing w:val="-6"/>
          <w:szCs w:val="21"/>
          <w:highlight w:val="none"/>
        </w:rPr>
      </w:pPr>
      <w:r>
        <w:rPr>
          <w:rFonts w:hint="eastAsia" w:ascii="仿宋" w:hAnsi="仿宋" w:eastAsia="仿宋" w:cs="仿宋"/>
          <w:spacing w:val="-6"/>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557C8205">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6.</w:t>
      </w:r>
      <w:r>
        <w:rPr>
          <w:rFonts w:hint="eastAsia" w:ascii="仿宋" w:hAnsi="仿宋" w:eastAsia="仿宋" w:cs="仿宋"/>
          <w:b/>
          <w:bCs/>
          <w:spacing w:val="-6"/>
          <w:szCs w:val="21"/>
          <w:highlight w:val="none"/>
        </w:rPr>
        <w:t>政府采购促进残疾人就业</w:t>
      </w:r>
    </w:p>
    <w:p w14:paraId="6994AC2E">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spacing w:val="-6"/>
          <w:szCs w:val="21"/>
          <w:highlight w:val="none"/>
        </w:rPr>
        <w:t>符合《关于促进残疾人就业政府采购政策的通知》（财库[2017]141号）规定的条件并提供《残疾人福利性单位声明函》的残疾人福利性单位视同小型、微型企业。</w:t>
      </w:r>
    </w:p>
    <w:p w14:paraId="697B2CC6">
      <w:pPr>
        <w:adjustRightInd w:val="0"/>
        <w:snapToGrid w:val="0"/>
        <w:spacing w:line="288" w:lineRule="auto"/>
        <w:ind w:firstLine="398" w:firstLineChars="200"/>
        <w:jc w:val="left"/>
        <w:rPr>
          <w:rFonts w:ascii="仿宋" w:hAnsi="仿宋" w:eastAsia="仿宋" w:cs="仿宋"/>
          <w:b/>
          <w:bCs/>
          <w:color w:val="auto"/>
          <w:spacing w:val="-6"/>
          <w:szCs w:val="21"/>
          <w:highlight w:val="none"/>
        </w:rPr>
      </w:pPr>
    </w:p>
    <w:p w14:paraId="7799DA77">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备注：除财库《政府采购促进中小企业发展管理办法》（财库[2020]46号）、《关于促进残疾人就业政府采购政策的通知》（财库[2017]141号）、《关于政府采购支持监狱企业发展有关问题的通知》（财库[2014]68号）规定企业类型以外的投标人不享受中小企业扶持政策。</w:t>
      </w:r>
    </w:p>
    <w:bookmarkEnd w:id="38"/>
    <w:p w14:paraId="75934562">
      <w:pPr>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7C157929">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二、招标文件</w:t>
      </w:r>
    </w:p>
    <w:p w14:paraId="6E9083D6">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招标文件的构成</w:t>
      </w:r>
    </w:p>
    <w:p w14:paraId="4E0357AA">
      <w:pPr>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本招标文件由以下部分组成：</w:t>
      </w:r>
    </w:p>
    <w:p w14:paraId="18CEA19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投标邀请</w:t>
      </w:r>
    </w:p>
    <w:p w14:paraId="4714E4C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采购需求</w:t>
      </w:r>
    </w:p>
    <w:p w14:paraId="145040A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投标人须知</w:t>
      </w:r>
    </w:p>
    <w:p w14:paraId="0E95C131">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评标方法和评标标准</w:t>
      </w:r>
    </w:p>
    <w:p w14:paraId="7C2F7A1E">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拟签订的合同文本</w:t>
      </w:r>
    </w:p>
    <w:p w14:paraId="27033303">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投标文件格式</w:t>
      </w:r>
    </w:p>
    <w:p w14:paraId="1BD8F37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rPr>
        <w:t>本项目招标文件的澄清、答复、修改、补充的内容</w:t>
      </w:r>
    </w:p>
    <w:p w14:paraId="679E674B">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招标文件的澄清与修改</w:t>
      </w:r>
    </w:p>
    <w:p w14:paraId="764133C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采购人或者采购代理机构可以对已发出的招标文件进行必要的澄清或者修改，澄清或者修改会在原公告发布媒体上发布澄清公告，澄清或者修改的内容为招标文件的组成部分。</w:t>
      </w:r>
    </w:p>
    <w:p w14:paraId="6DDE46C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澄清或者修改的内容可能影响投标文件编制的，采购人或者采购代理机构会在提交投标文件截止时间至少15日前，以书面形式通知所有获取招标文件的潜在投标人；不足15日的，采购人或者采购代理机构会顺延提交投标文件的截止时间。</w:t>
      </w:r>
    </w:p>
    <w:p w14:paraId="4BC31C8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招标文件的修改将以书面形式通知所有获取招标文件的投标人，并对其具有约束力。投标人在收到上述通知后，应立即向采购代理机构回函确认。若无书面回函确认，视同投标人已收到招标文件修改的通知，并受其约束。</w:t>
      </w:r>
    </w:p>
    <w:p w14:paraId="6FA1376C">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28EDDA7B">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color w:val="auto"/>
          <w:spacing w:val="-6"/>
          <w:sz w:val="24"/>
          <w:szCs w:val="24"/>
          <w:highlight w:val="none"/>
        </w:rPr>
      </w:pPr>
      <w:r>
        <w:rPr>
          <w:rFonts w:hint="eastAsia" w:ascii="仿宋" w:hAnsi="仿宋" w:eastAsia="仿宋" w:cs="仿宋"/>
          <w:b/>
          <w:color w:val="auto"/>
          <w:spacing w:val="-6"/>
          <w:sz w:val="24"/>
          <w:szCs w:val="24"/>
          <w:highlight w:val="none"/>
        </w:rPr>
        <w:t>三、投标文件编制要求</w:t>
      </w:r>
    </w:p>
    <w:p w14:paraId="6436EEE0">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投标文件的组成</w:t>
      </w:r>
    </w:p>
    <w:p w14:paraId="2D18574E">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9" w:name="_Hlk94018532"/>
      <w:r>
        <w:rPr>
          <w:rFonts w:hint="eastAsia" w:ascii="仿宋" w:hAnsi="仿宋" w:eastAsia="仿宋" w:cs="仿宋"/>
          <w:color w:val="auto"/>
          <w:spacing w:val="-6"/>
          <w:szCs w:val="21"/>
          <w:highlight w:val="none"/>
        </w:rPr>
        <w:t>1.投标文件（电子加密投标文件）由</w:t>
      </w:r>
      <w:r>
        <w:rPr>
          <w:rFonts w:hint="eastAsia" w:ascii="仿宋" w:hAnsi="仿宋" w:eastAsia="仿宋" w:cs="仿宋"/>
          <w:b/>
          <w:color w:val="auto"/>
          <w:spacing w:val="-6"/>
          <w:szCs w:val="21"/>
          <w:highlight w:val="none"/>
        </w:rPr>
        <w:t>资格文件、商务和技术文件、报价文件三部分</w:t>
      </w:r>
      <w:r>
        <w:rPr>
          <w:rFonts w:hint="eastAsia" w:ascii="仿宋" w:hAnsi="仿宋" w:eastAsia="仿宋" w:cs="仿宋"/>
          <w:bCs/>
          <w:color w:val="auto"/>
          <w:spacing w:val="-6"/>
          <w:szCs w:val="21"/>
          <w:highlight w:val="none"/>
        </w:rPr>
        <w:t>组成（格式详见招标文件第六章），投标人应将投标文件各部分</w:t>
      </w:r>
      <w:r>
        <w:rPr>
          <w:rFonts w:hint="eastAsia" w:ascii="仿宋" w:hAnsi="仿宋" w:eastAsia="仿宋" w:cs="仿宋"/>
          <w:b/>
          <w:color w:val="auto"/>
          <w:spacing w:val="-6"/>
          <w:szCs w:val="21"/>
          <w:highlight w:val="none"/>
        </w:rPr>
        <w:t>分别上传</w:t>
      </w:r>
      <w:r>
        <w:rPr>
          <w:rFonts w:hint="eastAsia" w:ascii="仿宋" w:hAnsi="仿宋" w:eastAsia="仿宋" w:cs="仿宋"/>
          <w:bCs/>
          <w:color w:val="auto"/>
          <w:spacing w:val="-6"/>
          <w:szCs w:val="21"/>
          <w:highlight w:val="none"/>
        </w:rPr>
        <w:t>至政府采购云平台指定位置；</w:t>
      </w:r>
    </w:p>
    <w:p w14:paraId="13559595">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.投标文件组成：详见“第六章  投标文件格式”目录。</w:t>
      </w:r>
    </w:p>
    <w:bookmarkEnd w:id="39"/>
    <w:p w14:paraId="58942AC9">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投标文件的签署和份数</w:t>
      </w:r>
    </w:p>
    <w:p w14:paraId="21A09047">
      <w:pPr>
        <w:adjustRightInd w:val="0"/>
        <w:snapToGrid w:val="0"/>
        <w:spacing w:line="288" w:lineRule="auto"/>
        <w:ind w:firstLine="396" w:firstLineChars="200"/>
        <w:jc w:val="left"/>
        <w:rPr>
          <w:rFonts w:ascii="仿宋" w:hAnsi="仿宋" w:eastAsia="仿宋" w:cs="仿宋"/>
          <w:b/>
          <w:bCs/>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仿宋" w:hAnsi="仿宋" w:eastAsia="仿宋" w:cs="仿宋"/>
          <w:b/>
          <w:bCs/>
          <w:color w:val="auto"/>
          <w:spacing w:val="-6"/>
          <w:szCs w:val="21"/>
          <w:highlight w:val="none"/>
        </w:rPr>
        <w:t>其中资格文件、商务技术文件中不得出现投标报价，如因投标人原因提前泄露投标报价，是投标人的责任；</w:t>
      </w:r>
    </w:p>
    <w:p w14:paraId="7F83746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2.投标文件须由投标人在规定位置</w:t>
      </w:r>
      <w:bookmarkStart w:id="40" w:name="_Hlk96329183"/>
      <w:r>
        <w:rPr>
          <w:rFonts w:hint="eastAsia" w:ascii="仿宋" w:hAnsi="仿宋" w:eastAsia="仿宋" w:cs="仿宋"/>
          <w:color w:val="auto"/>
          <w:spacing w:val="-6"/>
          <w:szCs w:val="21"/>
          <w:highlight w:val="none"/>
        </w:rPr>
        <w:t>加盖公章</w:t>
      </w:r>
      <w:bookmarkEnd w:id="40"/>
      <w:r>
        <w:rPr>
          <w:rFonts w:hint="eastAsia" w:ascii="仿宋" w:hAnsi="仿宋" w:eastAsia="仿宋" w:cs="仿宋"/>
          <w:color w:val="auto"/>
          <w:spacing w:val="-6"/>
          <w:szCs w:val="21"/>
          <w:highlight w:val="none"/>
        </w:rPr>
        <w:t>，投标人应写全称；</w:t>
      </w:r>
    </w:p>
    <w:p w14:paraId="529B881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.投标文件不得涂改，若有修改错漏处，须由投标人加盖公章，或者由</w:t>
      </w:r>
      <w:r>
        <w:rPr>
          <w:rFonts w:hint="eastAsia" w:ascii="仿宋" w:hAnsi="仿宋" w:eastAsia="仿宋" w:cs="仿宋"/>
          <w:color w:val="auto"/>
          <w:spacing w:val="-6"/>
          <w:szCs w:val="21"/>
          <w:highlight w:val="none"/>
          <w:lang w:eastAsia="zh-CN"/>
        </w:rPr>
        <w:t>投标人代表</w:t>
      </w:r>
      <w:r>
        <w:rPr>
          <w:rFonts w:hint="eastAsia" w:ascii="仿宋" w:hAnsi="仿宋" w:eastAsia="仿宋" w:cs="仿宋"/>
          <w:color w:val="auto"/>
          <w:spacing w:val="-6"/>
          <w:szCs w:val="21"/>
          <w:highlight w:val="none"/>
        </w:rPr>
        <w:t>签名。投标文件因字迹潦草或表达不清所引起的后果由投标人负责；</w:t>
      </w:r>
    </w:p>
    <w:p w14:paraId="1A5C0D42">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4</w:t>
      </w:r>
      <w:r>
        <w:rPr>
          <w:rFonts w:hint="eastAsia" w:ascii="仿宋" w:hAnsi="仿宋" w:eastAsia="仿宋" w:cs="仿宋"/>
          <w:b/>
          <w:bCs/>
          <w:color w:val="auto"/>
          <w:spacing w:val="-6"/>
          <w:szCs w:val="21"/>
          <w:highlight w:val="none"/>
        </w:rPr>
        <w:t>.投标文件份数：</w:t>
      </w:r>
    </w:p>
    <w:p w14:paraId="2D1C5396">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电子加密投标文件：政府采购云平台在线上传一份，备份投标文件：密封包装后以EMS或顺丰邮寄形式递交一份（邮寄地址：</w:t>
      </w:r>
      <w:r>
        <w:rPr>
          <w:rFonts w:hint="eastAsia" w:ascii="仿宋" w:hAnsi="仿宋" w:eastAsia="仿宋" w:cs="仿宋"/>
          <w:b/>
          <w:bCs/>
          <w:color w:val="auto"/>
          <w:szCs w:val="21"/>
          <w:highlight w:val="none"/>
        </w:rPr>
        <w:t>杭州市西湖区玉古路173号</w:t>
      </w:r>
      <w:r>
        <w:rPr>
          <w:rFonts w:hint="eastAsia" w:ascii="仿宋" w:hAnsi="仿宋" w:eastAsia="仿宋" w:cs="仿宋"/>
          <w:b/>
          <w:bCs/>
          <w:color w:val="auto"/>
          <w:szCs w:val="21"/>
          <w:highlight w:val="none"/>
          <w:lang w:eastAsia="zh-CN"/>
        </w:rPr>
        <w:t>中田大厦21楼</w:t>
      </w:r>
      <w:r>
        <w:rPr>
          <w:rFonts w:hint="eastAsia" w:ascii="仿宋" w:hAnsi="仿宋" w:eastAsia="仿宋" w:cs="仿宋"/>
          <w:b/>
          <w:bCs/>
          <w:color w:val="auto"/>
          <w:szCs w:val="21"/>
          <w:highlight w:val="none"/>
        </w:rPr>
        <w:t>H室，浙江求是招标代理有限公司</w:t>
      </w:r>
      <w:r>
        <w:rPr>
          <w:rFonts w:hint="eastAsia" w:ascii="仿宋" w:hAnsi="仿宋" w:eastAsia="仿宋" w:cs="仿宋"/>
          <w:b/>
          <w:bCs/>
          <w:color w:val="auto"/>
          <w:szCs w:val="21"/>
          <w:highlight w:val="none"/>
          <w:lang w:eastAsia="zh-CN"/>
        </w:rPr>
        <w:t>招标八部收</w:t>
      </w:r>
      <w:r>
        <w:rPr>
          <w:rFonts w:hint="eastAsia" w:ascii="仿宋" w:hAnsi="仿宋" w:eastAsia="仿宋" w:cs="仿宋"/>
          <w:b/>
          <w:bCs/>
          <w:color w:val="auto"/>
          <w:szCs w:val="21"/>
          <w:highlight w:val="none"/>
        </w:rPr>
        <w:t>，电话：0571-87679349，寄出后将快递单号、项目名称、公司名称、联系方式等相关信息发至zb08@qszb.net以便查收）。</w:t>
      </w:r>
    </w:p>
    <w:p w14:paraId="1D73BB93">
      <w:pPr>
        <w:adjustRightInd w:val="0"/>
        <w:snapToGrid w:val="0"/>
        <w:spacing w:line="288" w:lineRule="auto"/>
        <w:ind w:firstLine="422" w:firstLineChars="200"/>
        <w:jc w:val="left"/>
        <w:rPr>
          <w:rFonts w:ascii="仿宋" w:hAnsi="仿宋" w:eastAsia="仿宋" w:cs="仿宋"/>
          <w:b/>
          <w:bCs/>
          <w:color w:val="auto"/>
          <w:spacing w:val="-6"/>
          <w:szCs w:val="21"/>
          <w:highlight w:val="none"/>
        </w:rPr>
      </w:pPr>
      <w:r>
        <w:rPr>
          <w:rFonts w:hint="eastAsia" w:ascii="仿宋" w:hAnsi="仿宋" w:eastAsia="仿宋" w:cs="仿宋"/>
          <w:b/>
          <w:color w:val="auto"/>
          <w:szCs w:val="21"/>
          <w:highlight w:val="none"/>
        </w:rPr>
        <w:t>特别说明：双休日和法定节假日不收件，投标人自行承担邮寄风险。</w:t>
      </w:r>
    </w:p>
    <w:p w14:paraId="1A97ADE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rPr>
        <w:t>投标文件的上传、递交、修改和撤回</w:t>
      </w:r>
    </w:p>
    <w:p w14:paraId="5FA306A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.投标文件的上传、递交：</w:t>
      </w:r>
    </w:p>
    <w:p w14:paraId="20D75C16">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（1）电子加密投标文件的上传：</w:t>
      </w:r>
    </w:p>
    <w:p w14:paraId="22BE84C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投标人应在提交投标文件截止时间前将电子加密投标文件成功上传至政府采购云平台，否则投标无效；</w:t>
      </w:r>
    </w:p>
    <w:p w14:paraId="37443E8F">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电子加密投标文件成功上传后，投标人可自行打印投标文件接收回执。</w:t>
      </w:r>
    </w:p>
    <w:p w14:paraId="09B339C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（2）备份投标文件的密封包装、递交：</w:t>
      </w:r>
    </w:p>
    <w:p w14:paraId="521F1E5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投标人在政府采购云平台完成电子加密投标文件的上传后，可以EMS或顺丰邮寄形式在提交投标文件截止时间前递交以介质（U盘）存储的数据电文形式的备份投标文件；</w:t>
      </w:r>
    </w:p>
    <w:p w14:paraId="3AB44BCA">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备份投标文件应当密封包装并在包装上标注</w:t>
      </w:r>
      <w:r>
        <w:rPr>
          <w:rFonts w:hint="eastAsia" w:ascii="仿宋" w:hAnsi="仿宋" w:eastAsia="仿宋" w:cs="仿宋"/>
          <w:b/>
          <w:bCs/>
          <w:color w:val="auto"/>
          <w:spacing w:val="-6"/>
          <w:szCs w:val="21"/>
          <w:highlight w:val="none"/>
        </w:rPr>
        <w:t>投标项目名称、投标人名称</w:t>
      </w:r>
      <w:r>
        <w:rPr>
          <w:rFonts w:hint="eastAsia" w:ascii="仿宋" w:hAnsi="仿宋" w:eastAsia="仿宋" w:cs="仿宋"/>
          <w:color w:val="auto"/>
          <w:spacing w:val="-6"/>
          <w:szCs w:val="21"/>
          <w:highlight w:val="none"/>
        </w:rPr>
        <w:t>并加盖公章（非电子签章），投标人逾期送达或者未密封包装的备份投标文件采购代理机构将予以拒收；</w:t>
      </w:r>
    </w:p>
    <w:p w14:paraId="38C8EA37">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通过政府采购云平台成功上传的电子加密投标文件已按时解密的，备份投标文件自动失效</w:t>
      </w:r>
      <w:bookmarkStart w:id="41" w:name="_Hlk94018616"/>
      <w:r>
        <w:rPr>
          <w:rFonts w:hint="eastAsia" w:ascii="仿宋" w:hAnsi="仿宋" w:eastAsia="仿宋" w:cs="仿宋"/>
          <w:color w:val="auto"/>
          <w:spacing w:val="-6"/>
          <w:szCs w:val="21"/>
          <w:highlight w:val="none"/>
          <w:lang w:eastAsia="zh-CN"/>
        </w:rPr>
        <w:t>；</w:t>
      </w:r>
    </w:p>
    <w:p w14:paraId="095A5017">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4）投标人</w:t>
      </w:r>
      <w:r>
        <w:rPr>
          <w:rFonts w:hint="eastAsia" w:ascii="仿宋" w:hAnsi="仿宋" w:eastAsia="仿宋" w:cs="仿宋"/>
          <w:color w:val="auto"/>
          <w:spacing w:val="-6"/>
          <w:szCs w:val="21"/>
          <w:highlight w:val="none"/>
        </w:rPr>
        <w:t>仅递交备份投标文件而未将电子加密投标文件成功上传至政府采购云平台的，投标无效。</w:t>
      </w:r>
    </w:p>
    <w:bookmarkEnd w:id="41"/>
    <w:p w14:paraId="2599B63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投标人应当在提交投标文件截止时间前完成投标文件的上传、递交，并可以补充、修改或者撤回投标文件。补充或者修改投标文件的，应当先行撤回原文件，补充、修改后重新上传、递交。提交投标文件截止时间前未完成上传、递交的，视为撤回投标文件。提交投标文件截止时间后上传、递交的投标文件，政府采购云平台及采购代理机构将予以拒收。</w:t>
      </w:r>
    </w:p>
    <w:p w14:paraId="1FE54B3B">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投标人因未在线参加开标而导致电子加密投标文件无法按时解密等一切后果由投标人自行承担</w:t>
      </w:r>
      <w:r>
        <w:rPr>
          <w:rFonts w:hint="eastAsia" w:ascii="仿宋" w:hAnsi="仿宋" w:eastAsia="仿宋" w:cs="仿宋"/>
          <w:color w:val="auto"/>
          <w:spacing w:val="-6"/>
          <w:szCs w:val="21"/>
          <w:highlight w:val="none"/>
          <w:lang w:eastAsia="zh-CN"/>
        </w:rPr>
        <w:t>；</w:t>
      </w:r>
    </w:p>
    <w:p w14:paraId="4D073723">
      <w:pPr>
        <w:adjustRightInd w:val="0"/>
        <w:snapToGrid w:val="0"/>
        <w:spacing w:line="288" w:lineRule="auto"/>
        <w:ind w:firstLine="396" w:firstLineChars="200"/>
        <w:jc w:val="left"/>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3.投标人应按照招标文件和政府采购云平台的要求，根据投标文件的组成规定的内容及顺序通过政采云电子交易客户端（政采云投标客户端）编制加密投标文件。</w:t>
      </w:r>
    </w:p>
    <w:p w14:paraId="3573D3A5">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备注：投标人可通过浙江省“电子交易/不见面开评标”学习专题提前进行专题学习，熟悉操作，避免影响采购活动（</w:t>
      </w:r>
      <w:r>
        <w:rPr>
          <w:color w:val="auto"/>
          <w:highlight w:val="none"/>
        </w:rPr>
        <w:fldChar w:fldCharType="begin"/>
      </w:r>
      <w:r>
        <w:rPr>
          <w:color w:val="auto"/>
          <w:highlight w:val="none"/>
        </w:rPr>
        <w:instrText xml:space="preserve"> HYPERLINK "https://edu.zcygov.cn/luban/e-biding" </w:instrText>
      </w:r>
      <w:r>
        <w:rPr>
          <w:color w:val="auto"/>
          <w:highlight w:val="none"/>
        </w:rPr>
        <w:fldChar w:fldCharType="separate"/>
      </w:r>
      <w:r>
        <w:rPr>
          <w:rFonts w:hint="eastAsia" w:ascii="仿宋" w:hAnsi="仿宋" w:eastAsia="仿宋" w:cs="仿宋"/>
          <w:b/>
          <w:bCs/>
          <w:color w:val="auto"/>
          <w:spacing w:val="-6"/>
          <w:szCs w:val="21"/>
          <w:highlight w:val="none"/>
        </w:rPr>
        <w:t>https://edu.zcygov.cn/luban/e-biding</w:t>
      </w:r>
      <w:r>
        <w:rPr>
          <w:rFonts w:hint="eastAsia" w:ascii="仿宋" w:hAnsi="仿宋" w:eastAsia="仿宋" w:cs="仿宋"/>
          <w:b/>
          <w:bCs/>
          <w:color w:val="auto"/>
          <w:spacing w:val="-6"/>
          <w:szCs w:val="21"/>
          <w:highlight w:val="none"/>
        </w:rPr>
        <w:fldChar w:fldCharType="end"/>
      </w:r>
      <w:r>
        <w:rPr>
          <w:rFonts w:hint="eastAsia" w:ascii="仿宋" w:hAnsi="仿宋" w:eastAsia="仿宋" w:cs="仿宋"/>
          <w:b/>
          <w:bCs/>
          <w:color w:val="auto"/>
          <w:spacing w:val="-6"/>
          <w:szCs w:val="21"/>
          <w:highlight w:val="none"/>
        </w:rPr>
        <w:t>）。</w:t>
      </w:r>
    </w:p>
    <w:p w14:paraId="7F134EAA">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投标文件的语言及计量</w:t>
      </w:r>
    </w:p>
    <w:p w14:paraId="2F065F9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14:paraId="416AFDE2">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投标报价</w:t>
      </w:r>
    </w:p>
    <w:p w14:paraId="05376AAC">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bookmarkStart w:id="42" w:name="_Hlk94018664"/>
      <w:r>
        <w:rPr>
          <w:rFonts w:hint="eastAsia" w:ascii="仿宋" w:hAnsi="仿宋" w:eastAsia="仿宋" w:cs="仿宋"/>
          <w:sz w:val="21"/>
          <w:szCs w:val="21"/>
          <w:highlight w:val="none"/>
          <w:lang w:val="en-US" w:eastAsia="zh-CN"/>
        </w:rPr>
        <w:t>1.报价应按招标文件要求的格式编制、填写报价内容，未按招标文件要求编制、填写的投标文件可能被拒绝；</w:t>
      </w:r>
    </w:p>
    <w:p w14:paraId="7184B2C6">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投标报价是履行合同的最终价格，应包括系统设计、货物金额、仓储、包装、运输保险费、装卸费、安装及相关材料费、检验费、税金等为确保合法、正常使用货物及中标人履行合同项下约定的所有义务所需支出的全部费用；</w:t>
      </w:r>
    </w:p>
    <w:p w14:paraId="5126DD79">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▲3.采购人将以合同形式有偿取得货物、服务，不接受投标人给予的赠品、回扣或者与采购无关的其他商品、服务；</w:t>
      </w:r>
    </w:p>
    <w:p w14:paraId="1B7D569C">
      <w:pPr>
        <w:adjustRightInd w:val="0"/>
        <w:snapToGrid w:val="0"/>
        <w:spacing w:line="288" w:lineRule="auto"/>
        <w:ind w:firstLine="420" w:firstLineChars="200"/>
        <w:jc w:val="left"/>
        <w:rPr>
          <w:rFonts w:hint="eastAsia" w:ascii="仿宋" w:hAnsi="仿宋" w:eastAsia="仿宋" w:cs="仿宋"/>
          <w:color w:val="auto"/>
          <w:spacing w:val="-6"/>
          <w:sz w:val="21"/>
          <w:szCs w:val="21"/>
          <w:highlight w:val="none"/>
          <w:lang w:val="en-US" w:eastAsia="zh-CN"/>
        </w:rPr>
      </w:pPr>
      <w:r>
        <w:rPr>
          <w:rFonts w:hint="eastAsia" w:ascii="仿宋" w:hAnsi="仿宋" w:eastAsia="仿宋" w:cs="仿宋"/>
          <w:sz w:val="21"/>
          <w:szCs w:val="21"/>
          <w:highlight w:val="none"/>
          <w:lang w:val="en-US" w:eastAsia="zh-CN"/>
        </w:rPr>
        <w:t>4.投标总价不为零，分项报价中部分产品、服务单价为零的，视作已包含在投标总价中。</w:t>
      </w:r>
    </w:p>
    <w:bookmarkEnd w:id="42"/>
    <w:p w14:paraId="578DF0E2">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六</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投标有效期</w:t>
      </w:r>
    </w:p>
    <w:p w14:paraId="7E282256">
      <w:pPr>
        <w:pStyle w:val="8"/>
        <w:adjustRightInd w:val="0"/>
        <w:snapToGrid w:val="0"/>
        <w:spacing w:before="0" w:beforeLines="0" w:after="0" w:afterLines="0" w:line="288" w:lineRule="auto"/>
        <w:ind w:firstLine="396" w:firstLineChars="200"/>
        <w:jc w:val="left"/>
        <w:rPr>
          <w:rFonts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▲从提交投标文件的截止之日起90天，在原投标有效期满之前，如果出现特殊情况，采购人或采购代理机构以书面形式通知投标人延长投标有效期。</w:t>
      </w:r>
    </w:p>
    <w:p w14:paraId="2C43B67E">
      <w:pPr>
        <w:widowControl/>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4F2E73CB">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四、资格审查不通过、投标无效的情形</w:t>
      </w:r>
    </w:p>
    <w:p w14:paraId="01DA68C7">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在资格审查时，如发现下列情形之一的，投标人将被视为资格审查不通过：</w:t>
      </w:r>
    </w:p>
    <w:p w14:paraId="491D96A9">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资格证明材料不全的或者不符合招标文件要求的</w:t>
      </w:r>
    </w:p>
    <w:p w14:paraId="05FF335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投标人不具备招标文件中规定的资格要求的</w:t>
      </w:r>
    </w:p>
    <w:p w14:paraId="6B246F0F">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资格文件未按要求签署、盖章的</w:t>
      </w:r>
    </w:p>
    <w:p w14:paraId="012182DC">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未响应招标文件“▲”标记条款要求的</w:t>
      </w:r>
    </w:p>
    <w:p w14:paraId="3E2FE9C6">
      <w:pPr>
        <w:adjustRightInd w:val="0"/>
        <w:snapToGrid w:val="0"/>
        <w:spacing w:line="288" w:lineRule="auto"/>
        <w:ind w:firstLine="398" w:firstLineChars="200"/>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在符合性审查、商务和技术评审时，如发现下列情形之一的，投标文件将被视为无效：</w:t>
      </w:r>
    </w:p>
    <w:p w14:paraId="273CCEAB">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商务和技术文件未按要求签署、盖章的</w:t>
      </w:r>
    </w:p>
    <w:p w14:paraId="15FD9210">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未提供或未按要求提供投标函、</w:t>
      </w:r>
      <w:r>
        <w:rPr>
          <w:rFonts w:hint="eastAsia" w:ascii="仿宋" w:hAnsi="仿宋" w:eastAsia="仿宋" w:cs="仿宋"/>
          <w:color w:val="auto"/>
          <w:spacing w:val="-6"/>
          <w:szCs w:val="21"/>
          <w:highlight w:val="none"/>
          <w:lang w:eastAsia="zh-CN"/>
        </w:rPr>
        <w:t>授权委托书</w:t>
      </w:r>
      <w:r>
        <w:rPr>
          <w:rFonts w:hint="eastAsia" w:ascii="仿宋" w:hAnsi="仿宋" w:eastAsia="仿宋" w:cs="仿宋"/>
          <w:color w:val="auto"/>
          <w:spacing w:val="-6"/>
          <w:szCs w:val="21"/>
          <w:highlight w:val="none"/>
        </w:rPr>
        <w:t>的</w:t>
      </w:r>
    </w:p>
    <w:p w14:paraId="47E76557">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未响应招标文件“▲”标记条款要求的</w:t>
      </w:r>
    </w:p>
    <w:p w14:paraId="0C686866">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未提供采购需求偏离表</w:t>
      </w:r>
      <w:r>
        <w:rPr>
          <w:rFonts w:hint="eastAsia" w:ascii="仿宋" w:hAnsi="仿宋" w:eastAsia="仿宋" w:cs="仿宋"/>
          <w:color w:val="auto"/>
          <w:spacing w:val="-6"/>
          <w:szCs w:val="21"/>
          <w:highlight w:val="none"/>
          <w:lang w:val="en-US" w:eastAsia="zh-CN"/>
        </w:rPr>
        <w:t>或</w:t>
      </w:r>
      <w:r>
        <w:rPr>
          <w:rFonts w:hint="eastAsia" w:ascii="仿宋" w:hAnsi="仿宋" w:eastAsia="仿宋" w:cs="仿宋"/>
          <w:color w:val="auto"/>
          <w:spacing w:val="-6"/>
          <w:szCs w:val="21"/>
          <w:highlight w:val="none"/>
        </w:rPr>
        <w:t>采购需求偏离表</w:t>
      </w:r>
      <w:r>
        <w:rPr>
          <w:rFonts w:hint="eastAsia" w:ascii="仿宋" w:hAnsi="仿宋" w:eastAsia="仿宋" w:cs="仿宋"/>
          <w:color w:val="auto"/>
          <w:spacing w:val="-6"/>
          <w:szCs w:val="21"/>
          <w:highlight w:val="none"/>
          <w:lang w:val="en-US" w:eastAsia="zh-CN"/>
        </w:rPr>
        <w:t>中响应规格有缺项、漏项</w:t>
      </w:r>
      <w:r>
        <w:rPr>
          <w:rFonts w:hint="eastAsia" w:ascii="仿宋" w:hAnsi="仿宋" w:eastAsia="仿宋" w:cs="仿宋"/>
          <w:color w:val="auto"/>
          <w:spacing w:val="-6"/>
          <w:szCs w:val="21"/>
          <w:highlight w:val="none"/>
        </w:rPr>
        <w:t>的</w:t>
      </w:r>
    </w:p>
    <w:p w14:paraId="757CE965">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质保期不满足招标文件要求的</w:t>
      </w:r>
    </w:p>
    <w:p w14:paraId="5752285F">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明显不符合招标文件要求</w:t>
      </w:r>
      <w:r>
        <w:rPr>
          <w:rFonts w:hint="eastAsia" w:ascii="仿宋" w:hAnsi="仿宋" w:eastAsia="仿宋" w:cs="仿宋"/>
          <w:color w:val="auto"/>
          <w:szCs w:val="21"/>
          <w:highlight w:val="none"/>
        </w:rPr>
        <w:t>的</w:t>
      </w:r>
    </w:p>
    <w:p w14:paraId="093F86F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rPr>
        <w:t>投标技术方案不明确（存在一个或一个以上备选/替代投标方案）的</w:t>
      </w:r>
    </w:p>
    <w:p w14:paraId="6EB2624A">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8.</w:t>
      </w:r>
      <w:r>
        <w:rPr>
          <w:rFonts w:hint="eastAsia" w:ascii="仿宋" w:hAnsi="仿宋" w:eastAsia="仿宋" w:cs="仿宋"/>
          <w:color w:val="auto"/>
          <w:spacing w:val="-6"/>
          <w:szCs w:val="21"/>
          <w:highlight w:val="none"/>
        </w:rPr>
        <w:t>投标文件含有采购人不能接受的附加条件的</w:t>
      </w:r>
    </w:p>
    <w:p w14:paraId="019718D1">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9.</w:t>
      </w:r>
      <w:r>
        <w:rPr>
          <w:rFonts w:hint="eastAsia" w:ascii="仿宋" w:hAnsi="仿宋" w:eastAsia="仿宋" w:cs="仿宋"/>
          <w:color w:val="auto"/>
          <w:spacing w:val="-6"/>
          <w:szCs w:val="21"/>
          <w:highlight w:val="none"/>
        </w:rPr>
        <w:t>法律、法规和招标文件规定的其他无效情形</w:t>
      </w:r>
    </w:p>
    <w:p w14:paraId="1585882F">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在报价评审时，如发现下列情形之一的，投标文件将被视为无效：</w:t>
      </w:r>
    </w:p>
    <w:p w14:paraId="15E83F5D">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报价文件未按要求签署、盖章的</w:t>
      </w:r>
    </w:p>
    <w:p w14:paraId="326A587F">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未按照招标文件标明的币种报价的</w:t>
      </w:r>
    </w:p>
    <w:p w14:paraId="55CFA92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报价内容有缺漏项或者与招标文件要求不一致的</w:t>
      </w:r>
    </w:p>
    <w:p w14:paraId="5591944C">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报价超过招标文件中规定的</w:t>
      </w:r>
      <w:r>
        <w:rPr>
          <w:rFonts w:hint="eastAsia" w:ascii="仿宋" w:hAnsi="仿宋" w:eastAsia="仿宋" w:cs="仿宋"/>
          <w:color w:val="auto"/>
          <w:spacing w:val="-6"/>
          <w:szCs w:val="21"/>
          <w:highlight w:val="none"/>
          <w:lang w:val="en-US" w:eastAsia="zh-CN"/>
        </w:rPr>
        <w:t>预算金额或者</w:t>
      </w:r>
      <w:r>
        <w:rPr>
          <w:rFonts w:hint="eastAsia" w:ascii="仿宋" w:hAnsi="仿宋" w:eastAsia="仿宋" w:cs="仿宋"/>
          <w:color w:val="auto"/>
          <w:spacing w:val="-6"/>
          <w:szCs w:val="21"/>
          <w:highlight w:val="none"/>
        </w:rPr>
        <w:t>最高限价的</w:t>
      </w:r>
    </w:p>
    <w:p w14:paraId="70CA7CFE">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报价具有选择性的</w:t>
      </w:r>
    </w:p>
    <w:p w14:paraId="430B390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未响应招标文件“▲”标记条款要求的</w:t>
      </w:r>
    </w:p>
    <w:p w14:paraId="06F36920">
      <w:pPr>
        <w:widowControl/>
        <w:adjustRightInd w:val="0"/>
        <w:snapToGrid w:val="0"/>
        <w:spacing w:line="288" w:lineRule="auto"/>
        <w:ind w:firstLine="398" w:firstLineChars="200"/>
        <w:jc w:val="left"/>
        <w:rPr>
          <w:rFonts w:ascii="仿宋" w:hAnsi="仿宋" w:eastAsia="仿宋" w:cs="仿宋"/>
          <w:b/>
          <w:bCs/>
          <w:color w:val="auto"/>
          <w:spacing w:val="-6"/>
          <w:szCs w:val="21"/>
          <w:highlight w:val="none"/>
        </w:rPr>
      </w:pPr>
      <w:bookmarkStart w:id="43" w:name="_Hlk94018736"/>
      <w:r>
        <w:rPr>
          <w:rFonts w:hint="eastAsia" w:ascii="仿宋" w:hAnsi="仿宋" w:eastAsia="仿宋" w:cs="仿宋"/>
          <w:b/>
          <w:bCs/>
          <w:color w:val="auto"/>
          <w:spacing w:val="-6"/>
          <w:szCs w:val="21"/>
          <w:highlight w:val="none"/>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43"/>
    <w:p w14:paraId="241FD431">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有下列情形之一的，视为投标人串通投标，其投标无效：</w:t>
      </w:r>
    </w:p>
    <w:p w14:paraId="2D29703C">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不同投标人的投标文件由同一单位或者个人编制</w:t>
      </w:r>
    </w:p>
    <w:p w14:paraId="737CAA60">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不同投标人委托同一单位或者个人办理投标事宜</w:t>
      </w:r>
    </w:p>
    <w:p w14:paraId="4DCC42CB">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不同投标人的投标文件载明的项目管理成员或者联系人员为同一人</w:t>
      </w:r>
    </w:p>
    <w:p w14:paraId="1D617FD8">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不同投标人的投标文件异常一致或者投标报价呈规律性差异</w:t>
      </w:r>
    </w:p>
    <w:p w14:paraId="27E951C8">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不同投标人的投标文件相互混装</w:t>
      </w:r>
    </w:p>
    <w:p w14:paraId="7950542F">
      <w:pPr>
        <w:widowControl/>
        <w:adjustRightInd w:val="0"/>
        <w:snapToGrid w:val="0"/>
        <w:spacing w:line="288" w:lineRule="auto"/>
        <w:ind w:firstLine="398" w:firstLineChars="200"/>
        <w:jc w:val="left"/>
        <w:rPr>
          <w:rFonts w:hint="eastAsia" w:ascii="仿宋" w:hAnsi="仿宋" w:eastAsia="仿宋" w:cs="仿宋"/>
          <w:b/>
          <w:color w:val="auto"/>
          <w:spacing w:val="-6"/>
          <w:szCs w:val="21"/>
          <w:highlight w:val="none"/>
          <w:lang w:eastAsia="zh-CN"/>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）参与同一个采购包（标项）的投标人存在下列情形之一且无法合理解释的，其投标文件无效：</w:t>
      </w:r>
    </w:p>
    <w:p w14:paraId="0AEFFCD3">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1.不同投标人的电子投标文件上传计算机的网卡MAC地址或硬盘序列号等硬件信息相同的</w:t>
      </w:r>
    </w:p>
    <w:p w14:paraId="210B7656">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2.上传的电子投标文件若出现使用本项目其他投标人的数字证书加密的或加盖本项目其他投标人的电子印章的</w:t>
      </w:r>
    </w:p>
    <w:p w14:paraId="47722082">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3.不同投标人的投标文件的内容存在3处（含）以上错误一致的</w:t>
      </w:r>
    </w:p>
    <w:p w14:paraId="4F4CD2B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4.不同投标人联系人为同一人或不同联系人的联系电话一致的</w:t>
      </w:r>
    </w:p>
    <w:p w14:paraId="7F7983B7">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5A310402">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五、开  标</w:t>
      </w:r>
    </w:p>
    <w:p w14:paraId="7D0A894B">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ascii="仿宋" w:hAnsi="仿宋" w:eastAsia="仿宋" w:cs="仿宋"/>
          <w:color w:val="auto"/>
          <w:szCs w:val="21"/>
          <w:highlight w:val="none"/>
        </w:rPr>
      </w:pPr>
      <w:bookmarkStart w:id="44" w:name="_Hlk94018775"/>
      <w:r>
        <w:rPr>
          <w:rFonts w:hint="eastAsia" w:ascii="仿宋" w:hAnsi="仿宋" w:eastAsia="仿宋" w:cs="仿宋"/>
          <w:b/>
          <w:color w:val="auto"/>
          <w:szCs w:val="21"/>
          <w:highlight w:val="none"/>
        </w:rPr>
        <w:t>（一）开标</w:t>
      </w:r>
    </w:p>
    <w:p w14:paraId="370EB06E">
      <w:pPr>
        <w:pStyle w:val="101"/>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采购代理机构按照招标文件规定的时间通过电子交易平台组织开标，所有投标人均应当准时在线参加。投标人不足3家的，不得开标。</w:t>
      </w:r>
    </w:p>
    <w:p w14:paraId="52FA4434">
      <w:pPr>
        <w:pStyle w:val="101"/>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开标时，电子交易平台按开标时间自动提取所有投标文件。采购</w:t>
      </w:r>
      <w:r>
        <w:rPr>
          <w:rFonts w:hint="eastAsia" w:ascii="仿宋" w:hAnsi="仿宋" w:eastAsia="仿宋" w:cs="仿宋"/>
          <w:color w:val="auto"/>
          <w:szCs w:val="21"/>
          <w:highlight w:val="none"/>
          <w:lang w:val="en-US" w:eastAsia="zh-CN"/>
        </w:rPr>
        <w:t>人或采购</w:t>
      </w:r>
      <w:r>
        <w:rPr>
          <w:rFonts w:hint="eastAsia" w:ascii="仿宋" w:hAnsi="仿宋" w:eastAsia="仿宋" w:cs="仿宋"/>
          <w:color w:val="auto"/>
          <w:szCs w:val="21"/>
          <w:highlight w:val="none"/>
        </w:rPr>
        <w:t>代理机构依托电子交易平台发起开始解密指令，投标人按照平台提示和招标文件的规定在半小时内完成在线解密。</w:t>
      </w:r>
    </w:p>
    <w:p w14:paraId="137F6F81">
      <w:pPr>
        <w:adjustRightInd w:val="0"/>
        <w:snapToGrid w:val="0"/>
        <w:spacing w:line="288" w:lineRule="auto"/>
        <w:ind w:firstLine="422" w:firstLineChars="200"/>
        <w:rPr>
          <w:rFonts w:ascii="仿宋" w:hAnsi="仿宋" w:eastAsia="仿宋" w:cs="仿宋"/>
          <w:b/>
          <w:color w:val="auto"/>
          <w:szCs w:val="21"/>
          <w:highlight w:val="none"/>
        </w:rPr>
      </w:pPr>
      <w:r>
        <w:rPr>
          <w:rFonts w:hint="eastAsia" w:ascii="仿宋" w:hAnsi="仿宋" w:eastAsia="仿宋" w:cs="仿宋"/>
          <w:b/>
          <w:color w:val="auto"/>
          <w:szCs w:val="21"/>
          <w:highlight w:val="none"/>
        </w:rPr>
        <w:t>投标文件未按时解密但投标人提供备份投标文件的，以备份投标文件作为依据，否则视为投标文件撤回。投标文件已按时解密的，备份投标文件自动失效。</w:t>
      </w:r>
    </w:p>
    <w:p w14:paraId="588DECCA">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（二）资格审查</w:t>
      </w:r>
    </w:p>
    <w:p w14:paraId="390176DE">
      <w:pPr>
        <w:adjustRightInd w:val="0"/>
        <w:snapToGrid w:val="0"/>
        <w:spacing w:line="288" w:lineRule="auto"/>
        <w:ind w:firstLine="422" w:firstLineChars="201"/>
        <w:rPr>
          <w:rFonts w:ascii="仿宋" w:hAnsi="仿宋" w:eastAsia="仿宋" w:cs="仿宋"/>
          <w:color w:val="auto"/>
          <w:szCs w:val="21"/>
          <w:highlight w:val="none"/>
        </w:rPr>
      </w:pPr>
      <w:r>
        <w:rPr>
          <w:rFonts w:hint="eastAsia" w:ascii="仿宋" w:hAnsi="仿宋" w:eastAsia="仿宋" w:cs="仿宋"/>
          <w:color w:val="auto"/>
          <w:kern w:val="0"/>
          <w:szCs w:val="21"/>
          <w:highlight w:val="none"/>
        </w:rPr>
        <w:t>开标后，</w:t>
      </w:r>
      <w:r>
        <w:rPr>
          <w:rFonts w:hint="eastAsia" w:ascii="仿宋" w:hAnsi="仿宋" w:eastAsia="仿宋" w:cs="仿宋"/>
          <w:color w:val="auto"/>
          <w:szCs w:val="21"/>
          <w:highlight w:val="none"/>
        </w:rPr>
        <w:t>采购人或采购代理机构依据法律法规和招标文件的规定，对投标人的资格条件进行审查。</w:t>
      </w:r>
    </w:p>
    <w:p w14:paraId="09EC8923">
      <w:pPr>
        <w:pStyle w:val="100"/>
        <w:adjustRightInd w:val="0"/>
        <w:snapToGrid w:val="0"/>
        <w:spacing w:before="0" w:line="288" w:lineRule="auto"/>
        <w:ind w:firstLine="422" w:firstLineChars="201"/>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对未通过资格审查的投标人，采购人或采购代理机构告知其未通过的原因。</w:t>
      </w:r>
    </w:p>
    <w:p w14:paraId="478B2944">
      <w:pPr>
        <w:pStyle w:val="100"/>
        <w:adjustRightInd w:val="0"/>
        <w:snapToGrid w:val="0"/>
        <w:spacing w:before="0" w:line="288" w:lineRule="auto"/>
        <w:ind w:firstLine="422" w:firstLineChars="201"/>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通过资格审查的投标人不足3家的，不再评标。</w:t>
      </w:r>
    </w:p>
    <w:p w14:paraId="7D233C8A">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（三）信用信息查询</w:t>
      </w:r>
    </w:p>
    <w:p w14:paraId="6FD7B380">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根据财库[2016]125号《关于在政府采购活动中查询及使用信用记录有关问题的通知》要求，采购代理机构会对投标人信用记录进行查询并甄别。</w:t>
      </w:r>
    </w:p>
    <w:p w14:paraId="7BE6D0C0">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1.</w:t>
      </w:r>
      <w:r>
        <w:rPr>
          <w:rFonts w:hint="eastAsia" w:ascii="仿宋" w:hAnsi="仿宋" w:eastAsia="仿宋" w:cs="仿宋"/>
          <w:b/>
          <w:color w:val="auto"/>
          <w:sz w:val="21"/>
          <w:szCs w:val="21"/>
          <w:highlight w:val="none"/>
        </w:rPr>
        <w:t>信用信息查询的截止时点：投标截止时间；</w:t>
      </w:r>
    </w:p>
    <w:p w14:paraId="743FF0CA">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w:t>
      </w:r>
      <w:r>
        <w:rPr>
          <w:rFonts w:hint="eastAsia" w:ascii="仿宋" w:hAnsi="仿宋" w:eastAsia="仿宋" w:cs="仿宋"/>
          <w:b/>
          <w:color w:val="auto"/>
          <w:sz w:val="21"/>
          <w:szCs w:val="21"/>
          <w:highlight w:val="none"/>
        </w:rPr>
        <w:t>查询渠道：“信用中国”（www.creditchina.gov.cn）、“中国政府采购网”（www.ccgp.gov.cn）；</w:t>
      </w:r>
    </w:p>
    <w:p w14:paraId="65E9D9CD">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3.</w:t>
      </w:r>
      <w:r>
        <w:rPr>
          <w:rFonts w:hint="eastAsia" w:ascii="仿宋" w:hAnsi="仿宋" w:eastAsia="仿宋" w:cs="仿宋"/>
          <w:b/>
          <w:color w:val="auto"/>
          <w:sz w:val="21"/>
          <w:szCs w:val="21"/>
          <w:highlight w:val="none"/>
        </w:rPr>
        <w:t>信用信息查询记录和证据留存具体方式：采购代理机构经办人和监督人员将查询网页打印、签名与其他采购文件一并保存；</w:t>
      </w:r>
    </w:p>
    <w:p w14:paraId="63386DCA">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4.</w:t>
      </w:r>
      <w:r>
        <w:rPr>
          <w:rFonts w:hint="eastAsia" w:ascii="仿宋" w:hAnsi="仿宋" w:eastAsia="仿宋" w:cs="仿宋"/>
          <w:b/>
          <w:color w:val="auto"/>
          <w:sz w:val="21"/>
          <w:szCs w:val="21"/>
          <w:highlight w:val="none"/>
        </w:rPr>
        <w:t>信用信息的使用规则：投标人被列入失信被执行人、重大税收违法案件当事人名单、政府采购严重违法失信行为记录名单的，拒绝其参与政府采购活动。</w:t>
      </w:r>
    </w:p>
    <w:p w14:paraId="7C5E932C">
      <w:pPr>
        <w:pStyle w:val="100"/>
        <w:adjustRightInd w:val="0"/>
        <w:snapToGrid w:val="0"/>
        <w:spacing w:before="0" w:line="288" w:lineRule="auto"/>
        <w:ind w:firstLine="424" w:firstLineChars="201"/>
        <w:rPr>
          <w:rFonts w:ascii="仿宋" w:hAnsi="仿宋" w:eastAsia="仿宋" w:cs="仿宋"/>
          <w:b/>
          <w:color w:val="auto"/>
          <w:kern w:val="0"/>
          <w:sz w:val="21"/>
          <w:szCs w:val="21"/>
          <w:highlight w:val="none"/>
        </w:rPr>
      </w:pPr>
      <w:r>
        <w:rPr>
          <w:rFonts w:hint="eastAsia" w:ascii="仿宋" w:hAnsi="仿宋" w:eastAsia="仿宋" w:cs="仿宋"/>
          <w:b/>
          <w:color w:val="auto"/>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A89DE2A">
      <w:pPr>
        <w:adjustRightInd w:val="0"/>
        <w:snapToGrid w:val="0"/>
        <w:spacing w:line="288" w:lineRule="auto"/>
        <w:ind w:firstLine="398" w:firstLineChars="200"/>
        <w:rPr>
          <w:rFonts w:ascii="仿宋" w:hAnsi="仿宋" w:eastAsia="仿宋" w:cs="仿宋"/>
          <w:b/>
          <w:bCs/>
          <w:color w:val="auto"/>
          <w:spacing w:val="-6"/>
          <w:szCs w:val="21"/>
          <w:highlight w:val="none"/>
        </w:rPr>
      </w:pPr>
    </w:p>
    <w:p w14:paraId="13834B26">
      <w:pPr>
        <w:adjustRightInd w:val="0"/>
        <w:snapToGrid w:val="0"/>
        <w:spacing w:line="288" w:lineRule="auto"/>
        <w:ind w:firstLine="398" w:firstLineChars="200"/>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特别说明：如遇政府采购云平台电子化开标或评审程序调整的，按调整后程序执行。</w:t>
      </w:r>
    </w:p>
    <w:bookmarkEnd w:id="44"/>
    <w:p w14:paraId="70021D4A">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48A442B5">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六、评  标</w:t>
      </w:r>
    </w:p>
    <w:p w14:paraId="0A3675D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bookmarkStart w:id="45" w:name="_Hlk94018958"/>
      <w:r>
        <w:rPr>
          <w:rFonts w:hint="eastAsia" w:ascii="仿宋" w:hAnsi="仿宋" w:eastAsia="仿宋" w:cs="仿宋"/>
          <w:color w:val="auto"/>
          <w:kern w:val="0"/>
          <w:szCs w:val="21"/>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0A9C1A0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评标中因评标委员会成员缺席、回避或者健康等特殊原因导致评标委员会组成不符合规定的，依法补足后继续评标。被更换的评标委员会成员所作出的评标意见无效。</w:t>
      </w:r>
    </w:p>
    <w:bookmarkEnd w:id="45"/>
    <w:p w14:paraId="139468A9">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ascii="仿宋" w:hAnsi="仿宋" w:eastAsia="仿宋" w:cs="仿宋"/>
          <w:b/>
          <w:color w:val="auto"/>
          <w:kern w:val="0"/>
          <w:szCs w:val="21"/>
          <w:highlight w:val="none"/>
        </w:rPr>
      </w:pPr>
      <w:bookmarkStart w:id="46" w:name="_Hlk94019000"/>
      <w:r>
        <w:rPr>
          <w:rFonts w:hint="eastAsia" w:ascii="仿宋" w:hAnsi="仿宋" w:eastAsia="仿宋" w:cs="仿宋"/>
          <w:b/>
          <w:color w:val="auto"/>
          <w:kern w:val="0"/>
          <w:szCs w:val="21"/>
          <w:highlight w:val="none"/>
        </w:rPr>
        <w:t>（一）符合性审查</w:t>
      </w:r>
    </w:p>
    <w:p w14:paraId="24BC452A">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评标委员会对符合资格的投标人的投标文件进行符合性审查，以确定其是否满足招标文件的实质性要求。不满足招标文件的实质性要求的，投标无效。</w:t>
      </w:r>
    </w:p>
    <w:p w14:paraId="5B800392">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（二）比较与评价</w:t>
      </w:r>
    </w:p>
    <w:p w14:paraId="41F48FF8">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评标委员会按照招标文件中规定的评标方法和标准，对符合性审查合格的投标文件进行商务和技术评估，综合比较与评价。</w:t>
      </w:r>
    </w:p>
    <w:p w14:paraId="398A5536">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54E0DE2B">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（三）汇总商务技术得分</w:t>
      </w:r>
    </w:p>
    <w:p w14:paraId="273FDA53">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评标委员会各成员独立对每个投标人的商务和技术文件进行评价，并汇总商务技术得分情况。</w:t>
      </w:r>
    </w:p>
    <w:p w14:paraId="7DB5467D">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（四）报价评审</w:t>
      </w:r>
    </w:p>
    <w:p w14:paraId="2D75FF6C">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政府采购云平台上传的电子投标文件报价与政府采购云平台录入报价不一致的，以上传的电子投标文件报价为准。</w:t>
      </w:r>
    </w:p>
    <w:p w14:paraId="13FE3291">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投标文件报价出现前后不一致的，按照下列规定修正：</w:t>
      </w:r>
    </w:p>
    <w:p w14:paraId="01E21979">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投标文件中开标一览表(报价表)内容与投标文件中相应内容不一致的，以开标一览表(报价表)为准；</w:t>
      </w:r>
    </w:p>
    <w:p w14:paraId="0843917E">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大写金额和小写金额不一致的，以大写金额为准；</w:t>
      </w:r>
    </w:p>
    <w:p w14:paraId="3D702F74">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单价金额小数点或者百分比有明显错位的，以开标一览表的总价为准，并修改单价；</w:t>
      </w:r>
    </w:p>
    <w:p w14:paraId="6077AC93">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总价金额与按单价汇总金额不一致的，以单价金额计算结果为准。</w:t>
      </w:r>
    </w:p>
    <w:p w14:paraId="7C1D4DB0">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同时出现两种以上不一致的，按照前款规定的顺序修正。修正后的报价按照财政部第87号令《政府采购货物和服务招标投标管理办法》第五十一条第二款的规定“投标人的澄清、说明或者补正应当采用书面形式，并</w:t>
      </w:r>
      <w:bookmarkStart w:id="47" w:name="_Hlk96329302"/>
      <w:r>
        <w:rPr>
          <w:rFonts w:hint="eastAsia" w:ascii="仿宋" w:hAnsi="仿宋" w:eastAsia="仿宋" w:cs="仿宋"/>
          <w:color w:val="auto"/>
          <w:kern w:val="0"/>
          <w:sz w:val="21"/>
          <w:szCs w:val="21"/>
          <w:highlight w:val="none"/>
        </w:rPr>
        <w:t>加盖公章，或者由</w:t>
      </w:r>
      <w:r>
        <w:rPr>
          <w:rFonts w:hint="eastAsia" w:ascii="仿宋" w:hAnsi="仿宋" w:eastAsia="仿宋" w:cs="仿宋"/>
          <w:color w:val="auto"/>
          <w:kern w:val="0"/>
          <w:sz w:val="21"/>
          <w:szCs w:val="21"/>
          <w:highlight w:val="none"/>
          <w:lang w:eastAsia="zh-CN"/>
        </w:rPr>
        <w:t>投标人代表</w:t>
      </w:r>
      <w:r>
        <w:rPr>
          <w:rFonts w:hint="eastAsia" w:ascii="仿宋" w:hAnsi="仿宋" w:eastAsia="仿宋" w:cs="仿宋"/>
          <w:color w:val="auto"/>
          <w:kern w:val="0"/>
          <w:sz w:val="21"/>
          <w:szCs w:val="21"/>
          <w:highlight w:val="none"/>
        </w:rPr>
        <w:t>签名</w:t>
      </w:r>
      <w:bookmarkEnd w:id="47"/>
      <w:r>
        <w:rPr>
          <w:rFonts w:hint="eastAsia" w:ascii="仿宋" w:hAnsi="仿宋" w:eastAsia="仿宋" w:cs="仿宋"/>
          <w:color w:val="auto"/>
          <w:kern w:val="0"/>
          <w:sz w:val="21"/>
          <w:szCs w:val="21"/>
          <w:highlight w:val="none"/>
        </w:rPr>
        <w:t>。投标人的澄清、说明或者补正不得超出投标文件的范围或者改变投标文件的实质性内容。”经投标人确认后产生约束力。投标人不确认的，其投标无效。</w:t>
      </w:r>
    </w:p>
    <w:p w14:paraId="45BA420B">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6" w:firstLineChars="202"/>
        <w:textAlignment w:val="auto"/>
        <w:rPr>
          <w:rFonts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投标人收到修正确认文件后，在规定时间内未做出回复的，视为不确认。</w:t>
      </w:r>
    </w:p>
    <w:p w14:paraId="5BDC49A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仿宋" w:hAnsi="仿宋" w:eastAsia="仿宋" w:cs="仿宋"/>
          <w:b/>
          <w:bCs/>
          <w:i w:val="0"/>
          <w:iCs w:val="0"/>
          <w:caps w:val="0"/>
          <w:color w:val="auto"/>
          <w:spacing w:val="-2"/>
          <w:kern w:val="0"/>
          <w:sz w:val="21"/>
          <w:szCs w:val="21"/>
          <w:highlight w:val="none"/>
          <w:shd w:val="clear" w:fill="FFFFFF"/>
          <w:lang w:val="en-US" w:eastAsia="zh-CN" w:bidi="ar"/>
        </w:rPr>
      </w:pPr>
      <w:r>
        <w:rPr>
          <w:rFonts w:hint="eastAsia" w:ascii="仿宋" w:hAnsi="仿宋" w:eastAsia="仿宋" w:cs="仿宋"/>
          <w:b/>
          <w:bCs/>
          <w:i w:val="0"/>
          <w:iCs w:val="0"/>
          <w:caps w:val="0"/>
          <w:color w:val="auto"/>
          <w:spacing w:val="-2"/>
          <w:kern w:val="0"/>
          <w:sz w:val="21"/>
          <w:szCs w:val="21"/>
          <w:highlight w:val="none"/>
          <w:shd w:val="clear" w:fill="FFFFFF"/>
          <w:lang w:val="en-US" w:eastAsia="zh-CN" w:bidi="ar"/>
        </w:rPr>
        <w:t>评审中出现下列情形之一的，评标委员会应当启动异常低价投标审查程序：</w:t>
      </w:r>
    </w:p>
    <w:p w14:paraId="042ED5C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（一）投标报价低于全部通过符合性审查投标人投标报价平均值50%的，即投标报价&lt;全部通过符合性审查投标人投标报价平均值×50%；</w:t>
      </w:r>
    </w:p>
    <w:p w14:paraId="30EC545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（二）投标报价低于通过符合性审查且报价次低投标人投标报价50%的，即投标报价&lt;通过符合性审查且报价次低投标人投标报价×50%；</w:t>
      </w:r>
    </w:p>
    <w:p w14:paraId="720570A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（三）投标报价低于采购项目最高限价45%的，即投标报价&lt;采购项目最高限价×45%；</w:t>
      </w:r>
    </w:p>
    <w:p w14:paraId="28ACC84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（四）其他评标委员会认为投标人报价过低，有可能影响产品质量或者不能诚信履约的情形。</w:t>
      </w:r>
    </w:p>
    <w:p w14:paraId="64DD84A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评标委员会启动异常低价投标审查后，应当要求相关投标人在评标现场合理的时间内提供书面说明及必要的证明材料，对投标价格作出解释。书面说明、证明材料主要是</w:t>
      </w:r>
      <w:r>
        <w:rPr>
          <w:rFonts w:hint="eastAsia" w:ascii="仿宋" w:hAnsi="仿宋" w:eastAsia="仿宋" w:cs="仿宋"/>
          <w:b/>
          <w:bCs/>
          <w:i w:val="0"/>
          <w:iCs w:val="0"/>
          <w:caps w:val="0"/>
          <w:color w:val="auto"/>
          <w:spacing w:val="-2"/>
          <w:kern w:val="0"/>
          <w:sz w:val="21"/>
          <w:szCs w:val="21"/>
          <w:highlight w:val="none"/>
          <w:u w:val="none"/>
          <w:shd w:val="clear" w:fill="FFFFFF"/>
          <w:lang w:val="en-US" w:eastAsia="zh-CN" w:bidi="ar"/>
        </w:rPr>
        <w:t>项目具体成本测算等与报价合理性相关的说明、材料</w:t>
      </w: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w:t>
      </w:r>
    </w:p>
    <w:p w14:paraId="3029D71C">
      <w:pPr>
        <w:keepNext w:val="0"/>
        <w:keepLines w:val="0"/>
        <w:pageBreakBefore w:val="0"/>
        <w:widowControl w:val="0"/>
        <w:kinsoku/>
        <w:wordWrap/>
        <w:overflowPunct/>
        <w:topLinePunct w:val="0"/>
        <w:autoSpaceDE/>
        <w:autoSpaceDN/>
        <w:bidi w:val="0"/>
        <w:adjustRightInd w:val="0"/>
        <w:snapToGrid w:val="0"/>
        <w:spacing w:line="288" w:lineRule="auto"/>
        <w:ind w:firstLine="416" w:firstLineChars="202"/>
        <w:textAlignment w:val="auto"/>
        <w:outlineLvl w:val="9"/>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评标委员会应当结合同类产品在主要电商平台的价格、该行业当地薪资水平等情况，依据专业经验对报价合理性进行判断。如果投标人不提供书面说明、证明材料，或者提供的书面说明、证明材料不能证明其报价合理性的，应当将其作为无效投标处理。审查相关情况应当在评标报告中记录。</w:t>
      </w:r>
    </w:p>
    <w:p w14:paraId="0E6474D9">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（五）投标人澄清、说明或者补正</w:t>
      </w:r>
    </w:p>
    <w:p w14:paraId="60416B1B">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ECEE07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投标人的书面澄清、说明或者补正无法通过政府采购云平台上传的，可在规定时间内（不少于半小时）通过指定的电子邮箱（zb08@qszb.net）提交。</w:t>
      </w:r>
    </w:p>
    <w:p w14:paraId="7229C1DE">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（六）排序与推荐</w:t>
      </w:r>
    </w:p>
    <w:p w14:paraId="60E81ABA">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评标方法</w:t>
      </w:r>
      <w:r>
        <w:rPr>
          <w:rFonts w:hint="eastAsia" w:ascii="仿宋" w:hAnsi="仿宋" w:eastAsia="仿宋" w:cs="仿宋"/>
          <w:color w:val="auto"/>
          <w:kern w:val="0"/>
          <w:szCs w:val="21"/>
          <w:highlight w:val="none"/>
        </w:rPr>
        <w:t>：本项目</w:t>
      </w:r>
      <w:r>
        <w:rPr>
          <w:rFonts w:hint="eastAsia" w:ascii="仿宋" w:hAnsi="仿宋" w:eastAsia="仿宋" w:cs="仿宋"/>
          <w:color w:val="auto"/>
          <w:kern w:val="0"/>
          <w:szCs w:val="21"/>
          <w:highlight w:val="none"/>
          <w:lang w:eastAsia="zh-CN"/>
        </w:rPr>
        <w:t>评标方法</w:t>
      </w:r>
      <w:r>
        <w:rPr>
          <w:rFonts w:hint="eastAsia" w:ascii="仿宋" w:hAnsi="仿宋" w:eastAsia="仿宋" w:cs="仿宋"/>
          <w:color w:val="auto"/>
          <w:kern w:val="0"/>
          <w:szCs w:val="21"/>
          <w:highlight w:val="none"/>
        </w:rPr>
        <w:t>是综合评分法，具体</w:t>
      </w:r>
      <w:r>
        <w:rPr>
          <w:rFonts w:hint="eastAsia" w:ascii="仿宋" w:hAnsi="仿宋" w:eastAsia="仿宋" w:cs="仿宋"/>
          <w:color w:val="auto"/>
          <w:kern w:val="0"/>
          <w:szCs w:val="21"/>
          <w:highlight w:val="none"/>
          <w:lang w:eastAsia="zh-CN"/>
        </w:rPr>
        <w:t>评标方法和评标标准</w:t>
      </w:r>
      <w:r>
        <w:rPr>
          <w:rFonts w:hint="eastAsia" w:ascii="仿宋" w:hAnsi="仿宋" w:eastAsia="仿宋" w:cs="仿宋"/>
          <w:color w:val="auto"/>
          <w:kern w:val="0"/>
          <w:szCs w:val="21"/>
          <w:highlight w:val="none"/>
        </w:rPr>
        <w:t>等详见“第四章：</w:t>
      </w:r>
      <w:r>
        <w:rPr>
          <w:rFonts w:hint="eastAsia" w:ascii="仿宋" w:hAnsi="仿宋" w:eastAsia="仿宋" w:cs="仿宋"/>
          <w:color w:val="auto"/>
          <w:kern w:val="0"/>
          <w:szCs w:val="21"/>
          <w:highlight w:val="none"/>
          <w:lang w:eastAsia="zh-CN"/>
        </w:rPr>
        <w:t>评标方法和评标标准</w:t>
      </w:r>
      <w:r>
        <w:rPr>
          <w:rFonts w:hint="eastAsia" w:ascii="仿宋" w:hAnsi="仿宋" w:eastAsia="仿宋" w:cs="仿宋"/>
          <w:color w:val="auto"/>
          <w:kern w:val="0"/>
          <w:szCs w:val="21"/>
          <w:highlight w:val="none"/>
        </w:rPr>
        <w:t>”。</w:t>
      </w:r>
    </w:p>
    <w:p w14:paraId="6273F587">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bCs/>
          <w:color w:val="auto"/>
          <w:spacing w:val="-6"/>
          <w:szCs w:val="21"/>
          <w:highlight w:val="none"/>
        </w:rPr>
        <w:t>本项目推荐</w:t>
      </w:r>
      <w:r>
        <w:rPr>
          <w:rFonts w:hint="eastAsia" w:ascii="仿宋" w:hAnsi="仿宋" w:eastAsia="仿宋" w:cs="仿宋"/>
          <w:bCs/>
          <w:color w:val="auto"/>
          <w:spacing w:val="-6"/>
          <w:szCs w:val="21"/>
          <w:highlight w:val="none"/>
          <w:lang w:val="en-US" w:eastAsia="zh-CN"/>
        </w:rPr>
        <w:t>一</w:t>
      </w:r>
      <w:r>
        <w:rPr>
          <w:rFonts w:hint="eastAsia" w:ascii="仿宋" w:hAnsi="仿宋" w:eastAsia="仿宋" w:cs="仿宋"/>
          <w:bCs/>
          <w:color w:val="auto"/>
          <w:spacing w:val="-6"/>
          <w:szCs w:val="21"/>
          <w:highlight w:val="none"/>
        </w:rPr>
        <w:t>名中标候选人。</w:t>
      </w:r>
    </w:p>
    <w:p w14:paraId="1CF1BF27">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提供相同品牌产品且通过资格审查、符合性审查的不同投标人参加同一合同项下投标的，按一家投标人计算，评审后得分最高的同品牌投标人获得中标人推荐资格；评审得分相同的，按投标报价由低到高顺序排列。得分且投标报价相同的，由采购人确定一个投标人获得中标人推荐资格，其他同品牌投标人不作为中标候选人。</w:t>
      </w:r>
    </w:p>
    <w:p w14:paraId="5D8A3864">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非单一产品采购项目，采购人应当根据采购项目技术构成、产品价格比重等合理确定核心产品，并在招标文件中载明。多家投标人提供的核心产品品牌相同的</w:t>
      </w:r>
      <w:r>
        <w:rPr>
          <w:rFonts w:hint="eastAsia" w:ascii="仿宋" w:hAnsi="仿宋" w:eastAsia="仿宋" w:cs="仿宋"/>
          <w:kern w:val="0"/>
          <w:szCs w:val="21"/>
          <w:highlight w:val="none"/>
          <w:lang w:eastAsia="zh-CN"/>
        </w:rPr>
        <w:t>（</w:t>
      </w:r>
      <w:r>
        <w:rPr>
          <w:rFonts w:hint="eastAsia" w:ascii="仿宋" w:hAnsi="仿宋" w:eastAsia="仿宋" w:cs="仿宋"/>
          <w:kern w:val="0"/>
          <w:szCs w:val="21"/>
          <w:highlight w:val="none"/>
        </w:rPr>
        <w:t>设定多个核心产品的</w:t>
      </w:r>
      <w:r>
        <w:rPr>
          <w:rFonts w:hint="eastAsia" w:ascii="仿宋" w:hAnsi="仿宋" w:eastAsia="仿宋" w:cs="仿宋"/>
          <w:kern w:val="0"/>
          <w:szCs w:val="21"/>
          <w:highlight w:val="none"/>
          <w:lang w:eastAsia="zh-CN"/>
        </w:rPr>
        <w:t>，</w:t>
      </w:r>
      <w:r>
        <w:rPr>
          <w:rFonts w:hint="eastAsia" w:ascii="仿宋" w:hAnsi="仿宋" w:eastAsia="仿宋" w:cs="仿宋"/>
          <w:kern w:val="0"/>
          <w:szCs w:val="21"/>
          <w:highlight w:val="none"/>
        </w:rPr>
        <w:t>任意一个核心产品</w:t>
      </w:r>
      <w:r>
        <w:rPr>
          <w:rFonts w:hint="eastAsia" w:ascii="仿宋" w:hAnsi="仿宋" w:eastAsia="仿宋" w:cs="仿宋"/>
          <w:kern w:val="0"/>
          <w:szCs w:val="21"/>
          <w:highlight w:val="none"/>
          <w:lang w:val="en-US" w:eastAsia="zh-CN"/>
        </w:rPr>
        <w:t>的</w:t>
      </w:r>
      <w:r>
        <w:rPr>
          <w:rFonts w:hint="eastAsia" w:ascii="仿宋" w:hAnsi="仿宋" w:eastAsia="仿宋" w:cs="仿宋"/>
          <w:kern w:val="0"/>
          <w:szCs w:val="21"/>
          <w:highlight w:val="none"/>
        </w:rPr>
        <w:t>品牌相同即视为核心产品品牌相同</w:t>
      </w:r>
      <w:r>
        <w:rPr>
          <w:rFonts w:hint="eastAsia" w:ascii="仿宋" w:hAnsi="仿宋" w:eastAsia="仿宋" w:cs="仿宋"/>
          <w:kern w:val="0"/>
          <w:szCs w:val="21"/>
          <w:highlight w:val="none"/>
          <w:lang w:eastAsia="zh-CN"/>
        </w:rPr>
        <w:t>）</w:t>
      </w:r>
      <w:r>
        <w:rPr>
          <w:rFonts w:hint="eastAsia" w:ascii="仿宋" w:hAnsi="仿宋" w:eastAsia="仿宋" w:cs="仿宋"/>
          <w:color w:val="auto"/>
          <w:kern w:val="0"/>
          <w:szCs w:val="21"/>
          <w:highlight w:val="none"/>
        </w:rPr>
        <w:t>，按前款规定处理。</w:t>
      </w:r>
    </w:p>
    <w:p w14:paraId="3FFFBBAE">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（七）编写评标报告</w:t>
      </w:r>
    </w:p>
    <w:p w14:paraId="2D591F3D">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根据全体评标成员签名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bookmarkEnd w:id="46"/>
    <w:p w14:paraId="4AC23084">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20678248">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七、中标与合同</w:t>
      </w:r>
    </w:p>
    <w:p w14:paraId="08A7C3B2">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中标</w:t>
      </w:r>
    </w:p>
    <w:p w14:paraId="386D4FFD">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1.采购代理机构应当在评标结束后2个工作日内将评标报告送采购人。采购人应当自收到评标报告之日起5个工作日内，在评标报告确定的中标候选人名单中按顺序确定中标人，也可以书面授权评标委员会直接确定中标人。中标候选人并列的，由采购人确定中标人</w:t>
      </w:r>
      <w:r>
        <w:rPr>
          <w:rFonts w:hint="eastAsia" w:ascii="仿宋" w:hAnsi="仿宋" w:eastAsia="仿宋" w:cs="仿宋"/>
          <w:color w:val="auto"/>
          <w:spacing w:val="-6"/>
          <w:szCs w:val="21"/>
          <w:highlight w:val="none"/>
          <w:lang w:eastAsia="zh-CN"/>
        </w:rPr>
        <w:t>；</w:t>
      </w:r>
    </w:p>
    <w:p w14:paraId="55A4F8B7">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2.采购代理机构自中标人确定之日起2个工作日内，公告中标结果，并发出中标通知书</w:t>
      </w:r>
      <w:r>
        <w:rPr>
          <w:rFonts w:hint="eastAsia" w:ascii="仿宋" w:hAnsi="仿宋" w:eastAsia="仿宋" w:cs="仿宋"/>
          <w:color w:val="auto"/>
          <w:spacing w:val="-6"/>
          <w:szCs w:val="21"/>
          <w:highlight w:val="none"/>
          <w:lang w:eastAsia="zh-CN"/>
        </w:rPr>
        <w:t>；</w:t>
      </w:r>
    </w:p>
    <w:p w14:paraId="0C30ED63">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3.评标结果公示媒体：浙江政府采购网（http://zfcg.czt.zj.gov.cn）。</w:t>
      </w:r>
    </w:p>
    <w:p w14:paraId="33262479">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2"/>
        <w:rPr>
          <w:rFonts w:hint="eastAsia" w:ascii="仿宋" w:hAnsi="仿宋" w:eastAsia="仿宋" w:cs="仿宋"/>
          <w:b/>
          <w:color w:val="auto"/>
          <w:spacing w:val="-6"/>
          <w:szCs w:val="21"/>
          <w:highlight w:val="none"/>
          <w:lang w:eastAsia="zh-CN"/>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）合同</w:t>
      </w:r>
    </w:p>
    <w:p w14:paraId="531721BC">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214E289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125076D2">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BA5ADD9">
      <w:pPr>
        <w:adjustRightInd w:val="0"/>
        <w:snapToGrid w:val="0"/>
        <w:spacing w:line="288" w:lineRule="auto"/>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八、验  收</w:t>
      </w:r>
    </w:p>
    <w:p w14:paraId="6F528112">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184675B1">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采购人可以邀请参加本项目的其他投标人或者第三方机构参与验收。参与验收的投标人或者第三方机构的意见作为验收书的参考资料一并存档。</w:t>
      </w:r>
    </w:p>
    <w:p w14:paraId="710E59FA">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436F839">
      <w:pPr>
        <w:tabs>
          <w:tab w:val="left" w:pos="0"/>
        </w:tabs>
        <w:adjustRightInd w:val="0"/>
        <w:snapToGrid w:val="0"/>
        <w:spacing w:line="288" w:lineRule="auto"/>
        <w:ind w:firstLine="422" w:firstLineChars="201"/>
        <w:rPr>
          <w:rFonts w:ascii="仿宋" w:hAnsi="仿宋" w:eastAsia="仿宋" w:cs="仿宋"/>
          <w:b/>
          <w:color w:val="auto"/>
          <w:spacing w:val="-6"/>
          <w:szCs w:val="21"/>
          <w:highlight w:val="none"/>
        </w:rPr>
      </w:pPr>
      <w:r>
        <w:rPr>
          <w:rFonts w:hint="eastAsia" w:ascii="仿宋" w:hAnsi="仿宋" w:eastAsia="仿宋" w:cs="仿宋"/>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542942F">
      <w:pPr>
        <w:adjustRightInd w:val="0"/>
        <w:snapToGrid w:val="0"/>
        <w:spacing w:line="288" w:lineRule="auto"/>
        <w:ind w:firstLine="398" w:firstLineChars="20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71E835C">
      <w:pPr>
        <w:adjustRightInd w:val="0"/>
        <w:snapToGrid w:val="0"/>
        <w:spacing w:line="288" w:lineRule="auto"/>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九、可中止电子交易活动的情形</w:t>
      </w:r>
    </w:p>
    <w:p w14:paraId="632CF04D">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采购过程中出现以下情形，导致电子交易平台无法正常运行，或者无法保证电子交易的公平、公正和安全时，采购代理机构可中止电子交易活动：</w:t>
      </w:r>
    </w:p>
    <w:p w14:paraId="54560C96">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1.电子交易平台发生故障而无法登录访问的；</w:t>
      </w:r>
    </w:p>
    <w:p w14:paraId="38B65748">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2.电子交易平台应用或数据库出现错误，不能进行正常操作的；</w:t>
      </w:r>
    </w:p>
    <w:p w14:paraId="5A208600">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3.电子交易平台发现严重安全漏洞，有潜在泄密危险的；</w:t>
      </w:r>
    </w:p>
    <w:p w14:paraId="2D301938">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4.病毒发作导致不能进行正常操作的；</w:t>
      </w:r>
    </w:p>
    <w:p w14:paraId="55A0F61B">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5.其他无法保证电子交易的公平、公正和安全的情况。</w:t>
      </w:r>
    </w:p>
    <w:p w14:paraId="5A4BAC90">
      <w:pPr>
        <w:adjustRightInd w:val="0"/>
        <w:snapToGrid w:val="0"/>
        <w:spacing w:line="288" w:lineRule="auto"/>
        <w:ind w:firstLine="396" w:firstLineChars="200"/>
        <w:rPr>
          <w:rFonts w:ascii="仿宋" w:hAnsi="仿宋" w:eastAsia="仿宋" w:cs="仿宋"/>
          <w:color w:val="auto"/>
          <w:szCs w:val="21"/>
          <w:highlight w:val="none"/>
        </w:rPr>
      </w:pPr>
      <w:r>
        <w:rPr>
          <w:rFonts w:hint="eastAsia" w:ascii="仿宋" w:hAnsi="仿宋" w:eastAsia="仿宋" w:cs="仿宋"/>
          <w:color w:val="auto"/>
          <w:spacing w:val="-6"/>
          <w:szCs w:val="21"/>
          <w:highlight w:val="none"/>
        </w:rPr>
        <w:t>出现前款规定情形，不影响采购公平、公正性的，采购代理机构可以待上述情形消除后继续组织电子交易活动；影响或可能影响采购公平、公正性的，应当重新采购。</w:t>
      </w:r>
    </w:p>
    <w:p w14:paraId="065E15B2">
      <w:pPr>
        <w:adjustRightInd w:val="0"/>
        <w:snapToGrid w:val="0"/>
        <w:spacing w:line="288" w:lineRule="auto"/>
        <w:ind w:left="0" w:leftChars="0" w:right="0" w:rightChars="0" w:firstLine="0" w:firstLineChars="0"/>
        <w:jc w:val="center"/>
        <w:rPr>
          <w:rFonts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57FAB620">
      <w:pPr>
        <w:adjustRightInd w:val="0"/>
        <w:snapToGrid w:val="0"/>
        <w:spacing w:line="288" w:lineRule="auto"/>
        <w:ind w:left="0" w:leftChars="0" w:right="0" w:rightChars="0" w:firstLine="0" w:firstLineChars="0"/>
        <w:jc w:val="center"/>
        <w:outlineLvl w:val="0"/>
        <w:rPr>
          <w:rFonts w:hint="eastAsia" w:ascii="仿宋" w:hAnsi="仿宋" w:eastAsia="仿宋" w:cs="仿宋"/>
          <w:b/>
          <w:color w:val="auto"/>
          <w:spacing w:val="-6"/>
          <w:sz w:val="32"/>
          <w:szCs w:val="32"/>
          <w:highlight w:val="none"/>
          <w:lang w:eastAsia="zh-CN"/>
        </w:rPr>
      </w:pPr>
      <w:r>
        <w:rPr>
          <w:rFonts w:hint="eastAsia" w:ascii="仿宋" w:hAnsi="仿宋" w:eastAsia="仿宋" w:cs="仿宋"/>
          <w:b/>
          <w:color w:val="auto"/>
          <w:sz w:val="32"/>
          <w:szCs w:val="32"/>
          <w:highlight w:val="none"/>
        </w:rPr>
        <w:t xml:space="preserve">第四章  </w:t>
      </w:r>
      <w:r>
        <w:rPr>
          <w:rFonts w:hint="eastAsia" w:ascii="仿宋" w:hAnsi="仿宋" w:eastAsia="仿宋" w:cs="仿宋"/>
          <w:b/>
          <w:color w:val="auto"/>
          <w:sz w:val="32"/>
          <w:szCs w:val="32"/>
          <w:highlight w:val="none"/>
          <w:lang w:eastAsia="zh-CN"/>
        </w:rPr>
        <w:t>评标方法和评标标准</w:t>
      </w:r>
    </w:p>
    <w:p w14:paraId="5E929356">
      <w:pPr>
        <w:adjustRightInd w:val="0"/>
        <w:snapToGrid w:val="0"/>
        <w:spacing w:line="288" w:lineRule="auto"/>
        <w:outlineLvl w:val="1"/>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一、评标方法</w:t>
      </w:r>
    </w:p>
    <w:p w14:paraId="60326A52">
      <w:pPr>
        <w:adjustRightInd w:val="0"/>
        <w:snapToGrid w:val="0"/>
        <w:spacing w:line="288" w:lineRule="auto"/>
        <w:ind w:firstLine="396" w:firstLineChars="200"/>
        <w:rPr>
          <w:rFonts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本次评标采用综合评分法，总分为100分。评分过程中采用四舍五入法，并保留小数2位。</w:t>
      </w:r>
    </w:p>
    <w:p w14:paraId="1736E3D5">
      <w:pPr>
        <w:adjustRightInd w:val="0"/>
        <w:snapToGrid w:val="0"/>
        <w:spacing w:line="288" w:lineRule="auto"/>
        <w:ind w:firstLine="396" w:firstLineChars="200"/>
        <w:rPr>
          <w:rFonts w:ascii="仿宋" w:hAnsi="仿宋" w:eastAsia="仿宋" w:cs="仿宋"/>
          <w:bCs/>
          <w:color w:val="auto"/>
          <w:spacing w:val="-6"/>
          <w:szCs w:val="21"/>
          <w:highlight w:val="none"/>
        </w:rPr>
      </w:pPr>
      <w:r>
        <w:rPr>
          <w:rFonts w:hint="eastAsia" w:ascii="仿宋" w:hAnsi="仿宋" w:eastAsia="仿宋" w:cs="仿宋"/>
          <w:color w:val="auto"/>
          <w:spacing w:val="-6"/>
          <w:szCs w:val="21"/>
          <w:highlight w:val="none"/>
        </w:rPr>
        <w:t>投标人评标</w:t>
      </w:r>
      <w:r>
        <w:rPr>
          <w:rFonts w:hint="eastAsia" w:ascii="仿宋" w:hAnsi="仿宋" w:eastAsia="仿宋" w:cs="仿宋"/>
          <w:bCs/>
          <w:color w:val="auto"/>
          <w:spacing w:val="-6"/>
          <w:szCs w:val="21"/>
          <w:highlight w:val="none"/>
        </w:rPr>
        <w:t>综合得分=商务分+技术分+价格分</w:t>
      </w:r>
    </w:p>
    <w:p w14:paraId="5B8D4A3B">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bCs/>
          <w:color w:val="auto"/>
          <w:spacing w:val="-6"/>
          <w:szCs w:val="21"/>
          <w:highlight w:val="none"/>
        </w:rPr>
        <w:t>商务和技术分按照评标委员会成员的独立评分结果的算术平均分计算，计算公式为：商务分、技术分=评标委员会所有成员评分合计数/评标委员会组成人员数</w:t>
      </w:r>
    </w:p>
    <w:p w14:paraId="6E78564B">
      <w:pPr>
        <w:adjustRightInd w:val="0"/>
        <w:snapToGrid w:val="0"/>
        <w:spacing w:line="288" w:lineRule="auto"/>
        <w:outlineLvl w:val="1"/>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二、评标标准</w:t>
      </w:r>
    </w:p>
    <w:tbl>
      <w:tblPr>
        <w:tblStyle w:val="24"/>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7"/>
        <w:gridCol w:w="683"/>
        <w:gridCol w:w="7455"/>
      </w:tblGrid>
      <w:tr w14:paraId="08915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Align w:val="center"/>
          </w:tcPr>
          <w:p w14:paraId="7AE4374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评审因素</w:t>
            </w:r>
          </w:p>
        </w:tc>
        <w:tc>
          <w:tcPr>
            <w:tcW w:w="355" w:type="pct"/>
            <w:vAlign w:val="center"/>
          </w:tcPr>
          <w:p w14:paraId="75D8715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分值</w:t>
            </w:r>
          </w:p>
        </w:tc>
        <w:tc>
          <w:tcPr>
            <w:tcW w:w="3876" w:type="pct"/>
            <w:vAlign w:val="center"/>
          </w:tcPr>
          <w:p w14:paraId="6B61DA73">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评分标准</w:t>
            </w:r>
          </w:p>
        </w:tc>
      </w:tr>
      <w:tr w14:paraId="3C691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3"/>
            <w:vAlign w:val="center"/>
          </w:tcPr>
          <w:p w14:paraId="62F9B54A">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价格分</w:t>
            </w:r>
          </w:p>
        </w:tc>
      </w:tr>
      <w:tr w14:paraId="65515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tcBorders>
              <w:top w:val="single" w:color="auto" w:sz="4" w:space="0"/>
              <w:left w:val="single" w:color="auto" w:sz="4" w:space="0"/>
              <w:bottom w:val="single" w:color="auto" w:sz="4" w:space="0"/>
              <w:right w:val="single" w:color="auto" w:sz="4" w:space="0"/>
            </w:tcBorders>
            <w:vAlign w:val="center"/>
          </w:tcPr>
          <w:p w14:paraId="6E8321E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投标报价</w:t>
            </w:r>
          </w:p>
        </w:tc>
        <w:tc>
          <w:tcPr>
            <w:tcW w:w="355" w:type="pct"/>
            <w:tcBorders>
              <w:top w:val="single" w:color="auto" w:sz="4" w:space="0"/>
              <w:left w:val="single" w:color="auto" w:sz="4" w:space="0"/>
              <w:bottom w:val="single" w:color="auto" w:sz="4" w:space="0"/>
              <w:right w:val="single" w:color="auto" w:sz="4" w:space="0"/>
            </w:tcBorders>
            <w:vAlign w:val="center"/>
          </w:tcPr>
          <w:p w14:paraId="6574DDBB">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30</w:t>
            </w:r>
          </w:p>
        </w:tc>
        <w:tc>
          <w:tcPr>
            <w:tcW w:w="3876" w:type="pct"/>
            <w:tcBorders>
              <w:top w:val="single" w:color="auto" w:sz="4" w:space="0"/>
              <w:left w:val="single" w:color="auto" w:sz="4" w:space="0"/>
              <w:bottom w:val="single" w:color="auto" w:sz="4" w:space="0"/>
              <w:right w:val="single" w:color="auto" w:sz="4" w:space="0"/>
            </w:tcBorders>
            <w:vAlign w:val="center"/>
          </w:tcPr>
          <w:p w14:paraId="3481E8A5">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价格分采用低价优先法计算，即满足招标文件要求且投标价格最低的投标报价为评标基准价，其价格分为满分。其他投标人的价格分按照下列公式计算：</w:t>
            </w:r>
          </w:p>
          <w:p w14:paraId="587E20F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价格分=（评标基准价/投标报价）*</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%*100</w:t>
            </w:r>
          </w:p>
          <w:p w14:paraId="0CA29AA8">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 w:val="18"/>
                <w:szCs w:val="18"/>
                <w:highlight w:val="none"/>
              </w:rPr>
              <w:t>注：本</w:t>
            </w:r>
            <w:r>
              <w:rPr>
                <w:rFonts w:hint="eastAsia" w:ascii="仿宋" w:hAnsi="仿宋" w:eastAsia="仿宋" w:cs="仿宋"/>
                <w:b/>
                <w:bCs/>
                <w:color w:val="auto"/>
                <w:sz w:val="18"/>
                <w:szCs w:val="18"/>
                <w:highlight w:val="none"/>
                <w:lang w:val="en-US" w:eastAsia="zh-CN"/>
              </w:rPr>
              <w:t>项目</w:t>
            </w:r>
            <w:r>
              <w:rPr>
                <w:rFonts w:hint="eastAsia" w:ascii="仿宋" w:hAnsi="仿宋" w:eastAsia="仿宋" w:cs="仿宋"/>
                <w:b/>
                <w:bCs/>
                <w:color w:val="auto"/>
                <w:sz w:val="18"/>
                <w:szCs w:val="18"/>
                <w:highlight w:val="none"/>
              </w:rPr>
              <w:t>对符合规定的小微企业报价给予</w:t>
            </w:r>
            <w:r>
              <w:rPr>
                <w:rFonts w:hint="eastAsia" w:ascii="仿宋" w:hAnsi="仿宋" w:eastAsia="仿宋" w:cs="仿宋"/>
                <w:b/>
                <w:bCs/>
                <w:color w:val="auto"/>
                <w:sz w:val="18"/>
                <w:szCs w:val="18"/>
                <w:highlight w:val="none"/>
                <w:lang w:val="en-US" w:eastAsia="zh-CN"/>
              </w:rPr>
              <w:t>10</w:t>
            </w:r>
            <w:r>
              <w:rPr>
                <w:rFonts w:hint="eastAsia" w:ascii="仿宋" w:hAnsi="仿宋" w:eastAsia="仿宋" w:cs="仿宋"/>
                <w:b/>
                <w:bCs/>
                <w:color w:val="auto"/>
                <w:sz w:val="18"/>
                <w:szCs w:val="18"/>
                <w:highlight w:val="none"/>
              </w:rPr>
              <w:t>%的扣除后计算价格得分。对于联合协议约定小微企业的合同份额占到合同总金额30%以上的，对联合体的报价给予</w:t>
            </w:r>
            <w:r>
              <w:rPr>
                <w:rFonts w:hint="eastAsia" w:ascii="仿宋" w:hAnsi="仿宋" w:eastAsia="仿宋" w:cs="仿宋"/>
                <w:b/>
                <w:bCs/>
                <w:color w:val="auto"/>
                <w:sz w:val="18"/>
                <w:szCs w:val="18"/>
                <w:highlight w:val="none"/>
                <w:lang w:val="en-US" w:eastAsia="zh-CN"/>
              </w:rPr>
              <w:t>4</w:t>
            </w:r>
            <w:r>
              <w:rPr>
                <w:rFonts w:hint="eastAsia" w:ascii="仿宋" w:hAnsi="仿宋" w:eastAsia="仿宋" w:cs="仿宋"/>
                <w:b/>
                <w:bCs/>
                <w:color w:val="auto"/>
                <w:sz w:val="18"/>
                <w:szCs w:val="18"/>
                <w:highlight w:val="none"/>
              </w:rPr>
              <w:t>%的扣除，用扣除后的价格参加评审。</w:t>
            </w:r>
          </w:p>
        </w:tc>
      </w:tr>
      <w:tr w14:paraId="04474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3"/>
            <w:vAlign w:val="center"/>
          </w:tcPr>
          <w:p w14:paraId="7D44E53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商务分</w:t>
            </w:r>
          </w:p>
        </w:tc>
      </w:tr>
      <w:tr w14:paraId="3C217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Align w:val="center"/>
          </w:tcPr>
          <w:p w14:paraId="64D1D9E5">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 w:val="21"/>
                <w:szCs w:val="21"/>
                <w:highlight w:val="none"/>
              </w:rPr>
              <w:t>质保期</w:t>
            </w:r>
          </w:p>
        </w:tc>
        <w:tc>
          <w:tcPr>
            <w:tcW w:w="355" w:type="pct"/>
            <w:vAlign w:val="center"/>
          </w:tcPr>
          <w:p w14:paraId="4920C70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 w:val="21"/>
                <w:szCs w:val="21"/>
                <w:highlight w:val="none"/>
                <w:lang w:val="en-US" w:eastAsia="zh-CN"/>
              </w:rPr>
              <w:t>1</w:t>
            </w:r>
          </w:p>
        </w:tc>
        <w:tc>
          <w:tcPr>
            <w:tcW w:w="3876" w:type="pct"/>
            <w:vAlign w:val="center"/>
          </w:tcPr>
          <w:p w14:paraId="19AAA9B4">
            <w:pPr>
              <w:keepNext w:val="0"/>
              <w:keepLines w:val="0"/>
              <w:pageBreakBefore w:val="0"/>
              <w:widowControl w:val="0"/>
              <w:kinsoku/>
              <w:wordWrap/>
              <w:overflowPunct/>
              <w:topLinePunct w:val="0"/>
              <w:autoSpaceDE/>
              <w:autoSpaceDN/>
              <w:bidi w:val="0"/>
              <w:adjustRightInd/>
              <w:snapToGrid w:val="0"/>
              <w:spacing w:line="240" w:lineRule="auto"/>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客观分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满足招标文件要求基础上每延长1年</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所有产品均延长</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得</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分（最高</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分），延长时间不足1年不计入得分，不满足招标文件要求投标无效。</w:t>
            </w:r>
          </w:p>
        </w:tc>
      </w:tr>
      <w:tr w14:paraId="2C6C8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Align w:val="center"/>
          </w:tcPr>
          <w:p w14:paraId="376FC19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 w:val="21"/>
                <w:szCs w:val="21"/>
                <w:highlight w:val="none"/>
              </w:rPr>
              <w:t>业绩</w:t>
            </w:r>
          </w:p>
        </w:tc>
        <w:tc>
          <w:tcPr>
            <w:tcW w:w="355" w:type="pct"/>
            <w:vAlign w:val="center"/>
          </w:tcPr>
          <w:p w14:paraId="1916022C">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 w:val="21"/>
                <w:szCs w:val="21"/>
                <w:highlight w:val="none"/>
                <w:lang w:val="en-US" w:eastAsia="zh-CN"/>
              </w:rPr>
              <w:t>2</w:t>
            </w:r>
          </w:p>
        </w:tc>
        <w:tc>
          <w:tcPr>
            <w:tcW w:w="3876" w:type="pct"/>
            <w:vAlign w:val="center"/>
          </w:tcPr>
          <w:p w14:paraId="6EC5B46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[客观分]</w:t>
            </w:r>
            <w:r>
              <w:rPr>
                <w:rFonts w:hint="eastAsia" w:ascii="仿宋" w:hAnsi="仿宋" w:eastAsia="仿宋" w:cs="仿宋"/>
                <w:b w:val="0"/>
                <w:bCs w:val="0"/>
                <w:color w:val="auto"/>
                <w:sz w:val="21"/>
                <w:szCs w:val="21"/>
                <w:highlight w:val="none"/>
              </w:rPr>
              <w:t>投标人自</w:t>
            </w:r>
            <w:r>
              <w:rPr>
                <w:rFonts w:hint="eastAsia" w:ascii="仿宋" w:hAnsi="仿宋" w:eastAsia="仿宋" w:cs="仿宋"/>
                <w:b w:val="0"/>
                <w:bCs w:val="0"/>
                <w:color w:val="auto"/>
                <w:sz w:val="21"/>
                <w:szCs w:val="21"/>
                <w:highlight w:val="none"/>
                <w:lang w:val="en-US" w:eastAsia="zh-CN"/>
              </w:rPr>
              <w:t>2022</w:t>
            </w:r>
            <w:r>
              <w:rPr>
                <w:rFonts w:hint="eastAsia" w:ascii="仿宋" w:hAnsi="仿宋" w:eastAsia="仿宋" w:cs="仿宋"/>
                <w:b w:val="0"/>
                <w:bCs w:val="0"/>
                <w:color w:val="auto"/>
                <w:sz w:val="21"/>
                <w:szCs w:val="21"/>
                <w:highlight w:val="none"/>
              </w:rPr>
              <w:t>年1月1日以来（以合同签订时间为准）</w:t>
            </w:r>
            <w:r>
              <w:rPr>
                <w:rFonts w:hint="eastAsia" w:ascii="仿宋" w:hAnsi="仿宋" w:eastAsia="仿宋" w:cs="仿宋"/>
                <w:b w:val="0"/>
                <w:bCs w:val="0"/>
                <w:color w:val="auto"/>
                <w:sz w:val="21"/>
                <w:szCs w:val="21"/>
                <w:highlight w:val="none"/>
                <w:lang w:eastAsia="zh-CN"/>
              </w:rPr>
              <w:t>与采购标的同品类（</w:t>
            </w:r>
            <w:r>
              <w:rPr>
                <w:rFonts w:hint="eastAsia" w:ascii="仿宋" w:hAnsi="仿宋" w:eastAsia="仿宋" w:cs="仿宋"/>
                <w:b w:val="0"/>
                <w:bCs w:val="0"/>
                <w:color w:val="auto"/>
                <w:sz w:val="21"/>
                <w:szCs w:val="21"/>
                <w:highlight w:val="none"/>
                <w:lang w:val="en-US" w:eastAsia="zh-CN"/>
              </w:rPr>
              <w:t>多媒体设备集成</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业绩（</w:t>
            </w:r>
            <w:r>
              <w:rPr>
                <w:rFonts w:hint="eastAsia" w:ascii="仿宋" w:hAnsi="仿宋" w:eastAsia="仿宋" w:cs="仿宋"/>
                <w:b w:val="0"/>
                <w:bCs w:val="0"/>
                <w:color w:val="auto"/>
                <w:sz w:val="21"/>
                <w:szCs w:val="21"/>
                <w:highlight w:val="none"/>
                <w:lang w:eastAsia="zh-CN"/>
              </w:rPr>
              <w:t>最高</w:t>
            </w:r>
            <w:r>
              <w:rPr>
                <w:rFonts w:hint="eastAsia" w:ascii="仿宋" w:hAnsi="仿宋" w:eastAsia="仿宋" w:cs="仿宋"/>
                <w:b w:val="0"/>
                <w:bCs w:val="0"/>
                <w:color w:val="auto"/>
                <w:sz w:val="21"/>
                <w:szCs w:val="21"/>
                <w:highlight w:val="none"/>
                <w:lang w:val="en-US" w:eastAsia="zh-CN"/>
              </w:rPr>
              <w:t>2</w:t>
            </w:r>
            <w:r>
              <w:rPr>
                <w:rFonts w:hint="eastAsia" w:ascii="仿宋" w:hAnsi="仿宋" w:eastAsia="仿宋" w:cs="仿宋"/>
                <w:b w:val="0"/>
                <w:bCs w:val="0"/>
                <w:color w:val="auto"/>
                <w:sz w:val="21"/>
                <w:szCs w:val="21"/>
                <w:highlight w:val="none"/>
              </w:rPr>
              <w:t>分）：</w:t>
            </w:r>
            <w:r>
              <w:rPr>
                <w:rFonts w:hint="eastAsia" w:ascii="仿宋" w:hAnsi="仿宋" w:eastAsia="仿宋" w:cs="仿宋"/>
                <w:b w:val="0"/>
                <w:bCs w:val="0"/>
                <w:color w:val="auto"/>
                <w:sz w:val="21"/>
                <w:szCs w:val="21"/>
                <w:highlight w:val="none"/>
                <w:lang w:val="en-US" w:eastAsia="zh-CN"/>
              </w:rPr>
              <w:t>1</w:t>
            </w:r>
            <w:r>
              <w:rPr>
                <w:rFonts w:hint="eastAsia" w:ascii="仿宋" w:hAnsi="仿宋" w:eastAsia="仿宋" w:cs="仿宋"/>
                <w:b w:val="0"/>
                <w:bCs w:val="0"/>
                <w:color w:val="auto"/>
                <w:sz w:val="21"/>
                <w:szCs w:val="21"/>
                <w:highlight w:val="none"/>
              </w:rPr>
              <w:t>分</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rPr>
              <w:t>份</w:t>
            </w:r>
            <w:r>
              <w:rPr>
                <w:rFonts w:hint="eastAsia" w:ascii="仿宋" w:hAnsi="仿宋" w:eastAsia="仿宋" w:cs="仿宋"/>
                <w:b w:val="0"/>
                <w:bCs w:val="0"/>
                <w:color w:val="auto"/>
                <w:sz w:val="21"/>
                <w:szCs w:val="21"/>
                <w:highlight w:val="none"/>
                <w:lang w:val="en-US" w:eastAsia="zh-CN"/>
              </w:rPr>
              <w:t>（以</w:t>
            </w:r>
            <w:r>
              <w:rPr>
                <w:rFonts w:hint="eastAsia" w:ascii="仿宋" w:hAnsi="仿宋" w:eastAsia="仿宋" w:cs="仿宋"/>
                <w:b w:val="0"/>
                <w:bCs w:val="0"/>
                <w:color w:val="auto"/>
                <w:sz w:val="21"/>
                <w:szCs w:val="21"/>
                <w:highlight w:val="none"/>
              </w:rPr>
              <w:t>合同</w:t>
            </w:r>
            <w:r>
              <w:rPr>
                <w:rFonts w:hint="eastAsia" w:ascii="仿宋" w:hAnsi="仿宋" w:eastAsia="仿宋" w:cs="仿宋"/>
                <w:b w:val="0"/>
                <w:bCs w:val="0"/>
                <w:color w:val="auto"/>
                <w:sz w:val="21"/>
                <w:szCs w:val="21"/>
                <w:highlight w:val="none"/>
                <w:lang w:val="en-US" w:eastAsia="zh-CN"/>
              </w:rPr>
              <w:t>及对应验收报告</w:t>
            </w:r>
            <w:r>
              <w:rPr>
                <w:rFonts w:hint="eastAsia" w:ascii="仿宋" w:hAnsi="仿宋" w:eastAsia="仿宋" w:cs="仿宋"/>
                <w:b w:val="0"/>
                <w:bCs w:val="0"/>
                <w:color w:val="auto"/>
                <w:sz w:val="21"/>
                <w:szCs w:val="21"/>
                <w:highlight w:val="none"/>
              </w:rPr>
              <w:t>或省级以上主管部门认定的</w:t>
            </w:r>
            <w:r>
              <w:rPr>
                <w:rFonts w:hint="eastAsia" w:ascii="仿宋" w:hAnsi="仿宋" w:eastAsia="仿宋" w:cs="仿宋"/>
                <w:b w:val="0"/>
                <w:bCs w:val="0"/>
                <w:color w:val="auto"/>
                <w:sz w:val="21"/>
                <w:szCs w:val="21"/>
                <w:highlight w:val="none"/>
                <w:lang w:eastAsia="zh-CN"/>
              </w:rPr>
              <w:t>首台套产品相关证明材料或“制造精品”相关证明材料</w:t>
            </w:r>
            <w:r>
              <w:rPr>
                <w:rFonts w:hint="eastAsia" w:ascii="仿宋" w:hAnsi="仿宋" w:eastAsia="仿宋" w:cs="仿宋"/>
                <w:b w:val="0"/>
                <w:bCs w:val="0"/>
                <w:color w:val="auto"/>
                <w:sz w:val="21"/>
                <w:szCs w:val="21"/>
                <w:highlight w:val="none"/>
                <w:lang w:val="en-US" w:eastAsia="zh-CN"/>
              </w:rPr>
              <w:t>为准）</w:t>
            </w:r>
          </w:p>
          <w:p w14:paraId="62ADD5C7">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b/>
                <w:bCs/>
                <w:color w:val="auto"/>
                <w:sz w:val="18"/>
                <w:szCs w:val="18"/>
                <w:highlight w:val="none"/>
                <w:lang w:val="en-US" w:eastAsia="zh-CN"/>
              </w:rPr>
              <w:t>注：如联合体投标则以</w:t>
            </w:r>
            <w:r>
              <w:rPr>
                <w:rFonts w:hint="eastAsia" w:ascii="仿宋" w:hAnsi="仿宋" w:eastAsia="仿宋" w:cs="仿宋"/>
                <w:b/>
                <w:bCs/>
                <w:color w:val="auto"/>
                <w:sz w:val="18"/>
                <w:szCs w:val="18"/>
                <w:highlight w:val="none"/>
                <w:lang w:eastAsia="zh-CN"/>
              </w:rPr>
              <w:t>提供材料较少一方为准</w:t>
            </w:r>
          </w:p>
        </w:tc>
      </w:tr>
      <w:tr w14:paraId="64969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Align w:val="center"/>
          </w:tcPr>
          <w:p w14:paraId="6ACBD12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val="en-US" w:eastAsia="zh-CN"/>
              </w:rPr>
              <w:t>政策功能</w:t>
            </w:r>
          </w:p>
        </w:tc>
        <w:tc>
          <w:tcPr>
            <w:tcW w:w="355" w:type="pct"/>
            <w:vAlign w:val="center"/>
          </w:tcPr>
          <w:p w14:paraId="52BC3072">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1</w:t>
            </w:r>
          </w:p>
        </w:tc>
        <w:tc>
          <w:tcPr>
            <w:tcW w:w="3876" w:type="pct"/>
            <w:vAlign w:val="center"/>
          </w:tcPr>
          <w:p w14:paraId="220BBE4C">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客观分</w:t>
            </w:r>
            <w:r>
              <w:rPr>
                <w:rFonts w:hint="eastAsia" w:ascii="仿宋" w:hAnsi="仿宋" w:eastAsia="仿宋" w:cs="仿宋"/>
                <w:b/>
                <w:bCs/>
                <w:color w:val="auto"/>
                <w:szCs w:val="21"/>
                <w:highlight w:val="none"/>
                <w:lang w:val="en-US" w:eastAsia="zh-CN"/>
              </w:rPr>
              <w:t>]</w:t>
            </w:r>
            <w:r>
              <w:rPr>
                <w:rFonts w:hint="eastAsia" w:ascii="仿宋" w:hAnsi="仿宋" w:eastAsia="仿宋" w:cs="仿宋"/>
                <w:b w:val="0"/>
                <w:bCs w:val="0"/>
                <w:color w:val="auto"/>
                <w:szCs w:val="21"/>
                <w:highlight w:val="none"/>
                <w:lang w:val="en-US" w:eastAsia="zh-CN"/>
              </w:rPr>
              <w:t>投标产品属于财政部、发展改革委公布的“节能产品政府采购品目清单”范围且具有国家确定的认证机构出具的处于有效期之内的节能产品认证证书（最高0.5分）</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lang w:val="en-US" w:eastAsia="zh-CN"/>
              </w:rPr>
              <w:t>0.5分/样</w:t>
            </w:r>
            <w:r>
              <w:rPr>
                <w:rFonts w:hint="eastAsia" w:ascii="仿宋" w:hAnsi="仿宋" w:eastAsia="仿宋" w:cs="仿宋"/>
                <w:b w:val="0"/>
                <w:bCs w:val="0"/>
                <w:color w:val="auto"/>
                <w:szCs w:val="21"/>
                <w:highlight w:val="none"/>
              </w:rPr>
              <w:t>（</w:t>
            </w:r>
            <w:r>
              <w:rPr>
                <w:rFonts w:hint="eastAsia" w:ascii="仿宋" w:hAnsi="仿宋" w:eastAsia="仿宋" w:cs="仿宋"/>
                <w:b w:val="0"/>
                <w:bCs w:val="0"/>
                <w:color w:val="auto"/>
                <w:szCs w:val="21"/>
                <w:highlight w:val="none"/>
                <w:lang w:eastAsia="zh-CN"/>
              </w:rPr>
              <w:t>以认证证书为准</w:t>
            </w:r>
            <w:r>
              <w:rPr>
                <w:rFonts w:hint="eastAsia" w:ascii="仿宋" w:hAnsi="仿宋" w:eastAsia="仿宋" w:cs="仿宋"/>
                <w:b w:val="0"/>
                <w:bCs w:val="0"/>
                <w:color w:val="auto"/>
                <w:szCs w:val="21"/>
                <w:highlight w:val="none"/>
              </w:rPr>
              <w:t>）</w:t>
            </w:r>
          </w:p>
          <w:p w14:paraId="4190EF9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 w:val="18"/>
                <w:szCs w:val="18"/>
                <w:highlight w:val="none"/>
                <w:lang w:val="en-US" w:eastAsia="zh-CN"/>
              </w:rPr>
              <w:t>备注：显示器、监视器</w:t>
            </w:r>
            <w:r>
              <w:rPr>
                <w:rFonts w:hint="eastAsia" w:ascii="仿宋" w:hAnsi="仿宋" w:eastAsia="仿宋" w:cs="仿宋"/>
                <w:b/>
                <w:bCs/>
                <w:sz w:val="18"/>
                <w:szCs w:val="18"/>
                <w:lang w:val="en-US" w:eastAsia="zh-CN"/>
              </w:rPr>
              <w:t>提供节能认证证书不计分，未提供则投标无效。</w:t>
            </w:r>
          </w:p>
          <w:p w14:paraId="08ED2134">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客观分</w:t>
            </w:r>
            <w:r>
              <w:rPr>
                <w:rFonts w:hint="eastAsia" w:ascii="仿宋" w:hAnsi="仿宋" w:eastAsia="仿宋" w:cs="仿宋"/>
                <w:b/>
                <w:bCs/>
                <w:color w:val="auto"/>
                <w:szCs w:val="21"/>
                <w:highlight w:val="none"/>
                <w:lang w:val="en-US" w:eastAsia="zh-CN"/>
              </w:rPr>
              <w:t>]</w:t>
            </w:r>
            <w:r>
              <w:rPr>
                <w:rFonts w:hint="eastAsia" w:ascii="仿宋" w:hAnsi="仿宋" w:eastAsia="仿宋" w:cs="仿宋"/>
                <w:b w:val="0"/>
                <w:bCs w:val="0"/>
                <w:color w:val="auto"/>
                <w:szCs w:val="21"/>
                <w:highlight w:val="none"/>
                <w:lang w:val="en-US" w:eastAsia="zh-CN"/>
              </w:rPr>
              <w:t>投标产品</w:t>
            </w:r>
            <w:r>
              <w:rPr>
                <w:rFonts w:hint="eastAsia" w:ascii="仿宋" w:hAnsi="仿宋" w:eastAsia="仿宋" w:cs="仿宋"/>
                <w:b w:val="0"/>
                <w:bCs w:val="0"/>
                <w:color w:val="auto"/>
                <w:szCs w:val="21"/>
                <w:highlight w:val="none"/>
              </w:rPr>
              <w:t>属于财政部、生态环境部公布的“环境标志产品政府采购品目清单”范围且具有国家确定的认证机构出具的处于有效期之内的环境标志产品认证书</w:t>
            </w:r>
            <w:r>
              <w:rPr>
                <w:rFonts w:hint="eastAsia" w:ascii="仿宋" w:hAnsi="仿宋" w:eastAsia="仿宋" w:cs="仿宋"/>
                <w:b w:val="0"/>
                <w:bCs w:val="0"/>
                <w:color w:val="auto"/>
                <w:szCs w:val="21"/>
                <w:highlight w:val="none"/>
                <w:lang w:val="en-US" w:eastAsia="zh-CN"/>
              </w:rPr>
              <w:t>（最高0.5分）</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lang w:val="en-US" w:eastAsia="zh-CN"/>
              </w:rPr>
              <w:t>0.5分/样</w:t>
            </w:r>
            <w:r>
              <w:rPr>
                <w:rFonts w:hint="eastAsia" w:ascii="仿宋" w:hAnsi="仿宋" w:eastAsia="仿宋" w:cs="仿宋"/>
                <w:b w:val="0"/>
                <w:bCs w:val="0"/>
                <w:color w:val="auto"/>
                <w:szCs w:val="21"/>
                <w:highlight w:val="none"/>
              </w:rPr>
              <w:t>（</w:t>
            </w:r>
            <w:r>
              <w:rPr>
                <w:rFonts w:hint="eastAsia" w:ascii="仿宋" w:hAnsi="仿宋" w:eastAsia="仿宋" w:cs="仿宋"/>
                <w:b w:val="0"/>
                <w:bCs w:val="0"/>
                <w:color w:val="auto"/>
                <w:szCs w:val="21"/>
                <w:highlight w:val="none"/>
                <w:lang w:eastAsia="zh-CN"/>
              </w:rPr>
              <w:t>以认证证书为准</w:t>
            </w:r>
            <w:r>
              <w:rPr>
                <w:rFonts w:hint="eastAsia" w:ascii="仿宋" w:hAnsi="仿宋" w:eastAsia="仿宋" w:cs="仿宋"/>
                <w:b w:val="0"/>
                <w:bCs w:val="0"/>
                <w:color w:val="auto"/>
                <w:szCs w:val="21"/>
                <w:highlight w:val="none"/>
              </w:rPr>
              <w:t>）</w:t>
            </w:r>
          </w:p>
        </w:tc>
      </w:tr>
      <w:tr w14:paraId="552EA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3"/>
            <w:vAlign w:val="center"/>
          </w:tcPr>
          <w:p w14:paraId="3E921C6A">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技术分</w:t>
            </w:r>
          </w:p>
        </w:tc>
      </w:tr>
      <w:tr w14:paraId="39C02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restart"/>
            <w:vAlign w:val="center"/>
          </w:tcPr>
          <w:p w14:paraId="53E4B82D">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技术方案</w:t>
            </w:r>
          </w:p>
        </w:tc>
        <w:tc>
          <w:tcPr>
            <w:tcW w:w="355" w:type="pct"/>
            <w:shd w:val="clear" w:color="auto" w:fill="auto"/>
            <w:vAlign w:val="center"/>
          </w:tcPr>
          <w:p w14:paraId="4BE311CC">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2</w:t>
            </w:r>
          </w:p>
        </w:tc>
        <w:tc>
          <w:tcPr>
            <w:tcW w:w="3876" w:type="pct"/>
            <w:shd w:val="clear" w:color="auto" w:fill="auto"/>
            <w:vAlign w:val="center"/>
          </w:tcPr>
          <w:p w14:paraId="70335665">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w:t>
            </w:r>
            <w:r>
              <w:rPr>
                <w:rFonts w:hint="default" w:ascii="仿宋" w:hAnsi="仿宋" w:eastAsia="仿宋" w:cs="仿宋"/>
                <w:b w:val="0"/>
                <w:bCs w:val="0"/>
                <w:i w:val="0"/>
                <w:iCs w:val="0"/>
                <w:color w:val="auto"/>
                <w:szCs w:val="21"/>
                <w:highlight w:val="none"/>
                <w:lang w:val="en-US" w:eastAsia="zh-CN"/>
              </w:rPr>
              <w:t>网络系统</w:t>
            </w:r>
            <w:r>
              <w:rPr>
                <w:rFonts w:hint="eastAsia" w:ascii="仿宋" w:hAnsi="仿宋" w:eastAsia="仿宋" w:cs="仿宋"/>
                <w:b w:val="0"/>
                <w:bCs w:val="0"/>
                <w:i w:val="0"/>
                <w:iCs w:val="0"/>
                <w:color w:val="auto"/>
                <w:szCs w:val="21"/>
                <w:highlight w:val="none"/>
                <w:lang w:val="en-US" w:eastAsia="zh-CN"/>
              </w:rPr>
              <w:t>设计{</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w:t>
            </w:r>
            <w:r>
              <w:rPr>
                <w:rFonts w:hint="eastAsia" w:ascii="仿宋" w:hAnsi="仿宋" w:eastAsia="仿宋" w:cs="仿宋"/>
                <w:b w:val="0"/>
                <w:bCs w:val="0"/>
                <w:sz w:val="21"/>
                <w:szCs w:val="21"/>
                <w:highlight w:val="none"/>
                <w:lang w:val="en-US" w:eastAsia="zh-CN"/>
              </w:rPr>
              <w:t>网络产品兼容性及统一管理解决方案</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rPr>
              <w:t>系统架构图</w:t>
            </w:r>
            <w:r>
              <w:rPr>
                <w:rFonts w:hint="eastAsia" w:ascii="仿宋" w:hAnsi="仿宋" w:eastAsia="仿宋" w:cs="仿宋"/>
                <w:color w:val="auto"/>
                <w:szCs w:val="21"/>
                <w:lang w:eastAsia="zh-CN"/>
              </w:rPr>
              <w:t>、</w:t>
            </w:r>
            <w:r>
              <w:rPr>
                <w:rFonts w:hint="eastAsia" w:ascii="仿宋" w:hAnsi="仿宋" w:eastAsia="仿宋" w:cs="仿宋"/>
                <w:color w:val="auto"/>
                <w:szCs w:val="21"/>
              </w:rPr>
              <w:t>物理拓扑图</w:t>
            </w:r>
            <w:r>
              <w:rPr>
                <w:rFonts w:hint="eastAsia" w:ascii="仿宋" w:hAnsi="仿宋" w:eastAsia="仿宋" w:cs="仿宋"/>
                <w:color w:val="auto"/>
                <w:szCs w:val="21"/>
                <w:lang w:val="en-US" w:eastAsia="zh-CN"/>
              </w:rPr>
              <w:t>}</w:t>
            </w:r>
            <w:r>
              <w:rPr>
                <w:rFonts w:hint="eastAsia" w:ascii="仿宋" w:hAnsi="仿宋" w:eastAsia="仿宋" w:cs="仿宋"/>
                <w:b w:val="0"/>
                <w:bCs w:val="0"/>
                <w:i w:val="0"/>
                <w:iCs w:val="0"/>
                <w:color w:val="auto"/>
                <w:szCs w:val="21"/>
                <w:highlight w:val="none"/>
                <w:lang w:val="en-US" w:eastAsia="zh-CN"/>
              </w:rPr>
              <w:t>：专业、规范、全面且内容要素齐全、</w:t>
            </w:r>
            <w:r>
              <w:rPr>
                <w:rFonts w:hint="eastAsia" w:ascii="仿宋" w:hAnsi="仿宋" w:eastAsia="仿宋" w:cs="仿宋"/>
                <w:b w:val="0"/>
                <w:bCs w:val="0"/>
                <w:i w:val="0"/>
                <w:iCs w:val="0"/>
                <w:color w:val="auto"/>
                <w:szCs w:val="21"/>
                <w:highlight w:val="none"/>
              </w:rPr>
              <w:t>针对采购需求及实际特点</w:t>
            </w:r>
            <w:r>
              <w:rPr>
                <w:rFonts w:hint="eastAsia" w:ascii="仿宋" w:hAnsi="仿宋" w:eastAsia="仿宋" w:cs="仿宋"/>
                <w:b w:val="0"/>
                <w:bCs w:val="0"/>
                <w:i w:val="0"/>
                <w:iCs w:val="0"/>
                <w:color w:val="auto"/>
                <w:szCs w:val="21"/>
                <w:highlight w:val="none"/>
                <w:lang w:eastAsia="zh-CN"/>
              </w:rPr>
              <w:t>、</w:t>
            </w:r>
            <w:r>
              <w:rPr>
                <w:rFonts w:hint="eastAsia" w:ascii="仿宋" w:hAnsi="仿宋" w:eastAsia="仿宋" w:cs="仿宋"/>
                <w:b w:val="0"/>
                <w:bCs w:val="0"/>
                <w:i w:val="0"/>
                <w:iCs w:val="0"/>
                <w:color w:val="auto"/>
                <w:szCs w:val="21"/>
                <w:highlight w:val="none"/>
                <w:lang w:val="en-US" w:eastAsia="zh-CN"/>
              </w:rPr>
              <w:t>有利于项目实施</w:t>
            </w:r>
            <w:r>
              <w:rPr>
                <w:rFonts w:hint="eastAsia" w:ascii="仿宋" w:hAnsi="仿宋" w:eastAsia="仿宋" w:cs="仿宋"/>
                <w:b/>
                <w:bCs/>
                <w:sz w:val="21"/>
                <w:szCs w:val="21"/>
                <w:highlight w:val="none"/>
                <w:lang w:val="en-US" w:eastAsia="zh-CN"/>
              </w:rPr>
              <w:t>（评分范围:2,1,0.5,0）</w:t>
            </w:r>
          </w:p>
        </w:tc>
      </w:tr>
      <w:tr w14:paraId="51A68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2A1A4D80">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683" w:type="dxa"/>
            <w:shd w:val="clear" w:color="auto" w:fill="auto"/>
            <w:vAlign w:val="center"/>
          </w:tcPr>
          <w:p w14:paraId="1A17E0EB">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2</w:t>
            </w:r>
          </w:p>
        </w:tc>
        <w:tc>
          <w:tcPr>
            <w:tcW w:w="7455" w:type="dxa"/>
            <w:shd w:val="clear" w:color="auto" w:fill="auto"/>
            <w:vAlign w:val="center"/>
          </w:tcPr>
          <w:p w14:paraId="0C9C90A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lang w:val="en-US" w:eastAsia="zh-CN"/>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w:t>
            </w:r>
            <w:r>
              <w:rPr>
                <w:rFonts w:hint="eastAsia" w:ascii="仿宋" w:hAnsi="仿宋" w:eastAsia="仿宋" w:cs="仿宋"/>
                <w:b w:val="0"/>
                <w:bCs w:val="0"/>
                <w:i w:val="0"/>
                <w:iCs w:val="0"/>
                <w:color w:val="auto"/>
                <w:szCs w:val="21"/>
                <w:highlight w:val="none"/>
                <w:lang w:val="en-US" w:eastAsia="zh-CN"/>
              </w:rPr>
              <w:t>中控</w:t>
            </w:r>
            <w:r>
              <w:rPr>
                <w:rFonts w:hint="default" w:ascii="仿宋" w:hAnsi="仿宋" w:eastAsia="仿宋" w:cs="仿宋"/>
                <w:b w:val="0"/>
                <w:bCs w:val="0"/>
                <w:i w:val="0"/>
                <w:iCs w:val="0"/>
                <w:color w:val="auto"/>
                <w:szCs w:val="21"/>
                <w:highlight w:val="none"/>
                <w:lang w:val="en-US" w:eastAsia="zh-CN"/>
              </w:rPr>
              <w:t>系统</w:t>
            </w:r>
            <w:r>
              <w:rPr>
                <w:rFonts w:hint="eastAsia" w:ascii="仿宋" w:hAnsi="仿宋" w:eastAsia="仿宋" w:cs="仿宋"/>
                <w:b w:val="0"/>
                <w:bCs w:val="0"/>
                <w:i w:val="0"/>
                <w:iCs w:val="0"/>
                <w:color w:val="auto"/>
                <w:szCs w:val="21"/>
                <w:highlight w:val="none"/>
                <w:lang w:val="en-US" w:eastAsia="zh-CN"/>
              </w:rPr>
              <w:t>设计{</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检验报告（具有CMA标识）、产品相关认证（如有）、中控软件设计方案]、</w:t>
            </w:r>
            <w:r>
              <w:rPr>
                <w:rFonts w:hint="eastAsia" w:ascii="仿宋" w:hAnsi="仿宋" w:eastAsia="仿宋" w:cs="仿宋"/>
                <w:color w:val="auto"/>
                <w:szCs w:val="21"/>
              </w:rPr>
              <w:t>系统架构图</w:t>
            </w:r>
            <w:r>
              <w:rPr>
                <w:rFonts w:hint="eastAsia" w:ascii="仿宋" w:hAnsi="仿宋" w:eastAsia="仿宋" w:cs="仿宋"/>
                <w:color w:val="auto"/>
                <w:szCs w:val="21"/>
                <w:lang w:eastAsia="zh-CN"/>
              </w:rPr>
              <w:t>、</w:t>
            </w:r>
            <w:r>
              <w:rPr>
                <w:rFonts w:hint="eastAsia" w:ascii="仿宋" w:hAnsi="仿宋" w:eastAsia="仿宋" w:cs="仿宋"/>
                <w:color w:val="auto"/>
                <w:szCs w:val="21"/>
              </w:rPr>
              <w:t>物理拓扑图</w:t>
            </w:r>
            <w:r>
              <w:rPr>
                <w:rFonts w:hint="eastAsia" w:ascii="仿宋" w:hAnsi="仿宋" w:eastAsia="仿宋" w:cs="仿宋"/>
                <w:color w:val="auto"/>
                <w:szCs w:val="21"/>
                <w:lang w:val="en-US" w:eastAsia="zh-CN"/>
              </w:rPr>
              <w:t>}</w:t>
            </w:r>
            <w:r>
              <w:rPr>
                <w:rFonts w:hint="eastAsia" w:ascii="仿宋" w:hAnsi="仿宋" w:eastAsia="仿宋" w:cs="仿宋"/>
                <w:b w:val="0"/>
                <w:bCs w:val="0"/>
                <w:i w:val="0"/>
                <w:iCs w:val="0"/>
                <w:color w:val="auto"/>
                <w:szCs w:val="21"/>
                <w:highlight w:val="none"/>
                <w:lang w:val="en-US" w:eastAsia="zh-CN"/>
              </w:rPr>
              <w:t>：专业、规范、全面且内容要素齐全、</w:t>
            </w:r>
            <w:r>
              <w:rPr>
                <w:rFonts w:hint="eastAsia" w:ascii="仿宋" w:hAnsi="仿宋" w:eastAsia="仿宋" w:cs="仿宋"/>
                <w:b w:val="0"/>
                <w:bCs w:val="0"/>
                <w:i w:val="0"/>
                <w:iCs w:val="0"/>
                <w:color w:val="auto"/>
                <w:szCs w:val="21"/>
                <w:highlight w:val="none"/>
              </w:rPr>
              <w:t>针对采购需求及实际特点</w:t>
            </w:r>
            <w:r>
              <w:rPr>
                <w:rFonts w:hint="eastAsia" w:ascii="仿宋" w:hAnsi="仿宋" w:eastAsia="仿宋" w:cs="仿宋"/>
                <w:b w:val="0"/>
                <w:bCs w:val="0"/>
                <w:i w:val="0"/>
                <w:iCs w:val="0"/>
                <w:color w:val="auto"/>
                <w:szCs w:val="21"/>
                <w:highlight w:val="none"/>
                <w:lang w:eastAsia="zh-CN"/>
              </w:rPr>
              <w:t>、</w:t>
            </w:r>
            <w:r>
              <w:rPr>
                <w:rFonts w:hint="eastAsia" w:ascii="仿宋" w:hAnsi="仿宋" w:eastAsia="仿宋" w:cs="仿宋"/>
                <w:b w:val="0"/>
                <w:bCs w:val="0"/>
                <w:i w:val="0"/>
                <w:iCs w:val="0"/>
                <w:color w:val="auto"/>
                <w:szCs w:val="21"/>
                <w:highlight w:val="none"/>
                <w:lang w:val="en-US" w:eastAsia="zh-CN"/>
              </w:rPr>
              <w:t>有利于项目实施</w:t>
            </w:r>
            <w:r>
              <w:rPr>
                <w:rFonts w:hint="eastAsia" w:ascii="仿宋" w:hAnsi="仿宋" w:eastAsia="仿宋" w:cs="仿宋"/>
                <w:b/>
                <w:bCs/>
                <w:sz w:val="21"/>
                <w:szCs w:val="21"/>
                <w:highlight w:val="none"/>
                <w:lang w:val="en-US" w:eastAsia="zh-CN"/>
              </w:rPr>
              <w:t>（评分范围:2,1,0.5,0）</w:t>
            </w:r>
          </w:p>
        </w:tc>
      </w:tr>
      <w:tr w14:paraId="6C176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1C6609A7">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55" w:type="pct"/>
            <w:shd w:val="clear" w:color="auto" w:fill="auto"/>
            <w:vAlign w:val="center"/>
          </w:tcPr>
          <w:p w14:paraId="7CDDC0C1">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2</w:t>
            </w:r>
          </w:p>
        </w:tc>
        <w:tc>
          <w:tcPr>
            <w:tcW w:w="3876" w:type="pct"/>
            <w:shd w:val="clear" w:color="auto" w:fill="auto"/>
            <w:vAlign w:val="center"/>
          </w:tcPr>
          <w:p w14:paraId="30F870F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lang w:val="en-US" w:eastAsia="zh-CN"/>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w:t>
            </w:r>
            <w:r>
              <w:rPr>
                <w:rFonts w:hint="eastAsia" w:ascii="仿宋" w:hAnsi="仿宋" w:eastAsia="仿宋" w:cs="仿宋"/>
                <w:b w:val="0"/>
                <w:bCs w:val="0"/>
                <w:color w:val="auto"/>
                <w:kern w:val="0"/>
                <w:szCs w:val="21"/>
                <w:lang w:bidi="ar"/>
              </w:rPr>
              <w:t>机器人讲解员程序二次开发</w:t>
            </w:r>
            <w:r>
              <w:rPr>
                <w:rFonts w:hint="eastAsia" w:ascii="仿宋" w:hAnsi="仿宋" w:eastAsia="仿宋" w:cs="仿宋"/>
                <w:b w:val="0"/>
                <w:bCs w:val="0"/>
                <w:color w:val="auto"/>
                <w:kern w:val="0"/>
                <w:szCs w:val="21"/>
                <w:lang w:val="en-US" w:eastAsia="zh-CN" w:bidi="ar"/>
              </w:rPr>
              <w:t>方案：</w:t>
            </w:r>
            <w:r>
              <w:rPr>
                <w:rFonts w:hint="eastAsia" w:ascii="仿宋" w:hAnsi="仿宋" w:eastAsia="仿宋" w:cs="仿宋"/>
                <w:b w:val="0"/>
                <w:bCs w:val="0"/>
                <w:i w:val="0"/>
                <w:iCs w:val="0"/>
                <w:color w:val="auto"/>
                <w:szCs w:val="21"/>
                <w:highlight w:val="none"/>
                <w:lang w:val="en-US" w:eastAsia="zh-CN"/>
              </w:rPr>
              <w:t>专业、全面、</w:t>
            </w:r>
            <w:r>
              <w:rPr>
                <w:rFonts w:hint="eastAsia" w:ascii="仿宋" w:hAnsi="仿宋" w:eastAsia="仿宋" w:cs="仿宋"/>
                <w:b w:val="0"/>
                <w:bCs w:val="0"/>
                <w:i w:val="0"/>
                <w:iCs w:val="0"/>
                <w:color w:val="auto"/>
                <w:szCs w:val="21"/>
                <w:highlight w:val="none"/>
              </w:rPr>
              <w:t>针对采购需求及实际特点</w:t>
            </w:r>
            <w:r>
              <w:rPr>
                <w:rFonts w:hint="eastAsia" w:ascii="仿宋" w:hAnsi="仿宋" w:eastAsia="仿宋" w:cs="仿宋"/>
                <w:b w:val="0"/>
                <w:bCs w:val="0"/>
                <w:i w:val="0"/>
                <w:iCs w:val="0"/>
                <w:color w:val="auto"/>
                <w:szCs w:val="21"/>
                <w:highlight w:val="none"/>
                <w:lang w:eastAsia="zh-CN"/>
              </w:rPr>
              <w:t>、</w:t>
            </w:r>
            <w:r>
              <w:rPr>
                <w:rFonts w:hint="eastAsia" w:ascii="仿宋" w:hAnsi="仿宋" w:eastAsia="仿宋" w:cs="仿宋"/>
                <w:b w:val="0"/>
                <w:bCs w:val="0"/>
                <w:i w:val="0"/>
                <w:iCs w:val="0"/>
                <w:color w:val="auto"/>
                <w:szCs w:val="21"/>
                <w:highlight w:val="none"/>
                <w:lang w:val="en-US" w:eastAsia="zh-CN"/>
              </w:rPr>
              <w:t>有利于项目实施</w:t>
            </w:r>
            <w:r>
              <w:rPr>
                <w:rFonts w:hint="eastAsia" w:ascii="仿宋" w:hAnsi="仿宋" w:eastAsia="仿宋" w:cs="仿宋"/>
                <w:b/>
                <w:bCs/>
                <w:sz w:val="21"/>
                <w:szCs w:val="21"/>
                <w:highlight w:val="none"/>
                <w:lang w:val="en-US" w:eastAsia="zh-CN"/>
              </w:rPr>
              <w:t>（评分范围:2,1,0.5,0）</w:t>
            </w:r>
          </w:p>
        </w:tc>
      </w:tr>
      <w:tr w14:paraId="4676E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2EB4B70F">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55" w:type="pct"/>
            <w:shd w:val="clear" w:color="auto" w:fill="auto"/>
            <w:vAlign w:val="center"/>
          </w:tcPr>
          <w:p w14:paraId="5D6B59F2">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6</w:t>
            </w:r>
          </w:p>
        </w:tc>
        <w:tc>
          <w:tcPr>
            <w:tcW w:w="3876" w:type="pct"/>
            <w:shd w:val="clear" w:color="auto" w:fill="auto"/>
            <w:vAlign w:val="center"/>
          </w:tcPr>
          <w:p w14:paraId="4534E01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w:t>
            </w:r>
            <w:r>
              <w:rPr>
                <w:rFonts w:hint="eastAsia" w:ascii="仿宋" w:hAnsi="仿宋" w:eastAsia="仿宋" w:cs="仿宋"/>
                <w:b/>
                <w:bCs/>
                <w:color w:val="auto"/>
                <w:szCs w:val="21"/>
                <w:highlight w:val="none"/>
                <w:lang w:val="en-US" w:eastAsia="zh-CN"/>
              </w:rPr>
              <w:t>学校和学院的介绍展示系统</w:t>
            </w:r>
            <w:r>
              <w:rPr>
                <w:rFonts w:hint="eastAsia" w:ascii="仿宋" w:hAnsi="仿宋" w:eastAsia="仿宋" w:cs="仿宋"/>
                <w:b/>
                <w:bCs/>
                <w:i w:val="0"/>
                <w:iCs w:val="0"/>
                <w:color w:val="auto"/>
                <w:szCs w:val="21"/>
                <w:highlight w:val="none"/>
                <w:lang w:val="en-US" w:eastAsia="zh-CN"/>
              </w:rPr>
              <w:t>设计：专业、全面、</w:t>
            </w:r>
            <w:r>
              <w:rPr>
                <w:rFonts w:hint="eastAsia" w:ascii="仿宋" w:hAnsi="仿宋" w:eastAsia="仿宋" w:cs="仿宋"/>
                <w:b/>
                <w:bCs/>
                <w:i w:val="0"/>
                <w:iCs w:val="0"/>
                <w:color w:val="auto"/>
                <w:szCs w:val="21"/>
                <w:highlight w:val="none"/>
              </w:rPr>
              <w:t>针对采购需求及实际特点、有利于项目实施</w:t>
            </w:r>
          </w:p>
          <w:p w14:paraId="4930583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b w:val="0"/>
                <w:bCs w:val="0"/>
                <w:i w:val="0"/>
                <w:iCs w:val="0"/>
                <w:color w:val="auto"/>
                <w:szCs w:val="21"/>
                <w:highlight w:val="none"/>
                <w:lang w:val="en-US" w:eastAsia="zh-CN"/>
              </w:rPr>
              <w:t>1.</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w:t>
            </w:r>
            <w:r>
              <w:rPr>
                <w:rFonts w:hint="eastAsia" w:ascii="仿宋" w:hAnsi="仿宋" w:eastAsia="仿宋" w:cs="仿宋"/>
                <w:b/>
                <w:bCs/>
                <w:sz w:val="21"/>
                <w:szCs w:val="21"/>
                <w:highlight w:val="none"/>
                <w:lang w:val="en-US" w:eastAsia="zh-CN"/>
              </w:rPr>
              <w:t>（评分范围:2,1,0.5,0）</w:t>
            </w:r>
          </w:p>
          <w:p w14:paraId="0DDE3D63">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b w:val="0"/>
                <w:bCs w:val="0"/>
                <w:color w:val="auto"/>
                <w:szCs w:val="21"/>
                <w:highlight w:val="none"/>
                <w:lang w:val="en-US" w:eastAsia="zh-CN"/>
              </w:rPr>
              <w:t>模式内容和体验构思及效果呈现</w:t>
            </w:r>
            <w:r>
              <w:rPr>
                <w:rFonts w:hint="eastAsia" w:ascii="仿宋" w:hAnsi="仿宋" w:eastAsia="仿宋" w:cs="仿宋"/>
                <w:b/>
                <w:bCs/>
                <w:sz w:val="21"/>
                <w:szCs w:val="21"/>
                <w:highlight w:val="none"/>
                <w:lang w:val="en-US" w:eastAsia="zh-CN"/>
              </w:rPr>
              <w:t>（评分范围:2,1,0.5,0）</w:t>
            </w:r>
          </w:p>
          <w:p w14:paraId="7EF0DD3E">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3.互动展示程序设计</w:t>
            </w:r>
            <w:r>
              <w:rPr>
                <w:rFonts w:hint="eastAsia" w:ascii="仿宋" w:hAnsi="仿宋" w:eastAsia="仿宋" w:cs="仿宋"/>
                <w:b/>
                <w:bCs/>
                <w:sz w:val="21"/>
                <w:szCs w:val="21"/>
                <w:highlight w:val="none"/>
                <w:lang w:val="en-US" w:eastAsia="zh-CN"/>
              </w:rPr>
              <w:t>（评分范围:2,1,0.5,0）</w:t>
            </w:r>
          </w:p>
        </w:tc>
      </w:tr>
      <w:tr w14:paraId="51519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0CA702C9">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55" w:type="pct"/>
            <w:shd w:val="clear" w:color="auto" w:fill="auto"/>
            <w:vAlign w:val="center"/>
          </w:tcPr>
          <w:p w14:paraId="7231346E">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6</w:t>
            </w:r>
          </w:p>
        </w:tc>
        <w:tc>
          <w:tcPr>
            <w:tcW w:w="3876" w:type="pct"/>
            <w:shd w:val="clear" w:color="auto" w:fill="auto"/>
            <w:vAlign w:val="center"/>
          </w:tcPr>
          <w:p w14:paraId="66DFC24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w:t>
            </w:r>
            <w:r>
              <w:rPr>
                <w:rFonts w:hint="eastAsia" w:ascii="仿宋" w:hAnsi="仿宋" w:eastAsia="仿宋" w:cs="仿宋"/>
                <w:b/>
                <w:bCs/>
                <w:color w:val="auto"/>
                <w:szCs w:val="21"/>
                <w:highlight w:val="none"/>
                <w:lang w:val="en-US" w:eastAsia="zh-CN"/>
              </w:rPr>
              <w:t>序厅开合屏展示系统</w:t>
            </w:r>
            <w:r>
              <w:rPr>
                <w:rFonts w:hint="eastAsia" w:ascii="仿宋" w:hAnsi="仿宋" w:eastAsia="仿宋" w:cs="仿宋"/>
                <w:b/>
                <w:bCs/>
                <w:i w:val="0"/>
                <w:iCs w:val="0"/>
                <w:color w:val="auto"/>
                <w:szCs w:val="21"/>
                <w:highlight w:val="none"/>
                <w:lang w:val="en-US" w:eastAsia="zh-CN"/>
              </w:rPr>
              <w:t>设计：专业、全面、</w:t>
            </w:r>
            <w:r>
              <w:rPr>
                <w:rFonts w:hint="eastAsia" w:ascii="仿宋" w:hAnsi="仿宋" w:eastAsia="仿宋" w:cs="仿宋"/>
                <w:b/>
                <w:bCs/>
                <w:i w:val="0"/>
                <w:iCs w:val="0"/>
                <w:color w:val="auto"/>
                <w:szCs w:val="21"/>
                <w:highlight w:val="none"/>
              </w:rPr>
              <w:t>针对采购需求及实际特点、有利于项目实施</w:t>
            </w:r>
          </w:p>
          <w:p w14:paraId="31491EB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b w:val="0"/>
                <w:bCs w:val="0"/>
                <w:i w:val="0"/>
                <w:iCs w:val="0"/>
                <w:color w:val="auto"/>
                <w:szCs w:val="21"/>
                <w:highlight w:val="none"/>
                <w:lang w:val="en-US" w:eastAsia="zh-CN"/>
              </w:rPr>
              <w:t>1.</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w:t>
            </w:r>
            <w:r>
              <w:rPr>
                <w:rFonts w:hint="eastAsia" w:ascii="仿宋" w:hAnsi="仿宋" w:eastAsia="仿宋" w:cs="仿宋"/>
                <w:b/>
                <w:bCs/>
                <w:sz w:val="21"/>
                <w:szCs w:val="21"/>
                <w:highlight w:val="none"/>
                <w:lang w:val="en-US" w:eastAsia="zh-CN"/>
              </w:rPr>
              <w:t>（评分范围:2,1,0.5,0）</w:t>
            </w:r>
          </w:p>
          <w:p w14:paraId="4315243F">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b w:val="0"/>
                <w:bCs w:val="0"/>
                <w:color w:val="auto"/>
                <w:szCs w:val="21"/>
                <w:highlight w:val="none"/>
                <w:lang w:val="en-US" w:eastAsia="zh-CN"/>
              </w:rPr>
              <w:t>模式内容和体验构思及效果呈现</w:t>
            </w:r>
            <w:r>
              <w:rPr>
                <w:rFonts w:hint="eastAsia" w:ascii="仿宋" w:hAnsi="仿宋" w:eastAsia="仿宋" w:cs="仿宋"/>
                <w:b/>
                <w:bCs/>
                <w:sz w:val="21"/>
                <w:szCs w:val="21"/>
                <w:highlight w:val="none"/>
                <w:lang w:val="en-US" w:eastAsia="zh-CN"/>
              </w:rPr>
              <w:t>（评分范围:2,1,0.5,0）</w:t>
            </w:r>
          </w:p>
          <w:p w14:paraId="560F58D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3.旋转轨道设计、互动展示程序设计</w:t>
            </w:r>
            <w:r>
              <w:rPr>
                <w:rFonts w:hint="eastAsia" w:ascii="仿宋" w:hAnsi="仿宋" w:eastAsia="仿宋" w:cs="仿宋"/>
                <w:b/>
                <w:bCs/>
                <w:sz w:val="21"/>
                <w:szCs w:val="21"/>
                <w:highlight w:val="none"/>
                <w:lang w:val="en-US" w:eastAsia="zh-CN"/>
              </w:rPr>
              <w:t>（评分范围:2,1,0.5,0）</w:t>
            </w:r>
          </w:p>
        </w:tc>
      </w:tr>
      <w:tr w14:paraId="2517C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715BB516">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55" w:type="pct"/>
            <w:shd w:val="clear" w:color="auto" w:fill="auto"/>
            <w:vAlign w:val="center"/>
          </w:tcPr>
          <w:p w14:paraId="6ACBC5E1">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10</w:t>
            </w:r>
          </w:p>
        </w:tc>
        <w:tc>
          <w:tcPr>
            <w:tcW w:w="3876" w:type="pct"/>
            <w:shd w:val="clear" w:color="auto" w:fill="auto"/>
            <w:vAlign w:val="center"/>
          </w:tcPr>
          <w:p w14:paraId="2A32EF9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]海上能源岛沉浸式体验</w:t>
            </w:r>
            <w:r>
              <w:rPr>
                <w:rFonts w:hint="eastAsia" w:ascii="仿宋" w:hAnsi="仿宋" w:eastAsia="仿宋" w:cs="仿宋"/>
                <w:b/>
                <w:bCs/>
                <w:color w:val="auto"/>
                <w:szCs w:val="21"/>
                <w:highlight w:val="none"/>
                <w:lang w:val="en-US" w:eastAsia="zh-CN"/>
              </w:rPr>
              <w:t>展示系统</w:t>
            </w:r>
            <w:r>
              <w:rPr>
                <w:rFonts w:hint="eastAsia" w:ascii="仿宋" w:hAnsi="仿宋" w:eastAsia="仿宋" w:cs="仿宋"/>
                <w:b/>
                <w:bCs/>
                <w:i w:val="0"/>
                <w:iCs w:val="0"/>
                <w:color w:val="auto"/>
                <w:szCs w:val="21"/>
                <w:highlight w:val="none"/>
                <w:lang w:val="en-US" w:eastAsia="zh-CN"/>
              </w:rPr>
              <w:t>设计：专业、全面、</w:t>
            </w:r>
            <w:r>
              <w:rPr>
                <w:rFonts w:hint="eastAsia" w:ascii="仿宋" w:hAnsi="仿宋" w:eastAsia="仿宋" w:cs="仿宋"/>
                <w:b/>
                <w:bCs/>
                <w:i w:val="0"/>
                <w:iCs w:val="0"/>
                <w:color w:val="auto"/>
                <w:szCs w:val="21"/>
                <w:highlight w:val="none"/>
              </w:rPr>
              <w:t>针对采购需求及实际特点、有利于项目实施</w:t>
            </w:r>
          </w:p>
          <w:p w14:paraId="4F1FB6A7">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b w:val="0"/>
                <w:bCs w:val="0"/>
                <w:i w:val="0"/>
                <w:iCs w:val="0"/>
                <w:color w:val="auto"/>
                <w:szCs w:val="21"/>
                <w:highlight w:val="none"/>
                <w:lang w:val="en-US" w:eastAsia="zh-CN"/>
              </w:rPr>
              <w:t>1.</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w:t>
            </w:r>
            <w:r>
              <w:rPr>
                <w:rFonts w:hint="eastAsia" w:ascii="仿宋" w:hAnsi="仿宋" w:eastAsia="仿宋" w:cs="仿宋"/>
                <w:b/>
                <w:bCs/>
                <w:sz w:val="21"/>
                <w:szCs w:val="21"/>
                <w:highlight w:val="none"/>
                <w:lang w:val="en-US" w:eastAsia="zh-CN"/>
              </w:rPr>
              <w:t>（评分范围:2,1,0.5,0）</w:t>
            </w:r>
          </w:p>
          <w:p w14:paraId="53878E2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2.</w:t>
            </w:r>
            <w:r>
              <w:rPr>
                <w:rFonts w:hint="eastAsia" w:ascii="仿宋" w:hAnsi="仿宋" w:eastAsia="仿宋" w:cs="仿宋"/>
                <w:b w:val="0"/>
                <w:bCs w:val="0"/>
                <w:color w:val="auto"/>
                <w:szCs w:val="21"/>
                <w:highlight w:val="none"/>
                <w:lang w:val="en-US" w:eastAsia="zh-CN"/>
              </w:rPr>
              <w:t>欢迎、参观接待、教学、合影模式体验构思及效果呈现</w:t>
            </w:r>
            <w:r>
              <w:rPr>
                <w:rFonts w:hint="eastAsia" w:ascii="仿宋" w:hAnsi="仿宋" w:eastAsia="仿宋" w:cs="仿宋"/>
                <w:b/>
                <w:bCs/>
                <w:sz w:val="21"/>
                <w:szCs w:val="21"/>
                <w:highlight w:val="none"/>
                <w:lang w:val="en-US" w:eastAsia="zh-CN"/>
              </w:rPr>
              <w:t>（评分范围:2,1,0.5,0）</w:t>
            </w:r>
          </w:p>
          <w:p w14:paraId="0EE95AB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val="0"/>
                <w:bCs w:val="0"/>
                <w:sz w:val="21"/>
                <w:szCs w:val="21"/>
                <w:highlight w:val="none"/>
                <w:lang w:val="en-US" w:eastAsia="zh-CN"/>
              </w:rPr>
            </w:pPr>
            <w:r>
              <w:rPr>
                <w:rFonts w:hint="eastAsia" w:ascii="仿宋" w:hAnsi="仿宋" w:eastAsia="仿宋" w:cs="仿宋"/>
                <w:b w:val="0"/>
                <w:bCs w:val="0"/>
                <w:sz w:val="21"/>
                <w:szCs w:val="21"/>
                <w:highlight w:val="none"/>
                <w:lang w:val="en-US" w:eastAsia="zh-CN"/>
              </w:rPr>
              <w:t>3.海陆协同沉浸式体验演示设备设计</w:t>
            </w:r>
            <w:r>
              <w:rPr>
                <w:rFonts w:hint="eastAsia" w:ascii="仿宋" w:hAnsi="仿宋" w:eastAsia="仿宋" w:cs="仿宋"/>
                <w:b/>
                <w:bCs/>
                <w:sz w:val="21"/>
                <w:szCs w:val="21"/>
                <w:highlight w:val="none"/>
                <w:lang w:val="en-US" w:eastAsia="zh-CN"/>
              </w:rPr>
              <w:t>（评分范围:2,1,0.5,0）</w:t>
            </w:r>
          </w:p>
          <w:p w14:paraId="3982C548">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sz w:val="21"/>
                <w:szCs w:val="21"/>
                <w:highlight w:val="none"/>
                <w:lang w:val="en-US" w:eastAsia="zh-CN"/>
              </w:rPr>
            </w:pPr>
            <w:r>
              <w:rPr>
                <w:rFonts w:hint="eastAsia" w:ascii="仿宋" w:hAnsi="仿宋" w:eastAsia="仿宋" w:cs="仿宋"/>
                <w:b w:val="0"/>
                <w:bCs w:val="0"/>
                <w:sz w:val="21"/>
                <w:szCs w:val="21"/>
                <w:highlight w:val="none"/>
                <w:lang w:val="en-US" w:eastAsia="zh-CN"/>
              </w:rPr>
              <w:t>4.海陆协同演示系统设计</w:t>
            </w:r>
            <w:r>
              <w:rPr>
                <w:rFonts w:hint="eastAsia" w:ascii="仿宋" w:hAnsi="仿宋" w:eastAsia="仿宋" w:cs="仿宋"/>
                <w:b/>
                <w:bCs/>
                <w:sz w:val="21"/>
                <w:szCs w:val="21"/>
                <w:highlight w:val="none"/>
                <w:lang w:val="en-US" w:eastAsia="zh-CN"/>
              </w:rPr>
              <w:t>（评分范围:2,1,0.5,0）</w:t>
            </w:r>
          </w:p>
          <w:p w14:paraId="772C71AA">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val="0"/>
                <w:bCs w:val="0"/>
                <w:sz w:val="21"/>
                <w:szCs w:val="21"/>
                <w:highlight w:val="none"/>
                <w:lang w:val="en-US" w:eastAsia="zh-CN"/>
              </w:rPr>
              <w:t>5.拍摄打印程序</w:t>
            </w:r>
            <w:r>
              <w:rPr>
                <w:rFonts w:hint="eastAsia" w:ascii="仿宋" w:hAnsi="仿宋" w:eastAsia="仿宋" w:cs="仿宋"/>
                <w:b w:val="0"/>
                <w:bCs w:val="0"/>
                <w:color w:val="auto"/>
                <w:szCs w:val="21"/>
                <w:highlight w:val="none"/>
                <w:lang w:val="en-US" w:eastAsia="zh-CN"/>
              </w:rPr>
              <w:t>设计</w:t>
            </w:r>
            <w:r>
              <w:rPr>
                <w:rFonts w:hint="eastAsia" w:ascii="仿宋" w:hAnsi="仿宋" w:eastAsia="仿宋" w:cs="仿宋"/>
                <w:b/>
                <w:bCs/>
                <w:sz w:val="21"/>
                <w:szCs w:val="21"/>
                <w:highlight w:val="none"/>
                <w:lang w:val="en-US" w:eastAsia="zh-CN"/>
              </w:rPr>
              <w:t>（评分范围:2,1,0.5,0）</w:t>
            </w:r>
          </w:p>
        </w:tc>
      </w:tr>
      <w:tr w14:paraId="74772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0D4AB5ED">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55" w:type="pct"/>
            <w:shd w:val="clear" w:color="auto" w:fill="auto"/>
            <w:vAlign w:val="center"/>
          </w:tcPr>
          <w:p w14:paraId="131557C1">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6</w:t>
            </w:r>
          </w:p>
        </w:tc>
        <w:tc>
          <w:tcPr>
            <w:tcW w:w="3876" w:type="pct"/>
            <w:shd w:val="clear" w:color="auto" w:fill="auto"/>
            <w:vAlign w:val="center"/>
          </w:tcPr>
          <w:p w14:paraId="55343AE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]创新中的科教融合</w:t>
            </w:r>
            <w:r>
              <w:rPr>
                <w:rFonts w:hint="eastAsia" w:ascii="仿宋" w:hAnsi="仿宋" w:eastAsia="仿宋" w:cs="仿宋"/>
                <w:b/>
                <w:bCs/>
                <w:color w:val="auto"/>
                <w:szCs w:val="21"/>
                <w:highlight w:val="none"/>
                <w:lang w:val="en-US" w:eastAsia="zh-CN"/>
              </w:rPr>
              <w:t>展示系统</w:t>
            </w:r>
            <w:r>
              <w:rPr>
                <w:rFonts w:hint="eastAsia" w:ascii="仿宋" w:hAnsi="仿宋" w:eastAsia="仿宋" w:cs="仿宋"/>
                <w:b/>
                <w:bCs/>
                <w:i w:val="0"/>
                <w:iCs w:val="0"/>
                <w:color w:val="auto"/>
                <w:szCs w:val="21"/>
                <w:highlight w:val="none"/>
                <w:lang w:val="en-US" w:eastAsia="zh-CN"/>
              </w:rPr>
              <w:t>设计：专业、全面、</w:t>
            </w:r>
            <w:r>
              <w:rPr>
                <w:rFonts w:hint="eastAsia" w:ascii="仿宋" w:hAnsi="仿宋" w:eastAsia="仿宋" w:cs="仿宋"/>
                <w:b/>
                <w:bCs/>
                <w:i w:val="0"/>
                <w:iCs w:val="0"/>
                <w:color w:val="auto"/>
                <w:szCs w:val="21"/>
                <w:highlight w:val="none"/>
              </w:rPr>
              <w:t>针对采购需求及实际特点、有利于项目实施</w:t>
            </w:r>
          </w:p>
          <w:p w14:paraId="165B01F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b w:val="0"/>
                <w:bCs w:val="0"/>
                <w:i w:val="0"/>
                <w:iCs w:val="0"/>
                <w:color w:val="auto"/>
                <w:szCs w:val="21"/>
                <w:highlight w:val="none"/>
                <w:lang w:val="en-US" w:eastAsia="zh-CN"/>
              </w:rPr>
              <w:t>1.</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w:t>
            </w:r>
            <w:r>
              <w:rPr>
                <w:rFonts w:hint="eastAsia" w:ascii="仿宋" w:hAnsi="仿宋" w:eastAsia="仿宋" w:cs="仿宋"/>
                <w:b/>
                <w:bCs/>
                <w:sz w:val="21"/>
                <w:szCs w:val="21"/>
                <w:highlight w:val="none"/>
                <w:lang w:val="en-US" w:eastAsia="zh-CN"/>
              </w:rPr>
              <w:t>（评分范围:2,1,0.5,0）</w:t>
            </w:r>
          </w:p>
          <w:p w14:paraId="321B921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b w:val="0"/>
                <w:bCs w:val="0"/>
                <w:color w:val="auto"/>
                <w:szCs w:val="21"/>
                <w:highlight w:val="none"/>
                <w:lang w:val="en-US" w:eastAsia="zh-CN"/>
              </w:rPr>
              <w:t>模式内容和体验构思及效果呈现</w:t>
            </w:r>
            <w:r>
              <w:rPr>
                <w:rFonts w:hint="eastAsia" w:ascii="仿宋" w:hAnsi="仿宋" w:eastAsia="仿宋" w:cs="仿宋"/>
                <w:b/>
                <w:bCs/>
                <w:sz w:val="21"/>
                <w:szCs w:val="21"/>
                <w:highlight w:val="none"/>
                <w:lang w:val="en-US" w:eastAsia="zh-CN"/>
              </w:rPr>
              <w:t>（评分范围:2,1,0.5,0）</w:t>
            </w:r>
          </w:p>
          <w:p w14:paraId="65E38371">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val="0"/>
                <w:bCs w:val="0"/>
                <w:color w:val="auto"/>
                <w:szCs w:val="21"/>
                <w:highlight w:val="none"/>
                <w:lang w:val="en-US" w:eastAsia="zh-CN"/>
              </w:rPr>
              <w:t>3.展示程序设计</w:t>
            </w:r>
            <w:r>
              <w:rPr>
                <w:rFonts w:hint="eastAsia" w:ascii="仿宋" w:hAnsi="仿宋" w:eastAsia="仿宋" w:cs="仿宋"/>
                <w:b/>
                <w:bCs/>
                <w:sz w:val="21"/>
                <w:szCs w:val="21"/>
                <w:highlight w:val="none"/>
                <w:lang w:val="en-US" w:eastAsia="zh-CN"/>
              </w:rPr>
              <w:t>（评分范围:2,1,0.5,0）</w:t>
            </w:r>
          </w:p>
        </w:tc>
      </w:tr>
      <w:tr w14:paraId="179A1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3BF8B3A1">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55" w:type="pct"/>
            <w:shd w:val="clear" w:color="auto" w:fill="auto"/>
            <w:vAlign w:val="center"/>
          </w:tcPr>
          <w:p w14:paraId="1B555ACC">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6</w:t>
            </w:r>
          </w:p>
        </w:tc>
        <w:tc>
          <w:tcPr>
            <w:tcW w:w="3876" w:type="pct"/>
            <w:shd w:val="clear" w:color="auto" w:fill="auto"/>
            <w:vAlign w:val="center"/>
          </w:tcPr>
          <w:p w14:paraId="06E4A30D">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]智慧城市</w:t>
            </w:r>
            <w:r>
              <w:rPr>
                <w:rFonts w:hint="eastAsia" w:ascii="仿宋" w:hAnsi="仿宋" w:eastAsia="仿宋" w:cs="仿宋"/>
                <w:b/>
                <w:bCs/>
                <w:color w:val="auto"/>
                <w:szCs w:val="21"/>
                <w:highlight w:val="none"/>
                <w:lang w:val="en-US" w:eastAsia="zh-CN"/>
              </w:rPr>
              <w:t>展示系统</w:t>
            </w:r>
            <w:r>
              <w:rPr>
                <w:rFonts w:hint="eastAsia" w:ascii="仿宋" w:hAnsi="仿宋" w:eastAsia="仿宋" w:cs="仿宋"/>
                <w:b/>
                <w:bCs/>
                <w:i w:val="0"/>
                <w:iCs w:val="0"/>
                <w:color w:val="auto"/>
                <w:szCs w:val="21"/>
                <w:highlight w:val="none"/>
                <w:lang w:val="en-US" w:eastAsia="zh-CN"/>
              </w:rPr>
              <w:t>设计：专业、全面、</w:t>
            </w:r>
            <w:r>
              <w:rPr>
                <w:rFonts w:hint="eastAsia" w:ascii="仿宋" w:hAnsi="仿宋" w:eastAsia="仿宋" w:cs="仿宋"/>
                <w:b/>
                <w:bCs/>
                <w:i w:val="0"/>
                <w:iCs w:val="0"/>
                <w:color w:val="auto"/>
                <w:szCs w:val="21"/>
                <w:highlight w:val="none"/>
              </w:rPr>
              <w:t>针对采购需求及实际特点、有利于项目实施</w:t>
            </w:r>
          </w:p>
          <w:p w14:paraId="15BB8B2B">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b w:val="0"/>
                <w:bCs w:val="0"/>
                <w:i w:val="0"/>
                <w:iCs w:val="0"/>
                <w:color w:val="auto"/>
                <w:szCs w:val="21"/>
                <w:highlight w:val="none"/>
                <w:lang w:val="en-US" w:eastAsia="zh-CN"/>
              </w:rPr>
              <w:t>1.</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w:t>
            </w:r>
            <w:r>
              <w:rPr>
                <w:rFonts w:hint="eastAsia" w:ascii="仿宋" w:hAnsi="仿宋" w:eastAsia="仿宋" w:cs="仿宋"/>
                <w:b/>
                <w:bCs/>
                <w:sz w:val="21"/>
                <w:szCs w:val="21"/>
                <w:highlight w:val="none"/>
                <w:lang w:val="en-US" w:eastAsia="zh-CN"/>
              </w:rPr>
              <w:t>（评分范围:2,1,0.5,0）</w:t>
            </w:r>
          </w:p>
          <w:p w14:paraId="419BCACB">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b w:val="0"/>
                <w:bCs w:val="0"/>
                <w:color w:val="auto"/>
                <w:szCs w:val="21"/>
                <w:highlight w:val="none"/>
                <w:lang w:val="en-US" w:eastAsia="zh-CN"/>
              </w:rPr>
              <w:t>模式内容和体验构思及效果呈现</w:t>
            </w:r>
            <w:r>
              <w:rPr>
                <w:rFonts w:hint="eastAsia" w:ascii="仿宋" w:hAnsi="仿宋" w:eastAsia="仿宋" w:cs="仿宋"/>
                <w:b/>
                <w:bCs/>
                <w:sz w:val="21"/>
                <w:szCs w:val="21"/>
                <w:highlight w:val="none"/>
                <w:lang w:val="en-US" w:eastAsia="zh-CN"/>
              </w:rPr>
              <w:t>（评分范围:2,1,0.5,0）</w:t>
            </w:r>
          </w:p>
          <w:p w14:paraId="4B10D63B">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val="0"/>
                <w:bCs w:val="0"/>
                <w:color w:val="auto"/>
                <w:szCs w:val="21"/>
                <w:highlight w:val="none"/>
                <w:lang w:val="en-US" w:eastAsia="zh-CN"/>
              </w:rPr>
              <w:t>3.互动感应装置、互动展示程序设计</w:t>
            </w:r>
            <w:r>
              <w:rPr>
                <w:rFonts w:hint="eastAsia" w:ascii="仿宋" w:hAnsi="仿宋" w:eastAsia="仿宋" w:cs="仿宋"/>
                <w:b/>
                <w:bCs/>
                <w:sz w:val="21"/>
                <w:szCs w:val="21"/>
                <w:highlight w:val="none"/>
                <w:lang w:val="en-US" w:eastAsia="zh-CN"/>
              </w:rPr>
              <w:t>（评分范围:2,1,0.5,0）</w:t>
            </w:r>
          </w:p>
        </w:tc>
      </w:tr>
      <w:tr w14:paraId="0E1CB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11F88AB0">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55" w:type="pct"/>
            <w:shd w:val="clear" w:color="auto" w:fill="auto"/>
            <w:vAlign w:val="center"/>
          </w:tcPr>
          <w:p w14:paraId="777A91E8">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6</w:t>
            </w:r>
          </w:p>
        </w:tc>
        <w:tc>
          <w:tcPr>
            <w:tcW w:w="3876" w:type="pct"/>
            <w:shd w:val="clear" w:color="auto" w:fill="auto"/>
            <w:vAlign w:val="center"/>
          </w:tcPr>
          <w:p w14:paraId="52B142F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]合作单位Logo墙</w:t>
            </w:r>
            <w:r>
              <w:rPr>
                <w:rFonts w:hint="eastAsia" w:ascii="仿宋" w:hAnsi="仿宋" w:eastAsia="仿宋" w:cs="仿宋"/>
                <w:b/>
                <w:bCs/>
                <w:color w:val="auto"/>
                <w:szCs w:val="21"/>
                <w:highlight w:val="none"/>
                <w:lang w:val="en-US" w:eastAsia="zh-CN"/>
              </w:rPr>
              <w:t>展示系统</w:t>
            </w:r>
            <w:r>
              <w:rPr>
                <w:rFonts w:hint="eastAsia" w:ascii="仿宋" w:hAnsi="仿宋" w:eastAsia="仿宋" w:cs="仿宋"/>
                <w:b/>
                <w:bCs/>
                <w:i w:val="0"/>
                <w:iCs w:val="0"/>
                <w:color w:val="auto"/>
                <w:szCs w:val="21"/>
                <w:highlight w:val="none"/>
                <w:lang w:val="en-US" w:eastAsia="zh-CN"/>
              </w:rPr>
              <w:t>设计：专业、全面、</w:t>
            </w:r>
            <w:r>
              <w:rPr>
                <w:rFonts w:hint="eastAsia" w:ascii="仿宋" w:hAnsi="仿宋" w:eastAsia="仿宋" w:cs="仿宋"/>
                <w:b/>
                <w:bCs/>
                <w:i w:val="0"/>
                <w:iCs w:val="0"/>
                <w:color w:val="auto"/>
                <w:szCs w:val="21"/>
                <w:highlight w:val="none"/>
              </w:rPr>
              <w:t>针对采购需求及实际特点、有利于项目实施</w:t>
            </w:r>
          </w:p>
          <w:p w14:paraId="6D06B62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b w:val="0"/>
                <w:bCs w:val="0"/>
                <w:i w:val="0"/>
                <w:iCs w:val="0"/>
                <w:color w:val="auto"/>
                <w:szCs w:val="21"/>
                <w:highlight w:val="none"/>
                <w:lang w:val="en-US" w:eastAsia="zh-CN"/>
              </w:rPr>
              <w:t>1.</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w:t>
            </w:r>
            <w:r>
              <w:rPr>
                <w:rFonts w:hint="eastAsia" w:ascii="仿宋" w:hAnsi="仿宋" w:eastAsia="仿宋" w:cs="仿宋"/>
                <w:b/>
                <w:bCs/>
                <w:sz w:val="21"/>
                <w:szCs w:val="21"/>
                <w:highlight w:val="none"/>
                <w:lang w:val="en-US" w:eastAsia="zh-CN"/>
              </w:rPr>
              <w:t>（评分范围:2,1,0.5,0）</w:t>
            </w:r>
          </w:p>
          <w:p w14:paraId="348CD4E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b w:val="0"/>
                <w:bCs w:val="0"/>
                <w:color w:val="auto"/>
                <w:szCs w:val="21"/>
                <w:highlight w:val="none"/>
                <w:lang w:val="en-US" w:eastAsia="zh-CN"/>
              </w:rPr>
              <w:t>模式内容和体验构思及效果呈现</w:t>
            </w:r>
            <w:r>
              <w:rPr>
                <w:rFonts w:hint="eastAsia" w:ascii="仿宋" w:hAnsi="仿宋" w:eastAsia="仿宋" w:cs="仿宋"/>
                <w:b/>
                <w:bCs/>
                <w:sz w:val="21"/>
                <w:szCs w:val="21"/>
                <w:highlight w:val="none"/>
                <w:lang w:val="en-US" w:eastAsia="zh-CN"/>
              </w:rPr>
              <w:t>（评分范围:2,1,0.5,0）</w:t>
            </w:r>
          </w:p>
          <w:p w14:paraId="39840DCB">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3.Logo墙展示画面设计</w:t>
            </w:r>
            <w:r>
              <w:rPr>
                <w:rFonts w:hint="eastAsia" w:ascii="仿宋" w:hAnsi="仿宋" w:eastAsia="仿宋" w:cs="仿宋"/>
                <w:b/>
                <w:bCs/>
                <w:sz w:val="21"/>
                <w:szCs w:val="21"/>
                <w:highlight w:val="none"/>
                <w:lang w:val="en-US" w:eastAsia="zh-CN"/>
              </w:rPr>
              <w:t>（评分范围:2,1,0.5,0）</w:t>
            </w:r>
          </w:p>
        </w:tc>
      </w:tr>
      <w:tr w14:paraId="49457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39622D3D">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55" w:type="pct"/>
            <w:shd w:val="clear" w:color="auto" w:fill="auto"/>
            <w:vAlign w:val="center"/>
          </w:tcPr>
          <w:p w14:paraId="23762633">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6</w:t>
            </w:r>
          </w:p>
        </w:tc>
        <w:tc>
          <w:tcPr>
            <w:tcW w:w="3876" w:type="pct"/>
            <w:shd w:val="clear" w:color="auto" w:fill="auto"/>
            <w:vAlign w:val="center"/>
          </w:tcPr>
          <w:p w14:paraId="3926CEE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]未来课堂沉浸式体验</w:t>
            </w:r>
            <w:r>
              <w:rPr>
                <w:rFonts w:hint="eastAsia" w:ascii="仿宋" w:hAnsi="仿宋" w:eastAsia="仿宋" w:cs="仿宋"/>
                <w:b/>
                <w:bCs/>
                <w:color w:val="auto"/>
                <w:szCs w:val="21"/>
                <w:highlight w:val="none"/>
                <w:lang w:val="en-US" w:eastAsia="zh-CN"/>
              </w:rPr>
              <w:t>展示系统</w:t>
            </w:r>
            <w:r>
              <w:rPr>
                <w:rFonts w:hint="eastAsia" w:ascii="仿宋" w:hAnsi="仿宋" w:eastAsia="仿宋" w:cs="仿宋"/>
                <w:b/>
                <w:bCs/>
                <w:i w:val="0"/>
                <w:iCs w:val="0"/>
                <w:color w:val="auto"/>
                <w:szCs w:val="21"/>
                <w:highlight w:val="none"/>
                <w:lang w:val="en-US" w:eastAsia="zh-CN"/>
              </w:rPr>
              <w:t>设计：专业、全面、</w:t>
            </w:r>
            <w:r>
              <w:rPr>
                <w:rFonts w:hint="eastAsia" w:ascii="仿宋" w:hAnsi="仿宋" w:eastAsia="仿宋" w:cs="仿宋"/>
                <w:b/>
                <w:bCs/>
                <w:i w:val="0"/>
                <w:iCs w:val="0"/>
                <w:color w:val="auto"/>
                <w:szCs w:val="21"/>
                <w:highlight w:val="none"/>
              </w:rPr>
              <w:t>针对采购需求及实际特点、有利于项目实施</w:t>
            </w:r>
          </w:p>
          <w:p w14:paraId="4B7AC999">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b w:val="0"/>
                <w:bCs w:val="0"/>
                <w:i w:val="0"/>
                <w:iCs w:val="0"/>
                <w:color w:val="auto"/>
                <w:szCs w:val="21"/>
                <w:highlight w:val="none"/>
                <w:lang w:val="en-US" w:eastAsia="zh-CN"/>
              </w:rPr>
              <w:t>1.</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w:t>
            </w:r>
            <w:r>
              <w:rPr>
                <w:rFonts w:hint="eastAsia" w:ascii="仿宋" w:hAnsi="仿宋" w:eastAsia="仿宋" w:cs="仿宋"/>
                <w:b/>
                <w:bCs/>
                <w:sz w:val="21"/>
                <w:szCs w:val="21"/>
                <w:highlight w:val="none"/>
                <w:lang w:val="en-US" w:eastAsia="zh-CN"/>
              </w:rPr>
              <w:t>（评分范围:2,1,0.5,0）</w:t>
            </w:r>
          </w:p>
          <w:p w14:paraId="4AB4E63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b w:val="0"/>
                <w:bCs w:val="0"/>
                <w:color w:val="auto"/>
                <w:szCs w:val="21"/>
                <w:highlight w:val="none"/>
                <w:lang w:val="en-US" w:eastAsia="zh-CN"/>
              </w:rPr>
              <w:t>模式内容和体验构思及效果呈现</w:t>
            </w:r>
            <w:r>
              <w:rPr>
                <w:rFonts w:hint="eastAsia" w:ascii="仿宋" w:hAnsi="仿宋" w:eastAsia="仿宋" w:cs="仿宋"/>
                <w:b/>
                <w:bCs/>
                <w:sz w:val="21"/>
                <w:szCs w:val="21"/>
                <w:highlight w:val="none"/>
                <w:lang w:val="en-US" w:eastAsia="zh-CN"/>
              </w:rPr>
              <w:t>（评分范围:2,1,0.5,0）</w:t>
            </w:r>
          </w:p>
          <w:p w14:paraId="1389D0C0">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3.触控桌面系统界面、互动程序设计</w:t>
            </w:r>
            <w:r>
              <w:rPr>
                <w:rFonts w:hint="eastAsia" w:ascii="仿宋" w:hAnsi="仿宋" w:eastAsia="仿宋" w:cs="仿宋"/>
                <w:b/>
                <w:bCs/>
                <w:sz w:val="21"/>
                <w:szCs w:val="21"/>
                <w:highlight w:val="none"/>
                <w:lang w:val="en-US" w:eastAsia="zh-CN"/>
              </w:rPr>
              <w:t>（评分范围:2,1,0.5,0）</w:t>
            </w:r>
          </w:p>
        </w:tc>
      </w:tr>
      <w:tr w14:paraId="2EBE7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32537D8B">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rPr>
            </w:pPr>
          </w:p>
        </w:tc>
        <w:tc>
          <w:tcPr>
            <w:tcW w:w="355" w:type="pct"/>
            <w:shd w:val="clear" w:color="auto" w:fill="auto"/>
            <w:vAlign w:val="center"/>
          </w:tcPr>
          <w:p w14:paraId="1B9AA34B">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6</w:t>
            </w:r>
          </w:p>
        </w:tc>
        <w:tc>
          <w:tcPr>
            <w:tcW w:w="3876" w:type="pct"/>
            <w:shd w:val="clear" w:color="auto" w:fill="auto"/>
            <w:vAlign w:val="center"/>
          </w:tcPr>
          <w:p w14:paraId="10E2E604">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i w:val="0"/>
                <w:iCs w:val="0"/>
                <w:color w:val="auto"/>
                <w:szCs w:val="21"/>
                <w:highlight w:val="none"/>
              </w:rPr>
            </w:pPr>
            <w:r>
              <w:rPr>
                <w:rFonts w:hint="eastAsia" w:ascii="仿宋" w:hAnsi="仿宋" w:eastAsia="仿宋" w:cs="仿宋"/>
                <w:b/>
                <w:bCs/>
                <w:i w:val="0"/>
                <w:iCs w:val="0"/>
                <w:color w:val="auto"/>
                <w:szCs w:val="21"/>
                <w:highlight w:val="none"/>
                <w:lang w:val="en-US" w:eastAsia="zh-CN"/>
              </w:rPr>
              <w:t>[主</w:t>
            </w:r>
            <w:r>
              <w:rPr>
                <w:rFonts w:hint="eastAsia" w:ascii="仿宋" w:hAnsi="仿宋" w:eastAsia="仿宋" w:cs="仿宋"/>
                <w:b/>
                <w:bCs/>
                <w:i w:val="0"/>
                <w:iCs w:val="0"/>
                <w:color w:val="auto"/>
                <w:szCs w:val="21"/>
                <w:highlight w:val="none"/>
              </w:rPr>
              <w:t>观分</w:t>
            </w:r>
            <w:r>
              <w:rPr>
                <w:rFonts w:hint="eastAsia" w:ascii="仿宋" w:hAnsi="仿宋" w:eastAsia="仿宋" w:cs="仿宋"/>
                <w:b/>
                <w:bCs/>
                <w:i w:val="0"/>
                <w:iCs w:val="0"/>
                <w:color w:val="auto"/>
                <w:szCs w:val="21"/>
                <w:highlight w:val="none"/>
                <w:lang w:val="en-US" w:eastAsia="zh-CN"/>
              </w:rPr>
              <w:t>]</w:t>
            </w:r>
            <w:r>
              <w:rPr>
                <w:rFonts w:hint="eastAsia" w:ascii="仿宋" w:hAnsi="仿宋" w:eastAsia="仿宋" w:cs="仿宋"/>
                <w:b/>
                <w:bCs/>
                <w:color w:val="auto"/>
                <w:kern w:val="0"/>
                <w:szCs w:val="21"/>
                <w:lang w:bidi="ar"/>
              </w:rPr>
              <w:t>点播学习区</w:t>
            </w:r>
            <w:r>
              <w:rPr>
                <w:rFonts w:hint="eastAsia" w:ascii="仿宋" w:hAnsi="仿宋" w:eastAsia="仿宋" w:cs="仿宋"/>
                <w:b/>
                <w:bCs/>
                <w:color w:val="auto"/>
                <w:szCs w:val="21"/>
                <w:highlight w:val="none"/>
                <w:lang w:val="en-US" w:eastAsia="zh-CN"/>
              </w:rPr>
              <w:t>展示系统</w:t>
            </w:r>
            <w:r>
              <w:rPr>
                <w:rFonts w:hint="eastAsia" w:ascii="仿宋" w:hAnsi="仿宋" w:eastAsia="仿宋" w:cs="仿宋"/>
                <w:b/>
                <w:bCs/>
                <w:i w:val="0"/>
                <w:iCs w:val="0"/>
                <w:color w:val="auto"/>
                <w:szCs w:val="21"/>
                <w:highlight w:val="none"/>
                <w:lang w:val="en-US" w:eastAsia="zh-CN"/>
              </w:rPr>
              <w:t>设计：专业、全面、</w:t>
            </w:r>
            <w:r>
              <w:rPr>
                <w:rFonts w:hint="eastAsia" w:ascii="仿宋" w:hAnsi="仿宋" w:eastAsia="仿宋" w:cs="仿宋"/>
                <w:b/>
                <w:bCs/>
                <w:i w:val="0"/>
                <w:iCs w:val="0"/>
                <w:color w:val="auto"/>
                <w:szCs w:val="21"/>
                <w:highlight w:val="none"/>
              </w:rPr>
              <w:t>针对采购需求及实际特点、有利于项目实施</w:t>
            </w:r>
          </w:p>
          <w:p w14:paraId="759F6353">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b w:val="0"/>
                <w:bCs w:val="0"/>
                <w:i w:val="0"/>
                <w:iCs w:val="0"/>
                <w:color w:val="auto"/>
                <w:szCs w:val="21"/>
                <w:highlight w:val="none"/>
                <w:lang w:val="en-US" w:eastAsia="zh-CN"/>
              </w:rPr>
              <w:t>1.</w:t>
            </w:r>
            <w:r>
              <w:rPr>
                <w:rFonts w:hint="eastAsia" w:ascii="仿宋" w:hAnsi="仿宋" w:eastAsia="仿宋" w:cs="仿宋"/>
                <w:color w:val="auto"/>
                <w:szCs w:val="21"/>
                <w:highlight w:val="none"/>
              </w:rPr>
              <w:t>设计定位</w:t>
            </w:r>
            <w:r>
              <w:rPr>
                <w:rFonts w:hint="eastAsia" w:ascii="仿宋" w:hAnsi="仿宋" w:eastAsia="仿宋" w:cs="仿宋"/>
                <w:color w:val="auto"/>
                <w:szCs w:val="21"/>
                <w:highlight w:val="none"/>
                <w:lang w:val="en-US" w:eastAsia="zh-CN"/>
              </w:rPr>
              <w:t>及原则、技术路线[含制造商公开发布的印刷资料（官网材料、彩页、Datasheet）或</w:t>
            </w:r>
            <w:r>
              <w:rPr>
                <w:rFonts w:hint="eastAsia" w:ascii="仿宋" w:hAnsi="仿宋" w:eastAsia="仿宋" w:cs="仿宋"/>
                <w:bCs/>
                <w:color w:val="auto"/>
                <w:szCs w:val="21"/>
                <w:highlight w:val="none"/>
                <w:lang w:val="en-US" w:eastAsia="zh-CN"/>
              </w:rPr>
              <w:t>国家认可的第三方检测机构出具的</w:t>
            </w:r>
            <w:r>
              <w:rPr>
                <w:rFonts w:hint="eastAsia" w:ascii="仿宋" w:hAnsi="仿宋" w:eastAsia="仿宋" w:cs="仿宋"/>
                <w:color w:val="auto"/>
                <w:szCs w:val="21"/>
                <w:highlight w:val="none"/>
                <w:lang w:val="en-US" w:eastAsia="zh-CN"/>
              </w:rPr>
              <w:t>检验报告（具有CMA标识）、产品相关认证（如有）]</w:t>
            </w:r>
            <w:r>
              <w:rPr>
                <w:rFonts w:hint="eastAsia" w:ascii="仿宋" w:hAnsi="仿宋" w:eastAsia="仿宋" w:cs="仿宋"/>
                <w:b/>
                <w:bCs/>
                <w:sz w:val="21"/>
                <w:szCs w:val="21"/>
                <w:highlight w:val="none"/>
                <w:lang w:val="en-US" w:eastAsia="zh-CN"/>
              </w:rPr>
              <w:t>（评分范围:2,1,0.5,0）</w:t>
            </w:r>
          </w:p>
          <w:p w14:paraId="2D7040FA">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b w:val="0"/>
                <w:bCs w:val="0"/>
                <w:color w:val="auto"/>
                <w:szCs w:val="21"/>
                <w:highlight w:val="none"/>
                <w:lang w:val="en-US" w:eastAsia="zh-CN"/>
              </w:rPr>
              <w:t>模式内容和体验构思及效果呈现</w:t>
            </w:r>
            <w:r>
              <w:rPr>
                <w:rFonts w:hint="eastAsia" w:ascii="仿宋" w:hAnsi="仿宋" w:eastAsia="仿宋" w:cs="仿宋"/>
                <w:b/>
                <w:bCs/>
                <w:sz w:val="21"/>
                <w:szCs w:val="21"/>
                <w:highlight w:val="none"/>
                <w:lang w:val="en-US" w:eastAsia="zh-CN"/>
              </w:rPr>
              <w:t>（评分范围:2,1,0.5,0）</w:t>
            </w:r>
          </w:p>
          <w:p w14:paraId="3C1053C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3.识别装置、互动展示程序（含一体机系统界面）设计</w:t>
            </w:r>
            <w:r>
              <w:rPr>
                <w:rFonts w:hint="eastAsia" w:ascii="仿宋" w:hAnsi="仿宋" w:eastAsia="仿宋" w:cs="仿宋"/>
                <w:b/>
                <w:bCs/>
                <w:sz w:val="21"/>
                <w:szCs w:val="21"/>
                <w:highlight w:val="none"/>
                <w:lang w:val="en-US" w:eastAsia="zh-CN"/>
              </w:rPr>
              <w:t>（评分范围:2,1,0.5,0）</w:t>
            </w:r>
          </w:p>
        </w:tc>
      </w:tr>
      <w:tr w14:paraId="6086D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shd w:val="clear" w:color="auto" w:fill="auto"/>
            <w:vAlign w:val="center"/>
          </w:tcPr>
          <w:p w14:paraId="192F8ECD">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lang w:val="en-US" w:eastAsia="zh-CN"/>
              </w:rPr>
              <w:t>项目实施</w:t>
            </w:r>
          </w:p>
        </w:tc>
        <w:tc>
          <w:tcPr>
            <w:tcW w:w="355" w:type="pct"/>
            <w:shd w:val="clear" w:color="auto" w:fill="auto"/>
            <w:vAlign w:val="center"/>
          </w:tcPr>
          <w:p w14:paraId="5CDDFA48">
            <w:pPr>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lang w:val="en-US" w:eastAsia="zh-CN"/>
              </w:rPr>
              <w:t>3</w:t>
            </w:r>
          </w:p>
        </w:tc>
        <w:tc>
          <w:tcPr>
            <w:tcW w:w="3876" w:type="pct"/>
            <w:shd w:val="clear" w:color="auto" w:fill="auto"/>
            <w:vAlign w:val="center"/>
          </w:tcPr>
          <w:p w14:paraId="272776FC">
            <w:pPr>
              <w:rPr>
                <w:rFonts w:hint="eastAsia" w:ascii="仿宋" w:hAnsi="仿宋" w:eastAsia="仿宋" w:cs="仿宋"/>
                <w:b/>
                <w:bCs/>
                <w:kern w:val="2"/>
                <w:sz w:val="21"/>
                <w:szCs w:val="21"/>
                <w:highlight w:val="none"/>
                <w:lang w:val="en-US" w:eastAsia="zh-CN" w:bidi="ar-SA"/>
              </w:rPr>
            </w:pPr>
            <w:r>
              <w:rPr>
                <w:rFonts w:hint="eastAsia" w:ascii="仿宋" w:hAnsi="仿宋" w:eastAsia="仿宋" w:cs="仿宋"/>
                <w:b/>
                <w:bCs/>
                <w:color w:val="auto"/>
                <w:szCs w:val="21"/>
                <w:highlight w:val="none"/>
              </w:rPr>
              <w:t>[主观分]</w:t>
            </w:r>
            <w:r>
              <w:rPr>
                <w:rFonts w:hint="eastAsia" w:ascii="仿宋" w:hAnsi="仿宋" w:eastAsia="仿宋" w:cs="仿宋"/>
                <w:b w:val="0"/>
                <w:bCs w:val="0"/>
                <w:color w:val="auto"/>
                <w:szCs w:val="21"/>
                <w:highlight w:val="none"/>
              </w:rPr>
              <w:t>项目实施</w:t>
            </w:r>
            <w:r>
              <w:rPr>
                <w:rFonts w:hint="eastAsia" w:ascii="仿宋" w:hAnsi="仿宋" w:eastAsia="仿宋" w:cs="仿宋"/>
                <w:b w:val="0"/>
                <w:bCs w:val="0"/>
                <w:color w:val="auto"/>
                <w:szCs w:val="21"/>
                <w:highlight w:val="none"/>
                <w:lang w:eastAsia="zh-CN"/>
              </w:rPr>
              <w:t>（</w:t>
            </w:r>
            <w:r>
              <w:rPr>
                <w:rFonts w:hint="eastAsia" w:ascii="仿宋" w:hAnsi="仿宋" w:eastAsia="仿宋" w:cs="仿宋"/>
                <w:color w:val="auto"/>
                <w:szCs w:val="21"/>
                <w:highlight w:val="none"/>
                <w:lang w:val="en-US" w:eastAsia="zh-CN"/>
              </w:rPr>
              <w:t>总体设想、实施计划、设计与安装调试及展陈施工配合协调措施、新技术/新产品/新工艺/新材料应用等</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rPr>
              <w:t>方案:专业、</w:t>
            </w:r>
            <w:r>
              <w:rPr>
                <w:rFonts w:hint="eastAsia" w:ascii="仿宋" w:hAnsi="仿宋" w:eastAsia="仿宋" w:cs="仿宋"/>
                <w:b w:val="0"/>
                <w:bCs w:val="0"/>
                <w:color w:val="auto"/>
                <w:szCs w:val="21"/>
                <w:highlight w:val="none"/>
                <w:lang w:val="en-US" w:eastAsia="zh-CN"/>
              </w:rPr>
              <w:t>全面、</w:t>
            </w:r>
            <w:r>
              <w:rPr>
                <w:rFonts w:hint="eastAsia" w:ascii="仿宋" w:hAnsi="仿宋" w:eastAsia="仿宋" w:cs="仿宋"/>
                <w:b w:val="0"/>
                <w:bCs w:val="0"/>
                <w:color w:val="auto"/>
                <w:szCs w:val="21"/>
                <w:highlight w:val="none"/>
              </w:rPr>
              <w:t>合理、针对采购需求及实际特点、有利于</w:t>
            </w:r>
            <w:r>
              <w:rPr>
                <w:rFonts w:hint="eastAsia" w:ascii="仿宋" w:hAnsi="仿宋" w:eastAsia="仿宋" w:cs="仿宋"/>
                <w:b w:val="0"/>
                <w:bCs w:val="0"/>
                <w:color w:val="auto"/>
                <w:szCs w:val="21"/>
                <w:highlight w:val="none"/>
                <w:lang w:val="en-US" w:eastAsia="zh-CN"/>
              </w:rPr>
              <w:t>项目实施</w:t>
            </w:r>
            <w:r>
              <w:rPr>
                <w:rFonts w:hint="eastAsia" w:ascii="仿宋" w:hAnsi="仿宋" w:eastAsia="仿宋" w:cs="仿宋"/>
                <w:b/>
                <w:bCs/>
                <w:sz w:val="21"/>
                <w:szCs w:val="21"/>
                <w:highlight w:val="none"/>
                <w:lang w:val="en-US" w:eastAsia="zh-CN"/>
              </w:rPr>
              <w:t>（评分范围:3,2,1,0）</w:t>
            </w:r>
          </w:p>
        </w:tc>
      </w:tr>
      <w:tr w14:paraId="432DC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Align w:val="center"/>
          </w:tcPr>
          <w:p w14:paraId="7C8A59A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技术培训</w:t>
            </w:r>
          </w:p>
        </w:tc>
        <w:tc>
          <w:tcPr>
            <w:tcW w:w="355" w:type="pct"/>
            <w:vAlign w:val="center"/>
          </w:tcPr>
          <w:p w14:paraId="68450CE2">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2</w:t>
            </w:r>
          </w:p>
        </w:tc>
        <w:tc>
          <w:tcPr>
            <w:tcW w:w="3876" w:type="pct"/>
            <w:vAlign w:val="center"/>
          </w:tcPr>
          <w:p w14:paraId="65C1077D">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主观分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培训计划</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包括培训流程、培训方式、培训对象、培训内容、培训日程等</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全面、针对采购需求及实际特点</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Cs w:val="21"/>
                <w:highlight w:val="none"/>
                <w:lang w:val="en-US" w:eastAsia="zh-CN"/>
              </w:rPr>
              <w:t>有利于</w:t>
            </w:r>
            <w:r>
              <w:rPr>
                <w:rFonts w:hint="eastAsia" w:ascii="仿宋" w:hAnsi="仿宋" w:eastAsia="仿宋" w:cs="仿宋"/>
                <w:b w:val="0"/>
                <w:bCs w:val="0"/>
                <w:color w:val="auto"/>
                <w:szCs w:val="21"/>
                <w:highlight w:val="none"/>
                <w:lang w:val="en-US" w:eastAsia="zh-CN"/>
              </w:rPr>
              <w:t>产品验收及日常运行</w:t>
            </w:r>
            <w:r>
              <w:rPr>
                <w:rFonts w:hint="eastAsia" w:ascii="仿宋" w:hAnsi="仿宋" w:eastAsia="仿宋" w:cs="仿宋"/>
                <w:b/>
                <w:bCs/>
                <w:sz w:val="21"/>
                <w:szCs w:val="21"/>
                <w:highlight w:val="none"/>
                <w:lang w:val="en-US" w:eastAsia="zh-CN"/>
              </w:rPr>
              <w:t>（评分范围:2,1,0.5,0）</w:t>
            </w:r>
          </w:p>
        </w:tc>
      </w:tr>
      <w:tr w14:paraId="4476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restart"/>
            <w:vAlign w:val="center"/>
          </w:tcPr>
          <w:p w14:paraId="090F9DF3">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售后服务</w:t>
            </w:r>
          </w:p>
        </w:tc>
        <w:tc>
          <w:tcPr>
            <w:tcW w:w="355" w:type="pct"/>
            <w:vAlign w:val="center"/>
          </w:tcPr>
          <w:p w14:paraId="7CDB631A">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2</w:t>
            </w:r>
          </w:p>
        </w:tc>
        <w:tc>
          <w:tcPr>
            <w:tcW w:w="3876" w:type="pct"/>
            <w:vAlign w:val="center"/>
          </w:tcPr>
          <w:p w14:paraId="007C65CA">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主观分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售后服务方案</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包括</w:t>
            </w:r>
            <w:r>
              <w:rPr>
                <w:rFonts w:hint="eastAsia" w:ascii="仿宋" w:hAnsi="仿宋" w:eastAsia="仿宋" w:cs="仿宋"/>
                <w:color w:val="auto"/>
                <w:sz w:val="21"/>
                <w:szCs w:val="21"/>
                <w:highlight w:val="none"/>
                <w:lang w:eastAsia="zh-CN"/>
              </w:rPr>
              <w:t>服务机构、服务内容、服务承诺</w:t>
            </w:r>
            <w:r>
              <w:rPr>
                <w:rFonts w:hint="eastAsia" w:ascii="仿宋" w:hAnsi="仿宋" w:eastAsia="仿宋" w:cs="仿宋"/>
                <w:color w:val="auto"/>
                <w:sz w:val="21"/>
                <w:szCs w:val="21"/>
                <w:highlight w:val="none"/>
              </w:rPr>
              <w:t>、响应时间、服务方式、人员配备</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应急服务等</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全面、针对采购需求及实际特点</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Cs w:val="21"/>
                <w:highlight w:val="none"/>
                <w:lang w:val="en-US" w:eastAsia="zh-CN"/>
              </w:rPr>
              <w:t>有利于产品</w:t>
            </w:r>
            <w:r>
              <w:rPr>
                <w:rFonts w:hint="eastAsia" w:ascii="仿宋" w:hAnsi="仿宋" w:eastAsia="仿宋" w:cs="仿宋"/>
                <w:b w:val="0"/>
                <w:bCs w:val="0"/>
                <w:color w:val="auto"/>
                <w:szCs w:val="21"/>
                <w:highlight w:val="none"/>
                <w:lang w:val="en-US" w:eastAsia="zh-CN"/>
              </w:rPr>
              <w:t>日常运行</w:t>
            </w:r>
            <w:r>
              <w:rPr>
                <w:rFonts w:hint="eastAsia" w:ascii="仿宋" w:hAnsi="仿宋" w:eastAsia="仿宋" w:cs="仿宋"/>
                <w:b/>
                <w:bCs/>
                <w:sz w:val="21"/>
                <w:szCs w:val="21"/>
                <w:highlight w:val="none"/>
                <w:lang w:val="en-US" w:eastAsia="zh-CN"/>
              </w:rPr>
              <w:t>（评分范围:2,1,0.5,0）</w:t>
            </w:r>
          </w:p>
        </w:tc>
      </w:tr>
      <w:tr w14:paraId="58940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68" w:type="pct"/>
            <w:vMerge w:val="continue"/>
            <w:vAlign w:val="center"/>
          </w:tcPr>
          <w:p w14:paraId="2A8805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p>
        </w:tc>
        <w:tc>
          <w:tcPr>
            <w:tcW w:w="355" w:type="pct"/>
            <w:vAlign w:val="center"/>
          </w:tcPr>
          <w:p w14:paraId="68CFCE15">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 w:val="21"/>
                <w:szCs w:val="21"/>
                <w:highlight w:val="none"/>
                <w:lang w:val="en-US" w:eastAsia="zh-CN"/>
              </w:rPr>
              <w:t>1</w:t>
            </w:r>
          </w:p>
        </w:tc>
        <w:tc>
          <w:tcPr>
            <w:tcW w:w="3876" w:type="pct"/>
            <w:vAlign w:val="center"/>
          </w:tcPr>
          <w:p w14:paraId="1C872A59">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rPr>
              <w:t>主观分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val="0"/>
                <w:bCs w:val="0"/>
                <w:color w:val="auto"/>
                <w:sz w:val="21"/>
                <w:szCs w:val="21"/>
                <w:highlight w:val="none"/>
                <w:lang w:val="en-US" w:eastAsia="zh-CN"/>
              </w:rPr>
              <w:t>随机标准附件、备品备件、易损件、零配件、专用工具等</w:t>
            </w:r>
            <w:r>
              <w:rPr>
                <w:rFonts w:hint="eastAsia" w:ascii="仿宋" w:hAnsi="仿宋" w:eastAsia="仿宋" w:cs="仿宋"/>
                <w:b w:val="0"/>
                <w:bCs w:val="0"/>
                <w:color w:val="auto"/>
                <w:sz w:val="21"/>
                <w:szCs w:val="21"/>
                <w:highlight w:val="none"/>
              </w:rPr>
              <w:t>准备和保障措施</w:t>
            </w:r>
            <w:r>
              <w:rPr>
                <w:rFonts w:hint="eastAsia" w:ascii="仿宋" w:hAnsi="仿宋" w:eastAsia="仿宋" w:cs="仿宋"/>
                <w:b w:val="0"/>
                <w:bCs w:val="0"/>
                <w:color w:val="auto"/>
                <w:sz w:val="21"/>
                <w:szCs w:val="21"/>
                <w:highlight w:val="none"/>
                <w:lang w:val="en-US" w:eastAsia="zh-CN"/>
              </w:rPr>
              <w:t>及所需选配件、维修配件、易耗件、年度运行维护费用购买折扣：措施充分、折扣力度大且合理</w:t>
            </w:r>
            <w:r>
              <w:rPr>
                <w:rFonts w:hint="eastAsia" w:ascii="仿宋" w:hAnsi="仿宋" w:eastAsia="仿宋" w:cs="仿宋"/>
                <w:b/>
                <w:bCs/>
                <w:sz w:val="21"/>
                <w:szCs w:val="21"/>
                <w:highlight w:val="none"/>
                <w:lang w:val="en-US" w:eastAsia="zh-CN"/>
              </w:rPr>
              <w:t>（评分范围:1,0.5,0.25,0）</w:t>
            </w:r>
          </w:p>
        </w:tc>
      </w:tr>
    </w:tbl>
    <w:p w14:paraId="7A138FA0">
      <w:pPr>
        <w:widowControl/>
        <w:adjustRightInd w:val="0"/>
        <w:snapToGrid w:val="0"/>
        <w:spacing w:line="288" w:lineRule="auto"/>
        <w:ind w:left="0" w:leftChars="0" w:right="0" w:rightChars="0" w:firstLine="0" w:firstLineChars="0"/>
        <w:jc w:val="center"/>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750F4D5D">
      <w:pPr>
        <w:adjustRightInd w:val="0"/>
        <w:snapToGrid w:val="0"/>
        <w:spacing w:line="288" w:lineRule="auto"/>
        <w:ind w:left="0" w:leftChars="0" w:right="0" w:rightChars="0" w:firstLine="0" w:firstLineChars="0"/>
        <w:jc w:val="center"/>
        <w:outlineLvl w:val="0"/>
        <w:rPr>
          <w:rFonts w:ascii="仿宋" w:hAnsi="仿宋" w:eastAsia="仿宋" w:cs="仿宋"/>
          <w:color w:val="auto"/>
          <w:kern w:val="0"/>
          <w:sz w:val="32"/>
          <w:szCs w:val="32"/>
          <w:highlight w:val="none"/>
        </w:rPr>
      </w:pPr>
      <w:r>
        <w:rPr>
          <w:rFonts w:hint="eastAsia" w:ascii="仿宋" w:hAnsi="仿宋" w:eastAsia="仿宋" w:cs="仿宋"/>
          <w:b/>
          <w:color w:val="auto"/>
          <w:sz w:val="32"/>
          <w:szCs w:val="32"/>
          <w:highlight w:val="none"/>
        </w:rPr>
        <w:t>第五章  拟签订的合同文本</w:t>
      </w:r>
    </w:p>
    <w:p w14:paraId="771F0C6F">
      <w:pPr>
        <w:spacing w:line="288" w:lineRule="auto"/>
        <w:ind w:left="0" w:leftChars="0" w:right="0" w:rightChars="0" w:firstLine="0" w:firstLineChars="0"/>
        <w:jc w:val="center"/>
        <w:outlineLvl w:val="1"/>
        <w:rPr>
          <w:rFonts w:hint="eastAsia" w:ascii="仿宋" w:hAnsi="仿宋" w:eastAsia="仿宋" w:cs="仿宋"/>
          <w:color w:val="auto"/>
          <w:spacing w:val="-6"/>
          <w:sz w:val="24"/>
          <w:highlight w:val="none"/>
          <w:lang w:eastAsia="zh-CN"/>
        </w:rPr>
      </w:pPr>
      <w:r>
        <w:rPr>
          <w:rFonts w:hint="eastAsia" w:ascii="仿宋" w:hAnsi="仿宋" w:eastAsia="仿宋" w:cs="仿宋"/>
          <w:b/>
          <w:color w:val="auto"/>
          <w:spacing w:val="-6"/>
          <w:sz w:val="24"/>
          <w:highlight w:val="none"/>
        </w:rPr>
        <w:t>浙江工业大学采购合同</w:t>
      </w:r>
    </w:p>
    <w:p w14:paraId="61EC1B32">
      <w:pPr>
        <w:spacing w:line="288" w:lineRule="auto"/>
        <w:ind w:left="0" w:leftChars="0" w:right="0" w:rightChars="0" w:firstLine="0" w:firstLineChars="0"/>
        <w:jc w:val="center"/>
        <w:rPr>
          <w:rFonts w:ascii="仿宋" w:hAnsi="仿宋" w:eastAsia="仿宋" w:cs="仿宋"/>
          <w:color w:val="auto"/>
          <w:spacing w:val="-6"/>
          <w:szCs w:val="21"/>
          <w:highlight w:val="none"/>
        </w:rPr>
      </w:pPr>
      <w:r>
        <w:rPr>
          <w:rFonts w:hint="eastAsia" w:ascii="仿宋" w:hAnsi="仿宋" w:eastAsia="仿宋" w:cs="仿宋"/>
          <w:spacing w:val="-6"/>
          <w:sz w:val="18"/>
          <w:szCs w:val="18"/>
          <w:highlight w:val="none"/>
        </w:rPr>
        <w:t>（本合同为合同样稿，最终稿由甲乙丙三方协商后确定，合同实质性内容不得更改；签订合同时删除此行）</w:t>
      </w:r>
    </w:p>
    <w:p w14:paraId="642DDE96">
      <w:pPr>
        <w:keepNext w:val="0"/>
        <w:keepLines w:val="0"/>
        <w:pageBreakBefore w:val="0"/>
        <w:widowControl w:val="0"/>
        <w:kinsoku/>
        <w:wordWrap/>
        <w:overflowPunct/>
        <w:topLinePunct w:val="0"/>
        <w:autoSpaceDE/>
        <w:autoSpaceDN/>
        <w:bidi w:val="0"/>
        <w:adjustRightInd/>
        <w:snapToGrid/>
        <w:spacing w:line="288" w:lineRule="auto"/>
        <w:ind w:firstLine="5880" w:firstLineChars="28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lang w:eastAsia="zh-CN"/>
        </w:rPr>
        <w:t>QSZB-Z(H)-H25019(GK)</w:t>
      </w:r>
    </w:p>
    <w:p w14:paraId="4ED68DF8">
      <w:pPr>
        <w:keepNext w:val="0"/>
        <w:keepLines w:val="0"/>
        <w:pageBreakBefore w:val="0"/>
        <w:widowControl w:val="0"/>
        <w:kinsoku/>
        <w:wordWrap/>
        <w:overflowPunct/>
        <w:topLinePunct w:val="0"/>
        <w:autoSpaceDE/>
        <w:autoSpaceDN/>
        <w:bidi w:val="0"/>
        <w:adjustRightInd/>
        <w:snapToGrid/>
        <w:spacing w:line="288" w:lineRule="auto"/>
        <w:ind w:firstLine="5880" w:firstLineChars="28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确认书号：</w:t>
      </w:r>
      <w:r>
        <w:rPr>
          <w:rFonts w:hint="eastAsia" w:ascii="仿宋" w:hAnsi="仿宋" w:eastAsia="仿宋" w:cs="仿宋"/>
          <w:color w:val="auto"/>
          <w:szCs w:val="21"/>
          <w:highlight w:val="none"/>
          <w:lang w:eastAsia="zh-CN"/>
        </w:rPr>
        <w:t>[2024]66055号</w:t>
      </w:r>
    </w:p>
    <w:p w14:paraId="2726A4FB">
      <w:pPr>
        <w:keepNext w:val="0"/>
        <w:keepLines w:val="0"/>
        <w:pageBreakBefore w:val="0"/>
        <w:widowControl w:val="0"/>
        <w:kinsoku/>
        <w:wordWrap/>
        <w:overflowPunct/>
        <w:topLinePunct w:val="0"/>
        <w:autoSpaceDE/>
        <w:autoSpaceDN/>
        <w:bidi w:val="0"/>
        <w:adjustRightInd/>
        <w:snapToGrid/>
        <w:spacing w:line="288" w:lineRule="auto"/>
        <w:ind w:firstLine="5880" w:firstLineChars="28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委托编号：</w:t>
      </w:r>
      <w:r>
        <w:rPr>
          <w:rFonts w:hint="eastAsia" w:ascii="仿宋" w:hAnsi="仿宋" w:eastAsia="仿宋" w:cs="仿宋"/>
          <w:color w:val="auto"/>
          <w:szCs w:val="21"/>
          <w:highlight w:val="none"/>
          <w:lang w:eastAsia="zh-CN"/>
        </w:rPr>
        <w:t>ZJGDZC（W）-202</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-QS007</w:t>
      </w:r>
    </w:p>
    <w:p w14:paraId="62BAF92A">
      <w:pPr>
        <w:spacing w:line="288" w:lineRule="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lang w:eastAsia="zh-CN"/>
        </w:rPr>
        <w:t>浙江工业大学能碳管理显示系统</w:t>
      </w:r>
    </w:p>
    <w:p w14:paraId="45955206">
      <w:pPr>
        <w:spacing w:line="288"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甲方（采购方）：浙江工业大学</w:t>
      </w:r>
    </w:p>
    <w:p w14:paraId="0A6EB186">
      <w:pPr>
        <w:spacing w:line="288"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乙方（供应方）：</w:t>
      </w:r>
    </w:p>
    <w:p w14:paraId="56D5249D">
      <w:pPr>
        <w:spacing w:line="288"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丙方（使用方）：</w:t>
      </w:r>
    </w:p>
    <w:p w14:paraId="1B5660DF">
      <w:pPr>
        <w:spacing w:line="288" w:lineRule="auto"/>
        <w:rPr>
          <w:rFonts w:hint="eastAsia" w:ascii="仿宋" w:hAnsi="仿宋" w:eastAsia="仿宋" w:cs="仿宋"/>
          <w:bCs/>
          <w:color w:val="auto"/>
          <w:sz w:val="21"/>
          <w:szCs w:val="21"/>
          <w:highlight w:val="none"/>
        </w:rPr>
      </w:pPr>
      <w:r>
        <w:rPr>
          <w:rFonts w:hint="eastAsia" w:ascii="仿宋" w:hAnsi="仿宋" w:eastAsia="仿宋" w:cs="仿宋"/>
          <w:bCs/>
          <w:color w:val="auto"/>
          <w:spacing w:val="-6"/>
          <w:sz w:val="21"/>
          <w:szCs w:val="21"/>
          <w:highlight w:val="none"/>
        </w:rPr>
        <w:t>采购代理机构（鉴证方）：浙江求是招标代理有限公司</w:t>
      </w:r>
    </w:p>
    <w:p w14:paraId="26DFE2D0">
      <w:pPr>
        <w:spacing w:line="288"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甲、乙、丙三方根据浙江求是招标代理有限公司关于</w:t>
      </w:r>
      <w:r>
        <w:rPr>
          <w:rFonts w:hint="eastAsia" w:ascii="仿宋" w:hAnsi="仿宋" w:eastAsia="仿宋" w:cs="仿宋"/>
          <w:color w:val="auto"/>
          <w:sz w:val="21"/>
          <w:szCs w:val="21"/>
          <w:highlight w:val="none"/>
          <w:lang w:eastAsia="zh-CN"/>
        </w:rPr>
        <w:t>浙江工业大学能碳管理显示系统</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rPr>
        <w:t>公开招标的结果，签署本合同。</w:t>
      </w:r>
    </w:p>
    <w:p w14:paraId="2DC6DEDF">
      <w:pPr>
        <w:spacing w:line="288"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一、货物内容</w:t>
      </w:r>
    </w:p>
    <w:p w14:paraId="5849D0A2">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乙方保证本合同中所供应的国产商品是202</w:t>
      </w:r>
      <w:r>
        <w:rPr>
          <w:rFonts w:hint="eastAsia" w:ascii="仿宋" w:hAnsi="仿宋" w:eastAsia="仿宋" w:cs="仿宋"/>
          <w:sz w:val="21"/>
          <w:szCs w:val="21"/>
          <w:highlight w:val="none"/>
          <w:lang w:val="en-US" w:eastAsia="zh-CN"/>
        </w:rPr>
        <w:t>5</w:t>
      </w:r>
      <w:r>
        <w:rPr>
          <w:rFonts w:hint="eastAsia" w:ascii="仿宋" w:hAnsi="仿宋" w:eastAsia="仿宋" w:cs="仿宋"/>
          <w:sz w:val="21"/>
          <w:szCs w:val="21"/>
          <w:highlight w:val="none"/>
        </w:rPr>
        <w:t>年</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月</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日以后生产的符合国家技术规格和质量标准的出厂原装合格产品。如发生所供商品与合同不符，甲方有权拒收或退货，由此产生的一切责任和后果由乙方承担。</w:t>
      </w:r>
    </w:p>
    <w:p w14:paraId="5D3ABDA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1.货物名称：</w:t>
      </w:r>
    </w:p>
    <w:p w14:paraId="5D06B318">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2.型号规格：</w:t>
      </w:r>
    </w:p>
    <w:p w14:paraId="34603E6B">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3.技术参数：</w:t>
      </w:r>
    </w:p>
    <w:p w14:paraId="59D39BBF">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4.数量（单位）：</w:t>
      </w:r>
    </w:p>
    <w:p w14:paraId="14F8F60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（注：商品型号、数量、配置等要求等详见附件清单）</w:t>
      </w:r>
    </w:p>
    <w:p w14:paraId="7D8F4572">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二、合同金额</w:t>
      </w:r>
    </w:p>
    <w:p w14:paraId="5EB171DC">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本合同金额为人民币（大写）</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元（¥</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w:t>
      </w:r>
    </w:p>
    <w:p w14:paraId="61C5437F">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注：以上合同总价包括运抵各使用单位的运费及安装调试费等相关费用。</w:t>
      </w:r>
    </w:p>
    <w:p w14:paraId="04EEBB3D">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三、技术资料</w:t>
      </w:r>
    </w:p>
    <w:p w14:paraId="7B78A10C">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1.乙方应向</w:t>
      </w:r>
      <w:r>
        <w:rPr>
          <w:rFonts w:hint="eastAsia" w:ascii="仿宋" w:hAnsi="仿宋" w:eastAsia="仿宋" w:cs="仿宋"/>
          <w:sz w:val="21"/>
          <w:szCs w:val="21"/>
          <w:highlight w:val="none"/>
          <w:lang w:val="en-US" w:eastAsia="zh-CN"/>
        </w:rPr>
        <w:t>丙</w:t>
      </w:r>
      <w:r>
        <w:rPr>
          <w:rFonts w:hint="eastAsia" w:ascii="仿宋" w:hAnsi="仿宋" w:eastAsia="仿宋" w:cs="仿宋"/>
          <w:sz w:val="21"/>
          <w:szCs w:val="21"/>
          <w:highlight w:val="none"/>
        </w:rPr>
        <w:t>方提供使用货物的有关技术资料。</w:t>
      </w:r>
    </w:p>
    <w:p w14:paraId="20C2907D">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66A78CC">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四、知识产权</w:t>
      </w:r>
    </w:p>
    <w:p w14:paraId="67B2041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乙方应保证所提供的货物或其任何一部分均不会侵犯任何第三方的知识产权。</w:t>
      </w:r>
    </w:p>
    <w:p w14:paraId="4AEDBDF0">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五、产权担保</w:t>
      </w:r>
    </w:p>
    <w:p w14:paraId="333C4C52">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乙方保证所交付的货物所有权完全属于乙方且无任何抵押、查封等产权瑕疵。</w:t>
      </w:r>
    </w:p>
    <w:p w14:paraId="1AB97B59">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六、履约保证金</w:t>
      </w:r>
    </w:p>
    <w:p w14:paraId="02BD5AC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1.比例：合同金额的1%，即人民币（大写）</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元（¥</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w:t>
      </w:r>
    </w:p>
    <w:p w14:paraId="74CB714B">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2.提交方式：支票、汇票、本票或者金融机构、担保机构出具的保函等非现金形式。</w:t>
      </w:r>
    </w:p>
    <w:p w14:paraId="396D770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3.提交时间：收到甲方发出的签订合同要约后7天内。</w:t>
      </w:r>
    </w:p>
    <w:p w14:paraId="16E31D6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4.退还时间及条件：合同履约期间无违约情形的，项目经</w:t>
      </w:r>
      <w:r>
        <w:rPr>
          <w:rFonts w:hint="eastAsia" w:ascii="仿宋" w:hAnsi="仿宋" w:eastAsia="仿宋" w:cs="仿宋"/>
          <w:sz w:val="21"/>
          <w:szCs w:val="21"/>
          <w:highlight w:val="none"/>
          <w:lang w:eastAsia="zh-CN"/>
        </w:rPr>
        <w:t>校级验收</w:t>
      </w:r>
      <w:r>
        <w:rPr>
          <w:rFonts w:hint="eastAsia" w:ascii="仿宋" w:hAnsi="仿宋" w:eastAsia="仿宋" w:cs="仿宋"/>
          <w:sz w:val="21"/>
          <w:szCs w:val="21"/>
          <w:highlight w:val="none"/>
        </w:rPr>
        <w:t>合格后甲方财务部门及时无息退还。如</w:t>
      </w:r>
      <w:r>
        <w:rPr>
          <w:rFonts w:hint="eastAsia" w:ascii="仿宋" w:hAnsi="仿宋" w:eastAsia="仿宋" w:cs="仿宋"/>
          <w:sz w:val="21"/>
          <w:szCs w:val="21"/>
          <w:highlight w:val="none"/>
          <w:lang w:eastAsia="zh-CN"/>
        </w:rPr>
        <w:t>校级验收</w:t>
      </w:r>
      <w:r>
        <w:rPr>
          <w:rFonts w:hint="eastAsia" w:ascii="仿宋" w:hAnsi="仿宋" w:eastAsia="仿宋" w:cs="仿宋"/>
          <w:sz w:val="21"/>
          <w:szCs w:val="21"/>
          <w:highlight w:val="none"/>
        </w:rPr>
        <w:t>未通过，履约保证金不予退还。</w:t>
      </w:r>
    </w:p>
    <w:p w14:paraId="5B7CA396">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七、转包或分包</w:t>
      </w:r>
    </w:p>
    <w:p w14:paraId="2AA3B71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1.本合同范围的货物，应由乙方直接供应，不得转让他人供应。</w:t>
      </w:r>
    </w:p>
    <w:p w14:paraId="0F624BE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2.除非得到甲方的书面同意，乙方不得将本合同范围的货物全部或部分分包给他人供应。</w:t>
      </w:r>
    </w:p>
    <w:p w14:paraId="73078C38">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3.如有转让和未经甲方同意的分包行为，甲方有权解除合同，并追究乙方的违约责任。</w:t>
      </w:r>
    </w:p>
    <w:p w14:paraId="5A826283">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八、交货期、交货方式及交货地点</w:t>
      </w:r>
    </w:p>
    <w:p w14:paraId="5E9D28F1">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1.交货期：</w:t>
      </w:r>
    </w:p>
    <w:p w14:paraId="19D408EF">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2.交货方式：</w:t>
      </w:r>
    </w:p>
    <w:p w14:paraId="69292036">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3.交货地点：</w:t>
      </w:r>
      <w:r>
        <w:rPr>
          <w:rFonts w:hint="eastAsia" w:ascii="仿宋" w:hAnsi="仿宋" w:eastAsia="仿宋" w:cs="仿宋"/>
          <w:color w:val="auto"/>
          <w:szCs w:val="21"/>
          <w:highlight w:val="none"/>
        </w:rPr>
        <w:t>浙江工业大学丙方指定地点</w:t>
      </w:r>
    </w:p>
    <w:p w14:paraId="28B0E658">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九、货款支付</w:t>
      </w:r>
    </w:p>
    <w:p w14:paraId="6DE338DE">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1.付款方式：合同生效以及具备实施条件后7个工作日内，甲方向乙方支付合同总价的40%作为预付款，合同货物送达</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指定地点，安装调试成功并经</w:t>
      </w:r>
      <w:r>
        <w:rPr>
          <w:rFonts w:hint="eastAsia" w:ascii="仿宋" w:hAnsi="仿宋" w:eastAsia="仿宋" w:cs="仿宋"/>
          <w:sz w:val="21"/>
          <w:szCs w:val="21"/>
          <w:highlight w:val="none"/>
          <w:lang w:eastAsia="zh-CN"/>
        </w:rPr>
        <w:t>校级验收</w:t>
      </w:r>
      <w:r>
        <w:rPr>
          <w:rFonts w:hint="eastAsia" w:ascii="仿宋" w:hAnsi="仿宋" w:eastAsia="仿宋" w:cs="仿宋"/>
          <w:sz w:val="21"/>
          <w:szCs w:val="21"/>
          <w:highlight w:val="none"/>
        </w:rPr>
        <w:t>合格且收到乙方开具的增值税专用发票后，甲方于7个工作日内向乙方支付剩余合同价款。</w:t>
      </w:r>
    </w:p>
    <w:p w14:paraId="4CC3D34E">
      <w:pPr>
        <w:keepNext w:val="0"/>
        <w:keepLines w:val="0"/>
        <w:pageBreakBefore w:val="0"/>
        <w:widowControl w:val="0"/>
        <w:kinsoku/>
        <w:wordWrap/>
        <w:overflowPunct/>
        <w:topLinePunct w:val="0"/>
        <w:bidi w:val="0"/>
        <w:snapToGrid/>
        <w:spacing w:line="288" w:lineRule="auto"/>
        <w:ind w:left="0" w:leftChars="0" w:firstLine="361"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18"/>
          <w:szCs w:val="18"/>
          <w:highlight w:val="none"/>
        </w:rPr>
        <w:t>备注：在签订合同时，乙方明确表示无需预付款或主动要求降低预付款比例的，可降低预付款比例</w:t>
      </w:r>
      <w:r>
        <w:rPr>
          <w:rFonts w:hint="eastAsia" w:ascii="仿宋" w:hAnsi="仿宋" w:eastAsia="仿宋" w:cs="仿宋"/>
          <w:b/>
          <w:bCs/>
          <w:sz w:val="18"/>
          <w:szCs w:val="18"/>
          <w:highlight w:val="none"/>
          <w:lang w:eastAsia="zh-CN"/>
        </w:rPr>
        <w:t>；</w:t>
      </w:r>
      <w:r>
        <w:rPr>
          <w:rFonts w:hint="eastAsia" w:ascii="仿宋" w:hAnsi="仿宋" w:eastAsia="仿宋" w:cs="仿宋"/>
          <w:b/>
          <w:bCs/>
          <w:sz w:val="18"/>
          <w:szCs w:val="18"/>
          <w:highlight w:val="none"/>
        </w:rPr>
        <w:t>联合体</w:t>
      </w:r>
      <w:r>
        <w:rPr>
          <w:rFonts w:hint="eastAsia" w:ascii="仿宋" w:hAnsi="仿宋" w:eastAsia="仿宋" w:cs="仿宋"/>
          <w:b/>
          <w:bCs/>
          <w:sz w:val="18"/>
          <w:szCs w:val="18"/>
          <w:highlight w:val="none"/>
          <w:lang w:val="en-US" w:eastAsia="zh-CN"/>
        </w:rPr>
        <w:t>投标</w:t>
      </w:r>
      <w:r>
        <w:rPr>
          <w:rFonts w:hint="eastAsia" w:ascii="仿宋" w:hAnsi="仿宋" w:eastAsia="仿宋" w:cs="仿宋"/>
          <w:b/>
          <w:bCs/>
          <w:sz w:val="18"/>
          <w:szCs w:val="18"/>
          <w:highlight w:val="none"/>
        </w:rPr>
        <w:t>的预付款、</w:t>
      </w:r>
      <w:r>
        <w:rPr>
          <w:rFonts w:hint="eastAsia" w:ascii="仿宋" w:hAnsi="仿宋" w:eastAsia="仿宋" w:cs="仿宋"/>
          <w:b/>
          <w:bCs/>
          <w:sz w:val="18"/>
          <w:szCs w:val="18"/>
          <w:highlight w:val="none"/>
          <w:lang w:val="en-US" w:eastAsia="zh-CN"/>
        </w:rPr>
        <w:t>货款</w:t>
      </w:r>
      <w:r>
        <w:rPr>
          <w:rFonts w:hint="eastAsia" w:ascii="仿宋" w:hAnsi="仿宋" w:eastAsia="仿宋" w:cs="仿宋"/>
          <w:b/>
          <w:bCs/>
          <w:sz w:val="18"/>
          <w:szCs w:val="18"/>
          <w:highlight w:val="none"/>
        </w:rPr>
        <w:t>均由</w:t>
      </w:r>
      <w:r>
        <w:rPr>
          <w:rFonts w:hint="eastAsia" w:ascii="仿宋" w:hAnsi="仿宋" w:eastAsia="仿宋" w:cs="仿宋"/>
          <w:b/>
          <w:bCs/>
          <w:sz w:val="18"/>
          <w:szCs w:val="18"/>
          <w:highlight w:val="none"/>
          <w:lang w:val="en-US" w:eastAsia="zh-CN"/>
        </w:rPr>
        <w:t>甲方</w:t>
      </w:r>
      <w:r>
        <w:rPr>
          <w:rFonts w:hint="eastAsia" w:ascii="仿宋" w:hAnsi="仿宋" w:eastAsia="仿宋" w:cs="仿宋"/>
          <w:b/>
          <w:bCs/>
          <w:sz w:val="18"/>
          <w:szCs w:val="18"/>
          <w:highlight w:val="none"/>
        </w:rPr>
        <w:t>支付给联合体牵头人，联合体成员与联合体牵头人的付款方式以双方约定的为准，与</w:t>
      </w:r>
      <w:r>
        <w:rPr>
          <w:rFonts w:hint="eastAsia" w:ascii="仿宋" w:hAnsi="仿宋" w:eastAsia="仿宋" w:cs="仿宋"/>
          <w:b/>
          <w:bCs/>
          <w:sz w:val="18"/>
          <w:szCs w:val="18"/>
          <w:highlight w:val="none"/>
          <w:lang w:val="en-US" w:eastAsia="zh-CN"/>
        </w:rPr>
        <w:t>甲方</w:t>
      </w:r>
      <w:r>
        <w:rPr>
          <w:rFonts w:hint="eastAsia" w:ascii="仿宋" w:hAnsi="仿宋" w:eastAsia="仿宋" w:cs="仿宋"/>
          <w:b/>
          <w:bCs/>
          <w:sz w:val="18"/>
          <w:szCs w:val="18"/>
          <w:highlight w:val="none"/>
        </w:rPr>
        <w:t>无涉。</w:t>
      </w:r>
    </w:p>
    <w:p w14:paraId="1D65A23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2.当采购数量与实际使用数量不一致时，乙方应根据实际使用量供货，合同的最终结算金额按实际使用量乘以合同单价进行计算。</w:t>
      </w:r>
    </w:p>
    <w:p w14:paraId="6419A211">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十、税费</w:t>
      </w:r>
    </w:p>
    <w:p w14:paraId="12FDD91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本合同执行中相关的一切税费均由乙方负担。</w:t>
      </w:r>
    </w:p>
    <w:p w14:paraId="1751D6A3">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十一、质量保证及售后服务</w:t>
      </w:r>
    </w:p>
    <w:p w14:paraId="64ADB80A">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1.乙方应按</w:t>
      </w:r>
      <w:bookmarkStart w:id="48" w:name="_Hlk117089330"/>
      <w:r>
        <w:rPr>
          <w:rFonts w:hint="eastAsia" w:ascii="仿宋" w:hAnsi="仿宋" w:eastAsia="仿宋" w:cs="仿宋"/>
          <w:sz w:val="21"/>
          <w:szCs w:val="21"/>
          <w:highlight w:val="none"/>
        </w:rPr>
        <w:t>合同附件</w:t>
      </w:r>
      <w:bookmarkEnd w:id="48"/>
      <w:r>
        <w:rPr>
          <w:rFonts w:hint="eastAsia" w:ascii="仿宋" w:hAnsi="仿宋" w:eastAsia="仿宋" w:cs="仿宋"/>
          <w:sz w:val="21"/>
          <w:szCs w:val="21"/>
          <w:highlight w:val="none"/>
        </w:rPr>
        <w:t>规定的货物性能、技术要求、质量标准向</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提供未经使用的全新产品。</w:t>
      </w:r>
    </w:p>
    <w:p w14:paraId="2DFF9AF8">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2.乙方提供的货物在质保期内因货物本身的质量问题发生故障，乙方应负责免费维修更换。</w:t>
      </w:r>
    </w:p>
    <w:p w14:paraId="6A5AB7C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3.如在使用过程中发生质量问题，乙方在接到</w:t>
      </w:r>
      <w:r>
        <w:rPr>
          <w:rFonts w:hint="eastAsia" w:ascii="仿宋" w:hAnsi="仿宋" w:eastAsia="仿宋" w:cs="仿宋"/>
          <w:sz w:val="21"/>
          <w:szCs w:val="21"/>
          <w:highlight w:val="none"/>
          <w:lang w:val="en-US" w:eastAsia="zh-CN"/>
        </w:rPr>
        <w:t>丙</w:t>
      </w:r>
      <w:r>
        <w:rPr>
          <w:rFonts w:hint="eastAsia" w:ascii="仿宋" w:hAnsi="仿宋" w:eastAsia="仿宋" w:cs="仿宋"/>
          <w:sz w:val="21"/>
          <w:szCs w:val="21"/>
          <w:highlight w:val="none"/>
        </w:rPr>
        <w:t>方通知后，</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小时内到达</w:t>
      </w:r>
      <w:r>
        <w:rPr>
          <w:rFonts w:hint="eastAsia" w:ascii="仿宋" w:hAnsi="仿宋" w:eastAsia="仿宋" w:cs="仿宋"/>
          <w:sz w:val="21"/>
          <w:szCs w:val="21"/>
          <w:highlight w:val="none"/>
          <w:lang w:val="en-US" w:eastAsia="zh-CN"/>
        </w:rPr>
        <w:t>丙</w:t>
      </w:r>
      <w:r>
        <w:rPr>
          <w:rFonts w:hint="eastAsia" w:ascii="仿宋" w:hAnsi="仿宋" w:eastAsia="仿宋" w:cs="仿宋"/>
          <w:sz w:val="21"/>
          <w:szCs w:val="21"/>
          <w:highlight w:val="none"/>
        </w:rPr>
        <w:t>方现场予以维修服务。</w:t>
      </w:r>
    </w:p>
    <w:p w14:paraId="5385211B">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4.在质保期内，乙方应对货物出现的质量及安全问题负责处理解决并承担一切费用。</w:t>
      </w:r>
    </w:p>
    <w:p w14:paraId="0EE87E26">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5.货物的质保期为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年（项目经</w:t>
      </w:r>
      <w:r>
        <w:rPr>
          <w:rFonts w:hint="eastAsia" w:ascii="仿宋" w:hAnsi="仿宋" w:eastAsia="仿宋" w:cs="仿宋"/>
          <w:sz w:val="21"/>
          <w:szCs w:val="21"/>
          <w:highlight w:val="none"/>
          <w:lang w:eastAsia="zh-CN"/>
        </w:rPr>
        <w:t>校级验收</w:t>
      </w:r>
      <w:r>
        <w:rPr>
          <w:rFonts w:hint="eastAsia" w:ascii="仿宋" w:hAnsi="仿宋" w:eastAsia="仿宋" w:cs="仿宋"/>
          <w:sz w:val="21"/>
          <w:szCs w:val="21"/>
          <w:highlight w:val="none"/>
        </w:rPr>
        <w:t>合格后开始计算），因人为因素出现的故障不在免费保修范围内。超过质保期的货物，终身维修，维修时只收部件成本费。</w:t>
      </w:r>
    </w:p>
    <w:p w14:paraId="2252FF55">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十二、调试和验收</w:t>
      </w:r>
    </w:p>
    <w:p w14:paraId="11F6D0A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bookmarkStart w:id="49" w:name="_Hlk117089422"/>
      <w:r>
        <w:rPr>
          <w:rFonts w:hint="eastAsia" w:ascii="仿宋" w:hAnsi="仿宋" w:eastAsia="仿宋" w:cs="仿宋"/>
          <w:sz w:val="21"/>
          <w:szCs w:val="21"/>
          <w:highlight w:val="none"/>
        </w:rPr>
        <w:t>1.</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对乙方提交的货物依据合同附件中的技术规格要求和国家有关质量标准进行现场初步验收，外观、说明书符合合同附件技术要求的，给予签收，初步验收不合格的不予签收。货到后，</w:t>
      </w:r>
      <w:r>
        <w:rPr>
          <w:rFonts w:hint="eastAsia" w:ascii="仿宋" w:hAnsi="仿宋" w:eastAsia="仿宋" w:cs="仿宋"/>
          <w:sz w:val="21"/>
          <w:szCs w:val="21"/>
          <w:highlight w:val="none"/>
          <w:lang w:val="en-US" w:eastAsia="zh-CN"/>
        </w:rPr>
        <w:t>丙</w:t>
      </w:r>
      <w:r>
        <w:rPr>
          <w:rFonts w:hint="eastAsia" w:ascii="仿宋" w:hAnsi="仿宋" w:eastAsia="仿宋" w:cs="仿宋"/>
          <w:sz w:val="21"/>
          <w:szCs w:val="21"/>
          <w:highlight w:val="none"/>
        </w:rPr>
        <w:t>方需在五个工作日内组织初验收。</w:t>
      </w:r>
    </w:p>
    <w:bookmarkEnd w:id="49"/>
    <w:p w14:paraId="24032C66">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2.乙方交货前应对产品作出全面检查和对验收文件进行整理，并列出清单，作为</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收货验收和使用的技术条件依据，检验的结果应随货物交</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w:t>
      </w:r>
    </w:p>
    <w:p w14:paraId="12236E0E">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对乙方提供的货物在使用前进行调试时，乙方需负责安装并培训</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的使用操作人员，并协助</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一起调试，直到符合技术要求，甲方才做最终验收。对技术复杂的货物，甲方有权邀请国家认可的专业检测机构参与初步验收及最终验收，并由其出具质量检测报告。验收时乙方必须在现场，验收完毕后作出验收结果报告；检测及验收费用全部由乙方负责。</w:t>
      </w:r>
    </w:p>
    <w:p w14:paraId="6CEAFBC5">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十三、货物包装、发运及运输</w:t>
      </w:r>
    </w:p>
    <w:p w14:paraId="3C0E8DA2">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1.乙方应在货物发运前对其进行满足运输距离、防潮、防震、防锈和防破损装卸等要求包装，以保证货物安全运达</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指定地点。</w:t>
      </w:r>
    </w:p>
    <w:p w14:paraId="48994FE3">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2.使用说明书、质量检验证明书、随配附件和工具以及清单一并附于货物内。</w:t>
      </w:r>
    </w:p>
    <w:p w14:paraId="33C6A00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3.乙方在货物发运手续办理完毕后二十四小时内，或者货到</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四十八小时前通知</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，以准备接货。</w:t>
      </w:r>
    </w:p>
    <w:p w14:paraId="711F2231">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4.货物在交付</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前发生的风险均由乙方负责。</w:t>
      </w:r>
    </w:p>
    <w:p w14:paraId="74A93C5C">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5.货物在规定的交付期限内由乙方送达</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指定的地点视为交付，乙方同时需通知</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货物已送达。</w:t>
      </w:r>
    </w:p>
    <w:p w14:paraId="491CA6E1">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十四、违约责任</w:t>
      </w:r>
    </w:p>
    <w:p w14:paraId="7ADBECB2">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1.甲方无正当理由拒收货物的，甲方向乙方偿付拒收货款总值的百分之十的违约金。</w:t>
      </w:r>
    </w:p>
    <w:p w14:paraId="2069629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2.甲方无故逾期验收和办理货款支付手续的</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甲方应按逾期付款总额每日万分之五向乙方支付违约金。</w:t>
      </w:r>
    </w:p>
    <w:p w14:paraId="6C4B5C0F">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乙方逾期交付货物的，乙方应按逾期交货总额每日千分之六向甲方支付违约金，由甲方从待付货款中扣除。逾期超过约定日期十个工作日不能交货的，甲方可解除本合同。乙方因逾期交货或因其他违约行为导致甲方解除合同的，乙方应向甲方支付合同总值百分之十的违约金，如造成甲方损失超过违约金的，超出部分由乙方继续承担赔偿责任。</w:t>
      </w:r>
    </w:p>
    <w:p w14:paraId="7EFD19D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4.乙方所交的货物品种、型号、规格、技术参数、质量不符合合同规定及招标文件规定标准的，</w:t>
      </w:r>
      <w:r>
        <w:rPr>
          <w:rFonts w:hint="eastAsia" w:ascii="仿宋" w:hAnsi="仿宋" w:eastAsia="仿宋" w:cs="仿宋"/>
          <w:sz w:val="21"/>
          <w:szCs w:val="21"/>
          <w:highlight w:val="none"/>
          <w:lang w:val="en-US" w:eastAsia="zh-CN"/>
        </w:rPr>
        <w:t>丙方</w:t>
      </w:r>
      <w:r>
        <w:rPr>
          <w:rFonts w:hint="eastAsia" w:ascii="仿宋" w:hAnsi="仿宋" w:eastAsia="仿宋" w:cs="仿宋"/>
          <w:sz w:val="21"/>
          <w:szCs w:val="21"/>
          <w:highlight w:val="none"/>
        </w:rPr>
        <w:t>有权拒收该货物，乙方愿意更换货物但逾期交货的，按乙方逾期交货处理。乙方拒绝更换货物的，甲方可单方面解除合同并没收履约保证金；若履约保证金不足以弥补甲方因乙方违约所受的损失，则还有权要求乙方赔偿不足部分。</w:t>
      </w:r>
    </w:p>
    <w:p w14:paraId="096B5A93">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十五、不可抗力事件处理</w:t>
      </w:r>
    </w:p>
    <w:p w14:paraId="61849DD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1.在合同有效期内，任何一方因不可抗力事件导致不能履行合同，则合同履行期可延长，其延长期与不可抗力影响期相同。</w:t>
      </w:r>
    </w:p>
    <w:p w14:paraId="451D532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2.不可抗力事件发生后，应立即通知对方，并寄送有关权威机构出具的证明。</w:t>
      </w:r>
    </w:p>
    <w:p w14:paraId="0824FCAE">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3.不可抗力事件延续一百二十天以上，</w:t>
      </w:r>
      <w:r>
        <w:rPr>
          <w:rFonts w:hint="eastAsia" w:ascii="仿宋" w:hAnsi="仿宋" w:eastAsia="仿宋" w:cs="仿宋"/>
          <w:sz w:val="21"/>
          <w:szCs w:val="21"/>
          <w:highlight w:val="none"/>
          <w:lang w:val="en-US" w:eastAsia="zh-CN"/>
        </w:rPr>
        <w:t>甲乙</w:t>
      </w:r>
      <w:r>
        <w:rPr>
          <w:rFonts w:hint="eastAsia" w:ascii="仿宋" w:hAnsi="仿宋" w:eastAsia="仿宋" w:cs="仿宋"/>
          <w:sz w:val="21"/>
          <w:szCs w:val="21"/>
          <w:highlight w:val="none"/>
        </w:rPr>
        <w:t>双方应通过友好协商，确定是否继续履行合同。</w:t>
      </w:r>
    </w:p>
    <w:p w14:paraId="6DD8DFC7">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十六、争议的解决</w:t>
      </w:r>
    </w:p>
    <w:p w14:paraId="063EFCA5">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甲乙</w:t>
      </w:r>
      <w:r>
        <w:rPr>
          <w:rFonts w:hint="eastAsia" w:ascii="仿宋" w:hAnsi="仿宋" w:eastAsia="仿宋" w:cs="仿宋"/>
          <w:sz w:val="21"/>
          <w:szCs w:val="21"/>
          <w:highlight w:val="none"/>
        </w:rPr>
        <w:t>双方在执行合同中所发生的一切争议，通过协商解决。如协商不成，由杭州仲裁委员会按该会仲裁规则裁决。</w:t>
      </w:r>
    </w:p>
    <w:p w14:paraId="199FFE07">
      <w:pPr>
        <w:keepNext w:val="0"/>
        <w:keepLines w:val="0"/>
        <w:pageBreakBefore w:val="0"/>
        <w:widowControl w:val="0"/>
        <w:kinsoku/>
        <w:wordWrap/>
        <w:overflowPunct/>
        <w:topLinePunct w:val="0"/>
        <w:bidi w:val="0"/>
        <w:snapToGrid/>
        <w:spacing w:line="288" w:lineRule="auto"/>
        <w:ind w:left="0" w:leftChars="0" w:firstLine="422" w:firstLineChars="200"/>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十七、合同生效及其它</w:t>
      </w:r>
    </w:p>
    <w:p w14:paraId="47B49826">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1.合同经四方法定代表人或授权代表签字并加盖单位公章后生效。</w:t>
      </w:r>
    </w:p>
    <w:p w14:paraId="63A8DF67">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2.合同执行中涉及采购资金和采购内容修改或补充的，须经财政部门审批，并签书面补充协议报政府采购监督管理部门备案，方可作为主合同不可分割的一部分。</w:t>
      </w:r>
    </w:p>
    <w:p w14:paraId="2657F15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3.本合同未尽事宜，甲乙丙三方协商一致可以另行签订补充协议解决，或者遵照《中华人民共和国民法典》有关条文执行。</w:t>
      </w:r>
    </w:p>
    <w:p w14:paraId="497DB150">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4.本合同正本一式柒份，具有同等法律效力，甲乙丙三方各执贰份，采购代理机构执壹份。</w:t>
      </w:r>
    </w:p>
    <w:p w14:paraId="7DD97139">
      <w:pPr>
        <w:keepNext w:val="0"/>
        <w:keepLines w:val="0"/>
        <w:pageBreakBefore w:val="0"/>
        <w:widowControl w:val="0"/>
        <w:kinsoku/>
        <w:wordWrap/>
        <w:overflowPunct/>
        <w:topLinePunct w:val="0"/>
        <w:bidi w:val="0"/>
        <w:snapToGrid/>
        <w:spacing w:line="288" w:lineRule="auto"/>
        <w:ind w:left="0" w:leftChars="0" w:firstLine="420" w:firstLineChars="20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5.本合同附件及招标文件、投标文件、书面澄清（承诺）等系本合同的组成部分。</w:t>
      </w:r>
    </w:p>
    <w:p w14:paraId="25041412">
      <w:pPr>
        <w:pStyle w:val="37"/>
        <w:keepNext w:val="0"/>
        <w:keepLines w:val="0"/>
        <w:pageBreakBefore w:val="0"/>
        <w:widowControl w:val="0"/>
        <w:kinsoku/>
        <w:wordWrap/>
        <w:overflowPunct/>
        <w:topLinePunct w:val="0"/>
        <w:bidi w:val="0"/>
        <w:snapToGrid/>
        <w:spacing w:line="288" w:lineRule="auto"/>
        <w:ind w:left="0" w:leftChars="0"/>
        <w:jc w:val="center"/>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下无正文</w:t>
      </w:r>
    </w:p>
    <w:tbl>
      <w:tblPr>
        <w:tblStyle w:val="24"/>
        <w:tblW w:w="9628" w:type="dxa"/>
        <w:jc w:val="center"/>
        <w:tblLayout w:type="fixed"/>
        <w:tblCellMar>
          <w:top w:w="0" w:type="dxa"/>
          <w:left w:w="108" w:type="dxa"/>
          <w:bottom w:w="0" w:type="dxa"/>
          <w:right w:w="108" w:type="dxa"/>
        </w:tblCellMar>
      </w:tblPr>
      <w:tblGrid>
        <w:gridCol w:w="4814"/>
        <w:gridCol w:w="19"/>
        <w:gridCol w:w="4795"/>
      </w:tblGrid>
      <w:tr w14:paraId="4E839BE0">
        <w:tblPrEx>
          <w:tblCellMar>
            <w:top w:w="0" w:type="dxa"/>
            <w:left w:w="108" w:type="dxa"/>
            <w:bottom w:w="0" w:type="dxa"/>
            <w:right w:w="108" w:type="dxa"/>
          </w:tblCellMar>
        </w:tblPrEx>
        <w:trPr>
          <w:trHeight w:val="397" w:hRule="atLeast"/>
          <w:jc w:val="center"/>
        </w:trPr>
        <w:tc>
          <w:tcPr>
            <w:tcW w:w="4814" w:type="dxa"/>
            <w:vAlign w:val="center"/>
          </w:tcPr>
          <w:p w14:paraId="527E9339">
            <w:pPr>
              <w:rPr>
                <w:rFonts w:hint="eastAsia" w:ascii="仿宋" w:hAnsi="仿宋" w:eastAsia="仿宋" w:cs="仿宋"/>
                <w:b/>
                <w:bCs/>
                <w:highlight w:val="none"/>
              </w:rPr>
            </w:pPr>
            <w:r>
              <w:rPr>
                <w:rFonts w:hint="eastAsia" w:ascii="仿宋" w:hAnsi="仿宋" w:eastAsia="仿宋" w:cs="仿宋"/>
                <w:b/>
                <w:bCs/>
                <w:highlight w:val="none"/>
              </w:rPr>
              <w:t>甲方（盖章）：</w:t>
            </w:r>
          </w:p>
          <w:p w14:paraId="382E41CB">
            <w:pPr>
              <w:rPr>
                <w:rFonts w:hint="eastAsia" w:ascii="仿宋" w:hAnsi="仿宋" w:eastAsia="仿宋" w:cs="仿宋"/>
                <w:b/>
                <w:bCs/>
                <w:highlight w:val="none"/>
              </w:rPr>
            </w:pPr>
          </w:p>
          <w:p w14:paraId="26521A2B">
            <w:pPr>
              <w:rPr>
                <w:rFonts w:hint="eastAsia" w:ascii="仿宋" w:hAnsi="仿宋" w:eastAsia="仿宋" w:cs="仿宋"/>
                <w:highlight w:val="none"/>
              </w:rPr>
            </w:pPr>
          </w:p>
          <w:p w14:paraId="63F3286E">
            <w:pPr>
              <w:rPr>
                <w:rFonts w:hint="eastAsia" w:ascii="仿宋" w:hAnsi="仿宋" w:eastAsia="仿宋" w:cs="仿宋"/>
                <w:highlight w:val="none"/>
              </w:rPr>
            </w:pPr>
          </w:p>
          <w:p w14:paraId="591C4DB8">
            <w:pPr>
              <w:rPr>
                <w:rFonts w:hint="eastAsia" w:ascii="仿宋" w:hAnsi="仿宋" w:eastAsia="仿宋" w:cs="仿宋"/>
                <w:highlight w:val="none"/>
              </w:rPr>
            </w:pPr>
          </w:p>
        </w:tc>
        <w:tc>
          <w:tcPr>
            <w:tcW w:w="4814" w:type="dxa"/>
            <w:gridSpan w:val="2"/>
            <w:vAlign w:val="center"/>
          </w:tcPr>
          <w:p w14:paraId="0C004EBF">
            <w:pPr>
              <w:rPr>
                <w:rFonts w:hint="eastAsia" w:ascii="仿宋" w:hAnsi="仿宋" w:eastAsia="仿宋" w:cs="仿宋"/>
                <w:b/>
                <w:bCs/>
                <w:highlight w:val="none"/>
              </w:rPr>
            </w:pPr>
            <w:r>
              <w:rPr>
                <w:rFonts w:hint="eastAsia" w:ascii="仿宋" w:hAnsi="仿宋" w:eastAsia="仿宋" w:cs="仿宋"/>
                <w:b/>
                <w:bCs/>
                <w:highlight w:val="none"/>
                <w:lang w:val="en-US" w:eastAsia="zh-CN"/>
              </w:rPr>
              <w:t>乙</w:t>
            </w:r>
            <w:r>
              <w:rPr>
                <w:rFonts w:hint="eastAsia" w:ascii="仿宋" w:hAnsi="仿宋" w:eastAsia="仿宋" w:cs="仿宋"/>
                <w:b/>
                <w:bCs/>
                <w:highlight w:val="none"/>
              </w:rPr>
              <w:t>方（盖章）：</w:t>
            </w:r>
          </w:p>
          <w:p w14:paraId="7D38C177">
            <w:pPr>
              <w:rPr>
                <w:rFonts w:hint="eastAsia" w:ascii="仿宋" w:hAnsi="仿宋" w:eastAsia="仿宋" w:cs="仿宋"/>
                <w:b/>
                <w:bCs/>
                <w:highlight w:val="none"/>
              </w:rPr>
            </w:pPr>
          </w:p>
          <w:p w14:paraId="39AF66ED">
            <w:pPr>
              <w:rPr>
                <w:rFonts w:hint="eastAsia" w:ascii="仿宋" w:hAnsi="仿宋" w:eastAsia="仿宋" w:cs="仿宋"/>
                <w:highlight w:val="none"/>
              </w:rPr>
            </w:pPr>
          </w:p>
          <w:p w14:paraId="1E13B6AC">
            <w:pPr>
              <w:rPr>
                <w:rFonts w:hint="eastAsia" w:ascii="仿宋" w:hAnsi="仿宋" w:eastAsia="仿宋" w:cs="仿宋"/>
                <w:highlight w:val="none"/>
              </w:rPr>
            </w:pPr>
          </w:p>
          <w:p w14:paraId="6212C5AF">
            <w:pPr>
              <w:rPr>
                <w:rFonts w:hint="eastAsia" w:ascii="仿宋" w:hAnsi="仿宋" w:eastAsia="仿宋" w:cs="仿宋"/>
                <w:highlight w:val="none"/>
              </w:rPr>
            </w:pPr>
          </w:p>
        </w:tc>
      </w:tr>
      <w:tr w14:paraId="1AA5546C">
        <w:tblPrEx>
          <w:tblCellMar>
            <w:top w:w="0" w:type="dxa"/>
            <w:left w:w="108" w:type="dxa"/>
            <w:bottom w:w="0" w:type="dxa"/>
            <w:right w:w="108" w:type="dxa"/>
          </w:tblCellMar>
        </w:tblPrEx>
        <w:trPr>
          <w:trHeight w:val="397" w:hRule="atLeast"/>
          <w:jc w:val="center"/>
        </w:trPr>
        <w:tc>
          <w:tcPr>
            <w:tcW w:w="4814" w:type="dxa"/>
            <w:vAlign w:val="center"/>
          </w:tcPr>
          <w:p w14:paraId="0B3FAE1A">
            <w:pPr>
              <w:rPr>
                <w:rFonts w:hint="eastAsia" w:ascii="仿宋" w:hAnsi="仿宋" w:eastAsia="仿宋" w:cs="仿宋"/>
                <w:highlight w:val="none"/>
              </w:rPr>
            </w:pPr>
            <w:r>
              <w:rPr>
                <w:rFonts w:hint="eastAsia" w:ascii="仿宋" w:hAnsi="仿宋" w:eastAsia="仿宋" w:cs="仿宋"/>
                <w:highlight w:val="none"/>
              </w:rPr>
              <w:t>法定代表人或受委托人：</w:t>
            </w:r>
          </w:p>
          <w:p w14:paraId="1733F16D">
            <w:pPr>
              <w:rPr>
                <w:rFonts w:hint="eastAsia" w:ascii="仿宋" w:hAnsi="仿宋" w:eastAsia="仿宋" w:cs="仿宋"/>
                <w:highlight w:val="none"/>
              </w:rPr>
            </w:pPr>
            <w:r>
              <w:rPr>
                <w:rFonts w:hint="eastAsia" w:ascii="仿宋" w:hAnsi="仿宋" w:eastAsia="仿宋" w:cs="仿宋"/>
                <w:highlight w:val="none"/>
              </w:rPr>
              <w:t>（签字）</w:t>
            </w:r>
          </w:p>
        </w:tc>
        <w:tc>
          <w:tcPr>
            <w:tcW w:w="4814" w:type="dxa"/>
            <w:gridSpan w:val="2"/>
            <w:vAlign w:val="center"/>
          </w:tcPr>
          <w:p w14:paraId="55BE79AB">
            <w:pPr>
              <w:rPr>
                <w:rFonts w:hint="eastAsia" w:ascii="仿宋" w:hAnsi="仿宋" w:eastAsia="仿宋" w:cs="仿宋"/>
                <w:highlight w:val="none"/>
              </w:rPr>
            </w:pPr>
            <w:r>
              <w:rPr>
                <w:rFonts w:hint="eastAsia" w:ascii="仿宋" w:hAnsi="仿宋" w:eastAsia="仿宋" w:cs="仿宋"/>
                <w:highlight w:val="none"/>
              </w:rPr>
              <w:t>法定代表人或受委托人：</w:t>
            </w:r>
          </w:p>
          <w:p w14:paraId="024C326D">
            <w:pPr>
              <w:rPr>
                <w:rFonts w:hint="eastAsia" w:ascii="仿宋" w:hAnsi="仿宋" w:eastAsia="仿宋" w:cs="仿宋"/>
                <w:highlight w:val="none"/>
              </w:rPr>
            </w:pPr>
            <w:r>
              <w:rPr>
                <w:rFonts w:hint="eastAsia" w:ascii="仿宋" w:hAnsi="仿宋" w:eastAsia="仿宋" w:cs="仿宋"/>
                <w:highlight w:val="none"/>
              </w:rPr>
              <w:t>（签字）</w:t>
            </w:r>
          </w:p>
        </w:tc>
      </w:tr>
      <w:tr w14:paraId="13AE7752">
        <w:tblPrEx>
          <w:tblCellMar>
            <w:top w:w="0" w:type="dxa"/>
            <w:left w:w="108" w:type="dxa"/>
            <w:bottom w:w="0" w:type="dxa"/>
            <w:right w:w="108" w:type="dxa"/>
          </w:tblCellMar>
        </w:tblPrEx>
        <w:trPr>
          <w:trHeight w:val="397" w:hRule="atLeast"/>
          <w:jc w:val="center"/>
        </w:trPr>
        <w:tc>
          <w:tcPr>
            <w:tcW w:w="4814" w:type="dxa"/>
            <w:vAlign w:val="center"/>
          </w:tcPr>
          <w:p w14:paraId="6BF49B7E">
            <w:pPr>
              <w:rPr>
                <w:rFonts w:hint="eastAsia" w:ascii="仿宋" w:hAnsi="仿宋" w:eastAsia="仿宋" w:cs="仿宋"/>
                <w:highlight w:val="none"/>
              </w:rPr>
            </w:pPr>
            <w:r>
              <w:rPr>
                <w:rFonts w:hint="eastAsia" w:ascii="仿宋" w:hAnsi="仿宋" w:eastAsia="仿宋" w:cs="仿宋"/>
                <w:highlight w:val="none"/>
              </w:rPr>
              <w:t>地址：</w:t>
            </w:r>
          </w:p>
        </w:tc>
        <w:tc>
          <w:tcPr>
            <w:tcW w:w="4814" w:type="dxa"/>
            <w:gridSpan w:val="2"/>
            <w:vAlign w:val="center"/>
          </w:tcPr>
          <w:p w14:paraId="242A7824">
            <w:pPr>
              <w:rPr>
                <w:rFonts w:hint="eastAsia" w:ascii="仿宋" w:hAnsi="仿宋" w:eastAsia="仿宋" w:cs="仿宋"/>
                <w:highlight w:val="none"/>
              </w:rPr>
            </w:pPr>
            <w:r>
              <w:rPr>
                <w:rFonts w:hint="eastAsia" w:ascii="仿宋" w:hAnsi="仿宋" w:eastAsia="仿宋" w:cs="仿宋"/>
                <w:highlight w:val="none"/>
              </w:rPr>
              <w:t>地址：</w:t>
            </w:r>
          </w:p>
        </w:tc>
      </w:tr>
      <w:tr w14:paraId="1FCC3F35">
        <w:tblPrEx>
          <w:tblCellMar>
            <w:top w:w="0" w:type="dxa"/>
            <w:left w:w="108" w:type="dxa"/>
            <w:bottom w:w="0" w:type="dxa"/>
            <w:right w:w="108" w:type="dxa"/>
          </w:tblCellMar>
        </w:tblPrEx>
        <w:trPr>
          <w:trHeight w:val="397" w:hRule="atLeast"/>
          <w:jc w:val="center"/>
        </w:trPr>
        <w:tc>
          <w:tcPr>
            <w:tcW w:w="4814" w:type="dxa"/>
            <w:vAlign w:val="center"/>
          </w:tcPr>
          <w:p w14:paraId="28114AD0">
            <w:pPr>
              <w:rPr>
                <w:rFonts w:hint="eastAsia" w:ascii="仿宋" w:hAnsi="仿宋" w:eastAsia="仿宋" w:cs="仿宋"/>
                <w:highlight w:val="none"/>
              </w:rPr>
            </w:pPr>
            <w:r>
              <w:rPr>
                <w:rFonts w:hint="eastAsia" w:ascii="仿宋" w:hAnsi="仿宋" w:eastAsia="仿宋" w:cs="仿宋"/>
                <w:highlight w:val="none"/>
              </w:rPr>
              <w:t>邮编：</w:t>
            </w:r>
          </w:p>
        </w:tc>
        <w:tc>
          <w:tcPr>
            <w:tcW w:w="4814" w:type="dxa"/>
            <w:gridSpan w:val="2"/>
            <w:vAlign w:val="center"/>
          </w:tcPr>
          <w:p w14:paraId="44960DBD">
            <w:pPr>
              <w:rPr>
                <w:rFonts w:hint="eastAsia" w:ascii="仿宋" w:hAnsi="仿宋" w:eastAsia="仿宋" w:cs="仿宋"/>
                <w:highlight w:val="none"/>
              </w:rPr>
            </w:pPr>
            <w:r>
              <w:rPr>
                <w:rFonts w:hint="eastAsia" w:ascii="仿宋" w:hAnsi="仿宋" w:eastAsia="仿宋" w:cs="仿宋"/>
                <w:highlight w:val="none"/>
              </w:rPr>
              <w:t>邮编：</w:t>
            </w:r>
          </w:p>
        </w:tc>
      </w:tr>
      <w:tr w14:paraId="061E2F53">
        <w:tblPrEx>
          <w:tblCellMar>
            <w:top w:w="0" w:type="dxa"/>
            <w:left w:w="108" w:type="dxa"/>
            <w:bottom w:w="0" w:type="dxa"/>
            <w:right w:w="108" w:type="dxa"/>
          </w:tblCellMar>
        </w:tblPrEx>
        <w:trPr>
          <w:trHeight w:val="397" w:hRule="atLeast"/>
          <w:jc w:val="center"/>
        </w:trPr>
        <w:tc>
          <w:tcPr>
            <w:tcW w:w="4814" w:type="dxa"/>
            <w:vAlign w:val="center"/>
          </w:tcPr>
          <w:p w14:paraId="74368621">
            <w:pPr>
              <w:rPr>
                <w:rFonts w:hint="eastAsia" w:ascii="仿宋" w:hAnsi="仿宋" w:eastAsia="仿宋" w:cs="仿宋"/>
                <w:highlight w:val="none"/>
              </w:rPr>
            </w:pPr>
            <w:r>
              <w:rPr>
                <w:rFonts w:hint="eastAsia" w:ascii="仿宋" w:hAnsi="仿宋" w:eastAsia="仿宋" w:cs="仿宋"/>
                <w:highlight w:val="none"/>
              </w:rPr>
              <w:t>电话：</w:t>
            </w:r>
          </w:p>
        </w:tc>
        <w:tc>
          <w:tcPr>
            <w:tcW w:w="4814" w:type="dxa"/>
            <w:gridSpan w:val="2"/>
            <w:vAlign w:val="center"/>
          </w:tcPr>
          <w:p w14:paraId="78C1DA3C">
            <w:pPr>
              <w:rPr>
                <w:rFonts w:hint="eastAsia" w:ascii="仿宋" w:hAnsi="仿宋" w:eastAsia="仿宋" w:cs="仿宋"/>
                <w:highlight w:val="none"/>
              </w:rPr>
            </w:pPr>
            <w:r>
              <w:rPr>
                <w:rFonts w:hint="eastAsia" w:ascii="仿宋" w:hAnsi="仿宋" w:eastAsia="仿宋" w:cs="仿宋"/>
                <w:highlight w:val="none"/>
              </w:rPr>
              <w:t>电话：</w:t>
            </w:r>
          </w:p>
        </w:tc>
      </w:tr>
      <w:tr w14:paraId="34B3DB5C">
        <w:tblPrEx>
          <w:tblCellMar>
            <w:top w:w="0" w:type="dxa"/>
            <w:left w:w="108" w:type="dxa"/>
            <w:bottom w:w="0" w:type="dxa"/>
            <w:right w:w="108" w:type="dxa"/>
          </w:tblCellMar>
        </w:tblPrEx>
        <w:trPr>
          <w:trHeight w:val="397" w:hRule="atLeast"/>
          <w:jc w:val="center"/>
        </w:trPr>
        <w:tc>
          <w:tcPr>
            <w:tcW w:w="4814" w:type="dxa"/>
            <w:vAlign w:val="center"/>
          </w:tcPr>
          <w:p w14:paraId="1C935728">
            <w:pPr>
              <w:rPr>
                <w:rFonts w:hint="eastAsia" w:ascii="仿宋" w:hAnsi="仿宋" w:eastAsia="仿宋" w:cs="仿宋"/>
                <w:highlight w:val="none"/>
              </w:rPr>
            </w:pPr>
            <w:r>
              <w:rPr>
                <w:rFonts w:hint="eastAsia" w:ascii="仿宋" w:hAnsi="仿宋" w:eastAsia="仿宋" w:cs="仿宋"/>
                <w:highlight w:val="none"/>
              </w:rPr>
              <w:t>传真：</w:t>
            </w:r>
          </w:p>
        </w:tc>
        <w:tc>
          <w:tcPr>
            <w:tcW w:w="4814" w:type="dxa"/>
            <w:gridSpan w:val="2"/>
            <w:vAlign w:val="center"/>
          </w:tcPr>
          <w:p w14:paraId="54E4B7E0">
            <w:pPr>
              <w:rPr>
                <w:rFonts w:hint="eastAsia" w:ascii="仿宋" w:hAnsi="仿宋" w:eastAsia="仿宋" w:cs="仿宋"/>
                <w:highlight w:val="none"/>
              </w:rPr>
            </w:pPr>
            <w:r>
              <w:rPr>
                <w:rFonts w:hint="eastAsia" w:ascii="仿宋" w:hAnsi="仿宋" w:eastAsia="仿宋" w:cs="仿宋"/>
                <w:highlight w:val="none"/>
              </w:rPr>
              <w:t>传真：</w:t>
            </w:r>
          </w:p>
        </w:tc>
      </w:tr>
      <w:tr w14:paraId="7B8CC3D5">
        <w:tblPrEx>
          <w:tblCellMar>
            <w:top w:w="0" w:type="dxa"/>
            <w:left w:w="108" w:type="dxa"/>
            <w:bottom w:w="0" w:type="dxa"/>
            <w:right w:w="108" w:type="dxa"/>
          </w:tblCellMar>
        </w:tblPrEx>
        <w:trPr>
          <w:trHeight w:val="397" w:hRule="atLeast"/>
          <w:jc w:val="center"/>
        </w:trPr>
        <w:tc>
          <w:tcPr>
            <w:tcW w:w="4814" w:type="dxa"/>
            <w:vAlign w:val="center"/>
          </w:tcPr>
          <w:p w14:paraId="119A80B4">
            <w:pPr>
              <w:rPr>
                <w:rFonts w:hint="eastAsia" w:ascii="仿宋" w:hAnsi="仿宋" w:eastAsia="仿宋" w:cs="仿宋"/>
                <w:highlight w:val="none"/>
              </w:rPr>
            </w:pPr>
            <w:r>
              <w:rPr>
                <w:rFonts w:hint="eastAsia" w:ascii="仿宋" w:hAnsi="仿宋" w:eastAsia="仿宋" w:cs="仿宋"/>
                <w:highlight w:val="none"/>
              </w:rPr>
              <w:t>开户银行：农业银行杭州朝晖支行</w:t>
            </w:r>
          </w:p>
        </w:tc>
        <w:tc>
          <w:tcPr>
            <w:tcW w:w="4814" w:type="dxa"/>
            <w:gridSpan w:val="2"/>
            <w:vAlign w:val="center"/>
          </w:tcPr>
          <w:p w14:paraId="1903594F">
            <w:pPr>
              <w:rPr>
                <w:rFonts w:hint="eastAsia" w:ascii="仿宋" w:hAnsi="仿宋" w:eastAsia="仿宋" w:cs="仿宋"/>
                <w:highlight w:val="none"/>
              </w:rPr>
            </w:pPr>
            <w:r>
              <w:rPr>
                <w:rFonts w:hint="eastAsia" w:ascii="仿宋" w:hAnsi="仿宋" w:eastAsia="仿宋" w:cs="仿宋"/>
                <w:highlight w:val="none"/>
              </w:rPr>
              <w:t>开户银行</w:t>
            </w:r>
            <w:r>
              <w:rPr>
                <w:rFonts w:hint="eastAsia" w:ascii="仿宋" w:hAnsi="仿宋" w:eastAsia="仿宋" w:cs="仿宋"/>
                <w:highlight w:val="none"/>
                <w:lang w:eastAsia="zh-CN"/>
              </w:rPr>
              <w:t>（</w:t>
            </w:r>
            <w:r>
              <w:rPr>
                <w:rFonts w:hint="eastAsia" w:ascii="仿宋" w:hAnsi="仿宋" w:eastAsia="仿宋" w:cs="仿宋"/>
                <w:highlight w:val="none"/>
                <w:lang w:val="en-US" w:eastAsia="zh-CN"/>
              </w:rPr>
              <w:t>必填</w:t>
            </w:r>
            <w:r>
              <w:rPr>
                <w:rFonts w:hint="eastAsia" w:ascii="仿宋" w:hAnsi="仿宋" w:eastAsia="仿宋" w:cs="仿宋"/>
                <w:highlight w:val="none"/>
                <w:lang w:eastAsia="zh-CN"/>
              </w:rPr>
              <w:t>）</w:t>
            </w:r>
            <w:r>
              <w:rPr>
                <w:rFonts w:hint="eastAsia" w:ascii="仿宋" w:hAnsi="仿宋" w:eastAsia="仿宋" w:cs="仿宋"/>
                <w:highlight w:val="none"/>
              </w:rPr>
              <w:t>：</w:t>
            </w:r>
          </w:p>
        </w:tc>
      </w:tr>
      <w:tr w14:paraId="0944A2C7">
        <w:tblPrEx>
          <w:tblCellMar>
            <w:top w:w="0" w:type="dxa"/>
            <w:left w:w="108" w:type="dxa"/>
            <w:bottom w:w="0" w:type="dxa"/>
            <w:right w:w="108" w:type="dxa"/>
          </w:tblCellMar>
        </w:tblPrEx>
        <w:trPr>
          <w:trHeight w:val="397" w:hRule="atLeast"/>
          <w:jc w:val="center"/>
        </w:trPr>
        <w:tc>
          <w:tcPr>
            <w:tcW w:w="4814" w:type="dxa"/>
            <w:vAlign w:val="center"/>
          </w:tcPr>
          <w:p w14:paraId="2F81FC6A">
            <w:pPr>
              <w:rPr>
                <w:rFonts w:hint="eastAsia" w:ascii="仿宋" w:hAnsi="仿宋" w:eastAsia="仿宋" w:cs="仿宋"/>
                <w:highlight w:val="none"/>
              </w:rPr>
            </w:pPr>
            <w:r>
              <w:rPr>
                <w:rFonts w:hint="eastAsia" w:ascii="仿宋" w:hAnsi="仿宋" w:eastAsia="仿宋" w:cs="仿宋"/>
                <w:highlight w:val="none"/>
                <w:lang w:val="en-US" w:eastAsia="zh-CN"/>
              </w:rPr>
              <w:t>账</w:t>
            </w:r>
            <w:r>
              <w:rPr>
                <w:rFonts w:hint="eastAsia" w:ascii="仿宋" w:hAnsi="仿宋" w:eastAsia="仿宋" w:cs="仿宋"/>
                <w:highlight w:val="none"/>
              </w:rPr>
              <w:t>号：19015601040001412</w:t>
            </w:r>
          </w:p>
        </w:tc>
        <w:tc>
          <w:tcPr>
            <w:tcW w:w="4814" w:type="dxa"/>
            <w:gridSpan w:val="2"/>
            <w:vAlign w:val="center"/>
          </w:tcPr>
          <w:p w14:paraId="1494C30C">
            <w:pPr>
              <w:rPr>
                <w:rFonts w:hint="eastAsia" w:ascii="仿宋" w:hAnsi="仿宋" w:eastAsia="仿宋" w:cs="仿宋"/>
                <w:highlight w:val="none"/>
              </w:rPr>
            </w:pPr>
            <w:r>
              <w:rPr>
                <w:rFonts w:hint="eastAsia" w:ascii="仿宋" w:hAnsi="仿宋" w:eastAsia="仿宋" w:cs="仿宋"/>
                <w:highlight w:val="none"/>
                <w:lang w:val="en-US" w:eastAsia="zh-CN"/>
              </w:rPr>
              <w:t>账</w:t>
            </w:r>
            <w:r>
              <w:rPr>
                <w:rFonts w:hint="eastAsia" w:ascii="仿宋" w:hAnsi="仿宋" w:eastAsia="仿宋" w:cs="仿宋"/>
                <w:highlight w:val="none"/>
              </w:rPr>
              <w:t>号</w:t>
            </w:r>
            <w:r>
              <w:rPr>
                <w:rFonts w:hint="eastAsia" w:ascii="仿宋" w:hAnsi="仿宋" w:eastAsia="仿宋" w:cs="仿宋"/>
                <w:highlight w:val="none"/>
                <w:lang w:eastAsia="zh-CN"/>
              </w:rPr>
              <w:t>（</w:t>
            </w:r>
            <w:r>
              <w:rPr>
                <w:rFonts w:hint="eastAsia" w:ascii="仿宋" w:hAnsi="仿宋" w:eastAsia="仿宋" w:cs="仿宋"/>
                <w:highlight w:val="none"/>
                <w:lang w:val="en-US" w:eastAsia="zh-CN"/>
              </w:rPr>
              <w:t>必填</w:t>
            </w:r>
            <w:r>
              <w:rPr>
                <w:rFonts w:hint="eastAsia" w:ascii="仿宋" w:hAnsi="仿宋" w:eastAsia="仿宋" w:cs="仿宋"/>
                <w:highlight w:val="none"/>
                <w:lang w:eastAsia="zh-CN"/>
              </w:rPr>
              <w:t>）</w:t>
            </w:r>
            <w:r>
              <w:rPr>
                <w:rFonts w:hint="eastAsia" w:ascii="仿宋" w:hAnsi="仿宋" w:eastAsia="仿宋" w:cs="仿宋"/>
                <w:highlight w:val="none"/>
              </w:rPr>
              <w:t>：</w:t>
            </w:r>
          </w:p>
        </w:tc>
      </w:tr>
      <w:tr w14:paraId="59FB97DE">
        <w:tblPrEx>
          <w:tblCellMar>
            <w:top w:w="0" w:type="dxa"/>
            <w:left w:w="108" w:type="dxa"/>
            <w:bottom w:w="0" w:type="dxa"/>
            <w:right w:w="108" w:type="dxa"/>
          </w:tblCellMar>
        </w:tblPrEx>
        <w:trPr>
          <w:trHeight w:val="397" w:hRule="atLeast"/>
          <w:jc w:val="center"/>
        </w:trPr>
        <w:tc>
          <w:tcPr>
            <w:tcW w:w="9628" w:type="dxa"/>
            <w:gridSpan w:val="3"/>
            <w:vAlign w:val="center"/>
          </w:tcPr>
          <w:p w14:paraId="307E7B67">
            <w:pPr>
              <w:rPr>
                <w:rFonts w:hint="eastAsia" w:ascii="仿宋" w:hAnsi="仿宋" w:eastAsia="仿宋" w:cs="仿宋"/>
                <w:highlight w:val="none"/>
              </w:rPr>
            </w:pPr>
          </w:p>
        </w:tc>
      </w:tr>
      <w:tr w14:paraId="6E918EB2">
        <w:tblPrEx>
          <w:tblCellMar>
            <w:top w:w="0" w:type="dxa"/>
            <w:left w:w="108" w:type="dxa"/>
            <w:bottom w:w="0" w:type="dxa"/>
            <w:right w:w="108" w:type="dxa"/>
          </w:tblCellMar>
        </w:tblPrEx>
        <w:trPr>
          <w:trHeight w:val="397" w:hRule="atLeast"/>
          <w:jc w:val="center"/>
        </w:trPr>
        <w:tc>
          <w:tcPr>
            <w:tcW w:w="4833" w:type="dxa"/>
            <w:gridSpan w:val="2"/>
            <w:vAlign w:val="center"/>
          </w:tcPr>
          <w:p w14:paraId="2922637C">
            <w:pPr>
              <w:rPr>
                <w:rFonts w:hint="eastAsia" w:ascii="仿宋" w:hAnsi="仿宋" w:eastAsia="仿宋" w:cs="仿宋"/>
                <w:highlight w:val="none"/>
              </w:rPr>
            </w:pPr>
            <w:r>
              <w:rPr>
                <w:rFonts w:hint="eastAsia" w:ascii="仿宋" w:hAnsi="仿宋" w:eastAsia="仿宋" w:cs="仿宋"/>
                <w:b/>
                <w:bCs/>
                <w:highlight w:val="none"/>
              </w:rPr>
              <w:t>丙方（盖章）：</w:t>
            </w:r>
          </w:p>
        </w:tc>
        <w:tc>
          <w:tcPr>
            <w:tcW w:w="4795" w:type="dxa"/>
            <w:vAlign w:val="center"/>
          </w:tcPr>
          <w:p w14:paraId="40B07780">
            <w:pPr>
              <w:rPr>
                <w:rFonts w:hint="eastAsia" w:ascii="仿宋" w:hAnsi="仿宋" w:eastAsia="仿宋" w:cs="仿宋"/>
                <w:highlight w:val="none"/>
              </w:rPr>
            </w:pPr>
            <w:r>
              <w:rPr>
                <w:rFonts w:hint="eastAsia" w:ascii="仿宋" w:hAnsi="仿宋" w:eastAsia="仿宋" w:cs="仿宋"/>
                <w:b/>
                <w:bCs/>
                <w:highlight w:val="none"/>
              </w:rPr>
              <w:t>鉴证方（盖章）：浙江求是招标代理有限公司</w:t>
            </w:r>
          </w:p>
        </w:tc>
      </w:tr>
      <w:tr w14:paraId="12B3F473">
        <w:tblPrEx>
          <w:tblCellMar>
            <w:top w:w="0" w:type="dxa"/>
            <w:left w:w="108" w:type="dxa"/>
            <w:bottom w:w="0" w:type="dxa"/>
            <w:right w:w="108" w:type="dxa"/>
          </w:tblCellMar>
        </w:tblPrEx>
        <w:trPr>
          <w:trHeight w:val="397" w:hRule="atLeast"/>
          <w:jc w:val="center"/>
        </w:trPr>
        <w:tc>
          <w:tcPr>
            <w:tcW w:w="4833" w:type="dxa"/>
            <w:gridSpan w:val="2"/>
            <w:vAlign w:val="center"/>
          </w:tcPr>
          <w:p w14:paraId="68A5E75B">
            <w:pPr>
              <w:rPr>
                <w:rFonts w:hint="eastAsia" w:ascii="仿宋" w:hAnsi="仿宋" w:eastAsia="仿宋" w:cs="仿宋"/>
                <w:highlight w:val="none"/>
              </w:rPr>
            </w:pPr>
            <w:r>
              <w:rPr>
                <w:rFonts w:hint="eastAsia" w:ascii="仿宋" w:hAnsi="仿宋" w:eastAsia="仿宋" w:cs="仿宋"/>
                <w:highlight w:val="none"/>
                <w:lang w:eastAsia="zh-CN"/>
              </w:rPr>
              <w:t>负责人</w:t>
            </w:r>
            <w:r>
              <w:rPr>
                <w:rFonts w:hint="eastAsia" w:ascii="仿宋" w:hAnsi="仿宋" w:eastAsia="仿宋" w:cs="仿宋"/>
                <w:highlight w:val="none"/>
              </w:rPr>
              <w:t>：</w:t>
            </w:r>
          </w:p>
          <w:p w14:paraId="1ABB7909">
            <w:pPr>
              <w:rPr>
                <w:rFonts w:hint="eastAsia" w:ascii="仿宋" w:hAnsi="仿宋" w:eastAsia="仿宋" w:cs="仿宋"/>
                <w:highlight w:val="none"/>
              </w:rPr>
            </w:pPr>
            <w:r>
              <w:rPr>
                <w:rFonts w:hint="eastAsia" w:ascii="仿宋" w:hAnsi="仿宋" w:eastAsia="仿宋" w:cs="仿宋"/>
                <w:highlight w:val="none"/>
              </w:rPr>
              <w:t>（签字）</w:t>
            </w:r>
          </w:p>
        </w:tc>
        <w:tc>
          <w:tcPr>
            <w:tcW w:w="4795" w:type="dxa"/>
            <w:vAlign w:val="center"/>
          </w:tcPr>
          <w:p w14:paraId="64400EF3">
            <w:pPr>
              <w:rPr>
                <w:rFonts w:hint="eastAsia" w:ascii="仿宋" w:hAnsi="仿宋" w:eastAsia="仿宋" w:cs="仿宋"/>
                <w:highlight w:val="none"/>
              </w:rPr>
            </w:pPr>
            <w:r>
              <w:rPr>
                <w:rFonts w:hint="eastAsia" w:ascii="仿宋" w:hAnsi="仿宋" w:eastAsia="仿宋" w:cs="仿宋"/>
                <w:highlight w:val="none"/>
              </w:rPr>
              <w:t>法定代表人或受委托人：</w:t>
            </w:r>
          </w:p>
          <w:p w14:paraId="70FF9008">
            <w:pPr>
              <w:rPr>
                <w:rFonts w:hint="eastAsia" w:ascii="仿宋" w:hAnsi="仿宋" w:eastAsia="仿宋" w:cs="仿宋"/>
                <w:highlight w:val="none"/>
              </w:rPr>
            </w:pPr>
            <w:r>
              <w:rPr>
                <w:rFonts w:hint="eastAsia" w:ascii="仿宋" w:hAnsi="仿宋" w:eastAsia="仿宋" w:cs="仿宋"/>
                <w:highlight w:val="none"/>
              </w:rPr>
              <w:t>（签字）</w:t>
            </w:r>
          </w:p>
        </w:tc>
      </w:tr>
      <w:tr w14:paraId="5F80D1EB">
        <w:tblPrEx>
          <w:tblCellMar>
            <w:top w:w="0" w:type="dxa"/>
            <w:left w:w="108" w:type="dxa"/>
            <w:bottom w:w="0" w:type="dxa"/>
            <w:right w:w="108" w:type="dxa"/>
          </w:tblCellMar>
        </w:tblPrEx>
        <w:trPr>
          <w:trHeight w:val="397" w:hRule="atLeast"/>
          <w:jc w:val="center"/>
        </w:trPr>
        <w:tc>
          <w:tcPr>
            <w:tcW w:w="4833" w:type="dxa"/>
            <w:gridSpan w:val="2"/>
            <w:vAlign w:val="center"/>
          </w:tcPr>
          <w:p w14:paraId="592E7E04">
            <w:pPr>
              <w:rPr>
                <w:rFonts w:hint="eastAsia" w:ascii="仿宋" w:hAnsi="仿宋" w:eastAsia="仿宋" w:cs="仿宋"/>
                <w:highlight w:val="none"/>
              </w:rPr>
            </w:pPr>
            <w:r>
              <w:rPr>
                <w:rFonts w:hint="eastAsia" w:ascii="仿宋" w:hAnsi="仿宋" w:eastAsia="仿宋" w:cs="仿宋"/>
                <w:highlight w:val="none"/>
              </w:rPr>
              <w:t>地址：</w:t>
            </w:r>
          </w:p>
        </w:tc>
        <w:tc>
          <w:tcPr>
            <w:tcW w:w="4795" w:type="dxa"/>
            <w:vAlign w:val="center"/>
          </w:tcPr>
          <w:p w14:paraId="315BB36A">
            <w:pPr>
              <w:rPr>
                <w:rFonts w:hint="eastAsia" w:ascii="仿宋" w:hAnsi="仿宋" w:eastAsia="仿宋" w:cs="仿宋"/>
                <w:highlight w:val="none"/>
              </w:rPr>
            </w:pPr>
            <w:r>
              <w:rPr>
                <w:rFonts w:hint="eastAsia" w:ascii="仿宋" w:hAnsi="仿宋" w:eastAsia="仿宋" w:cs="仿宋"/>
                <w:highlight w:val="none"/>
              </w:rPr>
              <w:t>地址：杭州市西湖区玉古路173号中田大厦21楼</w:t>
            </w:r>
          </w:p>
        </w:tc>
      </w:tr>
      <w:tr w14:paraId="4C33419D">
        <w:tblPrEx>
          <w:tblCellMar>
            <w:top w:w="0" w:type="dxa"/>
            <w:left w:w="108" w:type="dxa"/>
            <w:bottom w:w="0" w:type="dxa"/>
            <w:right w:w="108" w:type="dxa"/>
          </w:tblCellMar>
        </w:tblPrEx>
        <w:trPr>
          <w:trHeight w:val="397" w:hRule="atLeast"/>
          <w:jc w:val="center"/>
        </w:trPr>
        <w:tc>
          <w:tcPr>
            <w:tcW w:w="4833" w:type="dxa"/>
            <w:gridSpan w:val="2"/>
            <w:vAlign w:val="center"/>
          </w:tcPr>
          <w:p w14:paraId="1ABDED57">
            <w:pPr>
              <w:rPr>
                <w:rFonts w:hint="eastAsia" w:ascii="仿宋" w:hAnsi="仿宋" w:eastAsia="仿宋" w:cs="仿宋"/>
                <w:highlight w:val="none"/>
              </w:rPr>
            </w:pPr>
          </w:p>
        </w:tc>
        <w:tc>
          <w:tcPr>
            <w:tcW w:w="4795" w:type="dxa"/>
            <w:vAlign w:val="center"/>
          </w:tcPr>
          <w:p w14:paraId="4AD4CB30">
            <w:pPr>
              <w:rPr>
                <w:rFonts w:hint="eastAsia" w:ascii="仿宋" w:hAnsi="仿宋" w:eastAsia="仿宋" w:cs="仿宋"/>
                <w:highlight w:val="none"/>
              </w:rPr>
            </w:pPr>
            <w:r>
              <w:rPr>
                <w:rFonts w:hint="eastAsia" w:ascii="仿宋" w:hAnsi="仿宋" w:eastAsia="仿宋" w:cs="仿宋"/>
                <w:highlight w:val="none"/>
              </w:rPr>
              <w:t>电话：0571-87679349</w:t>
            </w:r>
          </w:p>
        </w:tc>
      </w:tr>
      <w:tr w14:paraId="506DBFE9">
        <w:tblPrEx>
          <w:tblCellMar>
            <w:top w:w="0" w:type="dxa"/>
            <w:left w:w="108" w:type="dxa"/>
            <w:bottom w:w="0" w:type="dxa"/>
            <w:right w:w="108" w:type="dxa"/>
          </w:tblCellMar>
        </w:tblPrEx>
        <w:trPr>
          <w:trHeight w:val="397" w:hRule="atLeast"/>
          <w:jc w:val="center"/>
        </w:trPr>
        <w:tc>
          <w:tcPr>
            <w:tcW w:w="4833" w:type="dxa"/>
            <w:gridSpan w:val="2"/>
            <w:vAlign w:val="center"/>
          </w:tcPr>
          <w:p w14:paraId="74C38124">
            <w:pPr>
              <w:rPr>
                <w:rFonts w:hint="eastAsia" w:ascii="仿宋" w:hAnsi="仿宋" w:eastAsia="仿宋" w:cs="仿宋"/>
                <w:highlight w:val="none"/>
              </w:rPr>
            </w:pPr>
            <w:r>
              <w:rPr>
                <w:rFonts w:hint="eastAsia" w:ascii="仿宋" w:hAnsi="仿宋" w:eastAsia="仿宋" w:cs="仿宋"/>
                <w:highlight w:val="none"/>
              </w:rPr>
              <w:t>签约地点：浙江工业大学朝晖校区</w:t>
            </w:r>
          </w:p>
        </w:tc>
        <w:tc>
          <w:tcPr>
            <w:tcW w:w="4795" w:type="dxa"/>
            <w:vAlign w:val="center"/>
          </w:tcPr>
          <w:p w14:paraId="5988246E">
            <w:pPr>
              <w:rPr>
                <w:rFonts w:hint="eastAsia" w:ascii="仿宋" w:hAnsi="仿宋" w:eastAsia="仿宋" w:cs="仿宋"/>
                <w:highlight w:val="none"/>
              </w:rPr>
            </w:pPr>
            <w:r>
              <w:rPr>
                <w:rFonts w:hint="eastAsia" w:ascii="仿宋" w:hAnsi="仿宋" w:eastAsia="仿宋" w:cs="仿宋"/>
                <w:highlight w:val="none"/>
              </w:rPr>
              <w:t>签订时间：     年   月   日</w:t>
            </w:r>
          </w:p>
        </w:tc>
      </w:tr>
    </w:tbl>
    <w:p w14:paraId="271B9328">
      <w:pPr>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br w:type="page"/>
      </w:r>
    </w:p>
    <w:p w14:paraId="48270B75">
      <w:pPr>
        <w:adjustRightInd w:val="0"/>
        <w:snapToGrid w:val="0"/>
        <w:spacing w:line="288" w:lineRule="auto"/>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第六章  投标文件格式</w:t>
      </w:r>
    </w:p>
    <w:p w14:paraId="64D26915">
      <w:pPr>
        <w:adjustRightInd w:val="0"/>
        <w:snapToGrid w:val="0"/>
        <w:spacing w:line="360" w:lineRule="auto"/>
        <w:rPr>
          <w:rFonts w:ascii="仿宋" w:hAnsi="仿宋" w:eastAsia="仿宋" w:cs="仿宋"/>
          <w:b/>
          <w:bCs/>
          <w:color w:val="auto"/>
          <w:spacing w:val="-6"/>
          <w:sz w:val="24"/>
          <w:szCs w:val="24"/>
          <w:highlight w:val="none"/>
        </w:rPr>
      </w:pPr>
    </w:p>
    <w:p w14:paraId="6B71A5E3">
      <w:pPr>
        <w:adjustRightInd w:val="0"/>
        <w:snapToGrid w:val="0"/>
        <w:spacing w:line="360" w:lineRule="auto"/>
        <w:jc w:val="center"/>
        <w:rPr>
          <w:rFonts w:ascii="仿宋" w:hAnsi="仿宋" w:eastAsia="仿宋" w:cs="仿宋"/>
          <w:b/>
          <w:bCs/>
          <w:color w:val="auto"/>
          <w:spacing w:val="-6"/>
          <w:sz w:val="24"/>
          <w:szCs w:val="24"/>
          <w:highlight w:val="none"/>
        </w:rPr>
      </w:pPr>
      <w:r>
        <w:rPr>
          <w:rFonts w:hint="eastAsia" w:ascii="仿宋" w:hAnsi="仿宋" w:eastAsia="仿宋" w:cs="仿宋"/>
          <w:b/>
          <w:bCs/>
          <w:color w:val="auto"/>
          <w:spacing w:val="-6"/>
          <w:sz w:val="24"/>
          <w:szCs w:val="24"/>
          <w:highlight w:val="none"/>
        </w:rPr>
        <w:t>目  录</w:t>
      </w:r>
    </w:p>
    <w:p w14:paraId="6C59CC11">
      <w:pPr>
        <w:adjustRightInd w:val="0"/>
        <w:snapToGrid w:val="0"/>
        <w:spacing w:line="360" w:lineRule="auto"/>
        <w:rPr>
          <w:rFonts w:ascii="仿宋" w:hAnsi="仿宋" w:eastAsia="仿宋" w:cs="仿宋"/>
          <w:b/>
          <w:bCs/>
          <w:color w:val="auto"/>
          <w:spacing w:val="-6"/>
          <w:sz w:val="24"/>
          <w:szCs w:val="24"/>
          <w:highlight w:val="none"/>
        </w:rPr>
      </w:pPr>
    </w:p>
    <w:p w14:paraId="7FA1D1A1">
      <w:pPr>
        <w:adjustRightInd w:val="0"/>
        <w:snapToGrid w:val="0"/>
        <w:spacing w:line="360" w:lineRule="auto"/>
        <w:ind w:firstLine="398" w:firstLineChars="200"/>
        <w:jc w:val="left"/>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w:t>
      </w:r>
      <w:r>
        <w:rPr>
          <w:rFonts w:hint="eastAsia" w:ascii="仿宋" w:hAnsi="仿宋" w:eastAsia="仿宋" w:cs="仿宋"/>
          <w:b/>
          <w:bCs/>
          <w:color w:val="auto"/>
          <w:spacing w:val="-6"/>
          <w:szCs w:val="21"/>
          <w:highlight w:val="none"/>
          <w:lang w:val="en-US" w:eastAsia="zh-CN"/>
        </w:rPr>
        <w:t>一、</w:t>
      </w:r>
      <w:r>
        <w:rPr>
          <w:rFonts w:hint="eastAsia" w:ascii="仿宋" w:hAnsi="仿宋" w:eastAsia="仿宋" w:cs="仿宋"/>
          <w:b/>
          <w:bCs/>
          <w:color w:val="auto"/>
          <w:spacing w:val="-6"/>
          <w:szCs w:val="21"/>
          <w:highlight w:val="none"/>
        </w:rPr>
        <w:t>资格文件（单独上传）</w:t>
      </w:r>
    </w:p>
    <w:p w14:paraId="5F214651">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资格审查要求的资格证明材料（均需加盖公章）</w:t>
      </w:r>
    </w:p>
    <w:p w14:paraId="552238BC">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1.</w:t>
      </w:r>
      <w:r>
        <w:rPr>
          <w:rFonts w:hint="eastAsia" w:ascii="仿宋" w:hAnsi="仿宋" w:eastAsia="仿宋" w:cs="仿宋"/>
          <w:b/>
          <w:color w:val="auto"/>
          <w:spacing w:val="-6"/>
          <w:szCs w:val="21"/>
          <w:highlight w:val="none"/>
        </w:rPr>
        <w:t>有效的法人或者其他组织的营业执照等证明文件/自然人的身份证明</w:t>
      </w:r>
    </w:p>
    <w:p w14:paraId="78E86AE3">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2.</w:t>
      </w:r>
      <w:r>
        <w:rPr>
          <w:rFonts w:hint="eastAsia" w:ascii="仿宋" w:hAnsi="仿宋" w:eastAsia="仿宋" w:cs="仿宋"/>
          <w:b/>
          <w:color w:val="auto"/>
          <w:spacing w:val="-6"/>
          <w:szCs w:val="21"/>
          <w:highlight w:val="none"/>
        </w:rPr>
        <w:t>符合参加政府采购活动应当具备的一般条件的承诺函</w:t>
      </w:r>
    </w:p>
    <w:p w14:paraId="466962C7">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3.</w:t>
      </w:r>
      <w:r>
        <w:rPr>
          <w:rFonts w:hint="eastAsia" w:ascii="仿宋" w:hAnsi="仿宋" w:eastAsia="仿宋" w:cs="仿宋"/>
          <w:b/>
          <w:color w:val="auto"/>
          <w:spacing w:val="-6"/>
          <w:szCs w:val="21"/>
          <w:highlight w:val="none"/>
        </w:rPr>
        <w:t>联合协议（若联合体投标）</w:t>
      </w:r>
    </w:p>
    <w:p w14:paraId="286B57B6">
      <w:pPr>
        <w:keepNext w:val="0"/>
        <w:keepLines w:val="0"/>
        <w:pageBreakBefore w:val="0"/>
        <w:widowControl w:val="0"/>
        <w:kinsoku/>
        <w:wordWrap/>
        <w:overflowPunct/>
        <w:topLinePunct w:val="0"/>
        <w:autoSpaceDE/>
        <w:autoSpaceDN/>
        <w:bidi w:val="0"/>
        <w:adjustRightInd w:val="0"/>
        <w:snapToGrid w:val="0"/>
        <w:spacing w:line="360" w:lineRule="auto"/>
        <w:ind w:firstLine="596" w:firstLineChars="300"/>
        <w:jc w:val="left"/>
        <w:textAlignment w:val="auto"/>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▲联合体投标的，联合体各方均应提供（1）</w:t>
      </w:r>
      <w:r>
        <w:rPr>
          <w:rFonts w:hint="eastAsia" w:ascii="仿宋" w:hAnsi="仿宋" w:eastAsia="仿宋" w:cs="仿宋"/>
          <w:b/>
          <w:color w:val="auto"/>
          <w:spacing w:val="-6"/>
          <w:szCs w:val="21"/>
          <w:highlight w:val="none"/>
          <w:lang w:val="en-US" w:eastAsia="zh-CN"/>
        </w:rPr>
        <w:t>&amp;</w:t>
      </w:r>
      <w:r>
        <w:rPr>
          <w:rFonts w:hint="eastAsia" w:ascii="仿宋" w:hAnsi="仿宋" w:eastAsia="仿宋" w:cs="仿宋"/>
          <w:b/>
          <w:color w:val="auto"/>
          <w:spacing w:val="-6"/>
          <w:szCs w:val="21"/>
          <w:highlight w:val="none"/>
        </w:rPr>
        <w:t>（2）</w:t>
      </w:r>
      <w:r>
        <w:rPr>
          <w:rFonts w:hint="eastAsia" w:ascii="仿宋" w:hAnsi="仿宋" w:eastAsia="仿宋" w:cs="仿宋"/>
          <w:b/>
          <w:color w:val="auto"/>
          <w:spacing w:val="-6"/>
          <w:szCs w:val="21"/>
          <w:highlight w:val="none"/>
          <w:lang w:val="en-US" w:eastAsia="zh-CN"/>
        </w:rPr>
        <w:t>项</w:t>
      </w:r>
      <w:r>
        <w:rPr>
          <w:rFonts w:hint="eastAsia" w:ascii="仿宋" w:hAnsi="仿宋" w:eastAsia="仿宋" w:cs="仿宋"/>
          <w:b/>
          <w:color w:val="auto"/>
          <w:spacing w:val="-6"/>
          <w:szCs w:val="21"/>
          <w:highlight w:val="none"/>
        </w:rPr>
        <w:t>材料</w:t>
      </w:r>
    </w:p>
    <w:p w14:paraId="539150BC">
      <w:pPr>
        <w:adjustRightInd w:val="0"/>
        <w:snapToGrid w:val="0"/>
        <w:spacing w:line="360"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rPr>
        <w:t>商务和</w:t>
      </w:r>
      <w:r>
        <w:rPr>
          <w:rFonts w:hint="eastAsia" w:ascii="仿宋" w:hAnsi="仿宋" w:eastAsia="仿宋" w:cs="仿宋"/>
          <w:b/>
          <w:bCs/>
          <w:color w:val="auto"/>
          <w:spacing w:val="-6"/>
          <w:szCs w:val="21"/>
          <w:highlight w:val="none"/>
        </w:rPr>
        <w:t>技术文件（单独上传）</w:t>
      </w:r>
    </w:p>
    <w:p w14:paraId="23A20101">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投标函</w:t>
      </w:r>
    </w:p>
    <w:p w14:paraId="1FCC2B7E">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法定代表人（单位负责人、自然人本人）身份证明</w:t>
      </w:r>
      <w:r>
        <w:rPr>
          <w:rFonts w:hint="eastAsia" w:ascii="仿宋" w:hAnsi="仿宋" w:eastAsia="仿宋" w:cs="仿宋"/>
          <w:color w:val="auto"/>
          <w:spacing w:val="-6"/>
          <w:szCs w:val="21"/>
          <w:highlight w:val="none"/>
          <w:lang w:val="en-US" w:eastAsia="zh-CN"/>
        </w:rPr>
        <w:t>/</w:t>
      </w:r>
      <w:r>
        <w:rPr>
          <w:rFonts w:hint="eastAsia" w:ascii="仿宋" w:hAnsi="仿宋" w:eastAsia="仿宋" w:cs="仿宋"/>
          <w:color w:val="auto"/>
          <w:spacing w:val="-6"/>
          <w:szCs w:val="21"/>
          <w:highlight w:val="none"/>
          <w:lang w:eastAsia="zh-CN"/>
        </w:rPr>
        <w:t>授权委托书</w:t>
      </w:r>
    </w:p>
    <w:p w14:paraId="18588208">
      <w:pPr>
        <w:keepNext w:val="0"/>
        <w:keepLines w:val="0"/>
        <w:pageBreakBefore w:val="0"/>
        <w:widowControl w:val="0"/>
        <w:kinsoku/>
        <w:wordWrap/>
        <w:overflowPunct/>
        <w:topLinePunct w:val="0"/>
        <w:autoSpaceDE/>
        <w:autoSpaceDN/>
        <w:bidi w:val="0"/>
        <w:adjustRightInd w:val="0"/>
        <w:snapToGrid w:val="0"/>
        <w:spacing w:line="360" w:lineRule="auto"/>
        <w:ind w:firstLine="840" w:firstLineChars="400"/>
        <w:jc w:val="left"/>
        <w:textAlignment w:val="auto"/>
        <w:rPr>
          <w:rFonts w:ascii="仿宋" w:hAnsi="仿宋" w:eastAsia="仿宋" w:cs="仿宋"/>
          <w:color w:val="auto"/>
          <w:spacing w:val="-6"/>
          <w:szCs w:val="21"/>
          <w:highlight w:val="none"/>
        </w:rPr>
      </w:pPr>
      <w:r>
        <w:rPr>
          <w:rFonts w:hint="eastAsia" w:ascii="仿宋" w:hAnsi="仿宋" w:eastAsia="仿宋" w:cs="仿宋"/>
          <w:color w:val="auto"/>
          <w:szCs w:val="21"/>
          <w:highlight w:val="none"/>
          <w:lang w:eastAsia="zh-CN"/>
        </w:rPr>
        <w:t>202</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年1月（含）至今任意一月</w:t>
      </w:r>
      <w:r>
        <w:rPr>
          <w:rFonts w:hint="eastAsia" w:ascii="仿宋" w:hAnsi="仿宋" w:eastAsia="仿宋" w:cs="仿宋"/>
          <w:color w:val="auto"/>
          <w:spacing w:val="-6"/>
          <w:szCs w:val="21"/>
          <w:highlight w:val="none"/>
        </w:rPr>
        <w:t>投标授权代表社保缴纳证明</w:t>
      </w:r>
    </w:p>
    <w:p w14:paraId="5B31C478">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采购需求偏离表</w:t>
      </w:r>
    </w:p>
    <w:p w14:paraId="5242BBA8">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投标人同类合同实施情况一览表</w:t>
      </w:r>
    </w:p>
    <w:p w14:paraId="6C594A83">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5.节能、环保产品证明材料</w:t>
      </w:r>
    </w:p>
    <w:p w14:paraId="2E7DA4EA">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lang w:eastAsia="zh-CN"/>
        </w:rPr>
        <w:t>标的配置清单</w:t>
      </w:r>
    </w:p>
    <w:p w14:paraId="31F1D39E">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lang w:eastAsia="zh-CN"/>
        </w:rPr>
        <w:t>技术方案</w:t>
      </w:r>
    </w:p>
    <w:p w14:paraId="7D02200D">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8.项目实施方案</w:t>
      </w:r>
    </w:p>
    <w:p w14:paraId="0185A313">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9.</w:t>
      </w:r>
      <w:r>
        <w:rPr>
          <w:rFonts w:hint="eastAsia" w:ascii="仿宋" w:hAnsi="仿宋" w:eastAsia="仿宋" w:cs="仿宋"/>
          <w:color w:val="auto"/>
          <w:spacing w:val="-6"/>
          <w:szCs w:val="21"/>
          <w:highlight w:val="none"/>
          <w:lang w:eastAsia="zh-CN"/>
        </w:rPr>
        <w:t>培训计划</w:t>
      </w:r>
    </w:p>
    <w:p w14:paraId="70A24966">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10.</w:t>
      </w:r>
      <w:r>
        <w:rPr>
          <w:rFonts w:hint="eastAsia" w:ascii="仿宋" w:hAnsi="仿宋" w:eastAsia="仿宋" w:cs="仿宋"/>
          <w:color w:val="auto"/>
          <w:spacing w:val="-6"/>
          <w:szCs w:val="21"/>
          <w:highlight w:val="none"/>
          <w:lang w:eastAsia="zh-CN"/>
        </w:rPr>
        <w:t>售后服务方案</w:t>
      </w:r>
    </w:p>
    <w:p w14:paraId="24CEF45A">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11.随机标准附件、备品备件、易损件、零配件、专用工具等</w:t>
      </w:r>
    </w:p>
    <w:p w14:paraId="259C7602">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12.所需选配件、维修配件、易耗件费用一览表</w:t>
      </w:r>
    </w:p>
    <w:p w14:paraId="722CF151">
      <w:pPr>
        <w:adjustRightInd w:val="0"/>
        <w:snapToGrid w:val="0"/>
        <w:spacing w:line="360"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rPr>
        <w:t>报价文件</w:t>
      </w:r>
      <w:r>
        <w:rPr>
          <w:rFonts w:hint="eastAsia" w:ascii="仿宋" w:hAnsi="仿宋" w:eastAsia="仿宋" w:cs="仿宋"/>
          <w:b/>
          <w:bCs/>
          <w:color w:val="auto"/>
          <w:spacing w:val="-6"/>
          <w:szCs w:val="21"/>
          <w:highlight w:val="none"/>
        </w:rPr>
        <w:t>（单独上传）</w:t>
      </w:r>
    </w:p>
    <w:p w14:paraId="3F1BFB23">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开标一览表</w:t>
      </w:r>
    </w:p>
    <w:p w14:paraId="1BE51A4E">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中小企业声明函（若属于中小企业）</w:t>
      </w:r>
    </w:p>
    <w:p w14:paraId="0C1DDC09">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属于监狱企业的证明文件（若属于监狱企业）</w:t>
      </w:r>
    </w:p>
    <w:p w14:paraId="11CC3DA1">
      <w:pPr>
        <w:keepNext w:val="0"/>
        <w:keepLines w:val="0"/>
        <w:pageBreakBefore w:val="0"/>
        <w:widowControl w:val="0"/>
        <w:kinsoku/>
        <w:wordWrap/>
        <w:overflowPunct/>
        <w:topLinePunct w:val="0"/>
        <w:autoSpaceDE/>
        <w:autoSpaceDN/>
        <w:bidi w:val="0"/>
        <w:adjustRightInd w:val="0"/>
        <w:snapToGrid w:val="0"/>
        <w:spacing w:line="360" w:lineRule="auto"/>
        <w:ind w:firstLine="594" w:firstLineChars="300"/>
        <w:jc w:val="left"/>
        <w:textAlignment w:val="auto"/>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残疾人福利性单位声明函（若属于残疾人福利性单位）</w:t>
      </w:r>
    </w:p>
    <w:p w14:paraId="49C7615F">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ABFC1EB">
      <w:pPr>
        <w:adjustRightInd w:val="0"/>
        <w:snapToGrid w:val="0"/>
        <w:spacing w:line="288" w:lineRule="auto"/>
        <w:jc w:val="center"/>
        <w:rPr>
          <w:rFonts w:ascii="仿宋" w:hAnsi="仿宋" w:eastAsia="仿宋" w:cs="仿宋"/>
          <w:b/>
          <w:bCs/>
          <w:color w:val="auto"/>
          <w:sz w:val="84"/>
          <w:szCs w:val="84"/>
          <w:highlight w:val="none"/>
        </w:rPr>
      </w:pPr>
    </w:p>
    <w:p w14:paraId="6F900EF4">
      <w:pPr>
        <w:adjustRightInd w:val="0"/>
        <w:snapToGrid w:val="0"/>
        <w:spacing w:line="288" w:lineRule="auto"/>
        <w:jc w:val="center"/>
        <w:rPr>
          <w:rFonts w:ascii="仿宋" w:hAnsi="仿宋" w:eastAsia="仿宋" w:cs="仿宋"/>
          <w:b/>
          <w:bCs/>
          <w:color w:val="auto"/>
          <w:sz w:val="84"/>
          <w:szCs w:val="84"/>
          <w:highlight w:val="none"/>
        </w:rPr>
      </w:pPr>
    </w:p>
    <w:p w14:paraId="6AA9ABD6">
      <w:pPr>
        <w:adjustRightInd w:val="0"/>
        <w:snapToGrid w:val="0"/>
        <w:spacing w:line="288" w:lineRule="auto"/>
        <w:jc w:val="center"/>
        <w:rPr>
          <w:rFonts w:ascii="仿宋" w:hAnsi="仿宋" w:eastAsia="仿宋" w:cs="仿宋"/>
          <w:b/>
          <w:bCs/>
          <w:color w:val="auto"/>
          <w:sz w:val="84"/>
          <w:szCs w:val="84"/>
          <w:highlight w:val="none"/>
        </w:rPr>
      </w:pPr>
    </w:p>
    <w:p w14:paraId="3C1BB3CD">
      <w:pPr>
        <w:adjustRightInd w:val="0"/>
        <w:snapToGrid w:val="0"/>
        <w:spacing w:line="288" w:lineRule="auto"/>
        <w:jc w:val="center"/>
        <w:rPr>
          <w:rFonts w:ascii="仿宋" w:hAnsi="仿宋" w:eastAsia="仿宋" w:cs="仿宋"/>
          <w:b/>
          <w:bCs/>
          <w:color w:val="auto"/>
          <w:sz w:val="84"/>
          <w:szCs w:val="84"/>
          <w:highlight w:val="none"/>
        </w:rPr>
      </w:pPr>
    </w:p>
    <w:p w14:paraId="5129312E">
      <w:pPr>
        <w:adjustRightInd w:val="0"/>
        <w:snapToGrid w:val="0"/>
        <w:spacing w:line="288" w:lineRule="auto"/>
        <w:jc w:val="center"/>
        <w:outlineLvl w:val="1"/>
        <w:rPr>
          <w:rFonts w:ascii="仿宋" w:hAnsi="仿宋" w:eastAsia="仿宋" w:cs="仿宋"/>
          <w:b/>
          <w:bCs/>
          <w:color w:val="auto"/>
          <w:sz w:val="84"/>
          <w:szCs w:val="84"/>
          <w:highlight w:val="none"/>
        </w:rPr>
      </w:pPr>
      <w:r>
        <w:rPr>
          <w:rFonts w:hint="eastAsia" w:ascii="仿宋" w:hAnsi="仿宋" w:eastAsia="仿宋" w:cs="仿宋"/>
          <w:b/>
          <w:bCs/>
          <w:color w:val="auto"/>
          <w:sz w:val="84"/>
          <w:szCs w:val="84"/>
          <w:highlight w:val="none"/>
        </w:rPr>
        <w:t>资格文件</w:t>
      </w:r>
    </w:p>
    <w:p w14:paraId="46A65ED0">
      <w:pPr>
        <w:adjustRightInd w:val="0"/>
        <w:snapToGrid w:val="0"/>
        <w:spacing w:line="288" w:lineRule="auto"/>
        <w:jc w:val="center"/>
        <w:rPr>
          <w:rFonts w:ascii="仿宋" w:hAnsi="仿宋" w:eastAsia="仿宋" w:cs="仿宋"/>
          <w:b/>
          <w:bCs/>
          <w:color w:val="auto"/>
          <w:sz w:val="84"/>
          <w:szCs w:val="84"/>
          <w:highlight w:val="none"/>
        </w:rPr>
      </w:pPr>
    </w:p>
    <w:p w14:paraId="6D2F8515">
      <w:pPr>
        <w:adjustRightInd w:val="0"/>
        <w:snapToGrid w:val="0"/>
        <w:spacing w:line="288" w:lineRule="auto"/>
        <w:jc w:val="center"/>
        <w:rPr>
          <w:rFonts w:ascii="仿宋" w:hAnsi="仿宋" w:eastAsia="仿宋" w:cs="仿宋"/>
          <w:b/>
          <w:bCs/>
          <w:color w:val="auto"/>
          <w:szCs w:val="21"/>
          <w:highlight w:val="none"/>
        </w:rPr>
      </w:pPr>
      <w:bookmarkStart w:id="50" w:name="_Hlk94097338"/>
      <w:r>
        <w:rPr>
          <w:rFonts w:hint="eastAsia" w:ascii="仿宋" w:hAnsi="仿宋" w:eastAsia="仿宋" w:cs="仿宋"/>
          <w:b/>
          <w:bCs/>
          <w:color w:val="auto"/>
          <w:sz w:val="24"/>
          <w:szCs w:val="24"/>
          <w:highlight w:val="none"/>
        </w:rPr>
        <w:t>资格审查要求的资格证明材料（均需加盖公章）</w:t>
      </w:r>
      <w:bookmarkEnd w:id="50"/>
    </w:p>
    <w:p w14:paraId="0417FC41">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5A5BDFB">
      <w:pPr>
        <w:adjustRightInd w:val="0"/>
        <w:snapToGrid w:val="0"/>
        <w:spacing w:line="360" w:lineRule="auto"/>
        <w:jc w:val="center"/>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有效的法人或者其他组织的营业执照等证明文件/自然人的身份证明</w:t>
      </w:r>
    </w:p>
    <w:p w14:paraId="330D576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（联合体投标的，联合体各方均需提供）</w:t>
      </w:r>
    </w:p>
    <w:p w14:paraId="07E5CF6D">
      <w:pPr>
        <w:adjustRightInd w:val="0"/>
        <w:snapToGrid w:val="0"/>
        <w:spacing w:line="360" w:lineRule="auto"/>
        <w:rPr>
          <w:rFonts w:ascii="仿宋" w:hAnsi="仿宋" w:eastAsia="仿宋" w:cs="仿宋"/>
          <w:color w:val="auto"/>
          <w:szCs w:val="21"/>
          <w:highlight w:val="none"/>
        </w:rPr>
      </w:pPr>
    </w:p>
    <w:p w14:paraId="036FE371">
      <w:pPr>
        <w:adjustRightInd w:val="0"/>
        <w:snapToGrid w:val="0"/>
        <w:spacing w:line="360" w:lineRule="auto"/>
        <w:rPr>
          <w:rFonts w:ascii="仿宋" w:hAnsi="仿宋" w:eastAsia="仿宋" w:cs="仿宋"/>
          <w:color w:val="auto"/>
          <w:szCs w:val="21"/>
          <w:highlight w:val="none"/>
        </w:rPr>
      </w:pPr>
    </w:p>
    <w:p w14:paraId="1C850E0C">
      <w:pPr>
        <w:adjustRightInd w:val="0"/>
        <w:snapToGrid w:val="0"/>
        <w:spacing w:line="360" w:lineRule="auto"/>
        <w:rPr>
          <w:rFonts w:ascii="仿宋" w:hAnsi="仿宋" w:eastAsia="仿宋" w:cs="仿宋"/>
          <w:b/>
          <w:bCs/>
          <w:color w:val="auto"/>
          <w:szCs w:val="21"/>
          <w:highlight w:val="none"/>
        </w:rPr>
      </w:pPr>
    </w:p>
    <w:p w14:paraId="683D25FA">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2DCCF8BB">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是企业（包括合伙企业），提供在工商部门注册的有效“企业法人营业执照”或“营业执照”；</w:t>
      </w:r>
    </w:p>
    <w:p w14:paraId="14D77FAE">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是事业单位，提供有效的“事业单位法人证书”；</w:t>
      </w:r>
    </w:p>
    <w:p w14:paraId="645AE527">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是非企业专业服务机构，提供执业许可证等证明文件；</w:t>
      </w:r>
    </w:p>
    <w:p w14:paraId="67BD324B">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4.如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是个体工商户，提供有效的“个体工商户营业执照”；</w:t>
      </w:r>
    </w:p>
    <w:p w14:paraId="5719D304">
      <w:pPr>
        <w:adjustRightInd w:val="0"/>
        <w:snapToGrid w:val="0"/>
        <w:spacing w:line="360" w:lineRule="auto"/>
        <w:rPr>
          <w:rFonts w:ascii="仿宋" w:hAnsi="仿宋" w:eastAsia="仿宋" w:cs="仿宋"/>
          <w:bCs/>
          <w:color w:val="auto"/>
          <w:spacing w:val="-6"/>
          <w:szCs w:val="21"/>
          <w:highlight w:val="none"/>
        </w:rPr>
      </w:pPr>
      <w:r>
        <w:rPr>
          <w:rFonts w:hint="eastAsia" w:ascii="仿宋" w:hAnsi="仿宋" w:eastAsia="仿宋" w:cs="仿宋"/>
          <w:b/>
          <w:bCs/>
          <w:color w:val="auto"/>
          <w:sz w:val="18"/>
          <w:szCs w:val="18"/>
          <w:highlight w:val="none"/>
        </w:rPr>
        <w:t>5.如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是自然人，提供有效的自然人身份证明。</w:t>
      </w:r>
    </w:p>
    <w:p w14:paraId="0CC5DFBA">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Cs/>
          <w:color w:val="auto"/>
          <w:spacing w:val="-6"/>
          <w:szCs w:val="21"/>
          <w:highlight w:val="none"/>
        </w:rPr>
        <w:br w:type="page"/>
      </w:r>
    </w:p>
    <w:p w14:paraId="495EC7ED">
      <w:pPr>
        <w:adjustRightInd w:val="0"/>
        <w:snapToGrid w:val="0"/>
        <w:spacing w:line="360" w:lineRule="auto"/>
        <w:jc w:val="center"/>
        <w:outlineLvl w:val="2"/>
        <w:rPr>
          <w:rFonts w:ascii="仿宋" w:hAnsi="仿宋" w:eastAsia="仿宋" w:cs="仿宋"/>
          <w:b/>
          <w:bCs/>
          <w:color w:val="auto"/>
          <w:spacing w:val="-6"/>
          <w:sz w:val="24"/>
          <w:szCs w:val="24"/>
          <w:highlight w:val="none"/>
        </w:rPr>
      </w:pPr>
      <w:r>
        <w:rPr>
          <w:rFonts w:hint="eastAsia" w:ascii="仿宋" w:hAnsi="仿宋" w:eastAsia="仿宋" w:cs="仿宋"/>
          <w:b/>
          <w:bCs/>
          <w:color w:val="auto"/>
          <w:sz w:val="24"/>
          <w:szCs w:val="24"/>
          <w:highlight w:val="none"/>
        </w:rPr>
        <w:t>符合参加政府采购活动应当具备的一般条件的承诺函</w:t>
      </w:r>
    </w:p>
    <w:p w14:paraId="02CA0A1C">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（联合体投标的，联合体各方均需提供）</w:t>
      </w:r>
    </w:p>
    <w:p w14:paraId="49422EDE">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Cs w:val="21"/>
          <w:highlight w:val="none"/>
        </w:rPr>
        <w:t>致：浙江工业大学、浙江求是招标代理有限公司</w:t>
      </w:r>
    </w:p>
    <w:p w14:paraId="41DA27B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（投标人名称）参加</w:t>
      </w:r>
      <w:r>
        <w:rPr>
          <w:rFonts w:hint="eastAsia" w:ascii="仿宋" w:hAnsi="仿宋" w:eastAsia="仿宋" w:cs="仿宋"/>
          <w:color w:val="auto"/>
          <w:spacing w:val="-6"/>
          <w:szCs w:val="21"/>
          <w:highlight w:val="none"/>
          <w:lang w:eastAsia="zh-CN"/>
        </w:rPr>
        <w:t>浙江工业大学能碳管理显示系统</w:t>
      </w:r>
      <w:r>
        <w:rPr>
          <w:rFonts w:hint="eastAsia" w:ascii="仿宋" w:hAnsi="仿宋" w:eastAsia="仿宋" w:cs="仿宋"/>
          <w:color w:val="auto"/>
          <w:spacing w:val="-6"/>
          <w:szCs w:val="21"/>
          <w:highlight w:val="none"/>
        </w:rPr>
        <w:t>的采购活动并承诺如下：</w:t>
      </w:r>
    </w:p>
    <w:p w14:paraId="77DB257F">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一、我方满足《中华人民共和国政府采购法》第二十二条规定：</w:t>
      </w:r>
    </w:p>
    <w:p w14:paraId="5AC4851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（一）具有独立承担民事责任的能力；</w:t>
      </w:r>
    </w:p>
    <w:p w14:paraId="285C0B0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（二）具有良好的商业信誉和健全的财务会计制度；</w:t>
      </w:r>
    </w:p>
    <w:p w14:paraId="56F7348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（三）具有履行合同所必需的设备和专业技术能力；</w:t>
      </w:r>
    </w:p>
    <w:p w14:paraId="1FA0F89D">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（四）有依法缴纳税收和社会保障资金的良好记录；</w:t>
      </w:r>
    </w:p>
    <w:p w14:paraId="635C7A3E">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（五）参加本项目政府采购活动前三年内，在经营活动中</w:t>
      </w:r>
      <w:r>
        <w:rPr>
          <w:rFonts w:hint="eastAsia" w:ascii="仿宋" w:hAnsi="仿宋" w:eastAsia="仿宋" w:cs="仿宋"/>
          <w:b/>
          <w:color w:val="auto"/>
          <w:spacing w:val="-6"/>
          <w:szCs w:val="21"/>
          <w:highlight w:val="none"/>
          <w:u w:val="single"/>
        </w:rPr>
        <w:t xml:space="preserve">     </w:t>
      </w:r>
      <w:r>
        <w:rPr>
          <w:rFonts w:hint="eastAsia" w:ascii="仿宋" w:hAnsi="仿宋" w:eastAsia="仿宋" w:cs="仿宋"/>
          <w:b/>
          <w:color w:val="auto"/>
          <w:spacing w:val="-6"/>
          <w:szCs w:val="21"/>
          <w:highlight w:val="none"/>
        </w:rPr>
        <w:t>（填写“有”或“没有”）</w:t>
      </w:r>
      <w:r>
        <w:rPr>
          <w:rFonts w:hint="eastAsia" w:ascii="仿宋" w:hAnsi="仿宋" w:eastAsia="仿宋" w:cs="仿宋"/>
          <w:color w:val="auto"/>
          <w:spacing w:val="-6"/>
          <w:szCs w:val="21"/>
          <w:highlight w:val="none"/>
        </w:rPr>
        <w:t>重大违法记录（重大违法记录是指投标人因违法经营受到刑事处罚或者责令停产停业、吊销许可证或者执照、较大数额罚款等行政处罚）。</w:t>
      </w:r>
    </w:p>
    <w:p w14:paraId="736CDCEA">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（六）法律、行政法规规定的其他条件。</w:t>
      </w:r>
    </w:p>
    <w:p w14:paraId="20B1B068">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二、未被信用中国（www.creditchina.gov.cn)、中国政府采购网（www.ccgp.gov.cn）列入失信被执行人、重大税收违法案件当事人名单、政府采购严重违法失信行为记录名单。</w:t>
      </w:r>
    </w:p>
    <w:p w14:paraId="6A4A90EB">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三、不存在以下情况：</w:t>
      </w:r>
    </w:p>
    <w:p w14:paraId="448D498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1.单位负责人为同一人或者存在直接控股、管理关系的不同供应商参加同一合同项下的政府采购活动的；</w:t>
      </w:r>
    </w:p>
    <w:p w14:paraId="4B5E1410">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2.为采购项目提供整体设计、规范编制或者项目管理、监理、检测等服务后再参加该采购项目的其他采购活动的。</w:t>
      </w:r>
    </w:p>
    <w:p w14:paraId="0FF2D76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四、以上事项如有虚假或隐瞒，我方愿意承担一切后果和责任。</w:t>
      </w:r>
    </w:p>
    <w:p w14:paraId="4C29A798">
      <w:pPr>
        <w:adjustRightInd w:val="0"/>
        <w:snapToGrid w:val="0"/>
        <w:spacing w:line="360" w:lineRule="auto"/>
        <w:rPr>
          <w:rFonts w:ascii="仿宋" w:hAnsi="仿宋" w:eastAsia="仿宋" w:cs="仿宋"/>
          <w:color w:val="auto"/>
          <w:szCs w:val="21"/>
          <w:highlight w:val="none"/>
        </w:rPr>
      </w:pPr>
    </w:p>
    <w:p w14:paraId="13C37B34">
      <w:pPr>
        <w:adjustRightInd w:val="0"/>
        <w:snapToGrid w:val="0"/>
        <w:spacing w:line="360" w:lineRule="auto"/>
        <w:rPr>
          <w:rFonts w:ascii="仿宋" w:hAnsi="仿宋" w:eastAsia="仿宋" w:cs="仿宋"/>
          <w:b/>
          <w:bCs/>
          <w:color w:val="auto"/>
          <w:spacing w:val="-6"/>
          <w:szCs w:val="21"/>
          <w:highlight w:val="none"/>
        </w:rPr>
      </w:pPr>
    </w:p>
    <w:p w14:paraId="6E6D6214">
      <w:pPr>
        <w:adjustRightInd w:val="0"/>
        <w:snapToGrid w:val="0"/>
        <w:spacing w:line="360" w:lineRule="auto"/>
        <w:rPr>
          <w:rFonts w:ascii="仿宋" w:hAnsi="仿宋" w:eastAsia="仿宋" w:cs="仿宋"/>
          <w:b/>
          <w:bCs/>
          <w:color w:val="auto"/>
          <w:spacing w:val="-6"/>
          <w:szCs w:val="21"/>
          <w:highlight w:val="none"/>
        </w:rPr>
      </w:pPr>
    </w:p>
    <w:p w14:paraId="776092CE">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1D3A9E6D">
      <w:pPr>
        <w:adjustRightInd w:val="0"/>
        <w:snapToGrid w:val="0"/>
        <w:spacing w:line="360" w:lineRule="auto"/>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7296AF0C">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10D81DEB">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联合协议</w:t>
      </w:r>
    </w:p>
    <w:p w14:paraId="13793908">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（若联合体投标）</w:t>
      </w:r>
    </w:p>
    <w:p w14:paraId="227B796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 w:val="18"/>
          <w:szCs w:val="18"/>
          <w:highlight w:val="none"/>
          <w:lang w:val="en-US" w:eastAsia="zh-CN"/>
        </w:rPr>
      </w:pPr>
    </w:p>
    <w:p w14:paraId="70CD0B5F">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default"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说明：格式见附件2</w:t>
      </w:r>
    </w:p>
    <w:p w14:paraId="0B804B8E">
      <w:pPr>
        <w:ind w:left="0" w:leftChars="0" w:right="0" w:rightChars="0" w:firstLine="0" w:firstLineChars="0"/>
        <w:jc w:val="center"/>
        <w:rPr>
          <w:rFonts w:hint="eastAsia" w:ascii="仿宋" w:hAnsi="仿宋" w:eastAsia="仿宋" w:cs="仿宋"/>
          <w:b/>
          <w:color w:val="auto"/>
          <w:spacing w:val="-6"/>
          <w:szCs w:val="21"/>
          <w:highlight w:val="none"/>
          <w:lang w:val="en-US" w:eastAsia="zh-CN"/>
        </w:rPr>
      </w:pPr>
      <w:r>
        <w:rPr>
          <w:rFonts w:hint="eastAsia" w:ascii="仿宋" w:hAnsi="仿宋" w:eastAsia="仿宋" w:cs="仿宋"/>
          <w:b/>
          <w:color w:val="auto"/>
          <w:spacing w:val="-6"/>
          <w:szCs w:val="21"/>
          <w:highlight w:val="none"/>
          <w:lang w:val="en-US" w:eastAsia="zh-CN"/>
        </w:rPr>
        <w:br w:type="page"/>
      </w:r>
    </w:p>
    <w:p w14:paraId="27B13F08">
      <w:pPr>
        <w:adjustRightInd w:val="0"/>
        <w:snapToGrid w:val="0"/>
        <w:spacing w:line="288" w:lineRule="auto"/>
        <w:jc w:val="center"/>
        <w:rPr>
          <w:rFonts w:ascii="仿宋" w:hAnsi="仿宋" w:eastAsia="仿宋" w:cs="仿宋"/>
          <w:b/>
          <w:bCs/>
          <w:color w:val="auto"/>
          <w:sz w:val="84"/>
          <w:szCs w:val="84"/>
          <w:highlight w:val="none"/>
        </w:rPr>
      </w:pPr>
    </w:p>
    <w:p w14:paraId="50A18D59">
      <w:pPr>
        <w:adjustRightInd w:val="0"/>
        <w:snapToGrid w:val="0"/>
        <w:spacing w:line="288" w:lineRule="auto"/>
        <w:jc w:val="center"/>
        <w:rPr>
          <w:rFonts w:ascii="仿宋" w:hAnsi="仿宋" w:eastAsia="仿宋" w:cs="仿宋"/>
          <w:b/>
          <w:bCs/>
          <w:color w:val="auto"/>
          <w:sz w:val="84"/>
          <w:szCs w:val="84"/>
          <w:highlight w:val="none"/>
        </w:rPr>
      </w:pPr>
    </w:p>
    <w:p w14:paraId="43232E35">
      <w:pPr>
        <w:adjustRightInd w:val="0"/>
        <w:snapToGrid w:val="0"/>
        <w:spacing w:line="288" w:lineRule="auto"/>
        <w:jc w:val="center"/>
        <w:rPr>
          <w:rFonts w:ascii="仿宋" w:hAnsi="仿宋" w:eastAsia="仿宋" w:cs="仿宋"/>
          <w:b/>
          <w:bCs/>
          <w:color w:val="auto"/>
          <w:sz w:val="84"/>
          <w:szCs w:val="84"/>
          <w:highlight w:val="none"/>
        </w:rPr>
      </w:pPr>
    </w:p>
    <w:p w14:paraId="3CF0A129">
      <w:pPr>
        <w:adjustRightInd w:val="0"/>
        <w:snapToGrid w:val="0"/>
        <w:spacing w:line="288" w:lineRule="auto"/>
        <w:jc w:val="center"/>
        <w:rPr>
          <w:rFonts w:ascii="仿宋" w:hAnsi="仿宋" w:eastAsia="仿宋" w:cs="仿宋"/>
          <w:b/>
          <w:bCs/>
          <w:color w:val="auto"/>
          <w:sz w:val="84"/>
          <w:szCs w:val="84"/>
          <w:highlight w:val="none"/>
        </w:rPr>
      </w:pPr>
    </w:p>
    <w:p w14:paraId="7C0C781C">
      <w:pPr>
        <w:overflowPunct w:val="0"/>
        <w:adjustRightInd w:val="0"/>
        <w:snapToGrid w:val="0"/>
        <w:spacing w:line="288" w:lineRule="auto"/>
        <w:jc w:val="center"/>
        <w:outlineLvl w:val="1"/>
        <w:rPr>
          <w:rFonts w:ascii="仿宋" w:hAnsi="仿宋" w:eastAsia="仿宋" w:cs="仿宋"/>
          <w:bCs/>
          <w:color w:val="auto"/>
          <w:spacing w:val="-6"/>
          <w:sz w:val="84"/>
          <w:szCs w:val="84"/>
          <w:highlight w:val="none"/>
        </w:rPr>
      </w:pPr>
      <w:r>
        <w:rPr>
          <w:rFonts w:hint="eastAsia" w:ascii="仿宋" w:hAnsi="仿宋" w:eastAsia="仿宋" w:cs="仿宋"/>
          <w:b/>
          <w:bCs/>
          <w:color w:val="auto"/>
          <w:sz w:val="84"/>
          <w:szCs w:val="84"/>
          <w:highlight w:val="none"/>
        </w:rPr>
        <w:t>商务和技术文件</w:t>
      </w:r>
    </w:p>
    <w:p w14:paraId="176987E0">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144CD2F">
      <w:pPr>
        <w:adjustRightInd w:val="0"/>
        <w:snapToGrid w:val="0"/>
        <w:spacing w:line="360" w:lineRule="auto"/>
        <w:jc w:val="center"/>
        <w:outlineLvl w:val="2"/>
        <w:rPr>
          <w:rFonts w:ascii="仿宋" w:hAnsi="仿宋" w:eastAsia="仿宋" w:cs="仿宋"/>
          <w:color w:val="auto"/>
          <w:spacing w:val="-6"/>
          <w:sz w:val="24"/>
          <w:szCs w:val="24"/>
          <w:highlight w:val="none"/>
        </w:rPr>
      </w:pPr>
      <w:r>
        <w:rPr>
          <w:rFonts w:hint="eastAsia" w:ascii="仿宋" w:hAnsi="仿宋" w:eastAsia="仿宋" w:cs="仿宋"/>
          <w:b/>
          <w:bCs/>
          <w:color w:val="auto"/>
          <w:sz w:val="24"/>
          <w:szCs w:val="24"/>
          <w:highlight w:val="none"/>
        </w:rPr>
        <w:t>投标函</w:t>
      </w:r>
    </w:p>
    <w:p w14:paraId="0C22658C">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Cs w:val="21"/>
          <w:highlight w:val="none"/>
        </w:rPr>
        <w:t>致：浙江工业大学、浙江求是招标代理有限公司</w:t>
      </w:r>
    </w:p>
    <w:p w14:paraId="308C01BB">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我方参加</w:t>
      </w:r>
      <w:r>
        <w:rPr>
          <w:rFonts w:hint="eastAsia" w:ascii="仿宋" w:hAnsi="仿宋" w:eastAsia="仿宋" w:cs="仿宋"/>
          <w:bCs/>
          <w:color w:val="auto"/>
          <w:spacing w:val="-6"/>
          <w:szCs w:val="21"/>
          <w:highlight w:val="none"/>
          <w:lang w:eastAsia="zh-CN"/>
        </w:rPr>
        <w:t>浙江工业大学能碳管理显示系统</w:t>
      </w:r>
      <w:r>
        <w:rPr>
          <w:rFonts w:hint="eastAsia" w:ascii="仿宋" w:hAnsi="仿宋" w:eastAsia="仿宋" w:cs="仿宋"/>
          <w:bCs/>
          <w:color w:val="auto"/>
          <w:spacing w:val="-6"/>
          <w:szCs w:val="21"/>
          <w:highlight w:val="none"/>
          <w:lang w:val="en-US" w:eastAsia="zh-CN"/>
        </w:rPr>
        <w:t>项目</w:t>
      </w:r>
      <w:r>
        <w:rPr>
          <w:rFonts w:hint="eastAsia" w:ascii="仿宋" w:hAnsi="仿宋" w:eastAsia="仿宋" w:cs="仿宋"/>
          <w:bCs/>
          <w:color w:val="auto"/>
          <w:spacing w:val="-6"/>
          <w:szCs w:val="21"/>
          <w:highlight w:val="none"/>
          <w:lang w:eastAsia="zh-CN"/>
        </w:rPr>
        <w:t>[</w:t>
      </w:r>
      <w:r>
        <w:rPr>
          <w:rFonts w:hint="eastAsia" w:ascii="仿宋" w:hAnsi="仿宋" w:eastAsia="仿宋" w:cs="仿宋"/>
          <w:color w:val="auto"/>
          <w:spacing w:val="-6"/>
          <w:szCs w:val="21"/>
          <w:highlight w:val="none"/>
        </w:rPr>
        <w:t>项目编号</w:t>
      </w:r>
      <w:r>
        <w:rPr>
          <w:rFonts w:hint="eastAsia" w:ascii="仿宋" w:hAnsi="仿宋" w:eastAsia="仿宋" w:cs="仿宋"/>
          <w:bCs/>
          <w:color w:val="auto"/>
          <w:spacing w:val="-6"/>
          <w:szCs w:val="21"/>
          <w:highlight w:val="none"/>
        </w:rPr>
        <w:t>：</w:t>
      </w:r>
      <w:r>
        <w:rPr>
          <w:rFonts w:hint="eastAsia" w:ascii="仿宋" w:hAnsi="仿宋" w:eastAsia="仿宋" w:cs="仿宋"/>
          <w:bCs/>
          <w:color w:val="auto"/>
          <w:spacing w:val="-6"/>
          <w:szCs w:val="21"/>
          <w:highlight w:val="none"/>
          <w:lang w:eastAsia="zh-CN"/>
        </w:rPr>
        <w:t>QSZB-Z(H)-H25019(GK)]</w:t>
      </w:r>
      <w:r>
        <w:rPr>
          <w:rFonts w:hint="eastAsia" w:ascii="仿宋" w:hAnsi="仿宋" w:eastAsia="仿宋" w:cs="仿宋"/>
          <w:color w:val="auto"/>
          <w:spacing w:val="-6"/>
          <w:szCs w:val="21"/>
          <w:highlight w:val="none"/>
        </w:rPr>
        <w:t>，为此，我方提交电子加密投标文件一份、以介质（U盘）存储的数据电文形式的备份投标文件一份。宣布同意如下：</w:t>
      </w:r>
    </w:p>
    <w:p w14:paraId="3E7C89A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1.我方已详细审查全部“招标文件”，包括修改文件（如有）以及全部参考资料和有关附件，已经了解我方对于招标文件、招标过程、中标结果有依法进行询问、质疑、投诉的权利及相关渠道和要求。</w:t>
      </w:r>
    </w:p>
    <w:p w14:paraId="00889C4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2.我方在投标之前已经与贵方进行了充分的沟通，完全理解并接受招标文件的各项规定和要求，对招标文件的合理性、合法性不再有异议。</w:t>
      </w:r>
    </w:p>
    <w:p w14:paraId="55A0E4D7">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3.投标有效期自提交投标文件的截止之日起</w:t>
      </w:r>
      <w:r>
        <w:rPr>
          <w:rFonts w:hint="eastAsia" w:ascii="仿宋" w:hAnsi="仿宋" w:eastAsia="仿宋" w:cs="仿宋"/>
          <w:b/>
          <w:color w:val="auto"/>
          <w:spacing w:val="-6"/>
          <w:szCs w:val="21"/>
          <w:highlight w:val="none"/>
          <w:u w:val="single"/>
        </w:rPr>
        <w:t xml:space="preserve"> 90 </w:t>
      </w:r>
      <w:r>
        <w:rPr>
          <w:rFonts w:hint="eastAsia" w:ascii="仿宋" w:hAnsi="仿宋" w:eastAsia="仿宋" w:cs="仿宋"/>
          <w:color w:val="auto"/>
          <w:spacing w:val="-6"/>
          <w:szCs w:val="21"/>
          <w:highlight w:val="none"/>
        </w:rPr>
        <w:t>天。</w:t>
      </w:r>
    </w:p>
    <w:p w14:paraId="1D89E95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4.如中标，本投标文件至本项目合同履行完毕止均保持有效，我方将按“招标文件”及政府采购法律、法规的规定履行合同责任和义务。关于代理服务费，我方承诺按照招标文件的规定履行并承担相应的责任。</w:t>
      </w:r>
    </w:p>
    <w:p w14:paraId="36F1667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5.我方同意按照贵方要求提供与投标有关的一切数据或资料。</w:t>
      </w:r>
    </w:p>
    <w:p w14:paraId="23D5FE67">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6.与本投标有关的一切正式往来信函联系：</w:t>
      </w:r>
    </w:p>
    <w:tbl>
      <w:tblPr>
        <w:tblStyle w:val="25"/>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8"/>
        <w:gridCol w:w="7340"/>
      </w:tblGrid>
      <w:tr w14:paraId="54F8C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0C2E650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联系人</w:t>
            </w:r>
          </w:p>
        </w:tc>
        <w:tc>
          <w:tcPr>
            <w:tcW w:w="7340" w:type="dxa"/>
            <w:vAlign w:val="center"/>
          </w:tcPr>
          <w:p w14:paraId="799667B3">
            <w:pPr>
              <w:jc w:val="center"/>
              <w:rPr>
                <w:rFonts w:ascii="仿宋" w:hAnsi="仿宋" w:eastAsia="仿宋" w:cs="仿宋"/>
                <w:color w:val="auto"/>
                <w:szCs w:val="21"/>
                <w:highlight w:val="none"/>
              </w:rPr>
            </w:pPr>
          </w:p>
        </w:tc>
      </w:tr>
      <w:tr w14:paraId="5D025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5F2D797B">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职务</w:t>
            </w:r>
          </w:p>
        </w:tc>
        <w:tc>
          <w:tcPr>
            <w:tcW w:w="7340" w:type="dxa"/>
            <w:vAlign w:val="center"/>
          </w:tcPr>
          <w:p w14:paraId="1EAF61AF">
            <w:pPr>
              <w:jc w:val="center"/>
              <w:rPr>
                <w:rFonts w:ascii="仿宋" w:hAnsi="仿宋" w:eastAsia="仿宋" w:cs="仿宋"/>
                <w:color w:val="auto"/>
                <w:szCs w:val="21"/>
                <w:highlight w:val="none"/>
              </w:rPr>
            </w:pPr>
          </w:p>
        </w:tc>
      </w:tr>
      <w:tr w14:paraId="16614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7865DF5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手机</w:t>
            </w:r>
          </w:p>
        </w:tc>
        <w:tc>
          <w:tcPr>
            <w:tcW w:w="7340" w:type="dxa"/>
            <w:vAlign w:val="center"/>
          </w:tcPr>
          <w:p w14:paraId="4C41B97F">
            <w:pPr>
              <w:jc w:val="center"/>
              <w:rPr>
                <w:rFonts w:ascii="仿宋" w:hAnsi="仿宋" w:eastAsia="仿宋" w:cs="仿宋"/>
                <w:color w:val="auto"/>
                <w:szCs w:val="21"/>
                <w:highlight w:val="none"/>
              </w:rPr>
            </w:pPr>
          </w:p>
        </w:tc>
      </w:tr>
      <w:tr w14:paraId="7C054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691E99ED">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7340" w:type="dxa"/>
            <w:vAlign w:val="center"/>
          </w:tcPr>
          <w:p w14:paraId="21C28249">
            <w:pPr>
              <w:jc w:val="center"/>
              <w:rPr>
                <w:rFonts w:ascii="仿宋" w:hAnsi="仿宋" w:eastAsia="仿宋" w:cs="仿宋"/>
                <w:color w:val="auto"/>
                <w:szCs w:val="21"/>
                <w:highlight w:val="none"/>
              </w:rPr>
            </w:pPr>
          </w:p>
        </w:tc>
      </w:tr>
      <w:tr w14:paraId="76FC6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447158D0">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地址</w:t>
            </w:r>
          </w:p>
        </w:tc>
        <w:tc>
          <w:tcPr>
            <w:tcW w:w="7340" w:type="dxa"/>
            <w:vAlign w:val="center"/>
          </w:tcPr>
          <w:p w14:paraId="4C3F8CC2">
            <w:pPr>
              <w:jc w:val="center"/>
              <w:rPr>
                <w:rFonts w:ascii="仿宋" w:hAnsi="仿宋" w:eastAsia="仿宋" w:cs="仿宋"/>
                <w:color w:val="auto"/>
                <w:szCs w:val="21"/>
                <w:highlight w:val="none"/>
              </w:rPr>
            </w:pPr>
          </w:p>
        </w:tc>
      </w:tr>
      <w:tr w14:paraId="60579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0E3C481E">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开户银行</w:t>
            </w:r>
          </w:p>
        </w:tc>
        <w:tc>
          <w:tcPr>
            <w:tcW w:w="7340" w:type="dxa"/>
            <w:vAlign w:val="center"/>
          </w:tcPr>
          <w:p w14:paraId="5E783983">
            <w:pPr>
              <w:jc w:val="center"/>
              <w:rPr>
                <w:rFonts w:ascii="仿宋" w:hAnsi="仿宋" w:eastAsia="仿宋" w:cs="仿宋"/>
                <w:color w:val="auto"/>
                <w:szCs w:val="21"/>
                <w:highlight w:val="none"/>
              </w:rPr>
            </w:pPr>
          </w:p>
        </w:tc>
      </w:tr>
      <w:tr w14:paraId="7D2DF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382B3EF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银行账号</w:t>
            </w:r>
          </w:p>
        </w:tc>
        <w:tc>
          <w:tcPr>
            <w:tcW w:w="7340" w:type="dxa"/>
            <w:vAlign w:val="center"/>
          </w:tcPr>
          <w:p w14:paraId="1D1EE9BF">
            <w:pPr>
              <w:jc w:val="center"/>
              <w:rPr>
                <w:rFonts w:ascii="仿宋" w:hAnsi="仿宋" w:eastAsia="仿宋" w:cs="仿宋"/>
                <w:color w:val="auto"/>
                <w:szCs w:val="21"/>
                <w:highlight w:val="none"/>
              </w:rPr>
            </w:pPr>
          </w:p>
        </w:tc>
      </w:tr>
    </w:tbl>
    <w:p w14:paraId="78BE5762">
      <w:pPr>
        <w:adjustRightInd w:val="0"/>
        <w:snapToGrid w:val="0"/>
        <w:spacing w:line="360" w:lineRule="auto"/>
        <w:rPr>
          <w:rFonts w:ascii="仿宋" w:hAnsi="仿宋" w:eastAsia="仿宋" w:cs="仿宋"/>
          <w:color w:val="auto"/>
          <w:spacing w:val="-6"/>
          <w:szCs w:val="21"/>
          <w:highlight w:val="none"/>
        </w:rPr>
      </w:pPr>
    </w:p>
    <w:p w14:paraId="69EFDC21">
      <w:pPr>
        <w:adjustRightInd w:val="0"/>
        <w:snapToGrid w:val="0"/>
        <w:spacing w:line="360" w:lineRule="auto"/>
        <w:rPr>
          <w:rFonts w:ascii="仿宋" w:hAnsi="仿宋" w:eastAsia="仿宋" w:cs="仿宋"/>
          <w:color w:val="auto"/>
          <w:spacing w:val="-6"/>
          <w:szCs w:val="21"/>
          <w:highlight w:val="none"/>
        </w:rPr>
      </w:pPr>
    </w:p>
    <w:p w14:paraId="3A4923D5">
      <w:pPr>
        <w:adjustRightInd w:val="0"/>
        <w:snapToGrid w:val="0"/>
        <w:spacing w:line="360" w:lineRule="auto"/>
        <w:rPr>
          <w:rFonts w:ascii="仿宋" w:hAnsi="仿宋" w:eastAsia="仿宋" w:cs="仿宋"/>
          <w:b/>
          <w:bCs/>
          <w:color w:val="auto"/>
          <w:spacing w:val="-6"/>
          <w:szCs w:val="21"/>
          <w:highlight w:val="none"/>
        </w:rPr>
      </w:pPr>
    </w:p>
    <w:p w14:paraId="0ECAF1DA">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0C58C30C">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7D9285F1">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0F74FF81">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法定代表人（单位负责人、自然人本人）身份证明</w:t>
      </w:r>
    </w:p>
    <w:p w14:paraId="40E0ADA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适用于法定代表人（单位负责人、自然人本人）</w:t>
      </w:r>
      <w:r>
        <w:rPr>
          <w:rFonts w:hint="eastAsia" w:ascii="仿宋" w:hAnsi="仿宋" w:eastAsia="仿宋" w:cs="仿宋"/>
          <w:b/>
          <w:bCs/>
          <w:color w:val="auto"/>
          <w:spacing w:val="-6"/>
          <w:sz w:val="18"/>
          <w:szCs w:val="18"/>
          <w:highlight w:val="none"/>
        </w:rPr>
        <w:t>代表投标人参加投标</w:t>
      </w:r>
      <w:r>
        <w:rPr>
          <w:rFonts w:hint="eastAsia" w:ascii="仿宋" w:hAnsi="仿宋" w:eastAsia="仿宋" w:cs="仿宋"/>
          <w:b/>
          <w:bCs/>
          <w:color w:val="auto"/>
          <w:spacing w:val="-6"/>
          <w:sz w:val="18"/>
          <w:szCs w:val="18"/>
          <w:highlight w:val="none"/>
          <w:lang w:eastAsia="zh-CN"/>
        </w:rPr>
        <w:t>]</w:t>
      </w:r>
    </w:p>
    <w:p w14:paraId="7DB19A2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身份证件复印件</w:t>
      </w:r>
    </w:p>
    <w:tbl>
      <w:tblPr>
        <w:tblStyle w:val="111"/>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4"/>
        <w:gridCol w:w="4814"/>
      </w:tblGrid>
      <w:tr w14:paraId="3455C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814" w:type="dxa"/>
          </w:tcPr>
          <w:p w14:paraId="05485861">
            <w:pPr>
              <w:adjustRightInd w:val="0"/>
              <w:snapToGrid w:val="0"/>
              <w:spacing w:line="288"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正面：</w:t>
            </w:r>
          </w:p>
        </w:tc>
        <w:tc>
          <w:tcPr>
            <w:tcW w:w="4814" w:type="dxa"/>
          </w:tcPr>
          <w:p w14:paraId="1D7AF808">
            <w:pPr>
              <w:adjustRightInd w:val="0"/>
              <w:snapToGrid w:val="0"/>
              <w:spacing w:line="288"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反面：</w:t>
            </w:r>
          </w:p>
        </w:tc>
      </w:tr>
    </w:tbl>
    <w:p w14:paraId="711AC6D7">
      <w:pP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br w:type="page"/>
      </w:r>
    </w:p>
    <w:p w14:paraId="05B06CE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授权委托书</w:t>
      </w:r>
    </w:p>
    <w:p w14:paraId="4BCC76EE">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bCs/>
          <w:color w:val="auto"/>
          <w:spacing w:val="-6"/>
          <w:sz w:val="18"/>
          <w:szCs w:val="18"/>
          <w:highlight w:val="none"/>
          <w:lang w:eastAsia="zh-CN"/>
        </w:rPr>
      </w:pP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适用于投标人代表不是法定代表人（单位负责人、自然人本人）</w:t>
      </w:r>
      <w:r>
        <w:rPr>
          <w:rFonts w:hint="eastAsia" w:ascii="仿宋" w:hAnsi="仿宋" w:eastAsia="仿宋" w:cs="仿宋"/>
          <w:b/>
          <w:bCs/>
          <w:color w:val="auto"/>
          <w:spacing w:val="-6"/>
          <w:sz w:val="18"/>
          <w:szCs w:val="18"/>
          <w:highlight w:val="none"/>
        </w:rPr>
        <w:t>代表投标人参加投标</w:t>
      </w:r>
      <w:r>
        <w:rPr>
          <w:rFonts w:hint="eastAsia" w:ascii="仿宋" w:hAnsi="仿宋" w:eastAsia="仿宋" w:cs="仿宋"/>
          <w:b/>
          <w:bCs/>
          <w:color w:val="auto"/>
          <w:spacing w:val="-6"/>
          <w:sz w:val="18"/>
          <w:szCs w:val="18"/>
          <w:highlight w:val="none"/>
          <w:lang w:eastAsia="zh-CN"/>
        </w:rPr>
        <w:t>]</w:t>
      </w:r>
    </w:p>
    <w:p w14:paraId="57F4609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致：</w:t>
      </w:r>
      <w:r>
        <w:rPr>
          <w:rFonts w:hint="eastAsia" w:ascii="仿宋" w:hAnsi="仿宋" w:eastAsia="仿宋" w:cs="仿宋"/>
          <w:b/>
          <w:color w:val="auto"/>
          <w:spacing w:val="-6"/>
          <w:szCs w:val="21"/>
          <w:highlight w:val="none"/>
          <w:lang w:eastAsia="zh-CN"/>
        </w:rPr>
        <w:t>浙江工业大学</w:t>
      </w:r>
      <w:r>
        <w:rPr>
          <w:rFonts w:hint="eastAsia" w:ascii="仿宋" w:hAnsi="仿宋" w:eastAsia="仿宋" w:cs="仿宋"/>
          <w:b/>
          <w:color w:val="auto"/>
          <w:spacing w:val="-6"/>
          <w:szCs w:val="21"/>
          <w:highlight w:val="none"/>
        </w:rPr>
        <w:t>、浙江求是招标代理有限公司</w:t>
      </w:r>
    </w:p>
    <w:p w14:paraId="4646A8DC">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现授权委托：</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（授权代表姓名）（身份证号码：</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，手机：</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）以我方的名义参加</w:t>
      </w:r>
      <w:r>
        <w:rPr>
          <w:rFonts w:hint="eastAsia" w:ascii="仿宋" w:hAnsi="仿宋" w:eastAsia="仿宋" w:cs="仿宋"/>
          <w:bCs/>
          <w:color w:val="auto"/>
          <w:spacing w:val="-6"/>
          <w:szCs w:val="21"/>
          <w:highlight w:val="none"/>
          <w:lang w:eastAsia="zh-CN"/>
        </w:rPr>
        <w:t>浙江工业大学能碳管理显示系统</w:t>
      </w:r>
      <w:r>
        <w:rPr>
          <w:rFonts w:hint="eastAsia" w:ascii="仿宋" w:hAnsi="仿宋" w:eastAsia="仿宋" w:cs="仿宋"/>
          <w:bCs/>
          <w:color w:val="auto"/>
          <w:spacing w:val="-6"/>
          <w:szCs w:val="21"/>
          <w:highlight w:val="none"/>
          <w:lang w:val="en-US" w:eastAsia="zh-CN"/>
        </w:rPr>
        <w:t>项目</w:t>
      </w:r>
      <w:r>
        <w:rPr>
          <w:rFonts w:hint="eastAsia" w:ascii="仿宋" w:hAnsi="仿宋" w:eastAsia="仿宋" w:cs="仿宋"/>
          <w:bCs/>
          <w:color w:val="auto"/>
          <w:spacing w:val="-6"/>
          <w:szCs w:val="21"/>
          <w:highlight w:val="none"/>
          <w:lang w:eastAsia="zh-CN"/>
        </w:rPr>
        <w:t>[</w:t>
      </w:r>
      <w:r>
        <w:rPr>
          <w:rFonts w:hint="eastAsia" w:ascii="仿宋" w:hAnsi="仿宋" w:eastAsia="仿宋" w:cs="仿宋"/>
          <w:color w:val="auto"/>
          <w:spacing w:val="-6"/>
          <w:szCs w:val="21"/>
          <w:highlight w:val="none"/>
        </w:rPr>
        <w:t>项目编号</w:t>
      </w:r>
      <w:r>
        <w:rPr>
          <w:rFonts w:hint="eastAsia" w:ascii="仿宋" w:hAnsi="仿宋" w:eastAsia="仿宋" w:cs="仿宋"/>
          <w:bCs/>
          <w:color w:val="auto"/>
          <w:spacing w:val="-6"/>
          <w:szCs w:val="21"/>
          <w:highlight w:val="none"/>
        </w:rPr>
        <w:t>：</w:t>
      </w:r>
      <w:r>
        <w:rPr>
          <w:rFonts w:hint="eastAsia" w:ascii="仿宋" w:hAnsi="仿宋" w:eastAsia="仿宋" w:cs="仿宋"/>
          <w:bCs/>
          <w:color w:val="auto"/>
          <w:spacing w:val="-6"/>
          <w:szCs w:val="21"/>
          <w:highlight w:val="none"/>
          <w:lang w:eastAsia="zh-CN"/>
        </w:rPr>
        <w:t>QSZB-Z(H)-H25019(GK)]</w:t>
      </w:r>
      <w:r>
        <w:rPr>
          <w:rFonts w:hint="eastAsia" w:ascii="仿宋" w:hAnsi="仿宋" w:eastAsia="仿宋" w:cs="仿宋"/>
          <w:bCs/>
          <w:color w:val="auto"/>
          <w:spacing w:val="-6"/>
          <w:szCs w:val="21"/>
          <w:highlight w:val="none"/>
          <w:lang w:val="en-US" w:eastAsia="zh-CN"/>
        </w:rPr>
        <w:t>的</w:t>
      </w:r>
      <w:r>
        <w:rPr>
          <w:rFonts w:hint="eastAsia" w:ascii="仿宋" w:hAnsi="仿宋" w:eastAsia="仿宋" w:cs="仿宋"/>
          <w:color w:val="auto"/>
          <w:spacing w:val="-6"/>
          <w:szCs w:val="21"/>
          <w:highlight w:val="none"/>
        </w:rPr>
        <w:t>投标活动，并代表我方全权办理针对上述项目的投标、开标、评标、签约等具体事务和签署相关文件。</w:t>
      </w:r>
    </w:p>
    <w:p w14:paraId="27134B0D">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我方对被授权人的签名负全部责任。</w:t>
      </w:r>
    </w:p>
    <w:p w14:paraId="1AB8EB0E">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在撤销授权的书面通知以前，本授权书一直有效。被授权人在授权书有效期内签署的所有文件不因授权的撤销而失效。</w:t>
      </w:r>
    </w:p>
    <w:p w14:paraId="35779607">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ascii="仿宋" w:hAnsi="仿宋" w:eastAsia="仿宋" w:cs="仿宋"/>
          <w:b/>
          <w:bCs/>
          <w:color w:val="auto"/>
          <w:spacing w:val="-6"/>
          <w:szCs w:val="21"/>
          <w:highlight w:val="none"/>
        </w:rPr>
      </w:pPr>
      <w:r>
        <w:rPr>
          <w:rFonts w:hint="eastAsia" w:ascii="仿宋" w:hAnsi="仿宋" w:eastAsia="仿宋" w:cs="仿宋"/>
          <w:color w:val="auto"/>
          <w:spacing w:val="-6"/>
          <w:szCs w:val="21"/>
          <w:highlight w:val="none"/>
        </w:rPr>
        <w:t>被授权人无转委托权，特此告知。</w:t>
      </w:r>
    </w:p>
    <w:p w14:paraId="406879FA">
      <w:pPr>
        <w:adjustRightInd w:val="0"/>
        <w:snapToGrid w:val="0"/>
        <w:spacing w:line="360" w:lineRule="auto"/>
        <w:rPr>
          <w:rFonts w:ascii="仿宋" w:hAnsi="仿宋" w:eastAsia="仿宋" w:cs="仿宋"/>
          <w:color w:val="auto"/>
          <w:szCs w:val="21"/>
          <w:highlight w:val="none"/>
        </w:rPr>
      </w:pPr>
    </w:p>
    <w:p w14:paraId="1364594F">
      <w:pPr>
        <w:adjustRightInd w:val="0"/>
        <w:snapToGrid w:val="0"/>
        <w:spacing w:line="360" w:lineRule="auto"/>
        <w:rPr>
          <w:rFonts w:ascii="仿宋" w:hAnsi="仿宋" w:eastAsia="仿宋" w:cs="仿宋"/>
          <w:b/>
          <w:bCs/>
          <w:color w:val="auto"/>
          <w:spacing w:val="-6"/>
          <w:szCs w:val="21"/>
          <w:highlight w:val="none"/>
        </w:rPr>
      </w:pPr>
    </w:p>
    <w:p w14:paraId="2F4B8E0E">
      <w:pPr>
        <w:adjustRightInd w:val="0"/>
        <w:snapToGrid w:val="0"/>
        <w:spacing w:line="360" w:lineRule="auto"/>
        <w:rPr>
          <w:rFonts w:ascii="仿宋" w:hAnsi="仿宋" w:eastAsia="仿宋" w:cs="仿宋"/>
          <w:b/>
          <w:bCs/>
          <w:color w:val="auto"/>
          <w:spacing w:val="-6"/>
          <w:szCs w:val="21"/>
          <w:highlight w:val="none"/>
        </w:rPr>
      </w:pPr>
    </w:p>
    <w:p w14:paraId="2C47A7D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4D7A0DD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4390F7A8">
      <w:pPr>
        <w:ind w:left="0" w:leftChars="0" w:right="0" w:rightChars="0" w:firstLine="0" w:firstLineChars="0"/>
        <w:jc w:val="both"/>
        <w:rPr>
          <w:rFonts w:hint="eastAsia" w:ascii="仿宋" w:hAnsi="仿宋" w:eastAsia="仿宋" w:cs="仿宋"/>
          <w:b/>
          <w:bCs/>
          <w:color w:val="auto"/>
          <w:sz w:val="24"/>
          <w:szCs w:val="24"/>
          <w:highlight w:val="none"/>
        </w:rPr>
      </w:pPr>
    </w:p>
    <w:p w14:paraId="3C49D9D0">
      <w:pPr>
        <w:ind w:left="0" w:leftChars="0" w:right="0" w:rightChars="0" w:firstLine="0" w:firstLineChars="0"/>
        <w:jc w:val="both"/>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说明</w:t>
      </w:r>
      <w:r>
        <w:rPr>
          <w:rFonts w:hint="eastAsia" w:ascii="仿宋" w:hAnsi="仿宋" w:eastAsia="仿宋" w:cs="仿宋"/>
          <w:b/>
          <w:bCs/>
          <w:color w:val="auto"/>
          <w:sz w:val="18"/>
          <w:szCs w:val="18"/>
          <w:highlight w:val="none"/>
        </w:rPr>
        <w:t>：投标人是联合体的</w:t>
      </w:r>
      <w:r>
        <w:rPr>
          <w:rFonts w:hint="eastAsia" w:ascii="仿宋" w:hAnsi="仿宋" w:eastAsia="仿宋" w:cs="仿宋"/>
          <w:b/>
          <w:bCs/>
          <w:color w:val="auto"/>
          <w:sz w:val="18"/>
          <w:szCs w:val="18"/>
          <w:highlight w:val="none"/>
          <w:lang w:val="en-US" w:eastAsia="zh-CN"/>
        </w:rPr>
        <w:t>则</w:t>
      </w:r>
      <w:r>
        <w:rPr>
          <w:rFonts w:hint="eastAsia" w:ascii="仿宋" w:hAnsi="仿宋" w:eastAsia="仿宋" w:cs="仿宋"/>
          <w:b/>
          <w:bCs/>
          <w:color w:val="auto"/>
          <w:sz w:val="18"/>
          <w:szCs w:val="18"/>
          <w:highlight w:val="none"/>
        </w:rPr>
        <w:t>联合体各成员均应在“授权委托书”上盖章（电子签名/公章）</w:t>
      </w:r>
    </w:p>
    <w:p w14:paraId="1C887F3D">
      <w:pPr>
        <w:ind w:left="0" w:leftChars="0" w:right="0" w:rightChars="0" w:firstLine="0" w:firstLineChars="0"/>
        <w:jc w:val="both"/>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br w:type="page"/>
      </w:r>
    </w:p>
    <w:p w14:paraId="7C9AD84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3"/>
        <w:rPr>
          <w:rFonts w:ascii="仿宋" w:hAnsi="仿宋" w:eastAsia="仿宋" w:cs="仿宋"/>
          <w:bCs/>
          <w:color w:val="auto"/>
          <w:spacing w:val="-6"/>
          <w:szCs w:val="21"/>
          <w:highlight w:val="none"/>
        </w:rPr>
      </w:pPr>
      <w:r>
        <w:rPr>
          <w:rFonts w:hint="eastAsia" w:ascii="仿宋" w:hAnsi="仿宋" w:eastAsia="仿宋" w:cs="仿宋"/>
          <w:b/>
          <w:bCs/>
          <w:color w:val="auto"/>
          <w:sz w:val="24"/>
          <w:szCs w:val="24"/>
          <w:highlight w:val="none"/>
          <w:lang w:eastAsia="zh-CN"/>
        </w:rPr>
        <w:t>2025年1月（含）至今任意一月</w:t>
      </w:r>
      <w:r>
        <w:rPr>
          <w:rFonts w:hint="eastAsia" w:ascii="仿宋" w:hAnsi="仿宋" w:eastAsia="仿宋" w:cs="仿宋"/>
          <w:b/>
          <w:bCs/>
          <w:color w:val="auto"/>
          <w:sz w:val="24"/>
          <w:szCs w:val="24"/>
          <w:highlight w:val="none"/>
        </w:rPr>
        <w:t>投标授权代表社保缴纳证明</w:t>
      </w:r>
    </w:p>
    <w:p w14:paraId="1FB5308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Cs w:val="21"/>
          <w:highlight w:val="none"/>
        </w:rPr>
      </w:pPr>
    </w:p>
    <w:p w14:paraId="5A5BB80B">
      <w:pPr>
        <w:adjustRightInd w:val="0"/>
        <w:snapToGrid w:val="0"/>
        <w:spacing w:line="360" w:lineRule="auto"/>
        <w:jc w:val="both"/>
        <w:rPr>
          <w:rFonts w:ascii="仿宋" w:hAnsi="仿宋" w:eastAsia="仿宋" w:cs="仿宋"/>
          <w:b/>
          <w:color w:val="auto"/>
          <w:spacing w:val="-6"/>
          <w:szCs w:val="21"/>
          <w:highlight w:val="none"/>
        </w:rPr>
      </w:pPr>
      <w:r>
        <w:rPr>
          <w:rFonts w:hint="eastAsia" w:ascii="仿宋" w:hAnsi="仿宋" w:eastAsia="仿宋" w:cs="仿宋"/>
          <w:b/>
          <w:color w:val="auto"/>
          <w:spacing w:val="-6"/>
          <w:sz w:val="18"/>
          <w:szCs w:val="18"/>
          <w:highlight w:val="none"/>
          <w:lang w:val="en-US" w:eastAsia="zh-CN"/>
        </w:rPr>
        <w:t>说明：投标人委派不在本单位缴纳社保的人员作为授权代表的，在投标文件中说明具体原因、授权代表缴纳社保单位并附列该授权代表缴纳社保清单。</w:t>
      </w:r>
    </w:p>
    <w:p w14:paraId="4D5E22FC">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77F99052">
      <w:pPr>
        <w:adjustRightInd w:val="0"/>
        <w:snapToGrid w:val="0"/>
        <w:spacing w:line="360" w:lineRule="auto"/>
        <w:jc w:val="center"/>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采购需求偏离表</w:t>
      </w:r>
    </w:p>
    <w:p w14:paraId="4E48B929">
      <w:pPr>
        <w:adjustRightInd w:val="0"/>
        <w:snapToGrid w:val="0"/>
        <w:spacing w:line="360" w:lineRule="auto"/>
        <w:rPr>
          <w:rFonts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采 购 人：浙江工业大学</w:t>
      </w:r>
    </w:p>
    <w:p w14:paraId="0E40A714">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项目名称：</w:t>
      </w:r>
      <w:r>
        <w:rPr>
          <w:rFonts w:hint="eastAsia" w:ascii="仿宋" w:hAnsi="仿宋" w:eastAsia="仿宋" w:cs="仿宋"/>
          <w:bCs/>
          <w:color w:val="auto"/>
          <w:spacing w:val="-6"/>
          <w:szCs w:val="21"/>
          <w:highlight w:val="none"/>
          <w:lang w:eastAsia="zh-CN"/>
        </w:rPr>
        <w:t>浙江工业大学能碳管理显示系统</w:t>
      </w:r>
    </w:p>
    <w:p w14:paraId="771FD8F3">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项目编号：</w:t>
      </w:r>
      <w:r>
        <w:rPr>
          <w:rFonts w:hint="eastAsia" w:ascii="仿宋" w:hAnsi="仿宋" w:eastAsia="仿宋" w:cs="仿宋"/>
          <w:bCs/>
          <w:color w:val="auto"/>
          <w:spacing w:val="-6"/>
          <w:szCs w:val="21"/>
          <w:highlight w:val="none"/>
          <w:lang w:eastAsia="zh-CN"/>
        </w:rPr>
        <w:t>QSZB-Z(H)-H25019(GK)</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1"/>
        <w:gridCol w:w="25"/>
        <w:gridCol w:w="3118"/>
        <w:gridCol w:w="2946"/>
        <w:gridCol w:w="2958"/>
      </w:tblGrid>
      <w:tr w14:paraId="3D567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56470C58">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序号</w:t>
            </w:r>
          </w:p>
        </w:tc>
        <w:tc>
          <w:tcPr>
            <w:tcW w:w="1619" w:type="pct"/>
            <w:vAlign w:val="center"/>
          </w:tcPr>
          <w:p w14:paraId="3855746A">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招标文件要求</w:t>
            </w:r>
          </w:p>
        </w:tc>
        <w:tc>
          <w:tcPr>
            <w:tcW w:w="1530" w:type="pct"/>
            <w:vAlign w:val="center"/>
          </w:tcPr>
          <w:p w14:paraId="18929C1B">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响应规格</w:t>
            </w:r>
          </w:p>
        </w:tc>
        <w:tc>
          <w:tcPr>
            <w:tcW w:w="1534" w:type="pct"/>
            <w:vAlign w:val="center"/>
          </w:tcPr>
          <w:p w14:paraId="2239CB49">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是否偏离（提供说明）</w:t>
            </w:r>
          </w:p>
        </w:tc>
      </w:tr>
      <w:tr w14:paraId="003F0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2729B53F">
            <w:pPr>
              <w:rPr>
                <w:rFonts w:hint="eastAsia" w:ascii="仿宋" w:hAnsi="仿宋" w:eastAsia="仿宋" w:cs="仿宋"/>
                <w:color w:val="auto"/>
                <w:sz w:val="18"/>
                <w:szCs w:val="18"/>
                <w:highlight w:val="none"/>
                <w:lang w:val="en-US" w:eastAsia="zh-CN"/>
              </w:rPr>
            </w:pPr>
            <w:r>
              <w:rPr>
                <w:rFonts w:hint="eastAsia" w:ascii="仿宋" w:hAnsi="仿宋" w:eastAsia="仿宋" w:cs="仿宋"/>
                <w:b/>
                <w:bCs/>
                <w:color w:val="auto"/>
                <w:sz w:val="18"/>
                <w:szCs w:val="18"/>
                <w:highlight w:val="none"/>
              </w:rPr>
              <w:t>采购资金的支付方式、时间、条件（具体条款详见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408B9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2F42D4E5">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shd w:val="clear" w:color="auto" w:fill="auto"/>
            <w:vAlign w:val="center"/>
          </w:tcPr>
          <w:p w14:paraId="79790184">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支付方式</w:t>
            </w:r>
          </w:p>
        </w:tc>
        <w:tc>
          <w:tcPr>
            <w:tcW w:w="1530" w:type="pct"/>
            <w:vAlign w:val="center"/>
          </w:tcPr>
          <w:p w14:paraId="78A12D3C">
            <w:pPr>
              <w:jc w:val="center"/>
              <w:rPr>
                <w:rFonts w:ascii="仿宋" w:hAnsi="仿宋" w:eastAsia="仿宋" w:cs="仿宋"/>
                <w:color w:val="auto"/>
                <w:sz w:val="18"/>
                <w:szCs w:val="18"/>
                <w:highlight w:val="none"/>
              </w:rPr>
            </w:pPr>
          </w:p>
        </w:tc>
        <w:tc>
          <w:tcPr>
            <w:tcW w:w="1534" w:type="pct"/>
            <w:vAlign w:val="center"/>
          </w:tcPr>
          <w:p w14:paraId="1FE81EAB">
            <w:pPr>
              <w:jc w:val="center"/>
              <w:rPr>
                <w:rFonts w:ascii="仿宋" w:hAnsi="仿宋" w:eastAsia="仿宋" w:cs="仿宋"/>
                <w:color w:val="auto"/>
                <w:sz w:val="18"/>
                <w:szCs w:val="18"/>
                <w:highlight w:val="none"/>
              </w:rPr>
            </w:pPr>
          </w:p>
        </w:tc>
      </w:tr>
      <w:tr w14:paraId="4C7FD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5B09C74B">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shd w:val="clear" w:color="auto" w:fill="auto"/>
            <w:vAlign w:val="center"/>
          </w:tcPr>
          <w:p w14:paraId="7F5F77A1">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▲支付时间及条件</w:t>
            </w:r>
          </w:p>
        </w:tc>
        <w:tc>
          <w:tcPr>
            <w:tcW w:w="1530" w:type="pct"/>
            <w:vAlign w:val="center"/>
          </w:tcPr>
          <w:p w14:paraId="0C8A5EC4">
            <w:pPr>
              <w:jc w:val="center"/>
              <w:rPr>
                <w:rFonts w:ascii="仿宋" w:hAnsi="仿宋" w:eastAsia="仿宋" w:cs="仿宋"/>
                <w:color w:val="auto"/>
                <w:sz w:val="18"/>
                <w:szCs w:val="18"/>
                <w:highlight w:val="none"/>
              </w:rPr>
            </w:pPr>
          </w:p>
        </w:tc>
        <w:tc>
          <w:tcPr>
            <w:tcW w:w="1534" w:type="pct"/>
            <w:vAlign w:val="center"/>
          </w:tcPr>
          <w:p w14:paraId="7319B23D">
            <w:pPr>
              <w:jc w:val="center"/>
              <w:rPr>
                <w:rFonts w:ascii="仿宋" w:hAnsi="仿宋" w:eastAsia="仿宋" w:cs="仿宋"/>
                <w:color w:val="auto"/>
                <w:sz w:val="18"/>
                <w:szCs w:val="18"/>
                <w:highlight w:val="none"/>
              </w:rPr>
            </w:pPr>
          </w:p>
        </w:tc>
      </w:tr>
      <w:tr w14:paraId="75AD6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2D12724">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619" w:type="pct"/>
            <w:shd w:val="clear" w:color="auto" w:fill="auto"/>
            <w:vAlign w:val="center"/>
          </w:tcPr>
          <w:p w14:paraId="36DF08E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▲履约保证金</w:t>
            </w:r>
          </w:p>
        </w:tc>
        <w:tc>
          <w:tcPr>
            <w:tcW w:w="1530" w:type="pct"/>
            <w:vAlign w:val="center"/>
          </w:tcPr>
          <w:p w14:paraId="7D42B8B5">
            <w:pPr>
              <w:jc w:val="center"/>
              <w:rPr>
                <w:rFonts w:ascii="仿宋" w:hAnsi="仿宋" w:eastAsia="仿宋" w:cs="仿宋"/>
                <w:color w:val="auto"/>
                <w:sz w:val="18"/>
                <w:szCs w:val="18"/>
                <w:highlight w:val="none"/>
              </w:rPr>
            </w:pPr>
          </w:p>
        </w:tc>
        <w:tc>
          <w:tcPr>
            <w:tcW w:w="1534" w:type="pct"/>
            <w:vAlign w:val="center"/>
          </w:tcPr>
          <w:p w14:paraId="446371E6">
            <w:pPr>
              <w:jc w:val="center"/>
              <w:rPr>
                <w:rFonts w:ascii="仿宋" w:hAnsi="仿宋" w:eastAsia="仿宋" w:cs="仿宋"/>
                <w:color w:val="auto"/>
                <w:sz w:val="18"/>
                <w:szCs w:val="18"/>
                <w:highlight w:val="none"/>
              </w:rPr>
            </w:pPr>
          </w:p>
        </w:tc>
      </w:tr>
      <w:tr w14:paraId="73A16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2FB13E6E">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服务要求（具体条款详见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46866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739813F0">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shd w:val="clear" w:color="auto" w:fill="auto"/>
            <w:vAlign w:val="center"/>
          </w:tcPr>
          <w:p w14:paraId="558C862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交付时间</w:t>
            </w:r>
          </w:p>
        </w:tc>
        <w:tc>
          <w:tcPr>
            <w:tcW w:w="1530" w:type="pct"/>
            <w:vAlign w:val="center"/>
          </w:tcPr>
          <w:p w14:paraId="6148A190">
            <w:pPr>
              <w:jc w:val="center"/>
              <w:rPr>
                <w:rFonts w:ascii="仿宋" w:hAnsi="仿宋" w:eastAsia="仿宋" w:cs="仿宋"/>
                <w:color w:val="auto"/>
                <w:sz w:val="18"/>
                <w:szCs w:val="18"/>
                <w:highlight w:val="none"/>
              </w:rPr>
            </w:pPr>
          </w:p>
        </w:tc>
        <w:tc>
          <w:tcPr>
            <w:tcW w:w="1534" w:type="pct"/>
            <w:vAlign w:val="center"/>
          </w:tcPr>
          <w:p w14:paraId="0BB42C5B">
            <w:pPr>
              <w:jc w:val="center"/>
              <w:rPr>
                <w:rFonts w:ascii="仿宋" w:hAnsi="仿宋" w:eastAsia="仿宋" w:cs="仿宋"/>
                <w:color w:val="auto"/>
                <w:sz w:val="18"/>
                <w:szCs w:val="18"/>
                <w:highlight w:val="none"/>
              </w:rPr>
            </w:pPr>
          </w:p>
        </w:tc>
      </w:tr>
      <w:tr w14:paraId="59EB3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6B8C0B2C">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shd w:val="clear" w:color="auto" w:fill="auto"/>
            <w:vAlign w:val="center"/>
          </w:tcPr>
          <w:p w14:paraId="31C09D5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交付地点</w:t>
            </w:r>
          </w:p>
        </w:tc>
        <w:tc>
          <w:tcPr>
            <w:tcW w:w="1530" w:type="pct"/>
            <w:vAlign w:val="center"/>
          </w:tcPr>
          <w:p w14:paraId="0EE63C89">
            <w:pPr>
              <w:jc w:val="center"/>
              <w:rPr>
                <w:rFonts w:ascii="仿宋" w:hAnsi="仿宋" w:eastAsia="仿宋" w:cs="仿宋"/>
                <w:color w:val="auto"/>
                <w:sz w:val="18"/>
                <w:szCs w:val="18"/>
                <w:highlight w:val="none"/>
              </w:rPr>
            </w:pPr>
          </w:p>
        </w:tc>
        <w:tc>
          <w:tcPr>
            <w:tcW w:w="1534" w:type="pct"/>
            <w:vAlign w:val="center"/>
          </w:tcPr>
          <w:p w14:paraId="29A85422">
            <w:pPr>
              <w:jc w:val="center"/>
              <w:rPr>
                <w:rFonts w:ascii="仿宋" w:hAnsi="仿宋" w:eastAsia="仿宋" w:cs="仿宋"/>
                <w:color w:val="auto"/>
                <w:sz w:val="18"/>
                <w:szCs w:val="18"/>
                <w:highlight w:val="none"/>
              </w:rPr>
            </w:pPr>
          </w:p>
        </w:tc>
      </w:tr>
      <w:tr w14:paraId="5B7F2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6B91BF1">
            <w:pPr>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619" w:type="pct"/>
            <w:shd w:val="clear" w:color="auto" w:fill="auto"/>
            <w:vAlign w:val="center"/>
          </w:tcPr>
          <w:p w14:paraId="7058751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质保期</w:t>
            </w:r>
          </w:p>
        </w:tc>
        <w:tc>
          <w:tcPr>
            <w:tcW w:w="1530" w:type="pct"/>
            <w:vAlign w:val="center"/>
          </w:tcPr>
          <w:p w14:paraId="20E15113">
            <w:pPr>
              <w:jc w:val="center"/>
              <w:rPr>
                <w:rFonts w:ascii="仿宋" w:hAnsi="仿宋" w:eastAsia="仿宋" w:cs="仿宋"/>
                <w:color w:val="auto"/>
                <w:sz w:val="18"/>
                <w:szCs w:val="18"/>
                <w:highlight w:val="none"/>
              </w:rPr>
            </w:pPr>
          </w:p>
        </w:tc>
        <w:tc>
          <w:tcPr>
            <w:tcW w:w="1534" w:type="pct"/>
            <w:vAlign w:val="center"/>
          </w:tcPr>
          <w:p w14:paraId="017A51DA">
            <w:pPr>
              <w:jc w:val="center"/>
              <w:rPr>
                <w:rFonts w:ascii="仿宋" w:hAnsi="仿宋" w:eastAsia="仿宋" w:cs="仿宋"/>
                <w:color w:val="auto"/>
                <w:sz w:val="18"/>
                <w:szCs w:val="18"/>
                <w:highlight w:val="none"/>
              </w:rPr>
            </w:pPr>
          </w:p>
        </w:tc>
      </w:tr>
      <w:tr w14:paraId="3CC2E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67276B7">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4</w:t>
            </w:r>
          </w:p>
        </w:tc>
        <w:tc>
          <w:tcPr>
            <w:tcW w:w="1619" w:type="pct"/>
            <w:shd w:val="clear" w:color="auto" w:fill="auto"/>
            <w:vAlign w:val="center"/>
          </w:tcPr>
          <w:p w14:paraId="4B7F565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服务标准、期限、效率</w:t>
            </w:r>
          </w:p>
        </w:tc>
        <w:tc>
          <w:tcPr>
            <w:tcW w:w="1530" w:type="pct"/>
            <w:vAlign w:val="center"/>
          </w:tcPr>
          <w:p w14:paraId="59B39DAD">
            <w:pPr>
              <w:jc w:val="center"/>
              <w:rPr>
                <w:rFonts w:ascii="仿宋" w:hAnsi="仿宋" w:eastAsia="仿宋" w:cs="仿宋"/>
                <w:color w:val="auto"/>
                <w:sz w:val="18"/>
                <w:szCs w:val="18"/>
                <w:highlight w:val="none"/>
              </w:rPr>
            </w:pPr>
          </w:p>
        </w:tc>
        <w:tc>
          <w:tcPr>
            <w:tcW w:w="1534" w:type="pct"/>
            <w:vAlign w:val="center"/>
          </w:tcPr>
          <w:p w14:paraId="0FEEBB9E">
            <w:pPr>
              <w:jc w:val="center"/>
              <w:rPr>
                <w:rFonts w:ascii="仿宋" w:hAnsi="仿宋" w:eastAsia="仿宋" w:cs="仿宋"/>
                <w:color w:val="auto"/>
                <w:sz w:val="18"/>
                <w:szCs w:val="18"/>
                <w:highlight w:val="none"/>
              </w:rPr>
            </w:pPr>
          </w:p>
        </w:tc>
      </w:tr>
      <w:tr w14:paraId="1C229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6906C846">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5</w:t>
            </w:r>
          </w:p>
        </w:tc>
        <w:tc>
          <w:tcPr>
            <w:tcW w:w="1619" w:type="pct"/>
            <w:shd w:val="clear" w:color="auto" w:fill="auto"/>
            <w:vAlign w:val="center"/>
          </w:tcPr>
          <w:p w14:paraId="76DD1D4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其他技术、服务要求</w:t>
            </w:r>
          </w:p>
        </w:tc>
        <w:tc>
          <w:tcPr>
            <w:tcW w:w="1530" w:type="pct"/>
            <w:vAlign w:val="center"/>
          </w:tcPr>
          <w:p w14:paraId="21BA9446">
            <w:pPr>
              <w:jc w:val="center"/>
              <w:rPr>
                <w:rFonts w:ascii="仿宋" w:hAnsi="仿宋" w:eastAsia="仿宋" w:cs="仿宋"/>
                <w:color w:val="auto"/>
                <w:sz w:val="18"/>
                <w:szCs w:val="18"/>
                <w:highlight w:val="none"/>
              </w:rPr>
            </w:pPr>
          </w:p>
        </w:tc>
        <w:tc>
          <w:tcPr>
            <w:tcW w:w="1534" w:type="pct"/>
            <w:vAlign w:val="center"/>
          </w:tcPr>
          <w:p w14:paraId="186488A4">
            <w:pPr>
              <w:jc w:val="center"/>
              <w:rPr>
                <w:rFonts w:ascii="仿宋" w:hAnsi="仿宋" w:eastAsia="仿宋" w:cs="仿宋"/>
                <w:color w:val="auto"/>
                <w:sz w:val="18"/>
                <w:szCs w:val="18"/>
                <w:highlight w:val="none"/>
              </w:rPr>
            </w:pPr>
          </w:p>
        </w:tc>
      </w:tr>
      <w:tr w14:paraId="4E5C9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0DBC105F">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6</w:t>
            </w:r>
          </w:p>
        </w:tc>
        <w:tc>
          <w:tcPr>
            <w:tcW w:w="1619" w:type="pct"/>
            <w:shd w:val="clear" w:color="auto" w:fill="auto"/>
            <w:vAlign w:val="center"/>
          </w:tcPr>
          <w:p w14:paraId="5E01D21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验收标准</w:t>
            </w:r>
          </w:p>
        </w:tc>
        <w:tc>
          <w:tcPr>
            <w:tcW w:w="1530" w:type="pct"/>
            <w:vAlign w:val="center"/>
          </w:tcPr>
          <w:p w14:paraId="53A7AB0B">
            <w:pPr>
              <w:jc w:val="center"/>
              <w:rPr>
                <w:rFonts w:ascii="仿宋" w:hAnsi="仿宋" w:eastAsia="仿宋" w:cs="仿宋"/>
                <w:color w:val="auto"/>
                <w:sz w:val="18"/>
                <w:szCs w:val="18"/>
                <w:highlight w:val="none"/>
              </w:rPr>
            </w:pPr>
          </w:p>
        </w:tc>
        <w:tc>
          <w:tcPr>
            <w:tcW w:w="1534" w:type="pct"/>
            <w:vAlign w:val="center"/>
          </w:tcPr>
          <w:p w14:paraId="38D26C3C">
            <w:pPr>
              <w:jc w:val="center"/>
              <w:rPr>
                <w:rFonts w:ascii="仿宋" w:hAnsi="仿宋" w:eastAsia="仿宋" w:cs="仿宋"/>
                <w:color w:val="auto"/>
                <w:sz w:val="18"/>
                <w:szCs w:val="18"/>
                <w:highlight w:val="none"/>
              </w:rPr>
            </w:pPr>
          </w:p>
        </w:tc>
      </w:tr>
      <w:tr w14:paraId="2577D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34D84BF5">
            <w:pPr>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7</w:t>
            </w:r>
          </w:p>
        </w:tc>
        <w:tc>
          <w:tcPr>
            <w:tcW w:w="1619" w:type="pct"/>
            <w:shd w:val="clear" w:color="auto" w:fill="auto"/>
            <w:vAlign w:val="center"/>
          </w:tcPr>
          <w:p w14:paraId="2584A462">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 w:val="18"/>
                <w:szCs w:val="18"/>
                <w:highlight w:val="none"/>
                <w:lang w:val="en-US" w:eastAsia="zh-CN"/>
              </w:rPr>
            </w:pPr>
            <w:bookmarkStart w:id="52" w:name="_GoBack"/>
            <w:bookmarkEnd w:id="52"/>
            <w:r>
              <w:rPr>
                <w:rFonts w:hint="eastAsia" w:ascii="仿宋" w:hAnsi="仿宋" w:eastAsia="仿宋" w:cs="仿宋"/>
                <w:b/>
                <w:bCs/>
                <w:color w:val="auto"/>
                <w:sz w:val="18"/>
                <w:szCs w:val="18"/>
                <w:highlight w:val="none"/>
                <w:lang w:val="en-US" w:eastAsia="zh-CN"/>
              </w:rPr>
              <w:t>其他</w:t>
            </w:r>
          </w:p>
        </w:tc>
        <w:tc>
          <w:tcPr>
            <w:tcW w:w="1530" w:type="pct"/>
            <w:vAlign w:val="center"/>
          </w:tcPr>
          <w:p w14:paraId="57157852">
            <w:pPr>
              <w:jc w:val="center"/>
              <w:rPr>
                <w:rFonts w:ascii="仿宋" w:hAnsi="仿宋" w:eastAsia="仿宋" w:cs="仿宋"/>
                <w:color w:val="auto"/>
                <w:sz w:val="18"/>
                <w:szCs w:val="18"/>
                <w:highlight w:val="none"/>
              </w:rPr>
            </w:pPr>
          </w:p>
        </w:tc>
        <w:tc>
          <w:tcPr>
            <w:tcW w:w="1534" w:type="pct"/>
            <w:vAlign w:val="center"/>
          </w:tcPr>
          <w:p w14:paraId="1B32958D">
            <w:pPr>
              <w:jc w:val="center"/>
              <w:rPr>
                <w:rFonts w:ascii="仿宋" w:hAnsi="仿宋" w:eastAsia="仿宋" w:cs="仿宋"/>
                <w:color w:val="auto"/>
                <w:sz w:val="18"/>
                <w:szCs w:val="18"/>
                <w:highlight w:val="none"/>
              </w:rPr>
            </w:pPr>
          </w:p>
        </w:tc>
      </w:tr>
      <w:tr w14:paraId="7A59D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25DF49FB">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技术要求（具体条款详见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62EBD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456AB390">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vAlign w:val="center"/>
          </w:tcPr>
          <w:p w14:paraId="58955226">
            <w:pPr>
              <w:jc w:val="both"/>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需执行的国家相关标准、行业标准、地方标准或者其他标准、规范</w:t>
            </w:r>
          </w:p>
        </w:tc>
        <w:tc>
          <w:tcPr>
            <w:tcW w:w="1530" w:type="pct"/>
            <w:vAlign w:val="center"/>
          </w:tcPr>
          <w:p w14:paraId="3444E761">
            <w:pPr>
              <w:jc w:val="center"/>
              <w:rPr>
                <w:rFonts w:ascii="仿宋" w:hAnsi="仿宋" w:eastAsia="仿宋" w:cs="仿宋"/>
                <w:color w:val="auto"/>
                <w:sz w:val="18"/>
                <w:szCs w:val="18"/>
                <w:highlight w:val="none"/>
              </w:rPr>
            </w:pPr>
          </w:p>
        </w:tc>
        <w:tc>
          <w:tcPr>
            <w:tcW w:w="1534" w:type="pct"/>
            <w:vAlign w:val="center"/>
          </w:tcPr>
          <w:p w14:paraId="7C60E997">
            <w:pPr>
              <w:jc w:val="center"/>
              <w:rPr>
                <w:rFonts w:ascii="仿宋" w:hAnsi="仿宋" w:eastAsia="仿宋" w:cs="仿宋"/>
                <w:color w:val="auto"/>
                <w:sz w:val="18"/>
                <w:szCs w:val="18"/>
                <w:highlight w:val="none"/>
              </w:rPr>
            </w:pPr>
          </w:p>
        </w:tc>
      </w:tr>
      <w:tr w14:paraId="06AB2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08AA7FF2">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vAlign w:val="center"/>
          </w:tcPr>
          <w:p w14:paraId="5A6C52B7">
            <w:pPr>
              <w:jc w:val="cente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需实现的功能或者目标</w:t>
            </w:r>
          </w:p>
        </w:tc>
        <w:tc>
          <w:tcPr>
            <w:tcW w:w="1530" w:type="pct"/>
            <w:vAlign w:val="center"/>
          </w:tcPr>
          <w:p w14:paraId="612C6E55">
            <w:pPr>
              <w:jc w:val="center"/>
              <w:rPr>
                <w:rFonts w:ascii="仿宋" w:hAnsi="仿宋" w:eastAsia="仿宋" w:cs="仿宋"/>
                <w:color w:val="auto"/>
                <w:sz w:val="18"/>
                <w:szCs w:val="18"/>
                <w:highlight w:val="none"/>
              </w:rPr>
            </w:pPr>
          </w:p>
        </w:tc>
        <w:tc>
          <w:tcPr>
            <w:tcW w:w="1534" w:type="pct"/>
            <w:vAlign w:val="center"/>
          </w:tcPr>
          <w:p w14:paraId="43CEB6FF">
            <w:pPr>
              <w:jc w:val="center"/>
              <w:rPr>
                <w:rFonts w:ascii="仿宋" w:hAnsi="仿宋" w:eastAsia="仿宋" w:cs="仿宋"/>
                <w:color w:val="auto"/>
                <w:sz w:val="18"/>
                <w:szCs w:val="18"/>
                <w:highlight w:val="none"/>
              </w:rPr>
            </w:pPr>
          </w:p>
        </w:tc>
      </w:tr>
      <w:tr w14:paraId="7E79A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5" w:type="pct"/>
            <w:gridSpan w:val="2"/>
            <w:vAlign w:val="center"/>
          </w:tcPr>
          <w:p w14:paraId="18794270">
            <w:pPr>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3</w:t>
            </w:r>
          </w:p>
        </w:tc>
        <w:tc>
          <w:tcPr>
            <w:tcW w:w="1619" w:type="pct"/>
            <w:vAlign w:val="center"/>
          </w:tcPr>
          <w:p w14:paraId="1D1738D3">
            <w:pPr>
              <w:jc w:val="both"/>
              <w:rPr>
                <w:rFonts w:ascii="仿宋" w:hAnsi="仿宋" w:eastAsia="仿宋" w:cs="仿宋"/>
                <w:color w:val="auto"/>
                <w:sz w:val="18"/>
                <w:szCs w:val="18"/>
                <w:highlight w:val="none"/>
              </w:rPr>
            </w:pPr>
            <w:r>
              <w:rPr>
                <w:rFonts w:hint="eastAsia" w:ascii="仿宋" w:hAnsi="仿宋" w:eastAsia="仿宋" w:cs="仿宋"/>
                <w:b/>
                <w:bCs/>
                <w:color w:val="auto"/>
                <w:spacing w:val="-4"/>
                <w:sz w:val="18"/>
                <w:szCs w:val="18"/>
                <w:highlight w:val="none"/>
              </w:rPr>
              <w:t>需满足的质量、安全、技术规格、物理特性等要求</w:t>
            </w:r>
          </w:p>
        </w:tc>
        <w:tc>
          <w:tcPr>
            <w:tcW w:w="1530" w:type="pct"/>
            <w:vAlign w:val="center"/>
          </w:tcPr>
          <w:p w14:paraId="2FAAD089">
            <w:pPr>
              <w:jc w:val="center"/>
              <w:rPr>
                <w:rFonts w:ascii="仿宋" w:hAnsi="仿宋" w:eastAsia="仿宋" w:cs="仿宋"/>
                <w:color w:val="auto"/>
                <w:sz w:val="18"/>
                <w:szCs w:val="18"/>
                <w:highlight w:val="none"/>
              </w:rPr>
            </w:pPr>
          </w:p>
        </w:tc>
        <w:tc>
          <w:tcPr>
            <w:tcW w:w="1534" w:type="pct"/>
            <w:vAlign w:val="center"/>
          </w:tcPr>
          <w:p w14:paraId="5DE3052F">
            <w:pPr>
              <w:jc w:val="center"/>
              <w:rPr>
                <w:rFonts w:ascii="仿宋" w:hAnsi="仿宋" w:eastAsia="仿宋" w:cs="仿宋"/>
                <w:color w:val="auto"/>
                <w:sz w:val="18"/>
                <w:szCs w:val="18"/>
                <w:highlight w:val="none"/>
              </w:rPr>
            </w:pPr>
          </w:p>
        </w:tc>
      </w:tr>
      <w:tr w14:paraId="36992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24F8556D">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合同条款（具体条款详见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第五章</w:t>
            </w:r>
            <w:r>
              <w:rPr>
                <w:rFonts w:hint="eastAsia" w:ascii="仿宋" w:hAnsi="仿宋" w:eastAsia="仿宋" w:cs="仿宋"/>
                <w:b/>
                <w:bCs/>
                <w:color w:val="auto"/>
                <w:sz w:val="18"/>
                <w:szCs w:val="18"/>
                <w:highlight w:val="none"/>
                <w:lang w:val="en-US" w:eastAsia="zh-CN"/>
              </w:rPr>
              <w:t xml:space="preserve">  </w:t>
            </w:r>
            <w:r>
              <w:rPr>
                <w:rFonts w:hint="eastAsia" w:ascii="仿宋" w:hAnsi="仿宋" w:eastAsia="仿宋" w:cs="仿宋"/>
                <w:b/>
                <w:bCs/>
                <w:color w:val="auto"/>
                <w:sz w:val="18"/>
                <w:szCs w:val="18"/>
                <w:highlight w:val="none"/>
              </w:rPr>
              <w:t>拟签订的合同文本</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158ED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02" w:type="pct"/>
            <w:vAlign w:val="center"/>
          </w:tcPr>
          <w:p w14:paraId="01479A7C">
            <w:pPr>
              <w:jc w:val="center"/>
              <w:rPr>
                <w:rFonts w:hint="default" w:ascii="仿宋" w:hAnsi="仿宋" w:eastAsia="仿宋" w:cs="仿宋"/>
                <w:b w:val="0"/>
                <w:bCs w:val="0"/>
                <w:color w:val="auto"/>
                <w:sz w:val="18"/>
                <w:szCs w:val="18"/>
                <w:highlight w:val="none"/>
                <w:lang w:val="en-US" w:eastAsia="zh-CN"/>
              </w:rPr>
            </w:pPr>
            <w:r>
              <w:rPr>
                <w:rFonts w:hint="eastAsia" w:ascii="仿宋" w:hAnsi="仿宋" w:eastAsia="仿宋" w:cs="仿宋"/>
                <w:b w:val="0"/>
                <w:bCs w:val="0"/>
                <w:color w:val="auto"/>
                <w:sz w:val="18"/>
                <w:szCs w:val="18"/>
                <w:highlight w:val="none"/>
                <w:lang w:val="en-US" w:eastAsia="zh-CN"/>
              </w:rPr>
              <w:t>1</w:t>
            </w:r>
          </w:p>
        </w:tc>
        <w:tc>
          <w:tcPr>
            <w:tcW w:w="1632" w:type="pct"/>
            <w:gridSpan w:val="2"/>
            <w:vAlign w:val="center"/>
          </w:tcPr>
          <w:p w14:paraId="3F97E1A5">
            <w:pPr>
              <w:jc w:val="center"/>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拟签订的合同文本</w:t>
            </w:r>
            <w:r>
              <w:rPr>
                <w:rFonts w:hint="eastAsia" w:ascii="仿宋" w:hAnsi="仿宋" w:eastAsia="仿宋" w:cs="仿宋"/>
                <w:b/>
                <w:bCs/>
                <w:color w:val="auto"/>
                <w:sz w:val="18"/>
                <w:szCs w:val="18"/>
                <w:highlight w:val="none"/>
                <w:lang w:val="en-US" w:eastAsia="zh-CN"/>
              </w:rPr>
              <w:t>中所有内容</w:t>
            </w:r>
          </w:p>
        </w:tc>
        <w:tc>
          <w:tcPr>
            <w:tcW w:w="1530" w:type="pct"/>
            <w:vAlign w:val="center"/>
          </w:tcPr>
          <w:p w14:paraId="5AF5B017">
            <w:pPr>
              <w:jc w:val="center"/>
              <w:rPr>
                <w:rFonts w:ascii="仿宋" w:hAnsi="仿宋" w:eastAsia="仿宋" w:cs="仿宋"/>
                <w:color w:val="auto"/>
                <w:sz w:val="18"/>
                <w:szCs w:val="18"/>
                <w:highlight w:val="none"/>
              </w:rPr>
            </w:pPr>
          </w:p>
        </w:tc>
        <w:tc>
          <w:tcPr>
            <w:tcW w:w="1534" w:type="pct"/>
            <w:vAlign w:val="center"/>
          </w:tcPr>
          <w:p w14:paraId="527D919E">
            <w:pPr>
              <w:jc w:val="center"/>
              <w:rPr>
                <w:rFonts w:ascii="仿宋" w:hAnsi="仿宋" w:eastAsia="仿宋" w:cs="仿宋"/>
                <w:color w:val="auto"/>
                <w:sz w:val="18"/>
                <w:szCs w:val="18"/>
                <w:highlight w:val="none"/>
              </w:rPr>
            </w:pPr>
          </w:p>
        </w:tc>
      </w:tr>
    </w:tbl>
    <w:p w14:paraId="6F836962">
      <w:pPr>
        <w:adjustRightInd w:val="0"/>
        <w:snapToGrid w:val="0"/>
        <w:spacing w:line="360" w:lineRule="auto"/>
        <w:rPr>
          <w:rFonts w:ascii="仿宋" w:hAnsi="仿宋" w:eastAsia="仿宋" w:cs="仿宋"/>
          <w:color w:val="auto"/>
          <w:szCs w:val="21"/>
          <w:highlight w:val="none"/>
        </w:rPr>
      </w:pPr>
    </w:p>
    <w:p w14:paraId="1F63B93A">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3814265E">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1.逐项按照招标文件要求填写响应规格；</w:t>
      </w:r>
    </w:p>
    <w:p w14:paraId="6D22C760">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2.偏离说明是指对招标文件要求存在不同之处的解释说明，偏离系指</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正偏离（高于采购需求）、负偏离（低于采购需求）、无偏离（满足采购需求）；</w:t>
      </w:r>
    </w:p>
    <w:p w14:paraId="608D8962">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3.如不填写或未如实填写，自行承担投标风险。</w:t>
      </w:r>
    </w:p>
    <w:p w14:paraId="0837745A">
      <w:pPr>
        <w:adjustRightInd w:val="0"/>
        <w:snapToGrid w:val="0"/>
        <w:spacing w:line="360" w:lineRule="auto"/>
        <w:rPr>
          <w:rFonts w:ascii="仿宋" w:hAnsi="仿宋" w:eastAsia="仿宋" w:cs="仿宋"/>
          <w:color w:val="auto"/>
          <w:szCs w:val="21"/>
          <w:highlight w:val="none"/>
        </w:rPr>
      </w:pPr>
    </w:p>
    <w:p w14:paraId="7CD856CC">
      <w:pPr>
        <w:adjustRightInd w:val="0"/>
        <w:snapToGrid w:val="0"/>
        <w:spacing w:line="360" w:lineRule="auto"/>
        <w:rPr>
          <w:rFonts w:ascii="仿宋" w:hAnsi="仿宋" w:eastAsia="仿宋" w:cs="仿宋"/>
          <w:color w:val="auto"/>
          <w:szCs w:val="21"/>
          <w:highlight w:val="none"/>
        </w:rPr>
      </w:pPr>
    </w:p>
    <w:p w14:paraId="63B3C051">
      <w:pPr>
        <w:adjustRightInd w:val="0"/>
        <w:snapToGrid w:val="0"/>
        <w:spacing w:line="360" w:lineRule="auto"/>
        <w:rPr>
          <w:rFonts w:ascii="仿宋" w:hAnsi="仿宋" w:eastAsia="仿宋" w:cs="仿宋"/>
          <w:color w:val="auto"/>
          <w:szCs w:val="21"/>
          <w:highlight w:val="none"/>
        </w:rPr>
      </w:pPr>
    </w:p>
    <w:p w14:paraId="5AF4770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33CFB9DD">
      <w:pPr>
        <w:pStyle w:val="13"/>
        <w:spacing w:line="360" w:lineRule="auto"/>
        <w:ind w:firstLine="0"/>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t>日期：     年   月   日</w:t>
      </w:r>
    </w:p>
    <w:p w14:paraId="6B8A2629">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3B729E22">
      <w:pPr>
        <w:adjustRightInd w:val="0"/>
        <w:snapToGrid w:val="0"/>
        <w:spacing w:line="360" w:lineRule="auto"/>
        <w:jc w:val="center"/>
        <w:outlineLvl w:val="2"/>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投标人同类合同实施情况一览表</w:t>
      </w:r>
    </w:p>
    <w:tbl>
      <w:tblPr>
        <w:tblStyle w:val="24"/>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14:paraId="005D02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38C3FD0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33" w:type="dxa"/>
            <w:tcBorders>
              <w:top w:val="single" w:color="auto" w:sz="4" w:space="0"/>
              <w:left w:val="single" w:color="auto" w:sz="4" w:space="0"/>
              <w:bottom w:val="single" w:color="auto" w:sz="4" w:space="0"/>
              <w:right w:val="single" w:color="auto" w:sz="4" w:space="0"/>
            </w:tcBorders>
            <w:vAlign w:val="center"/>
          </w:tcPr>
          <w:p w14:paraId="3BA4812C">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采购单位</w:t>
            </w:r>
          </w:p>
        </w:tc>
        <w:tc>
          <w:tcPr>
            <w:tcW w:w="1441" w:type="dxa"/>
            <w:tcBorders>
              <w:top w:val="single" w:color="auto" w:sz="4" w:space="0"/>
              <w:left w:val="single" w:color="auto" w:sz="4" w:space="0"/>
              <w:bottom w:val="single" w:color="auto" w:sz="4" w:space="0"/>
              <w:right w:val="single" w:color="auto" w:sz="4" w:space="0"/>
            </w:tcBorders>
            <w:vAlign w:val="center"/>
          </w:tcPr>
          <w:p w14:paraId="6B641C7B">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14:paraId="4F3A0F3D">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数量</w:t>
            </w:r>
          </w:p>
        </w:tc>
        <w:tc>
          <w:tcPr>
            <w:tcW w:w="1153" w:type="dxa"/>
            <w:tcBorders>
              <w:top w:val="single" w:color="auto" w:sz="4" w:space="0"/>
              <w:left w:val="single" w:color="auto" w:sz="4" w:space="0"/>
              <w:bottom w:val="single" w:color="auto" w:sz="4" w:space="0"/>
              <w:right w:val="single" w:color="auto" w:sz="4" w:space="0"/>
            </w:tcBorders>
            <w:vAlign w:val="center"/>
          </w:tcPr>
          <w:p w14:paraId="53B9968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合同金额</w:t>
            </w:r>
          </w:p>
          <w:p w14:paraId="6BECEAF2">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（万元）</w:t>
            </w:r>
          </w:p>
        </w:tc>
        <w:tc>
          <w:tcPr>
            <w:tcW w:w="829" w:type="dxa"/>
            <w:tcBorders>
              <w:top w:val="single" w:color="auto" w:sz="4" w:space="0"/>
              <w:left w:val="single" w:color="auto" w:sz="4" w:space="0"/>
              <w:bottom w:val="single" w:color="auto" w:sz="4" w:space="0"/>
              <w:right w:val="single" w:color="auto" w:sz="4" w:space="0"/>
            </w:tcBorders>
            <w:vAlign w:val="center"/>
          </w:tcPr>
          <w:p w14:paraId="31FC301C">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14:paraId="6407F73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14:paraId="5FC2D8A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采购单位联系人</w:t>
            </w:r>
          </w:p>
          <w:p w14:paraId="65B22E88">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联系方式</w:t>
            </w:r>
          </w:p>
        </w:tc>
      </w:tr>
      <w:tr w14:paraId="726ECE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78235789">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3313D14">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66143BD5">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192DCB32">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7182D54">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661F091A">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3F4B18F1">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4E8F93C5">
            <w:pPr>
              <w:jc w:val="center"/>
              <w:rPr>
                <w:rFonts w:ascii="仿宋" w:hAnsi="仿宋" w:eastAsia="仿宋" w:cs="仿宋"/>
                <w:b/>
                <w:bCs/>
                <w:color w:val="auto"/>
                <w:szCs w:val="21"/>
                <w:highlight w:val="none"/>
              </w:rPr>
            </w:pPr>
          </w:p>
        </w:tc>
      </w:tr>
      <w:tr w14:paraId="15E8E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28345025">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463CE3E">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3B737043">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6F3546CD">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278AF17">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55478F6D">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17A4944">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225338C">
            <w:pPr>
              <w:jc w:val="center"/>
              <w:rPr>
                <w:rFonts w:ascii="仿宋" w:hAnsi="仿宋" w:eastAsia="仿宋" w:cs="仿宋"/>
                <w:b/>
                <w:bCs/>
                <w:color w:val="auto"/>
                <w:szCs w:val="21"/>
                <w:highlight w:val="none"/>
              </w:rPr>
            </w:pPr>
          </w:p>
        </w:tc>
      </w:tr>
      <w:tr w14:paraId="231B1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2B8D6BF3">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74B6411E">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45543DF1">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23FA417C">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B72C66F">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3BC8CE6C">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4F25DDA5">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6C512AAE">
            <w:pPr>
              <w:jc w:val="center"/>
              <w:rPr>
                <w:rFonts w:ascii="仿宋" w:hAnsi="仿宋" w:eastAsia="仿宋" w:cs="仿宋"/>
                <w:b/>
                <w:bCs/>
                <w:color w:val="auto"/>
                <w:szCs w:val="21"/>
                <w:highlight w:val="none"/>
              </w:rPr>
            </w:pPr>
          </w:p>
        </w:tc>
      </w:tr>
      <w:tr w14:paraId="6EF0E4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0C6E2448">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03601AED">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1ACF44DA">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48AF675C">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39113F5C">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380E9290">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1008FE4F">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4921F9D">
            <w:pPr>
              <w:jc w:val="center"/>
              <w:rPr>
                <w:rFonts w:ascii="仿宋" w:hAnsi="仿宋" w:eastAsia="仿宋" w:cs="仿宋"/>
                <w:b/>
                <w:bCs/>
                <w:color w:val="auto"/>
                <w:szCs w:val="21"/>
                <w:highlight w:val="none"/>
              </w:rPr>
            </w:pPr>
          </w:p>
        </w:tc>
      </w:tr>
      <w:tr w14:paraId="48E68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7752E8EB">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782FE6B">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2217113F">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545CB894">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1E3C89D8">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6006D8BF">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B42CFB9">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tcPr>
          <w:p w14:paraId="167984C9">
            <w:pPr>
              <w:jc w:val="center"/>
              <w:rPr>
                <w:rFonts w:ascii="仿宋" w:hAnsi="仿宋" w:eastAsia="仿宋" w:cs="仿宋"/>
                <w:b/>
                <w:bCs/>
                <w:color w:val="auto"/>
                <w:szCs w:val="21"/>
                <w:highlight w:val="none"/>
              </w:rPr>
            </w:pPr>
          </w:p>
        </w:tc>
      </w:tr>
    </w:tbl>
    <w:p w14:paraId="5F882742">
      <w:pPr>
        <w:pStyle w:val="20"/>
        <w:spacing w:line="360" w:lineRule="auto"/>
        <w:ind w:left="420" w:hanging="420"/>
        <w:rPr>
          <w:rFonts w:ascii="仿宋" w:hAnsi="仿宋" w:eastAsia="仿宋" w:cs="仿宋"/>
          <w:color w:val="auto"/>
          <w:sz w:val="21"/>
          <w:szCs w:val="21"/>
          <w:highlight w:val="none"/>
        </w:rPr>
      </w:pPr>
    </w:p>
    <w:p w14:paraId="2934C2C8">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说明：</w:t>
      </w:r>
    </w:p>
    <w:p w14:paraId="15AFC5FC">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1.投标人须提供上述业绩合同及对应验收报告</w:t>
      </w:r>
      <w:r>
        <w:rPr>
          <w:rFonts w:hint="eastAsia" w:ascii="仿宋" w:hAnsi="仿宋" w:eastAsia="仿宋" w:cs="仿宋"/>
          <w:b/>
          <w:color w:val="auto"/>
          <w:spacing w:val="-6"/>
          <w:sz w:val="18"/>
          <w:szCs w:val="18"/>
          <w:highlight w:val="none"/>
          <w:lang w:val="en-US" w:eastAsia="zh-CN"/>
        </w:rPr>
        <w:t>或</w:t>
      </w:r>
      <w:r>
        <w:rPr>
          <w:rFonts w:hint="eastAsia" w:ascii="仿宋" w:hAnsi="仿宋" w:eastAsia="仿宋" w:cs="仿宋"/>
          <w:b/>
          <w:color w:val="auto"/>
          <w:spacing w:val="-6"/>
          <w:sz w:val="18"/>
          <w:szCs w:val="18"/>
          <w:highlight w:val="none"/>
        </w:rPr>
        <w:t>省级以上主管部门认定的首台套产品</w:t>
      </w:r>
      <w:r>
        <w:rPr>
          <w:rFonts w:hint="eastAsia" w:ascii="仿宋" w:hAnsi="仿宋" w:eastAsia="仿宋" w:cs="仿宋"/>
          <w:b/>
          <w:color w:val="auto"/>
          <w:spacing w:val="-6"/>
          <w:sz w:val="18"/>
          <w:szCs w:val="18"/>
          <w:highlight w:val="none"/>
          <w:lang w:val="en-US" w:eastAsia="zh-CN"/>
        </w:rPr>
        <w:t>相关证明材料或“制造精品”相关证明材料</w:t>
      </w:r>
      <w:r>
        <w:rPr>
          <w:rFonts w:hint="eastAsia" w:ascii="仿宋" w:hAnsi="仿宋" w:eastAsia="仿宋" w:cs="仿宋"/>
          <w:b/>
          <w:color w:val="auto"/>
          <w:spacing w:val="-6"/>
          <w:sz w:val="18"/>
          <w:szCs w:val="18"/>
          <w:highlight w:val="none"/>
        </w:rPr>
        <w:t>；</w:t>
      </w:r>
    </w:p>
    <w:p w14:paraId="1B6926EE">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2.所有合同扫描件应清晰，应能体现合同签订时间、双方签字盖章等内容；</w:t>
      </w:r>
    </w:p>
    <w:p w14:paraId="26EED587">
      <w:pPr>
        <w:adjustRightInd w:val="0"/>
        <w:snapToGrid w:val="0"/>
        <w:spacing w:line="360" w:lineRule="auto"/>
        <w:rPr>
          <w:rFonts w:ascii="仿宋" w:hAnsi="仿宋" w:eastAsia="仿宋" w:cs="仿宋"/>
          <w:color w:val="auto"/>
          <w:sz w:val="18"/>
          <w:szCs w:val="18"/>
          <w:highlight w:val="none"/>
        </w:rPr>
      </w:pPr>
      <w:r>
        <w:rPr>
          <w:rFonts w:hint="eastAsia" w:ascii="仿宋" w:hAnsi="仿宋" w:eastAsia="仿宋" w:cs="仿宋"/>
          <w:b/>
          <w:color w:val="auto"/>
          <w:spacing w:val="-6"/>
          <w:sz w:val="18"/>
          <w:szCs w:val="18"/>
          <w:highlight w:val="none"/>
        </w:rPr>
        <w:t>3.投标人应在不涉及商业秘密的前提下尽可能提供详细的合同扫描件内容。</w:t>
      </w:r>
    </w:p>
    <w:p w14:paraId="4E3E4758">
      <w:pPr>
        <w:adjustRightInd w:val="0"/>
        <w:snapToGrid w:val="0"/>
        <w:spacing w:line="360" w:lineRule="auto"/>
        <w:rPr>
          <w:rFonts w:ascii="仿宋" w:hAnsi="仿宋" w:eastAsia="仿宋" w:cs="仿宋"/>
          <w:color w:val="auto"/>
          <w:szCs w:val="21"/>
          <w:highlight w:val="none"/>
        </w:rPr>
      </w:pPr>
    </w:p>
    <w:p w14:paraId="15658758">
      <w:pPr>
        <w:adjustRightInd w:val="0"/>
        <w:snapToGrid w:val="0"/>
        <w:spacing w:line="360" w:lineRule="auto"/>
        <w:rPr>
          <w:rFonts w:ascii="仿宋" w:hAnsi="仿宋" w:eastAsia="仿宋" w:cs="仿宋"/>
          <w:color w:val="auto"/>
          <w:szCs w:val="21"/>
          <w:highlight w:val="none"/>
        </w:rPr>
      </w:pPr>
    </w:p>
    <w:p w14:paraId="0E98B774">
      <w:pPr>
        <w:adjustRightInd w:val="0"/>
        <w:snapToGrid w:val="0"/>
        <w:spacing w:line="360" w:lineRule="auto"/>
        <w:rPr>
          <w:rFonts w:ascii="仿宋" w:hAnsi="仿宋" w:eastAsia="仿宋" w:cs="仿宋"/>
          <w:b/>
          <w:bCs/>
          <w:color w:val="auto"/>
          <w:spacing w:val="-6"/>
          <w:szCs w:val="21"/>
          <w:highlight w:val="none"/>
        </w:rPr>
      </w:pPr>
    </w:p>
    <w:p w14:paraId="587C1527">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5A7EEA4B">
      <w:pPr>
        <w:pStyle w:val="13"/>
        <w:spacing w:line="360" w:lineRule="auto"/>
        <w:ind w:firstLine="0"/>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t>日期：     年   月   日</w:t>
      </w:r>
    </w:p>
    <w:p w14:paraId="25CCD354">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17AE800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节能、环保产品证明材料</w:t>
      </w:r>
    </w:p>
    <w:p w14:paraId="66515EC3">
      <w:pPr>
        <w:keepNext w:val="0"/>
        <w:keepLines w:val="0"/>
        <w:pageBreakBefore w:val="0"/>
        <w:widowControl w:val="0"/>
        <w:kinsoku/>
        <w:wordWrap/>
        <w:overflowPunct/>
        <w:topLinePunct w:val="0"/>
        <w:autoSpaceDE/>
        <w:autoSpaceDN/>
        <w:bidi w:val="0"/>
        <w:snapToGrid w:val="0"/>
        <w:spacing w:line="360" w:lineRule="auto"/>
        <w:ind w:firstLine="0"/>
        <w:jc w:val="both"/>
        <w:textAlignment w:val="auto"/>
        <w:rPr>
          <w:rFonts w:ascii="仿宋" w:hAnsi="仿宋" w:eastAsia="仿宋" w:cs="仿宋"/>
          <w:b/>
          <w:bCs/>
          <w:color w:val="auto"/>
          <w:spacing w:val="-6"/>
          <w:kern w:val="2"/>
          <w:sz w:val="18"/>
          <w:szCs w:val="18"/>
          <w:highlight w:val="none"/>
          <w:lang w:val="en-US" w:eastAsia="zh-CN" w:bidi="ar-SA"/>
        </w:rPr>
      </w:pPr>
      <w:r>
        <w:rPr>
          <w:rFonts w:hint="eastAsia" w:ascii="仿宋" w:hAnsi="仿宋" w:eastAsia="仿宋" w:cs="仿宋"/>
          <w:b/>
          <w:bCs/>
          <w:color w:val="auto"/>
          <w:spacing w:val="-6"/>
          <w:kern w:val="2"/>
          <w:sz w:val="18"/>
          <w:szCs w:val="18"/>
          <w:highlight w:val="none"/>
          <w:lang w:val="en-US" w:eastAsia="zh-CN" w:bidi="ar-SA"/>
        </w:rPr>
        <w:t>说明：</w:t>
      </w:r>
    </w:p>
    <w:p w14:paraId="45072DCA">
      <w:pPr>
        <w:keepNext w:val="0"/>
        <w:keepLines w:val="0"/>
        <w:pageBreakBefore w:val="0"/>
        <w:widowControl w:val="0"/>
        <w:kinsoku/>
        <w:wordWrap/>
        <w:overflowPunct/>
        <w:topLinePunct w:val="0"/>
        <w:autoSpaceDE/>
        <w:autoSpaceDN/>
        <w:bidi w:val="0"/>
        <w:snapToGrid w:val="0"/>
        <w:spacing w:line="360" w:lineRule="auto"/>
        <w:ind w:firstLine="0"/>
        <w:jc w:val="both"/>
        <w:textAlignment w:val="auto"/>
        <w:rPr>
          <w:rFonts w:hint="eastAsia" w:ascii="仿宋" w:hAnsi="仿宋" w:eastAsia="仿宋" w:cs="仿宋"/>
          <w:b/>
          <w:bCs/>
          <w:color w:val="auto"/>
          <w:spacing w:val="-6"/>
          <w:kern w:val="2"/>
          <w:sz w:val="18"/>
          <w:szCs w:val="18"/>
          <w:highlight w:val="none"/>
          <w:lang w:val="en-US" w:eastAsia="zh-CN" w:bidi="ar-SA"/>
        </w:rPr>
      </w:pPr>
      <w:r>
        <w:rPr>
          <w:rFonts w:hint="eastAsia" w:ascii="仿宋" w:hAnsi="仿宋" w:eastAsia="仿宋" w:cs="仿宋"/>
          <w:b/>
          <w:bCs/>
          <w:color w:val="auto"/>
          <w:spacing w:val="-6"/>
          <w:kern w:val="2"/>
          <w:sz w:val="18"/>
          <w:szCs w:val="18"/>
          <w:highlight w:val="none"/>
          <w:lang w:val="en-US" w:eastAsia="zh-CN" w:bidi="ar-SA"/>
        </w:rPr>
        <w:t>1.投标产品属于财政部、发展改革委公布的“节能产品政府采购品目清单”范围且由国家确定的认证机构出具的处于有效期之内的节能产品认证证书</w:t>
      </w:r>
    </w:p>
    <w:p w14:paraId="3B63F52F">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bCs/>
          <w:color w:val="auto"/>
          <w:spacing w:val="-6"/>
          <w:kern w:val="2"/>
          <w:sz w:val="18"/>
          <w:szCs w:val="18"/>
          <w:highlight w:val="none"/>
          <w:lang w:val="en-US" w:eastAsia="zh-CN" w:bidi="ar-SA"/>
        </w:rPr>
      </w:pPr>
      <w:r>
        <w:rPr>
          <w:rFonts w:hint="eastAsia" w:ascii="仿宋" w:hAnsi="仿宋" w:eastAsia="仿宋" w:cs="仿宋"/>
          <w:b/>
          <w:bCs/>
          <w:color w:val="auto"/>
          <w:sz w:val="18"/>
          <w:szCs w:val="18"/>
          <w:highlight w:val="none"/>
          <w:lang w:val="en-US" w:eastAsia="zh-CN"/>
        </w:rPr>
        <w:t>备注：显示器、监视器</w:t>
      </w:r>
      <w:r>
        <w:rPr>
          <w:rFonts w:hint="eastAsia" w:ascii="仿宋" w:hAnsi="仿宋" w:eastAsia="仿宋" w:cs="仿宋"/>
          <w:b/>
          <w:bCs/>
          <w:sz w:val="18"/>
          <w:szCs w:val="18"/>
          <w:lang w:val="en-US" w:eastAsia="zh-CN"/>
        </w:rPr>
        <w:t>未提供节能认证证书投标无效</w:t>
      </w:r>
    </w:p>
    <w:p w14:paraId="62504833">
      <w:pPr>
        <w:keepNext w:val="0"/>
        <w:keepLines w:val="0"/>
        <w:pageBreakBefore w:val="0"/>
        <w:widowControl w:val="0"/>
        <w:kinsoku/>
        <w:wordWrap/>
        <w:overflowPunct/>
        <w:topLinePunct w:val="0"/>
        <w:autoSpaceDE/>
        <w:autoSpaceDN/>
        <w:bidi w:val="0"/>
        <w:snapToGrid w:val="0"/>
        <w:spacing w:line="360" w:lineRule="auto"/>
        <w:ind w:firstLine="0"/>
        <w:jc w:val="both"/>
        <w:textAlignment w:val="auto"/>
        <w:rPr>
          <w:rFonts w:hint="eastAsia"/>
        </w:rPr>
      </w:pPr>
      <w:r>
        <w:rPr>
          <w:rFonts w:hint="eastAsia" w:ascii="仿宋" w:hAnsi="仿宋" w:eastAsia="仿宋" w:cs="仿宋"/>
          <w:b/>
          <w:bCs/>
          <w:color w:val="auto"/>
          <w:spacing w:val="-6"/>
          <w:kern w:val="2"/>
          <w:sz w:val="18"/>
          <w:szCs w:val="18"/>
          <w:highlight w:val="none"/>
          <w:lang w:val="en-US" w:eastAsia="zh-CN" w:bidi="ar-SA"/>
        </w:rPr>
        <w:t>2.投标产品属于财政部、生态环境部公布的“环境标志产品政府采购品目清单”范围且由国家确定的认证机构出具的处于有效期之内的环境标志产品认证证书</w:t>
      </w:r>
    </w:p>
    <w:p w14:paraId="0C0F9BD2">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3BD6E090">
      <w:pPr>
        <w:adjustRightInd w:val="0"/>
        <w:snapToGrid w:val="0"/>
        <w:spacing w:line="360" w:lineRule="auto"/>
        <w:jc w:val="center"/>
        <w:outlineLvl w:val="2"/>
        <w:rPr>
          <w:rFonts w:hint="eastAsia" w:ascii="仿宋" w:hAnsi="仿宋" w:eastAsia="仿宋" w:cs="仿宋"/>
          <w:spacing w:val="-6"/>
          <w:szCs w:val="21"/>
          <w:highlight w:val="none"/>
          <w:lang w:eastAsia="zh-CN"/>
        </w:rPr>
      </w:pPr>
      <w:r>
        <w:rPr>
          <w:rFonts w:hint="eastAsia" w:ascii="仿宋" w:hAnsi="仿宋" w:eastAsia="仿宋" w:cs="仿宋"/>
          <w:b/>
          <w:bCs/>
          <w:sz w:val="24"/>
          <w:szCs w:val="24"/>
          <w:highlight w:val="none"/>
          <w:lang w:eastAsia="zh-CN"/>
        </w:rPr>
        <w:t>标的配置清单</w:t>
      </w:r>
    </w:p>
    <w:tbl>
      <w:tblPr>
        <w:tblStyle w:val="24"/>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76"/>
        <w:gridCol w:w="1780"/>
        <w:gridCol w:w="1686"/>
        <w:gridCol w:w="851"/>
        <w:gridCol w:w="924"/>
        <w:gridCol w:w="1155"/>
        <w:gridCol w:w="978"/>
        <w:gridCol w:w="1572"/>
      </w:tblGrid>
      <w:tr w14:paraId="6C2E84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14:paraId="3EABCD35">
            <w:pPr>
              <w:jc w:val="center"/>
              <w:rPr>
                <w:rFonts w:hint="eastAsia" w:ascii="仿宋" w:hAnsi="仿宋" w:eastAsia="仿宋" w:cs="仿宋"/>
                <w:b/>
                <w:bCs/>
              </w:rPr>
            </w:pPr>
            <w:r>
              <w:rPr>
                <w:rFonts w:hint="eastAsia" w:ascii="仿宋" w:hAnsi="仿宋" w:eastAsia="仿宋" w:cs="仿宋"/>
                <w:b/>
                <w:bCs/>
              </w:rPr>
              <w:t>序号</w:t>
            </w: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4D41E0F6">
            <w:pPr>
              <w:jc w:val="center"/>
              <w:rPr>
                <w:rFonts w:hint="eastAsia" w:ascii="仿宋" w:hAnsi="仿宋" w:eastAsia="仿宋" w:cs="仿宋"/>
                <w:b/>
                <w:bCs/>
              </w:rPr>
            </w:pPr>
            <w:r>
              <w:rPr>
                <w:rFonts w:hint="eastAsia" w:ascii="仿宋" w:hAnsi="仿宋" w:eastAsia="仿宋" w:cs="仿宋"/>
                <w:b/>
                <w:bCs/>
              </w:rPr>
              <w:t>标的名称</w:t>
            </w: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18D66FAB">
            <w:pPr>
              <w:jc w:val="center"/>
              <w:rPr>
                <w:rFonts w:hint="eastAsia" w:ascii="仿宋" w:hAnsi="仿宋" w:eastAsia="仿宋" w:cs="仿宋"/>
                <w:b/>
                <w:bCs/>
              </w:rPr>
            </w:pPr>
            <w:r>
              <w:rPr>
                <w:rFonts w:hint="eastAsia" w:ascii="仿宋" w:hAnsi="仿宋" w:eastAsia="仿宋" w:cs="仿宋"/>
                <w:b/>
                <w:bCs/>
              </w:rPr>
              <w:t>规格型号</w:t>
            </w:r>
          </w:p>
        </w:tc>
        <w:tc>
          <w:tcPr>
            <w:tcW w:w="442" w:type="pct"/>
            <w:tcBorders>
              <w:top w:val="single" w:color="auto" w:sz="4" w:space="0"/>
              <w:left w:val="single" w:color="auto" w:sz="4" w:space="0"/>
              <w:bottom w:val="single" w:color="auto" w:sz="4" w:space="0"/>
              <w:right w:val="single" w:color="auto" w:sz="4" w:space="0"/>
            </w:tcBorders>
            <w:shd w:val="clear" w:color="auto" w:fill="FFFFFF"/>
            <w:vAlign w:val="center"/>
          </w:tcPr>
          <w:p w14:paraId="594CCA8B">
            <w:pPr>
              <w:jc w:val="center"/>
              <w:rPr>
                <w:rFonts w:hint="eastAsia" w:ascii="仿宋" w:hAnsi="仿宋" w:eastAsia="仿宋" w:cs="仿宋"/>
                <w:b/>
                <w:bCs/>
              </w:rPr>
            </w:pPr>
            <w:r>
              <w:rPr>
                <w:rFonts w:hint="eastAsia" w:ascii="仿宋" w:hAnsi="仿宋" w:eastAsia="仿宋" w:cs="仿宋"/>
                <w:b/>
                <w:bCs/>
              </w:rPr>
              <w:t>数量</w:t>
            </w: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138C10C0">
            <w:pPr>
              <w:jc w:val="center"/>
              <w:rPr>
                <w:rFonts w:hint="eastAsia" w:ascii="仿宋" w:hAnsi="仿宋" w:eastAsia="仿宋" w:cs="仿宋"/>
                <w:b/>
                <w:bCs/>
              </w:rPr>
            </w:pPr>
            <w:r>
              <w:rPr>
                <w:rFonts w:hint="eastAsia" w:ascii="仿宋" w:hAnsi="仿宋" w:eastAsia="仿宋" w:cs="仿宋"/>
                <w:b/>
                <w:bCs/>
              </w:rPr>
              <w:t>★品牌</w:t>
            </w:r>
          </w:p>
        </w:tc>
        <w:tc>
          <w:tcPr>
            <w:tcW w:w="600" w:type="pct"/>
            <w:tcBorders>
              <w:top w:val="single" w:color="auto" w:sz="4" w:space="0"/>
              <w:left w:val="single" w:color="auto" w:sz="4" w:space="0"/>
              <w:bottom w:val="single" w:color="auto" w:sz="4" w:space="0"/>
              <w:right w:val="single" w:color="auto" w:sz="4" w:space="0"/>
            </w:tcBorders>
            <w:shd w:val="clear" w:color="auto" w:fill="FFFFFF"/>
            <w:vAlign w:val="center"/>
          </w:tcPr>
          <w:p w14:paraId="0D0DC5C4">
            <w:pPr>
              <w:jc w:val="center"/>
              <w:rPr>
                <w:rFonts w:hint="eastAsia" w:ascii="仿宋" w:hAnsi="仿宋" w:eastAsia="仿宋" w:cs="仿宋"/>
                <w:b/>
                <w:bCs/>
              </w:rPr>
            </w:pPr>
            <w:r>
              <w:rPr>
                <w:rFonts w:hint="eastAsia" w:ascii="仿宋" w:hAnsi="仿宋" w:eastAsia="仿宋" w:cs="仿宋"/>
                <w:b/>
                <w:bCs/>
              </w:rPr>
              <w:t>★制造商</w:t>
            </w:r>
          </w:p>
        </w:tc>
        <w:tc>
          <w:tcPr>
            <w:tcW w:w="508" w:type="pct"/>
            <w:tcBorders>
              <w:top w:val="single" w:color="auto" w:sz="4" w:space="0"/>
              <w:left w:val="single" w:color="auto" w:sz="4" w:space="0"/>
              <w:bottom w:val="single" w:color="auto" w:sz="4" w:space="0"/>
              <w:right w:val="single" w:color="auto" w:sz="4" w:space="0"/>
            </w:tcBorders>
            <w:vAlign w:val="center"/>
          </w:tcPr>
          <w:p w14:paraId="04E01E14">
            <w:pPr>
              <w:jc w:val="center"/>
              <w:rPr>
                <w:rFonts w:hint="eastAsia" w:ascii="仿宋" w:hAnsi="仿宋" w:eastAsia="仿宋" w:cs="仿宋"/>
                <w:b/>
                <w:bCs/>
              </w:rPr>
            </w:pPr>
            <w:r>
              <w:rPr>
                <w:rFonts w:hint="eastAsia" w:ascii="仿宋" w:hAnsi="仿宋" w:eastAsia="仿宋" w:cs="仿宋"/>
                <w:b/>
                <w:bCs/>
              </w:rPr>
              <w:t>★产地</w:t>
            </w:r>
          </w:p>
        </w:tc>
        <w:tc>
          <w:tcPr>
            <w:tcW w:w="813" w:type="pct"/>
            <w:tcBorders>
              <w:top w:val="single" w:color="auto" w:sz="4" w:space="0"/>
              <w:left w:val="single" w:color="auto" w:sz="4" w:space="0"/>
              <w:bottom w:val="single" w:color="auto" w:sz="4" w:space="0"/>
              <w:right w:val="single" w:color="auto" w:sz="4" w:space="0"/>
            </w:tcBorders>
            <w:vAlign w:val="center"/>
          </w:tcPr>
          <w:p w14:paraId="52267D4B">
            <w:pPr>
              <w:jc w:val="center"/>
              <w:rPr>
                <w:rFonts w:hint="eastAsia" w:ascii="仿宋" w:hAnsi="仿宋" w:eastAsia="仿宋" w:cs="仿宋"/>
                <w:b/>
                <w:bCs/>
              </w:rPr>
            </w:pPr>
            <w:r>
              <w:rPr>
                <w:rFonts w:hint="eastAsia" w:ascii="仿宋" w:hAnsi="仿宋" w:eastAsia="仿宋" w:cs="仿宋"/>
                <w:b/>
                <w:bCs/>
              </w:rPr>
              <w:t>备注</w:t>
            </w:r>
          </w:p>
          <w:p w14:paraId="45AC3691">
            <w:pPr>
              <w:jc w:val="center"/>
              <w:rPr>
                <w:rFonts w:hint="eastAsia" w:ascii="仿宋" w:hAnsi="仿宋" w:eastAsia="仿宋" w:cs="仿宋"/>
                <w:b/>
                <w:bCs/>
              </w:rPr>
            </w:pPr>
            <w:r>
              <w:rPr>
                <w:rFonts w:hint="eastAsia" w:ascii="仿宋" w:hAnsi="仿宋" w:eastAsia="仿宋" w:cs="仿宋"/>
                <w:b/>
                <w:bCs/>
              </w:rPr>
              <w:t>（可另附页）</w:t>
            </w:r>
          </w:p>
        </w:tc>
      </w:tr>
      <w:tr w14:paraId="4F6760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14:paraId="27E1821C">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5504293E">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192E0D67">
            <w:pPr>
              <w:jc w:val="center"/>
              <w:rPr>
                <w:rFonts w:hint="eastAsia" w:ascii="仿宋" w:hAnsi="仿宋" w:eastAsia="仿宋" w:cs="仿宋"/>
                <w:b/>
                <w:bCs/>
              </w:rPr>
            </w:pPr>
          </w:p>
        </w:tc>
        <w:tc>
          <w:tcPr>
            <w:tcW w:w="442" w:type="pct"/>
            <w:tcBorders>
              <w:top w:val="single" w:color="auto" w:sz="4" w:space="0"/>
              <w:left w:val="single" w:color="auto" w:sz="4" w:space="0"/>
              <w:bottom w:val="single" w:color="auto" w:sz="4" w:space="0"/>
              <w:right w:val="single" w:color="auto" w:sz="4" w:space="0"/>
            </w:tcBorders>
            <w:shd w:val="clear" w:color="auto" w:fill="FFFFFF"/>
            <w:vAlign w:val="center"/>
          </w:tcPr>
          <w:p w14:paraId="009DDDB0">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2BD56C25">
            <w:pPr>
              <w:jc w:val="center"/>
              <w:rPr>
                <w:rFonts w:hint="eastAsia" w:ascii="仿宋" w:hAnsi="仿宋" w:eastAsia="仿宋" w:cs="仿宋"/>
                <w:b/>
                <w:bCs/>
              </w:rPr>
            </w:pPr>
          </w:p>
        </w:tc>
        <w:tc>
          <w:tcPr>
            <w:tcW w:w="600" w:type="pct"/>
            <w:tcBorders>
              <w:top w:val="single" w:color="auto" w:sz="4" w:space="0"/>
              <w:left w:val="single" w:color="auto" w:sz="4" w:space="0"/>
              <w:bottom w:val="single" w:color="auto" w:sz="4" w:space="0"/>
              <w:right w:val="single" w:color="auto" w:sz="4" w:space="0"/>
            </w:tcBorders>
            <w:shd w:val="clear" w:color="auto" w:fill="FFFFFF"/>
            <w:vAlign w:val="center"/>
          </w:tcPr>
          <w:p w14:paraId="5422A8A5">
            <w:pPr>
              <w:jc w:val="center"/>
              <w:rPr>
                <w:rFonts w:hint="eastAsia" w:ascii="仿宋" w:hAnsi="仿宋" w:eastAsia="仿宋" w:cs="仿宋"/>
                <w:b/>
                <w:bCs/>
              </w:rPr>
            </w:pPr>
          </w:p>
        </w:tc>
        <w:tc>
          <w:tcPr>
            <w:tcW w:w="508" w:type="pct"/>
            <w:tcBorders>
              <w:top w:val="single" w:color="auto" w:sz="4" w:space="0"/>
              <w:left w:val="single" w:color="auto" w:sz="4" w:space="0"/>
              <w:bottom w:val="single" w:color="auto" w:sz="4" w:space="0"/>
              <w:right w:val="single" w:color="auto" w:sz="4" w:space="0"/>
            </w:tcBorders>
            <w:vAlign w:val="center"/>
          </w:tcPr>
          <w:p w14:paraId="23AFC484">
            <w:pPr>
              <w:jc w:val="center"/>
              <w:rPr>
                <w:rFonts w:hint="eastAsia" w:ascii="仿宋" w:hAnsi="仿宋" w:eastAsia="仿宋" w:cs="仿宋"/>
                <w:b/>
                <w:bCs/>
              </w:rPr>
            </w:pPr>
          </w:p>
        </w:tc>
        <w:tc>
          <w:tcPr>
            <w:tcW w:w="813" w:type="pct"/>
            <w:tcBorders>
              <w:top w:val="single" w:color="auto" w:sz="4" w:space="0"/>
              <w:left w:val="single" w:color="auto" w:sz="4" w:space="0"/>
              <w:bottom w:val="single" w:color="auto" w:sz="4" w:space="0"/>
              <w:right w:val="single" w:color="auto" w:sz="4" w:space="0"/>
            </w:tcBorders>
            <w:vAlign w:val="center"/>
          </w:tcPr>
          <w:p w14:paraId="766DC8D5">
            <w:pPr>
              <w:jc w:val="center"/>
              <w:rPr>
                <w:rFonts w:hint="eastAsia" w:ascii="仿宋" w:hAnsi="仿宋" w:eastAsia="仿宋" w:cs="仿宋"/>
                <w:b/>
                <w:bCs/>
              </w:rPr>
            </w:pPr>
          </w:p>
        </w:tc>
      </w:tr>
      <w:tr w14:paraId="3E1CE4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14:paraId="516F972B">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3F41CECC">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0F1A3895">
            <w:pPr>
              <w:jc w:val="center"/>
              <w:rPr>
                <w:rFonts w:hint="eastAsia" w:ascii="仿宋" w:hAnsi="仿宋" w:eastAsia="仿宋" w:cs="仿宋"/>
                <w:b/>
                <w:bCs/>
              </w:rPr>
            </w:pPr>
          </w:p>
        </w:tc>
        <w:tc>
          <w:tcPr>
            <w:tcW w:w="442" w:type="pct"/>
            <w:tcBorders>
              <w:top w:val="single" w:color="auto" w:sz="4" w:space="0"/>
              <w:left w:val="single" w:color="auto" w:sz="4" w:space="0"/>
              <w:bottom w:val="single" w:color="auto" w:sz="4" w:space="0"/>
              <w:right w:val="single" w:color="auto" w:sz="4" w:space="0"/>
            </w:tcBorders>
            <w:shd w:val="clear" w:color="auto" w:fill="FFFFFF"/>
            <w:vAlign w:val="center"/>
          </w:tcPr>
          <w:p w14:paraId="25CBF051">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30B15949">
            <w:pPr>
              <w:jc w:val="center"/>
              <w:rPr>
                <w:rFonts w:hint="eastAsia" w:ascii="仿宋" w:hAnsi="仿宋" w:eastAsia="仿宋" w:cs="仿宋"/>
                <w:b/>
                <w:bCs/>
              </w:rPr>
            </w:pPr>
          </w:p>
        </w:tc>
        <w:tc>
          <w:tcPr>
            <w:tcW w:w="600" w:type="pct"/>
            <w:tcBorders>
              <w:top w:val="single" w:color="auto" w:sz="4" w:space="0"/>
              <w:left w:val="single" w:color="auto" w:sz="4" w:space="0"/>
              <w:bottom w:val="single" w:color="auto" w:sz="4" w:space="0"/>
              <w:right w:val="single" w:color="auto" w:sz="4" w:space="0"/>
            </w:tcBorders>
            <w:shd w:val="clear" w:color="auto" w:fill="FFFFFF"/>
            <w:vAlign w:val="center"/>
          </w:tcPr>
          <w:p w14:paraId="5476CA9B">
            <w:pPr>
              <w:jc w:val="center"/>
              <w:rPr>
                <w:rFonts w:hint="eastAsia" w:ascii="仿宋" w:hAnsi="仿宋" w:eastAsia="仿宋" w:cs="仿宋"/>
                <w:b/>
                <w:bCs/>
              </w:rPr>
            </w:pPr>
          </w:p>
        </w:tc>
        <w:tc>
          <w:tcPr>
            <w:tcW w:w="508" w:type="pct"/>
            <w:tcBorders>
              <w:top w:val="single" w:color="auto" w:sz="4" w:space="0"/>
              <w:left w:val="single" w:color="auto" w:sz="4" w:space="0"/>
              <w:bottom w:val="single" w:color="auto" w:sz="4" w:space="0"/>
              <w:right w:val="single" w:color="auto" w:sz="4" w:space="0"/>
            </w:tcBorders>
            <w:vAlign w:val="center"/>
          </w:tcPr>
          <w:p w14:paraId="1E17D890">
            <w:pPr>
              <w:jc w:val="center"/>
              <w:rPr>
                <w:rFonts w:hint="eastAsia" w:ascii="仿宋" w:hAnsi="仿宋" w:eastAsia="仿宋" w:cs="仿宋"/>
                <w:b/>
                <w:bCs/>
              </w:rPr>
            </w:pPr>
          </w:p>
        </w:tc>
        <w:tc>
          <w:tcPr>
            <w:tcW w:w="813" w:type="pct"/>
            <w:tcBorders>
              <w:top w:val="single" w:color="auto" w:sz="4" w:space="0"/>
              <w:left w:val="single" w:color="auto" w:sz="4" w:space="0"/>
              <w:bottom w:val="single" w:color="auto" w:sz="4" w:space="0"/>
              <w:right w:val="single" w:color="auto" w:sz="4" w:space="0"/>
            </w:tcBorders>
            <w:vAlign w:val="center"/>
          </w:tcPr>
          <w:p w14:paraId="0DB5D92B">
            <w:pPr>
              <w:jc w:val="center"/>
              <w:rPr>
                <w:rFonts w:hint="eastAsia" w:ascii="仿宋" w:hAnsi="仿宋" w:eastAsia="仿宋" w:cs="仿宋"/>
                <w:b/>
                <w:bCs/>
              </w:rPr>
            </w:pPr>
          </w:p>
        </w:tc>
      </w:tr>
      <w:tr w14:paraId="5C4FF2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14:paraId="463AEC72">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4B1CD001">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180543F7">
            <w:pPr>
              <w:jc w:val="center"/>
              <w:rPr>
                <w:rFonts w:hint="eastAsia" w:ascii="仿宋" w:hAnsi="仿宋" w:eastAsia="仿宋" w:cs="仿宋"/>
                <w:b/>
                <w:bCs/>
              </w:rPr>
            </w:pPr>
          </w:p>
        </w:tc>
        <w:tc>
          <w:tcPr>
            <w:tcW w:w="442" w:type="pct"/>
            <w:tcBorders>
              <w:top w:val="single" w:color="auto" w:sz="4" w:space="0"/>
              <w:left w:val="single" w:color="auto" w:sz="4" w:space="0"/>
              <w:bottom w:val="single" w:color="auto" w:sz="4" w:space="0"/>
              <w:right w:val="single" w:color="auto" w:sz="4" w:space="0"/>
            </w:tcBorders>
            <w:shd w:val="clear" w:color="auto" w:fill="FFFFFF"/>
            <w:vAlign w:val="center"/>
          </w:tcPr>
          <w:p w14:paraId="4E45F5F0">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2C71040C">
            <w:pPr>
              <w:jc w:val="center"/>
              <w:rPr>
                <w:rFonts w:hint="eastAsia" w:ascii="仿宋" w:hAnsi="仿宋" w:eastAsia="仿宋" w:cs="仿宋"/>
                <w:b/>
                <w:bCs/>
              </w:rPr>
            </w:pPr>
          </w:p>
        </w:tc>
        <w:tc>
          <w:tcPr>
            <w:tcW w:w="600" w:type="pct"/>
            <w:tcBorders>
              <w:top w:val="single" w:color="auto" w:sz="4" w:space="0"/>
              <w:left w:val="single" w:color="auto" w:sz="4" w:space="0"/>
              <w:bottom w:val="single" w:color="auto" w:sz="4" w:space="0"/>
              <w:right w:val="single" w:color="auto" w:sz="4" w:space="0"/>
            </w:tcBorders>
            <w:shd w:val="clear" w:color="auto" w:fill="FFFFFF"/>
            <w:vAlign w:val="center"/>
          </w:tcPr>
          <w:p w14:paraId="3BA18366">
            <w:pPr>
              <w:jc w:val="center"/>
              <w:rPr>
                <w:rFonts w:hint="eastAsia" w:ascii="仿宋" w:hAnsi="仿宋" w:eastAsia="仿宋" w:cs="仿宋"/>
                <w:b/>
                <w:bCs/>
              </w:rPr>
            </w:pPr>
          </w:p>
        </w:tc>
        <w:tc>
          <w:tcPr>
            <w:tcW w:w="508" w:type="pct"/>
            <w:tcBorders>
              <w:top w:val="single" w:color="auto" w:sz="4" w:space="0"/>
              <w:left w:val="single" w:color="auto" w:sz="4" w:space="0"/>
              <w:bottom w:val="single" w:color="auto" w:sz="4" w:space="0"/>
              <w:right w:val="single" w:color="auto" w:sz="4" w:space="0"/>
            </w:tcBorders>
            <w:vAlign w:val="center"/>
          </w:tcPr>
          <w:p w14:paraId="4E008500">
            <w:pPr>
              <w:jc w:val="center"/>
              <w:rPr>
                <w:rFonts w:hint="eastAsia" w:ascii="仿宋" w:hAnsi="仿宋" w:eastAsia="仿宋" w:cs="仿宋"/>
                <w:b/>
                <w:bCs/>
              </w:rPr>
            </w:pPr>
          </w:p>
        </w:tc>
        <w:tc>
          <w:tcPr>
            <w:tcW w:w="813" w:type="pct"/>
            <w:tcBorders>
              <w:top w:val="single" w:color="auto" w:sz="4" w:space="0"/>
              <w:left w:val="single" w:color="auto" w:sz="4" w:space="0"/>
              <w:bottom w:val="single" w:color="auto" w:sz="4" w:space="0"/>
              <w:right w:val="single" w:color="auto" w:sz="4" w:space="0"/>
            </w:tcBorders>
            <w:vAlign w:val="center"/>
          </w:tcPr>
          <w:p w14:paraId="1BB76037">
            <w:pPr>
              <w:jc w:val="center"/>
              <w:rPr>
                <w:rFonts w:hint="eastAsia" w:ascii="仿宋" w:hAnsi="仿宋" w:eastAsia="仿宋" w:cs="仿宋"/>
                <w:b/>
                <w:bCs/>
              </w:rPr>
            </w:pPr>
          </w:p>
        </w:tc>
      </w:tr>
      <w:tr w14:paraId="183EE3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14:paraId="1E0A6C74">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2EBE13C1">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4BFAB7A0">
            <w:pPr>
              <w:jc w:val="center"/>
              <w:rPr>
                <w:rFonts w:hint="eastAsia" w:ascii="仿宋" w:hAnsi="仿宋" w:eastAsia="仿宋" w:cs="仿宋"/>
                <w:b/>
                <w:bCs/>
              </w:rPr>
            </w:pPr>
          </w:p>
        </w:tc>
        <w:tc>
          <w:tcPr>
            <w:tcW w:w="442" w:type="pct"/>
            <w:tcBorders>
              <w:top w:val="single" w:color="auto" w:sz="4" w:space="0"/>
              <w:left w:val="single" w:color="auto" w:sz="4" w:space="0"/>
              <w:bottom w:val="single" w:color="auto" w:sz="4" w:space="0"/>
              <w:right w:val="single" w:color="auto" w:sz="4" w:space="0"/>
            </w:tcBorders>
            <w:shd w:val="clear" w:color="auto" w:fill="FFFFFF"/>
            <w:vAlign w:val="center"/>
          </w:tcPr>
          <w:p w14:paraId="2306125A">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24E73958">
            <w:pPr>
              <w:jc w:val="center"/>
              <w:rPr>
                <w:rFonts w:hint="eastAsia" w:ascii="仿宋" w:hAnsi="仿宋" w:eastAsia="仿宋" w:cs="仿宋"/>
                <w:b/>
                <w:bCs/>
              </w:rPr>
            </w:pPr>
          </w:p>
        </w:tc>
        <w:tc>
          <w:tcPr>
            <w:tcW w:w="600" w:type="pct"/>
            <w:tcBorders>
              <w:top w:val="single" w:color="auto" w:sz="4" w:space="0"/>
              <w:left w:val="single" w:color="auto" w:sz="4" w:space="0"/>
              <w:bottom w:val="single" w:color="auto" w:sz="4" w:space="0"/>
              <w:right w:val="single" w:color="auto" w:sz="4" w:space="0"/>
            </w:tcBorders>
            <w:shd w:val="clear" w:color="auto" w:fill="FFFFFF"/>
            <w:vAlign w:val="center"/>
          </w:tcPr>
          <w:p w14:paraId="57354107">
            <w:pPr>
              <w:jc w:val="center"/>
              <w:rPr>
                <w:rFonts w:hint="eastAsia" w:ascii="仿宋" w:hAnsi="仿宋" w:eastAsia="仿宋" w:cs="仿宋"/>
                <w:b/>
                <w:bCs/>
              </w:rPr>
            </w:pPr>
          </w:p>
        </w:tc>
        <w:tc>
          <w:tcPr>
            <w:tcW w:w="508" w:type="pct"/>
            <w:tcBorders>
              <w:top w:val="single" w:color="auto" w:sz="4" w:space="0"/>
              <w:left w:val="single" w:color="auto" w:sz="4" w:space="0"/>
              <w:bottom w:val="single" w:color="auto" w:sz="4" w:space="0"/>
              <w:right w:val="single" w:color="auto" w:sz="4" w:space="0"/>
            </w:tcBorders>
            <w:vAlign w:val="center"/>
          </w:tcPr>
          <w:p w14:paraId="4EDADE7E">
            <w:pPr>
              <w:jc w:val="center"/>
              <w:rPr>
                <w:rFonts w:hint="eastAsia" w:ascii="仿宋" w:hAnsi="仿宋" w:eastAsia="仿宋" w:cs="仿宋"/>
                <w:b/>
                <w:bCs/>
              </w:rPr>
            </w:pPr>
          </w:p>
        </w:tc>
        <w:tc>
          <w:tcPr>
            <w:tcW w:w="813" w:type="pct"/>
            <w:tcBorders>
              <w:top w:val="single" w:color="auto" w:sz="4" w:space="0"/>
              <w:left w:val="single" w:color="auto" w:sz="4" w:space="0"/>
              <w:bottom w:val="single" w:color="auto" w:sz="4" w:space="0"/>
              <w:right w:val="single" w:color="auto" w:sz="4" w:space="0"/>
            </w:tcBorders>
            <w:vAlign w:val="center"/>
          </w:tcPr>
          <w:p w14:paraId="26C68DEF">
            <w:pPr>
              <w:jc w:val="center"/>
              <w:rPr>
                <w:rFonts w:hint="eastAsia" w:ascii="仿宋" w:hAnsi="仿宋" w:eastAsia="仿宋" w:cs="仿宋"/>
                <w:b/>
                <w:bCs/>
              </w:rPr>
            </w:pPr>
          </w:p>
        </w:tc>
      </w:tr>
      <w:tr w14:paraId="02F16B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14:paraId="5C4CF4FE">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1B54E051">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263955DE">
            <w:pPr>
              <w:jc w:val="center"/>
              <w:rPr>
                <w:rFonts w:hint="eastAsia" w:ascii="仿宋" w:hAnsi="仿宋" w:eastAsia="仿宋" w:cs="仿宋"/>
                <w:b/>
                <w:bCs/>
              </w:rPr>
            </w:pPr>
          </w:p>
        </w:tc>
        <w:tc>
          <w:tcPr>
            <w:tcW w:w="442" w:type="pct"/>
            <w:tcBorders>
              <w:top w:val="single" w:color="auto" w:sz="4" w:space="0"/>
              <w:left w:val="single" w:color="auto" w:sz="4" w:space="0"/>
              <w:bottom w:val="single" w:color="auto" w:sz="4" w:space="0"/>
              <w:right w:val="single" w:color="auto" w:sz="4" w:space="0"/>
            </w:tcBorders>
            <w:shd w:val="clear" w:color="auto" w:fill="FFFFFF"/>
            <w:vAlign w:val="center"/>
          </w:tcPr>
          <w:p w14:paraId="5B6548EF">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2A08BFBC">
            <w:pPr>
              <w:jc w:val="center"/>
              <w:rPr>
                <w:rFonts w:hint="eastAsia" w:ascii="仿宋" w:hAnsi="仿宋" w:eastAsia="仿宋" w:cs="仿宋"/>
                <w:b/>
                <w:bCs/>
              </w:rPr>
            </w:pPr>
          </w:p>
        </w:tc>
        <w:tc>
          <w:tcPr>
            <w:tcW w:w="600" w:type="pct"/>
            <w:tcBorders>
              <w:top w:val="single" w:color="auto" w:sz="4" w:space="0"/>
              <w:left w:val="single" w:color="auto" w:sz="4" w:space="0"/>
              <w:bottom w:val="single" w:color="auto" w:sz="4" w:space="0"/>
              <w:right w:val="single" w:color="auto" w:sz="4" w:space="0"/>
            </w:tcBorders>
            <w:shd w:val="clear" w:color="auto" w:fill="FFFFFF"/>
            <w:vAlign w:val="center"/>
          </w:tcPr>
          <w:p w14:paraId="4FF094B1">
            <w:pPr>
              <w:jc w:val="center"/>
              <w:rPr>
                <w:rFonts w:hint="eastAsia" w:ascii="仿宋" w:hAnsi="仿宋" w:eastAsia="仿宋" w:cs="仿宋"/>
                <w:b/>
                <w:bCs/>
              </w:rPr>
            </w:pPr>
          </w:p>
        </w:tc>
        <w:tc>
          <w:tcPr>
            <w:tcW w:w="508" w:type="pct"/>
            <w:tcBorders>
              <w:top w:val="single" w:color="auto" w:sz="4" w:space="0"/>
              <w:left w:val="single" w:color="auto" w:sz="4" w:space="0"/>
              <w:bottom w:val="single" w:color="auto" w:sz="4" w:space="0"/>
              <w:right w:val="single" w:color="auto" w:sz="4" w:space="0"/>
            </w:tcBorders>
            <w:vAlign w:val="center"/>
          </w:tcPr>
          <w:p w14:paraId="1951BFB6">
            <w:pPr>
              <w:jc w:val="center"/>
              <w:rPr>
                <w:rFonts w:hint="eastAsia" w:ascii="仿宋" w:hAnsi="仿宋" w:eastAsia="仿宋" w:cs="仿宋"/>
                <w:b/>
                <w:bCs/>
              </w:rPr>
            </w:pPr>
          </w:p>
        </w:tc>
        <w:tc>
          <w:tcPr>
            <w:tcW w:w="813" w:type="pct"/>
            <w:tcBorders>
              <w:top w:val="single" w:color="auto" w:sz="4" w:space="0"/>
              <w:left w:val="single" w:color="auto" w:sz="4" w:space="0"/>
              <w:bottom w:val="single" w:color="auto" w:sz="4" w:space="0"/>
              <w:right w:val="single" w:color="auto" w:sz="4" w:space="0"/>
            </w:tcBorders>
            <w:vAlign w:val="center"/>
          </w:tcPr>
          <w:p w14:paraId="7FB5303E">
            <w:pPr>
              <w:jc w:val="center"/>
              <w:rPr>
                <w:rFonts w:hint="eastAsia" w:ascii="仿宋" w:hAnsi="仿宋" w:eastAsia="仿宋" w:cs="仿宋"/>
                <w:b/>
                <w:bCs/>
              </w:rPr>
            </w:pPr>
          </w:p>
        </w:tc>
      </w:tr>
      <w:tr w14:paraId="570E15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14:paraId="6D2B6A5B">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5D072764">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0E9F5365">
            <w:pPr>
              <w:jc w:val="center"/>
              <w:rPr>
                <w:rFonts w:hint="eastAsia" w:ascii="仿宋" w:hAnsi="仿宋" w:eastAsia="仿宋" w:cs="仿宋"/>
                <w:b/>
                <w:bCs/>
              </w:rPr>
            </w:pPr>
          </w:p>
        </w:tc>
        <w:tc>
          <w:tcPr>
            <w:tcW w:w="442" w:type="pct"/>
            <w:tcBorders>
              <w:top w:val="single" w:color="auto" w:sz="4" w:space="0"/>
              <w:left w:val="single" w:color="auto" w:sz="4" w:space="0"/>
              <w:bottom w:val="single" w:color="auto" w:sz="4" w:space="0"/>
              <w:right w:val="single" w:color="auto" w:sz="4" w:space="0"/>
            </w:tcBorders>
            <w:shd w:val="clear" w:color="auto" w:fill="FFFFFF"/>
            <w:vAlign w:val="center"/>
          </w:tcPr>
          <w:p w14:paraId="4EB7F33D">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019F49E4">
            <w:pPr>
              <w:jc w:val="center"/>
              <w:rPr>
                <w:rFonts w:hint="eastAsia" w:ascii="仿宋" w:hAnsi="仿宋" w:eastAsia="仿宋" w:cs="仿宋"/>
                <w:b/>
                <w:bCs/>
              </w:rPr>
            </w:pPr>
          </w:p>
        </w:tc>
        <w:tc>
          <w:tcPr>
            <w:tcW w:w="600" w:type="pct"/>
            <w:tcBorders>
              <w:top w:val="single" w:color="auto" w:sz="4" w:space="0"/>
              <w:left w:val="single" w:color="auto" w:sz="4" w:space="0"/>
              <w:bottom w:val="single" w:color="auto" w:sz="4" w:space="0"/>
              <w:right w:val="single" w:color="auto" w:sz="4" w:space="0"/>
            </w:tcBorders>
            <w:shd w:val="clear" w:color="auto" w:fill="FFFFFF"/>
            <w:vAlign w:val="center"/>
          </w:tcPr>
          <w:p w14:paraId="15BF03B1">
            <w:pPr>
              <w:jc w:val="center"/>
              <w:rPr>
                <w:rFonts w:hint="eastAsia" w:ascii="仿宋" w:hAnsi="仿宋" w:eastAsia="仿宋" w:cs="仿宋"/>
                <w:b/>
                <w:bCs/>
              </w:rPr>
            </w:pPr>
          </w:p>
        </w:tc>
        <w:tc>
          <w:tcPr>
            <w:tcW w:w="508" w:type="pct"/>
            <w:tcBorders>
              <w:top w:val="single" w:color="auto" w:sz="4" w:space="0"/>
              <w:left w:val="single" w:color="auto" w:sz="4" w:space="0"/>
              <w:bottom w:val="single" w:color="auto" w:sz="4" w:space="0"/>
              <w:right w:val="single" w:color="auto" w:sz="4" w:space="0"/>
            </w:tcBorders>
            <w:vAlign w:val="center"/>
          </w:tcPr>
          <w:p w14:paraId="7F3043D0">
            <w:pPr>
              <w:jc w:val="center"/>
              <w:rPr>
                <w:rFonts w:hint="eastAsia" w:ascii="仿宋" w:hAnsi="仿宋" w:eastAsia="仿宋" w:cs="仿宋"/>
                <w:b/>
                <w:bCs/>
              </w:rPr>
            </w:pPr>
          </w:p>
        </w:tc>
        <w:tc>
          <w:tcPr>
            <w:tcW w:w="813" w:type="pct"/>
            <w:tcBorders>
              <w:top w:val="single" w:color="auto" w:sz="4" w:space="0"/>
              <w:left w:val="single" w:color="auto" w:sz="4" w:space="0"/>
              <w:bottom w:val="single" w:color="auto" w:sz="4" w:space="0"/>
              <w:right w:val="single" w:color="auto" w:sz="4" w:space="0"/>
            </w:tcBorders>
            <w:vAlign w:val="center"/>
          </w:tcPr>
          <w:p w14:paraId="003C8BC3">
            <w:pPr>
              <w:jc w:val="center"/>
              <w:rPr>
                <w:rFonts w:hint="eastAsia" w:ascii="仿宋" w:hAnsi="仿宋" w:eastAsia="仿宋" w:cs="仿宋"/>
                <w:b/>
                <w:bCs/>
              </w:rPr>
            </w:pPr>
          </w:p>
        </w:tc>
      </w:tr>
      <w:tr w14:paraId="0EA5EA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8"/>
            <w:tcBorders>
              <w:top w:val="single" w:color="auto" w:sz="4" w:space="0"/>
              <w:left w:val="single" w:color="auto" w:sz="4" w:space="0"/>
              <w:bottom w:val="single" w:color="auto" w:sz="4" w:space="0"/>
              <w:right w:val="single" w:color="auto" w:sz="4" w:space="0"/>
            </w:tcBorders>
            <w:shd w:val="clear" w:color="auto" w:fill="auto"/>
            <w:vAlign w:val="center"/>
          </w:tcPr>
          <w:p w14:paraId="0B382EA1">
            <w:pPr>
              <w:rPr>
                <w:rFonts w:hint="eastAsia" w:ascii="仿宋" w:hAnsi="仿宋" w:eastAsia="仿宋" w:cs="仿宋"/>
                <w:b/>
                <w:bCs/>
              </w:rPr>
            </w:pPr>
            <w:r>
              <w:rPr>
                <w:rFonts w:hint="eastAsia" w:ascii="仿宋" w:hAnsi="仿宋" w:eastAsia="仿宋" w:cs="仿宋"/>
                <w:b/>
                <w:bCs/>
              </w:rPr>
              <w:t>★以下（联合体</w:t>
            </w:r>
            <w:r>
              <w:rPr>
                <w:rFonts w:hint="eastAsia" w:ascii="仿宋" w:hAnsi="仿宋" w:eastAsia="仿宋" w:cs="仿宋"/>
                <w:b/>
                <w:bCs/>
                <w:lang w:val="en-US" w:eastAsia="zh-CN"/>
              </w:rPr>
              <w:t>其他</w:t>
            </w:r>
            <w:r>
              <w:rPr>
                <w:rFonts w:hint="eastAsia" w:ascii="仿宋" w:hAnsi="仿宋" w:eastAsia="仿宋" w:cs="仿宋"/>
                <w:b/>
                <w:bCs/>
              </w:rPr>
              <w:t>成员）承担的部分</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如无则可不填写</w:t>
            </w:r>
            <w:r>
              <w:rPr>
                <w:rFonts w:hint="eastAsia" w:ascii="仿宋" w:hAnsi="仿宋" w:eastAsia="仿宋" w:cs="仿宋"/>
                <w:b/>
                <w:bCs/>
                <w:color w:val="auto"/>
                <w:highlight w:val="none"/>
                <w:lang w:eastAsia="zh-CN"/>
              </w:rPr>
              <w:t>）</w:t>
            </w:r>
          </w:p>
        </w:tc>
      </w:tr>
      <w:tr w14:paraId="45C62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14:paraId="72898E61">
            <w:pPr>
              <w:jc w:val="center"/>
              <w:rPr>
                <w:rFonts w:hint="eastAsia" w:ascii="仿宋" w:hAnsi="仿宋" w:eastAsia="仿宋" w:cs="仿宋"/>
                <w:b/>
                <w:bCs/>
              </w:rPr>
            </w:pPr>
          </w:p>
        </w:tc>
        <w:tc>
          <w:tcPr>
            <w:tcW w:w="925" w:type="pct"/>
            <w:tcBorders>
              <w:top w:val="single" w:color="auto" w:sz="4" w:space="0"/>
              <w:left w:val="single" w:color="auto" w:sz="4" w:space="0"/>
              <w:bottom w:val="single" w:color="auto" w:sz="4" w:space="0"/>
              <w:right w:val="single" w:color="auto" w:sz="4" w:space="0"/>
            </w:tcBorders>
            <w:shd w:val="clear" w:color="auto" w:fill="auto"/>
            <w:vAlign w:val="center"/>
          </w:tcPr>
          <w:p w14:paraId="235AF661">
            <w:pPr>
              <w:jc w:val="center"/>
              <w:rPr>
                <w:rFonts w:hint="eastAsia" w:ascii="仿宋" w:hAnsi="仿宋" w:eastAsia="仿宋" w:cs="仿宋"/>
                <w:b/>
                <w:bCs/>
              </w:rPr>
            </w:pPr>
          </w:p>
        </w:tc>
        <w:tc>
          <w:tcPr>
            <w:tcW w:w="876" w:type="pct"/>
            <w:tcBorders>
              <w:top w:val="single" w:color="auto" w:sz="4" w:space="0"/>
              <w:left w:val="single" w:color="auto" w:sz="4" w:space="0"/>
              <w:bottom w:val="single" w:color="auto" w:sz="4" w:space="0"/>
              <w:right w:val="single" w:color="auto" w:sz="4" w:space="0"/>
            </w:tcBorders>
            <w:shd w:val="clear" w:color="auto" w:fill="FFFFFF"/>
            <w:vAlign w:val="center"/>
          </w:tcPr>
          <w:p w14:paraId="491C38E8">
            <w:pPr>
              <w:jc w:val="center"/>
              <w:rPr>
                <w:rFonts w:hint="eastAsia" w:ascii="仿宋" w:hAnsi="仿宋" w:eastAsia="仿宋" w:cs="仿宋"/>
                <w:b/>
                <w:bCs/>
              </w:rPr>
            </w:pPr>
          </w:p>
        </w:tc>
        <w:tc>
          <w:tcPr>
            <w:tcW w:w="442" w:type="pct"/>
            <w:tcBorders>
              <w:top w:val="single" w:color="auto" w:sz="4" w:space="0"/>
              <w:left w:val="single" w:color="auto" w:sz="4" w:space="0"/>
              <w:bottom w:val="single" w:color="auto" w:sz="4" w:space="0"/>
              <w:right w:val="single" w:color="auto" w:sz="4" w:space="0"/>
            </w:tcBorders>
            <w:shd w:val="clear" w:color="auto" w:fill="FFFFFF"/>
            <w:vAlign w:val="center"/>
          </w:tcPr>
          <w:p w14:paraId="45DB3D5B">
            <w:pPr>
              <w:jc w:val="center"/>
              <w:rPr>
                <w:rFonts w:hint="eastAsia" w:ascii="仿宋" w:hAnsi="仿宋" w:eastAsia="仿宋" w:cs="仿宋"/>
                <w:b/>
                <w:bCs/>
              </w:rPr>
            </w:pPr>
          </w:p>
        </w:tc>
        <w:tc>
          <w:tcPr>
            <w:tcW w:w="480" w:type="pct"/>
            <w:tcBorders>
              <w:top w:val="single" w:color="auto" w:sz="4" w:space="0"/>
              <w:left w:val="single" w:color="auto" w:sz="4" w:space="0"/>
              <w:bottom w:val="single" w:color="auto" w:sz="4" w:space="0"/>
              <w:right w:val="single" w:color="auto" w:sz="4" w:space="0"/>
            </w:tcBorders>
            <w:shd w:val="clear" w:color="auto" w:fill="FFFFFF"/>
            <w:vAlign w:val="center"/>
          </w:tcPr>
          <w:p w14:paraId="1639DFF4">
            <w:pPr>
              <w:jc w:val="center"/>
              <w:rPr>
                <w:rFonts w:hint="eastAsia" w:ascii="仿宋" w:hAnsi="仿宋" w:eastAsia="仿宋" w:cs="仿宋"/>
                <w:b/>
                <w:bCs/>
              </w:rPr>
            </w:pPr>
          </w:p>
        </w:tc>
        <w:tc>
          <w:tcPr>
            <w:tcW w:w="600" w:type="pct"/>
            <w:tcBorders>
              <w:top w:val="single" w:color="auto" w:sz="4" w:space="0"/>
              <w:left w:val="single" w:color="auto" w:sz="4" w:space="0"/>
              <w:bottom w:val="single" w:color="auto" w:sz="4" w:space="0"/>
              <w:right w:val="single" w:color="auto" w:sz="4" w:space="0"/>
            </w:tcBorders>
            <w:shd w:val="clear" w:color="auto" w:fill="FFFFFF"/>
            <w:vAlign w:val="center"/>
          </w:tcPr>
          <w:p w14:paraId="01A03A03">
            <w:pPr>
              <w:jc w:val="center"/>
              <w:rPr>
                <w:rFonts w:hint="eastAsia" w:ascii="仿宋" w:hAnsi="仿宋" w:eastAsia="仿宋" w:cs="仿宋"/>
                <w:b/>
                <w:bCs/>
              </w:rPr>
            </w:pPr>
          </w:p>
        </w:tc>
        <w:tc>
          <w:tcPr>
            <w:tcW w:w="508" w:type="pct"/>
            <w:tcBorders>
              <w:top w:val="single" w:color="auto" w:sz="4" w:space="0"/>
              <w:left w:val="single" w:color="auto" w:sz="4" w:space="0"/>
              <w:bottom w:val="single" w:color="auto" w:sz="4" w:space="0"/>
              <w:right w:val="single" w:color="auto" w:sz="4" w:space="0"/>
            </w:tcBorders>
            <w:vAlign w:val="center"/>
          </w:tcPr>
          <w:p w14:paraId="556A6339">
            <w:pPr>
              <w:jc w:val="center"/>
              <w:rPr>
                <w:rFonts w:hint="eastAsia" w:ascii="仿宋" w:hAnsi="仿宋" w:eastAsia="仿宋" w:cs="仿宋"/>
                <w:b/>
                <w:bCs/>
              </w:rPr>
            </w:pPr>
          </w:p>
        </w:tc>
        <w:tc>
          <w:tcPr>
            <w:tcW w:w="813" w:type="pct"/>
            <w:tcBorders>
              <w:top w:val="single" w:color="auto" w:sz="4" w:space="0"/>
              <w:left w:val="single" w:color="auto" w:sz="4" w:space="0"/>
              <w:bottom w:val="single" w:color="auto" w:sz="4" w:space="0"/>
              <w:right w:val="single" w:color="auto" w:sz="4" w:space="0"/>
            </w:tcBorders>
            <w:vAlign w:val="center"/>
          </w:tcPr>
          <w:p w14:paraId="0E5C0C7A">
            <w:pPr>
              <w:jc w:val="center"/>
              <w:rPr>
                <w:rFonts w:hint="eastAsia" w:ascii="仿宋" w:hAnsi="仿宋" w:eastAsia="仿宋" w:cs="仿宋"/>
                <w:b/>
                <w:bCs/>
              </w:rPr>
            </w:pPr>
          </w:p>
        </w:tc>
      </w:tr>
    </w:tbl>
    <w:p w14:paraId="076CA45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p>
    <w:p w14:paraId="26A05C5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注：</w:t>
      </w:r>
    </w:p>
    <w:p w14:paraId="2808CDFB">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1.按照招标文件明确的标的清单填写此表；</w:t>
      </w:r>
    </w:p>
    <w:p w14:paraId="3FD45C8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★2.服务项目不涉及提供货物的，规格型号、品牌、制造商、产地可不填写；</w:t>
      </w:r>
    </w:p>
    <w:p w14:paraId="03532B1E">
      <w:pPr>
        <w:adjustRightInd w:val="0"/>
        <w:snapToGrid w:val="0"/>
        <w:spacing w:line="360" w:lineRule="auto"/>
      </w:pPr>
      <w:r>
        <w:rPr>
          <w:rFonts w:hint="eastAsia" w:ascii="仿宋" w:hAnsi="仿宋" w:eastAsia="仿宋" w:cs="仿宋"/>
          <w:b/>
          <w:bCs/>
          <w:color w:val="auto"/>
          <w:spacing w:val="-6"/>
          <w:sz w:val="18"/>
          <w:szCs w:val="18"/>
          <w:highlight w:val="none"/>
        </w:rPr>
        <w:t>★3.联合体其他成员承担的部分，应在表中列明。</w:t>
      </w:r>
    </w:p>
    <w:p w14:paraId="59744018">
      <w:pPr>
        <w:adjustRightInd w:val="0"/>
        <w:snapToGrid w:val="0"/>
        <w:spacing w:line="360" w:lineRule="auto"/>
        <w:rPr>
          <w:rFonts w:ascii="仿宋" w:hAnsi="仿宋" w:eastAsia="仿宋" w:cs="仿宋"/>
          <w:color w:val="auto"/>
          <w:spacing w:val="-6"/>
          <w:szCs w:val="21"/>
          <w:highlight w:val="none"/>
        </w:rPr>
      </w:pPr>
    </w:p>
    <w:p w14:paraId="126B2B0D">
      <w:pPr>
        <w:adjustRightInd w:val="0"/>
        <w:snapToGrid w:val="0"/>
        <w:spacing w:line="360" w:lineRule="auto"/>
        <w:rPr>
          <w:rFonts w:ascii="仿宋" w:hAnsi="仿宋" w:eastAsia="仿宋" w:cs="仿宋"/>
          <w:b/>
          <w:bCs/>
          <w:color w:val="auto"/>
          <w:spacing w:val="-6"/>
          <w:szCs w:val="21"/>
          <w:highlight w:val="none"/>
        </w:rPr>
      </w:pPr>
    </w:p>
    <w:p w14:paraId="693E075F">
      <w:pPr>
        <w:adjustRightInd w:val="0"/>
        <w:snapToGrid w:val="0"/>
        <w:spacing w:line="360" w:lineRule="auto"/>
        <w:rPr>
          <w:rFonts w:hint="eastAsia" w:ascii="仿宋" w:hAnsi="仿宋" w:eastAsia="仿宋" w:cs="仿宋"/>
          <w:b/>
          <w:bCs/>
          <w:color w:val="auto"/>
          <w:spacing w:val="-6"/>
          <w:szCs w:val="21"/>
          <w:highlight w:val="none"/>
        </w:rPr>
      </w:pPr>
    </w:p>
    <w:p w14:paraId="0F0E7C3C">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77E3E42B">
      <w:pPr>
        <w:pStyle w:val="110"/>
        <w:spacing w:line="360" w:lineRule="auto"/>
        <w:ind w:left="0"/>
        <w:rPr>
          <w:rFonts w:ascii="仿宋" w:hAnsi="仿宋" w:eastAsia="仿宋" w:cs="仿宋"/>
          <w:color w:val="auto"/>
          <w:spacing w:val="-6"/>
          <w:sz w:val="24"/>
          <w:highlight w:val="none"/>
        </w:rPr>
      </w:pPr>
      <w:r>
        <w:rPr>
          <w:rFonts w:hint="eastAsia" w:ascii="仿宋" w:hAnsi="仿宋" w:eastAsia="仿宋" w:cs="仿宋"/>
          <w:b/>
          <w:bCs/>
          <w:color w:val="auto"/>
          <w:spacing w:val="-6"/>
          <w:szCs w:val="21"/>
          <w:highlight w:val="none"/>
        </w:rPr>
        <w:t>日期：     年   月   日</w:t>
      </w:r>
    </w:p>
    <w:p w14:paraId="484F17BC">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4A64813A">
      <w:pPr>
        <w:keepNext w:val="0"/>
        <w:keepLines w:val="0"/>
        <w:pageBreakBefore w:val="0"/>
        <w:kinsoku/>
        <w:wordWrap/>
        <w:overflowPunct/>
        <w:topLinePunct w:val="0"/>
        <w:autoSpaceDE/>
        <w:autoSpaceDN/>
        <w:bidi w:val="0"/>
        <w:spacing w:line="360" w:lineRule="auto"/>
        <w:jc w:val="center"/>
        <w:textAlignment w:val="auto"/>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技术方案</w:t>
      </w:r>
    </w:p>
    <w:p w14:paraId="03D3604B">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w:t>
      </w:r>
    </w:p>
    <w:p w14:paraId="5DCB56A0">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1.网络系统设计方案：设计定位及原则、技术路线[含制造商公开发布的印刷资料（官网材料、彩页、Datasheet）或国家认可的第三方检测机构出具的检验报告（具有CMA标识）、产品相关认证（如有）、网络产品兼容性及统一管理解决方案]、系统架构图、物理拓扑图</w:t>
      </w:r>
    </w:p>
    <w:p w14:paraId="58A1C805">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2.中控系统设计方案：设计定位及原则、技术路线[含制造商公开发布的印刷资料（官网材料、彩页、Datasheet）或国家认可的第三方检测机构出具的检验报告（具有CMA标识）、产品相关认证（如有）、中控软件设计方案]、系统架构图、物理拓扑图</w:t>
      </w:r>
    </w:p>
    <w:p w14:paraId="424E799A">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3.机器人讲解员程序二次开发方案</w:t>
      </w:r>
    </w:p>
    <w:p w14:paraId="4C45FABA">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default"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4.学校和学院的介绍展示系统设计方案</w:t>
      </w:r>
    </w:p>
    <w:p w14:paraId="7B3BB9C6">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4.1 设计定位及原则、技术路线[含制造商公开发布的印刷资料（官网材料、彩页、Datasheet）或国家认可的第三方检测机构出具的检验报告（具有CMA标识）、产品相关认证（如有）]</w:t>
      </w:r>
    </w:p>
    <w:p w14:paraId="68A583F8">
      <w:pPr>
        <w:keepNext w:val="0"/>
        <w:keepLines w:val="0"/>
        <w:pageBreakBefore w:val="0"/>
        <w:widowControl/>
        <w:kinsoku/>
        <w:wordWrap/>
        <w:overflowPunct/>
        <w:topLinePunct w:val="0"/>
        <w:autoSpaceDE/>
        <w:autoSpaceDN/>
        <w:bidi w:val="0"/>
        <w:adjustRightInd w:val="0"/>
        <w:snapToGrid w:val="0"/>
        <w:spacing w:line="360" w:lineRule="auto"/>
        <w:ind w:firstLine="169" w:firstLineChars="10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4.2 模式内容和体验构思及效果呈现</w:t>
      </w:r>
    </w:p>
    <w:p w14:paraId="789CD4CB">
      <w:pPr>
        <w:keepNext w:val="0"/>
        <w:keepLines w:val="0"/>
        <w:pageBreakBefore w:val="0"/>
        <w:widowControl/>
        <w:kinsoku/>
        <w:wordWrap/>
        <w:overflowPunct/>
        <w:topLinePunct w:val="0"/>
        <w:autoSpaceDE/>
        <w:autoSpaceDN/>
        <w:bidi w:val="0"/>
        <w:adjustRightInd w:val="0"/>
        <w:snapToGrid w:val="0"/>
        <w:spacing w:line="360" w:lineRule="auto"/>
        <w:ind w:firstLine="169" w:firstLineChars="10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4.3 互动展示程序设计</w:t>
      </w:r>
    </w:p>
    <w:p w14:paraId="4B2BF27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5.序厅开合屏展示系统设计方案</w:t>
      </w:r>
    </w:p>
    <w:p w14:paraId="4D315647">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5.1 设计定位及原则、技术路线[含制造商公开发布的印刷资料（官网材料、彩页、Datasheet）或国家认可的第三方检测机构出具的检验报告（具有CMA标识）、产品相关认证（如有）]</w:t>
      </w:r>
    </w:p>
    <w:p w14:paraId="0DE68BC0">
      <w:pPr>
        <w:keepNext w:val="0"/>
        <w:keepLines w:val="0"/>
        <w:pageBreakBefore w:val="0"/>
        <w:widowControl/>
        <w:kinsoku/>
        <w:wordWrap/>
        <w:overflowPunct/>
        <w:topLinePunct w:val="0"/>
        <w:autoSpaceDE/>
        <w:autoSpaceDN/>
        <w:bidi w:val="0"/>
        <w:adjustRightInd w:val="0"/>
        <w:snapToGrid w:val="0"/>
        <w:spacing w:line="360" w:lineRule="auto"/>
        <w:ind w:firstLine="169" w:firstLineChars="10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5.2 模式内容和体验构思及效果呈现</w:t>
      </w:r>
    </w:p>
    <w:p w14:paraId="3B45E097">
      <w:pPr>
        <w:keepNext w:val="0"/>
        <w:keepLines w:val="0"/>
        <w:pageBreakBefore w:val="0"/>
        <w:widowControl/>
        <w:kinsoku/>
        <w:wordWrap/>
        <w:overflowPunct/>
        <w:topLinePunct w:val="0"/>
        <w:autoSpaceDE/>
        <w:autoSpaceDN/>
        <w:bidi w:val="0"/>
        <w:adjustRightInd w:val="0"/>
        <w:snapToGrid w:val="0"/>
        <w:spacing w:line="360" w:lineRule="auto"/>
        <w:ind w:firstLine="169" w:firstLineChars="10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5.3 旋转轨道设计、互动展示程序设计</w:t>
      </w:r>
    </w:p>
    <w:p w14:paraId="0D72EA84">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6.海上能源岛沉浸式体验展示系统设计方案</w:t>
      </w:r>
    </w:p>
    <w:p w14:paraId="6E12675B">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6.1 设计定位及原则、技术路线[含制造商公开发布的印刷资料（官网材料、彩页、Datasheet）或国家认可的第三方检测机构出具的检验报告（具有CMA标识）、产品相关认证（如有）]</w:t>
      </w:r>
    </w:p>
    <w:p w14:paraId="409B5092">
      <w:pPr>
        <w:keepNext w:val="0"/>
        <w:keepLines w:val="0"/>
        <w:pageBreakBefore w:val="0"/>
        <w:widowControl/>
        <w:kinsoku/>
        <w:wordWrap/>
        <w:overflowPunct/>
        <w:topLinePunct w:val="0"/>
        <w:autoSpaceDE/>
        <w:autoSpaceDN/>
        <w:bidi w:val="0"/>
        <w:adjustRightInd w:val="0"/>
        <w:snapToGrid w:val="0"/>
        <w:spacing w:line="360" w:lineRule="auto"/>
        <w:ind w:firstLine="169" w:firstLineChars="10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6.2 欢迎、参观接待、教学、合影模式体验构思及效果呈现</w:t>
      </w:r>
    </w:p>
    <w:p w14:paraId="54FEB2C5">
      <w:pPr>
        <w:keepNext w:val="0"/>
        <w:keepLines w:val="0"/>
        <w:pageBreakBefore w:val="0"/>
        <w:widowControl/>
        <w:kinsoku/>
        <w:wordWrap/>
        <w:overflowPunct/>
        <w:topLinePunct w:val="0"/>
        <w:autoSpaceDE/>
        <w:autoSpaceDN/>
        <w:bidi w:val="0"/>
        <w:adjustRightInd w:val="0"/>
        <w:snapToGrid w:val="0"/>
        <w:spacing w:line="360" w:lineRule="auto"/>
        <w:ind w:firstLine="169" w:firstLineChars="10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6.3 海陆协同沉浸式体验演示设备设计</w:t>
      </w:r>
    </w:p>
    <w:p w14:paraId="26809BC0">
      <w:pPr>
        <w:keepNext w:val="0"/>
        <w:keepLines w:val="0"/>
        <w:pageBreakBefore w:val="0"/>
        <w:widowControl/>
        <w:kinsoku/>
        <w:wordWrap/>
        <w:overflowPunct/>
        <w:topLinePunct w:val="0"/>
        <w:autoSpaceDE/>
        <w:autoSpaceDN/>
        <w:bidi w:val="0"/>
        <w:adjustRightInd w:val="0"/>
        <w:snapToGrid w:val="0"/>
        <w:spacing w:line="360" w:lineRule="auto"/>
        <w:ind w:firstLine="169" w:firstLineChars="10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6.4 海陆协同演示系统设计</w:t>
      </w:r>
    </w:p>
    <w:p w14:paraId="2647BEA4">
      <w:pPr>
        <w:keepNext w:val="0"/>
        <w:keepLines w:val="0"/>
        <w:pageBreakBefore w:val="0"/>
        <w:widowControl/>
        <w:kinsoku/>
        <w:wordWrap/>
        <w:overflowPunct/>
        <w:topLinePunct w:val="0"/>
        <w:autoSpaceDE/>
        <w:autoSpaceDN/>
        <w:bidi w:val="0"/>
        <w:adjustRightInd w:val="0"/>
        <w:snapToGrid w:val="0"/>
        <w:spacing w:line="360" w:lineRule="auto"/>
        <w:ind w:firstLine="169" w:firstLineChars="10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6.5 拍摄打印程序设计</w:t>
      </w:r>
    </w:p>
    <w:p w14:paraId="67552083">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7.创新中的科教融合展示系统设计方案</w:t>
      </w:r>
    </w:p>
    <w:p w14:paraId="1C5283E3">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7.1 设计定位及原则、技术路线[含制造商公开发布的印刷资料（官网材料、彩页、Datasheet）或国家认可的第三方检测机构出具的检验报告（具有CMA标识）、产品相关认证（如有）]</w:t>
      </w:r>
    </w:p>
    <w:p w14:paraId="69858B78">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7.2 模式内容和体验构思及效果呈现</w:t>
      </w:r>
    </w:p>
    <w:p w14:paraId="6834C6EB">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7.3 展示程序设计</w:t>
      </w:r>
    </w:p>
    <w:p w14:paraId="59D88F0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8.智慧城市展示系统设计方案</w:t>
      </w:r>
    </w:p>
    <w:p w14:paraId="6967ACE0">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8.1 设计定位及原则、技术路线[含制造商公开发布的印刷资料（官网材料、彩页、Datasheet）或国家认可的第三方检测机构出具的检验报告（具有CMA标识）、产品相关认证（如有）]</w:t>
      </w:r>
    </w:p>
    <w:p w14:paraId="2F10AD38">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8.2 模式内容和体验构思及效果呈现</w:t>
      </w:r>
    </w:p>
    <w:p w14:paraId="589AA0F8">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8.3 互动感应装置、互动展示程序设计</w:t>
      </w:r>
    </w:p>
    <w:p w14:paraId="3D0CA843">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9.合作单位Logo墙展示系统设计方案</w:t>
      </w:r>
    </w:p>
    <w:p w14:paraId="1B0D774A">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9.1 设计定位及原则、技术路线[含制造商公开发布的印刷资料（官网材料、彩页、Datasheet）或国家认可的第三方检测机构出具的检验报告（具有CMA标识）、产品相关认证（如有）]</w:t>
      </w:r>
    </w:p>
    <w:p w14:paraId="202C011D">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9.2 模式内容和体验构思及效果呈现</w:t>
      </w:r>
    </w:p>
    <w:p w14:paraId="3CB9A3B1">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9.3 Logo墙展示画面设计</w:t>
      </w:r>
    </w:p>
    <w:p w14:paraId="391521C4">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10.未来课堂沉浸式体验展示系统设计方案</w:t>
      </w:r>
    </w:p>
    <w:p w14:paraId="78255173">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10.1 设计定位及原则、技术路线[含制造商公开发布的印刷资料（官网材料、彩页、Datasheet）或国家认可的第三方检测机构出具的检验报告（具有CMA标识）、产品相关认证（如有）]</w:t>
      </w:r>
    </w:p>
    <w:p w14:paraId="6F258017">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10.2 模式内容和体验构思及效果呈现</w:t>
      </w:r>
    </w:p>
    <w:p w14:paraId="121C40E5">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10.3 触控桌面系统界面、互动程序设计</w:t>
      </w:r>
    </w:p>
    <w:p w14:paraId="3A03ECF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11.点播学习区展示系统设计方案</w:t>
      </w:r>
    </w:p>
    <w:p w14:paraId="7365A4A9">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11.1 设计定位及原则、技术路线[含制造商公开发布的印刷资料（官网材料、彩页、Datasheet）或国家认可的第三方检测机构出具的检验报告（具有CMA标识）、产品相关认证（如有）]</w:t>
      </w:r>
    </w:p>
    <w:p w14:paraId="3C091E76">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11.2 模式内容和体验构思及效果呈现</w:t>
      </w:r>
    </w:p>
    <w:p w14:paraId="2AD91EDB">
      <w:pPr>
        <w:keepNext w:val="0"/>
        <w:keepLines w:val="0"/>
        <w:pageBreakBefore w:val="0"/>
        <w:widowControl/>
        <w:kinsoku/>
        <w:wordWrap/>
        <w:overflowPunct/>
        <w:topLinePunct w:val="0"/>
        <w:autoSpaceDE/>
        <w:autoSpaceDN/>
        <w:bidi w:val="0"/>
        <w:adjustRightInd w:val="0"/>
        <w:snapToGrid w:val="0"/>
        <w:spacing w:line="360" w:lineRule="auto"/>
        <w:ind w:left="178" w:leftChars="85" w:firstLine="0" w:firstLineChars="0"/>
        <w:jc w:val="left"/>
        <w:textAlignment w:val="auto"/>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lang w:val="en-US" w:eastAsia="zh-CN"/>
        </w:rPr>
        <w:t>11.3 识别装置、互动展示程序（含一体机系统界面）设计（评分范围:2,1,0.5,0）</w:t>
      </w:r>
    </w:p>
    <w:p w14:paraId="445C4AC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5D10D61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249D338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仿宋" w:hAnsi="仿宋" w:eastAsia="仿宋" w:cs="仿宋"/>
          <w:b/>
          <w:color w:val="auto"/>
          <w:spacing w:val="-6"/>
          <w:sz w:val="24"/>
          <w:highlight w:val="none"/>
        </w:rPr>
      </w:pPr>
    </w:p>
    <w:p w14:paraId="3184E18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hint="default" w:ascii="仿宋" w:hAnsi="仿宋" w:eastAsia="仿宋" w:cs="仿宋"/>
          <w:b/>
          <w:color w:val="auto"/>
          <w:spacing w:val="-6"/>
          <w:sz w:val="24"/>
          <w:highlight w:val="none"/>
          <w:lang w:val="en-US" w:eastAsia="zh-CN"/>
        </w:rPr>
      </w:pPr>
      <w:r>
        <w:rPr>
          <w:rFonts w:hint="eastAsia" w:ascii="仿宋" w:hAnsi="仿宋" w:eastAsia="仿宋" w:cs="仿宋"/>
          <w:b/>
          <w:color w:val="auto"/>
          <w:spacing w:val="-6"/>
          <w:sz w:val="24"/>
          <w:highlight w:val="none"/>
          <w:lang w:val="en-US" w:eastAsia="zh-CN"/>
        </w:rPr>
        <w:t>项目实施方案</w:t>
      </w:r>
    </w:p>
    <w:p w14:paraId="7279DD32">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color w:val="auto"/>
          <w:spacing w:val="-6"/>
          <w:sz w:val="24"/>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提供和编写（格式自拟），包括但不仅限于总体设想、实施计划、设计与安装调试及展陈施工配合协调措施、新技术/新产品/新工艺/新材料应用等。</w:t>
      </w:r>
    </w:p>
    <w:p w14:paraId="3D0D091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4BF31B8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4513DA75">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27AC0B5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培训计划</w:t>
      </w:r>
    </w:p>
    <w:p w14:paraId="47F2C159">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color w:val="auto"/>
          <w:spacing w:val="-6"/>
          <w:sz w:val="24"/>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提供和编写（格式自拟），包括但不仅限于培训流程、培训方式、培训对象、培训内容、培训日程等。</w:t>
      </w:r>
    </w:p>
    <w:p w14:paraId="24609CDD">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4FA9911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019E1C3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color w:val="auto"/>
          <w:spacing w:val="-6"/>
          <w:sz w:val="24"/>
          <w:highlight w:val="none"/>
        </w:rPr>
      </w:pPr>
    </w:p>
    <w:p w14:paraId="2E25955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售后服务方案</w:t>
      </w:r>
    </w:p>
    <w:p w14:paraId="14D9B79B">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根据</w:t>
      </w:r>
      <w:r>
        <w:rPr>
          <w:rFonts w:hint="eastAsia" w:ascii="仿宋" w:hAnsi="仿宋" w:eastAsia="仿宋" w:cs="仿宋"/>
          <w:b/>
          <w:color w:val="auto"/>
          <w:spacing w:val="-6"/>
          <w:sz w:val="18"/>
          <w:szCs w:val="18"/>
          <w:highlight w:val="none"/>
          <w:lang w:eastAsia="zh-CN"/>
        </w:rPr>
        <w:t>评分标准</w:t>
      </w:r>
      <w:r>
        <w:rPr>
          <w:rFonts w:hint="eastAsia" w:ascii="仿宋" w:hAnsi="仿宋" w:eastAsia="仿宋" w:cs="仿宋"/>
          <w:b/>
          <w:color w:val="auto"/>
          <w:spacing w:val="-6"/>
          <w:sz w:val="18"/>
          <w:szCs w:val="18"/>
          <w:highlight w:val="none"/>
        </w:rPr>
        <w:t>提供和编写（格式自拟），包括但不仅限于：</w:t>
      </w:r>
    </w:p>
    <w:p w14:paraId="1D5DDCE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color w:val="auto"/>
          <w:spacing w:val="-6"/>
          <w:sz w:val="18"/>
          <w:szCs w:val="18"/>
          <w:highlight w:val="none"/>
          <w:lang w:eastAsia="zh-CN"/>
        </w:rPr>
      </w:pPr>
      <w:r>
        <w:rPr>
          <w:rFonts w:hint="eastAsia" w:ascii="仿宋" w:hAnsi="仿宋" w:eastAsia="仿宋" w:cs="仿宋"/>
          <w:b/>
          <w:color w:val="auto"/>
          <w:spacing w:val="-6"/>
          <w:sz w:val="18"/>
          <w:szCs w:val="18"/>
          <w:highlight w:val="none"/>
        </w:rPr>
        <w:t>1.</w:t>
      </w:r>
      <w:r>
        <w:rPr>
          <w:rFonts w:hint="eastAsia" w:ascii="仿宋" w:hAnsi="仿宋" w:eastAsia="仿宋" w:cs="仿宋"/>
          <w:b/>
          <w:color w:val="auto"/>
          <w:spacing w:val="-6"/>
          <w:sz w:val="18"/>
          <w:szCs w:val="18"/>
          <w:highlight w:val="none"/>
          <w:lang w:eastAsia="zh-CN"/>
        </w:rPr>
        <w:t>服务机构、服务内容、服务承诺、响应时间、服务方式</w:t>
      </w:r>
      <w:r>
        <w:rPr>
          <w:rFonts w:hint="eastAsia" w:ascii="仿宋" w:hAnsi="仿宋" w:eastAsia="仿宋" w:cs="仿宋"/>
          <w:b/>
          <w:color w:val="auto"/>
          <w:spacing w:val="-6"/>
          <w:sz w:val="18"/>
          <w:szCs w:val="18"/>
          <w:highlight w:val="none"/>
        </w:rPr>
        <w:t>、</w:t>
      </w:r>
      <w:r>
        <w:rPr>
          <w:rFonts w:hint="eastAsia" w:ascii="仿宋" w:hAnsi="仿宋" w:eastAsia="仿宋" w:cs="仿宋"/>
          <w:b/>
          <w:color w:val="auto"/>
          <w:spacing w:val="-6"/>
          <w:sz w:val="18"/>
          <w:szCs w:val="18"/>
          <w:highlight w:val="none"/>
          <w:lang w:val="en-US" w:eastAsia="zh-CN"/>
        </w:rPr>
        <w:t>人员配备、</w:t>
      </w:r>
      <w:r>
        <w:rPr>
          <w:rFonts w:hint="eastAsia" w:ascii="仿宋" w:hAnsi="仿宋" w:eastAsia="仿宋" w:cs="仿宋"/>
          <w:b/>
          <w:color w:val="auto"/>
          <w:spacing w:val="-6"/>
          <w:sz w:val="18"/>
          <w:szCs w:val="18"/>
          <w:highlight w:val="none"/>
          <w:lang w:eastAsia="zh-CN"/>
        </w:rPr>
        <w:t>应急服务等</w:t>
      </w:r>
    </w:p>
    <w:p w14:paraId="224DB43F">
      <w:pPr>
        <w:keepNext w:val="0"/>
        <w:keepLines w:val="0"/>
        <w:pageBreakBefore w:val="0"/>
        <w:widowControl w:val="0"/>
        <w:kinsoku/>
        <w:wordWrap/>
        <w:overflowPunct/>
        <w:topLinePunct w:val="0"/>
        <w:autoSpaceDE/>
        <w:autoSpaceDN/>
        <w:bidi w:val="0"/>
        <w:adjustRightInd/>
        <w:snapToGrid/>
        <w:spacing w:line="360" w:lineRule="auto"/>
        <w:textAlignment w:val="auto"/>
        <w:rPr>
          <w:color w:val="auto"/>
          <w:highlight w:val="none"/>
        </w:rPr>
      </w:pPr>
      <w:r>
        <w:rPr>
          <w:rFonts w:hint="eastAsia" w:ascii="仿宋" w:hAnsi="仿宋" w:eastAsia="仿宋" w:cs="仿宋"/>
          <w:b/>
          <w:color w:val="auto"/>
          <w:spacing w:val="-6"/>
          <w:sz w:val="18"/>
          <w:szCs w:val="18"/>
          <w:highlight w:val="none"/>
          <w:lang w:val="en-US" w:eastAsia="zh-CN"/>
        </w:rPr>
        <w:t>2.</w:t>
      </w:r>
      <w:r>
        <w:rPr>
          <w:rFonts w:hint="eastAsia" w:ascii="仿宋" w:hAnsi="仿宋" w:eastAsia="仿宋" w:cs="仿宋"/>
          <w:b/>
          <w:color w:val="auto"/>
          <w:spacing w:val="-6"/>
          <w:sz w:val="18"/>
          <w:szCs w:val="18"/>
          <w:highlight w:val="none"/>
          <w:lang w:eastAsia="zh-CN"/>
        </w:rPr>
        <w:t>随机标准附件、备品备件、易损件、零配件、专用工具等</w:t>
      </w:r>
      <w:r>
        <w:rPr>
          <w:rFonts w:hint="eastAsia" w:ascii="仿宋" w:hAnsi="仿宋" w:eastAsia="仿宋" w:cs="仿宋"/>
          <w:b/>
          <w:color w:val="auto"/>
          <w:spacing w:val="-6"/>
          <w:sz w:val="18"/>
          <w:szCs w:val="18"/>
          <w:highlight w:val="none"/>
        </w:rPr>
        <w:t>保障措施</w:t>
      </w:r>
    </w:p>
    <w:p w14:paraId="184E7E12">
      <w:pPr>
        <w:spacing w:line="360" w:lineRule="auto"/>
        <w:jc w:val="center"/>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br w:type="page"/>
      </w:r>
    </w:p>
    <w:p w14:paraId="1319652D">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2"/>
        <w:rPr>
          <w:rFonts w:hint="eastAsia" w:ascii="仿宋" w:hAnsi="仿宋" w:eastAsia="仿宋" w:cs="仿宋"/>
          <w:b/>
          <w:spacing w:val="-6"/>
          <w:sz w:val="24"/>
          <w:highlight w:val="none"/>
          <w:lang w:eastAsia="zh-CN"/>
        </w:rPr>
      </w:pPr>
      <w:r>
        <w:rPr>
          <w:rFonts w:hint="eastAsia" w:ascii="仿宋" w:hAnsi="仿宋" w:eastAsia="仿宋" w:cs="仿宋"/>
          <w:b/>
          <w:spacing w:val="-6"/>
          <w:sz w:val="24"/>
          <w:highlight w:val="none"/>
          <w:lang w:eastAsia="zh-CN"/>
        </w:rPr>
        <w:t>随机标准附件、备品备件、易损件、零配件、专用工具等</w:t>
      </w:r>
    </w:p>
    <w:p w14:paraId="0CDA3A08">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9"/>
        <w:rPr>
          <w:rFonts w:hint="eastAsia" w:ascii="仿宋" w:hAnsi="仿宋" w:eastAsia="仿宋" w:cs="仿宋"/>
          <w:b/>
          <w:spacing w:val="-6"/>
          <w:sz w:val="21"/>
          <w:szCs w:val="21"/>
          <w:highlight w:val="none"/>
          <w:lang w:val="en-US" w:eastAsia="zh-CN"/>
        </w:rPr>
      </w:pPr>
      <w:r>
        <w:rPr>
          <w:rFonts w:hint="eastAsia" w:ascii="仿宋" w:hAnsi="仿宋" w:eastAsia="仿宋" w:cs="仿宋"/>
          <w:b/>
          <w:spacing w:val="-6"/>
          <w:sz w:val="21"/>
          <w:szCs w:val="21"/>
          <w:highlight w:val="none"/>
          <w:lang w:eastAsia="zh-CN"/>
        </w:rPr>
        <w:t>（</w:t>
      </w:r>
      <w:r>
        <w:rPr>
          <w:rFonts w:hint="eastAsia" w:ascii="仿宋" w:hAnsi="仿宋" w:eastAsia="仿宋" w:cs="仿宋"/>
          <w:b/>
          <w:spacing w:val="-6"/>
          <w:sz w:val="21"/>
          <w:szCs w:val="21"/>
          <w:highlight w:val="none"/>
          <w:lang w:val="en-US" w:eastAsia="zh-CN"/>
        </w:rPr>
        <w:t>费用包含在投标总价内</w:t>
      </w:r>
      <w:r>
        <w:rPr>
          <w:rFonts w:hint="eastAsia" w:ascii="仿宋" w:hAnsi="仿宋" w:eastAsia="仿宋" w:cs="仿宋"/>
          <w:b/>
          <w:spacing w:val="-6"/>
          <w:sz w:val="21"/>
          <w:szCs w:val="21"/>
          <w:highlight w:val="none"/>
          <w:lang w:eastAsia="zh-CN"/>
        </w:rPr>
        <w:t>）</w:t>
      </w:r>
    </w:p>
    <w:tbl>
      <w:tblPr>
        <w:tblStyle w:val="24"/>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7"/>
        <w:gridCol w:w="2222"/>
        <w:gridCol w:w="1386"/>
        <w:gridCol w:w="1388"/>
        <w:gridCol w:w="1093"/>
        <w:gridCol w:w="1416"/>
        <w:gridCol w:w="1416"/>
      </w:tblGrid>
      <w:tr w14:paraId="46CF5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11F9461E">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10644380">
            <w:pPr>
              <w:jc w:val="center"/>
              <w:rPr>
                <w:rFonts w:hint="eastAsia" w:ascii="仿宋" w:hAnsi="仿宋" w:eastAsia="仿宋" w:cs="仿宋"/>
                <w:b/>
                <w:bCs/>
                <w:color w:val="auto"/>
                <w:szCs w:val="21"/>
                <w:highlight w:val="none"/>
                <w:lang w:eastAsia="zh-CN"/>
              </w:rPr>
            </w:pPr>
            <w:r>
              <w:rPr>
                <w:rFonts w:hint="eastAsia" w:ascii="仿宋" w:hAnsi="仿宋" w:eastAsia="仿宋" w:cs="仿宋"/>
                <w:b/>
                <w:bCs/>
                <w:color w:val="auto"/>
                <w:spacing w:val="-6"/>
                <w:szCs w:val="21"/>
                <w:highlight w:val="none"/>
                <w:lang w:val="en-US" w:eastAsia="zh-CN"/>
              </w:rPr>
              <w:t>名称</w:t>
            </w: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034B782">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规格</w:t>
            </w: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4740F538">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用途</w:t>
            </w: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2613C7A">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pacing w:val="-6"/>
                <w:szCs w:val="21"/>
                <w:highlight w:val="none"/>
                <w:lang w:val="en-US" w:eastAsia="zh-CN"/>
              </w:rPr>
              <w:t>数量</w:t>
            </w: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25F6FEB2">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单价（元）</w:t>
            </w: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0855CB19">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总价</w:t>
            </w:r>
            <w:r>
              <w:rPr>
                <w:rFonts w:hint="eastAsia" w:ascii="仿宋" w:hAnsi="仿宋" w:eastAsia="仿宋" w:cs="仿宋"/>
                <w:b/>
                <w:bCs/>
                <w:color w:val="auto"/>
                <w:szCs w:val="21"/>
                <w:highlight w:val="none"/>
              </w:rPr>
              <w:t>（元）</w:t>
            </w:r>
          </w:p>
        </w:tc>
      </w:tr>
      <w:tr w14:paraId="78C2EA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44CB8550">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8B48F3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680405BF">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7B949A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5A8F034">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F4B476E">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1DBD1D4">
            <w:pPr>
              <w:jc w:val="center"/>
              <w:rPr>
                <w:rFonts w:ascii="仿宋" w:hAnsi="仿宋" w:eastAsia="仿宋" w:cs="仿宋"/>
                <w:b/>
                <w:bCs/>
                <w:color w:val="auto"/>
                <w:szCs w:val="21"/>
                <w:highlight w:val="none"/>
              </w:rPr>
            </w:pPr>
          </w:p>
        </w:tc>
      </w:tr>
      <w:tr w14:paraId="4A38A4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239F6C42">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11F846C3">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7C615CA2">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7EF726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7D08355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F5263AD">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483DA3B8">
            <w:pPr>
              <w:jc w:val="center"/>
              <w:rPr>
                <w:rFonts w:ascii="仿宋" w:hAnsi="仿宋" w:eastAsia="仿宋" w:cs="仿宋"/>
                <w:b/>
                <w:bCs/>
                <w:color w:val="auto"/>
                <w:szCs w:val="21"/>
                <w:highlight w:val="none"/>
              </w:rPr>
            </w:pPr>
          </w:p>
        </w:tc>
      </w:tr>
      <w:tr w14:paraId="3CA972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648873F">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339155F">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4052F9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FDD40C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19A2F470">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2B7CC83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C819CE4">
            <w:pPr>
              <w:jc w:val="center"/>
              <w:rPr>
                <w:rFonts w:ascii="仿宋" w:hAnsi="仿宋" w:eastAsia="仿宋" w:cs="仿宋"/>
                <w:b/>
                <w:bCs/>
                <w:color w:val="auto"/>
                <w:szCs w:val="21"/>
                <w:highlight w:val="none"/>
              </w:rPr>
            </w:pPr>
          </w:p>
        </w:tc>
      </w:tr>
      <w:tr w14:paraId="1D557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1A86D15E">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0815F78">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C15D86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21E3B877">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4B0D5865">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B04CE5E">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0395021">
            <w:pPr>
              <w:jc w:val="center"/>
              <w:rPr>
                <w:rFonts w:ascii="仿宋" w:hAnsi="仿宋" w:eastAsia="仿宋" w:cs="仿宋"/>
                <w:b/>
                <w:bCs/>
                <w:color w:val="auto"/>
                <w:szCs w:val="21"/>
                <w:highlight w:val="none"/>
              </w:rPr>
            </w:pPr>
          </w:p>
        </w:tc>
      </w:tr>
      <w:tr w14:paraId="308D06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01132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38411154">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863C03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0C075902">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55AD6E02">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65A47AB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49F713F0">
            <w:pPr>
              <w:jc w:val="center"/>
              <w:rPr>
                <w:rFonts w:ascii="仿宋" w:hAnsi="仿宋" w:eastAsia="仿宋" w:cs="仿宋"/>
                <w:b/>
                <w:bCs/>
                <w:color w:val="auto"/>
                <w:szCs w:val="21"/>
                <w:highlight w:val="none"/>
              </w:rPr>
            </w:pPr>
          </w:p>
        </w:tc>
      </w:tr>
      <w:tr w14:paraId="1B383F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7F9A515B">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5F4217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34E312D">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06060BD7">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60E7CB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334EE86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EFF9E03">
            <w:pPr>
              <w:jc w:val="center"/>
              <w:rPr>
                <w:rFonts w:ascii="仿宋" w:hAnsi="仿宋" w:eastAsia="仿宋" w:cs="仿宋"/>
                <w:b/>
                <w:bCs/>
                <w:color w:val="auto"/>
                <w:szCs w:val="21"/>
                <w:highlight w:val="none"/>
              </w:rPr>
            </w:pPr>
          </w:p>
        </w:tc>
      </w:tr>
      <w:tr w14:paraId="3B6BFF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49D4431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47D3355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1245C95">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EBA79A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0C79991">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C2A10BC">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8EE6B7B">
            <w:pPr>
              <w:jc w:val="center"/>
              <w:rPr>
                <w:rFonts w:ascii="仿宋" w:hAnsi="仿宋" w:eastAsia="仿宋" w:cs="仿宋"/>
                <w:b/>
                <w:bCs/>
                <w:color w:val="auto"/>
                <w:szCs w:val="21"/>
                <w:highlight w:val="none"/>
              </w:rPr>
            </w:pPr>
          </w:p>
        </w:tc>
      </w:tr>
      <w:tr w14:paraId="1CEDDA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20B8714D">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AE975B7">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773531EB">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AB7EC1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585114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2D20A7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201A0ED">
            <w:pPr>
              <w:jc w:val="center"/>
              <w:rPr>
                <w:rFonts w:ascii="仿宋" w:hAnsi="仿宋" w:eastAsia="仿宋" w:cs="仿宋"/>
                <w:b/>
                <w:bCs/>
                <w:color w:val="auto"/>
                <w:szCs w:val="21"/>
                <w:highlight w:val="none"/>
              </w:rPr>
            </w:pPr>
          </w:p>
        </w:tc>
      </w:tr>
      <w:tr w14:paraId="092401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656CCEF">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45A625D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D411AC2">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53846642">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77875756">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9EC755B">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F178BFA">
            <w:pPr>
              <w:jc w:val="center"/>
              <w:rPr>
                <w:rFonts w:ascii="仿宋" w:hAnsi="仿宋" w:eastAsia="仿宋" w:cs="仿宋"/>
                <w:b/>
                <w:bCs/>
                <w:color w:val="auto"/>
                <w:szCs w:val="21"/>
                <w:highlight w:val="none"/>
              </w:rPr>
            </w:pPr>
          </w:p>
        </w:tc>
      </w:tr>
    </w:tbl>
    <w:p w14:paraId="3B050290">
      <w:pPr>
        <w:rPr>
          <w:rFonts w:hint="eastAsia" w:ascii="仿宋" w:hAnsi="仿宋" w:eastAsia="仿宋" w:cs="仿宋"/>
          <w:b/>
          <w:spacing w:val="-6"/>
          <w:sz w:val="24"/>
          <w:highlight w:val="none"/>
        </w:rPr>
      </w:pPr>
      <w:r>
        <w:rPr>
          <w:rFonts w:hint="eastAsia" w:ascii="仿宋" w:hAnsi="仿宋" w:eastAsia="仿宋" w:cs="仿宋"/>
          <w:b/>
          <w:spacing w:val="-6"/>
          <w:sz w:val="24"/>
          <w:highlight w:val="none"/>
        </w:rPr>
        <w:br w:type="page"/>
      </w:r>
    </w:p>
    <w:p w14:paraId="623DCAD4">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2"/>
        <w:rPr>
          <w:rFonts w:hint="eastAsia" w:ascii="仿宋" w:hAnsi="仿宋" w:eastAsia="仿宋" w:cs="仿宋"/>
          <w:b/>
          <w:spacing w:val="-6"/>
          <w:sz w:val="24"/>
          <w:highlight w:val="none"/>
        </w:rPr>
      </w:pPr>
      <w:r>
        <w:rPr>
          <w:rFonts w:hint="eastAsia" w:ascii="仿宋" w:hAnsi="仿宋" w:eastAsia="仿宋" w:cs="仿宋"/>
          <w:b/>
          <w:spacing w:val="-6"/>
          <w:sz w:val="24"/>
          <w:highlight w:val="none"/>
        </w:rPr>
        <w:t>所需选配件、维修配件、易耗件、年度运行维护费用一览表</w:t>
      </w:r>
    </w:p>
    <w:p w14:paraId="6660CB69">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9"/>
        <w:rPr>
          <w:rFonts w:hint="default" w:ascii="仿宋" w:hAnsi="仿宋" w:eastAsia="仿宋" w:cs="仿宋"/>
          <w:b/>
          <w:spacing w:val="-6"/>
          <w:sz w:val="24"/>
          <w:highlight w:val="none"/>
          <w:lang w:val="en-US" w:eastAsia="zh-CN"/>
        </w:rPr>
      </w:pPr>
      <w:r>
        <w:rPr>
          <w:rFonts w:hint="eastAsia" w:ascii="仿宋" w:hAnsi="仿宋" w:eastAsia="仿宋" w:cs="仿宋"/>
          <w:b/>
          <w:spacing w:val="-6"/>
          <w:sz w:val="21"/>
          <w:szCs w:val="21"/>
          <w:highlight w:val="none"/>
          <w:lang w:eastAsia="zh-CN"/>
        </w:rPr>
        <w:t>（</w:t>
      </w:r>
      <w:r>
        <w:rPr>
          <w:rFonts w:hint="eastAsia" w:ascii="仿宋" w:hAnsi="仿宋" w:eastAsia="仿宋" w:cs="仿宋"/>
          <w:b/>
          <w:spacing w:val="-6"/>
          <w:sz w:val="21"/>
          <w:szCs w:val="21"/>
          <w:highlight w:val="none"/>
          <w:lang w:val="en-US" w:eastAsia="zh-CN"/>
        </w:rPr>
        <w:t>费用不包含在投标总价内</w:t>
      </w:r>
      <w:r>
        <w:rPr>
          <w:rFonts w:hint="eastAsia" w:ascii="仿宋" w:hAnsi="仿宋" w:eastAsia="仿宋" w:cs="仿宋"/>
          <w:b/>
          <w:spacing w:val="-6"/>
          <w:sz w:val="21"/>
          <w:szCs w:val="21"/>
          <w:highlight w:val="none"/>
          <w:lang w:eastAsia="zh-CN"/>
        </w:rPr>
        <w:t>）</w:t>
      </w:r>
    </w:p>
    <w:tbl>
      <w:tblPr>
        <w:tblStyle w:val="24"/>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6"/>
        <w:gridCol w:w="2220"/>
        <w:gridCol w:w="1385"/>
        <w:gridCol w:w="1386"/>
        <w:gridCol w:w="1092"/>
        <w:gridCol w:w="1227"/>
        <w:gridCol w:w="1612"/>
      </w:tblGrid>
      <w:tr w14:paraId="0869C8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9C9E10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18FE8A8">
            <w:pPr>
              <w:jc w:val="center"/>
              <w:rPr>
                <w:rFonts w:hint="eastAsia" w:ascii="仿宋" w:hAnsi="仿宋" w:eastAsia="仿宋" w:cs="仿宋"/>
                <w:b/>
                <w:bCs/>
                <w:color w:val="auto"/>
                <w:szCs w:val="21"/>
                <w:highlight w:val="none"/>
                <w:lang w:eastAsia="zh-CN"/>
              </w:rPr>
            </w:pPr>
            <w:r>
              <w:rPr>
                <w:rFonts w:hint="eastAsia" w:ascii="仿宋" w:hAnsi="仿宋" w:eastAsia="仿宋" w:cs="仿宋"/>
                <w:b/>
                <w:bCs/>
                <w:color w:val="auto"/>
                <w:spacing w:val="-6"/>
                <w:szCs w:val="21"/>
                <w:highlight w:val="none"/>
                <w:lang w:val="en-US" w:eastAsia="zh-CN"/>
              </w:rPr>
              <w:t>名称</w:t>
            </w: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6433BA2">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规格</w:t>
            </w: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D9A33B0">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用途</w:t>
            </w: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D6E8CDD">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pacing w:val="-6"/>
                <w:szCs w:val="21"/>
                <w:highlight w:val="none"/>
                <w:lang w:val="en-US" w:eastAsia="zh-CN"/>
              </w:rPr>
              <w:t>数量</w:t>
            </w: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7E4D969B">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单价（元）</w:t>
            </w: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ABCEC0E">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购买折扣数（%）</w:t>
            </w:r>
          </w:p>
        </w:tc>
      </w:tr>
      <w:tr w14:paraId="451BE2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CEAD0EC">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6C25A7DD">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0C7D9F97">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53D2D56">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006F4690">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5C2F30D">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281E210">
            <w:pPr>
              <w:jc w:val="center"/>
              <w:rPr>
                <w:rFonts w:ascii="仿宋" w:hAnsi="仿宋" w:eastAsia="仿宋" w:cs="仿宋"/>
                <w:b/>
                <w:bCs/>
                <w:color w:val="auto"/>
                <w:szCs w:val="21"/>
                <w:highlight w:val="none"/>
              </w:rPr>
            </w:pPr>
          </w:p>
        </w:tc>
      </w:tr>
      <w:tr w14:paraId="05241F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70AA93">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91C688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046F34E">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2016400D">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AFBDA06">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0E927F9">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7C9AA785">
            <w:pPr>
              <w:jc w:val="center"/>
              <w:rPr>
                <w:rFonts w:ascii="仿宋" w:hAnsi="仿宋" w:eastAsia="仿宋" w:cs="仿宋"/>
                <w:b/>
                <w:bCs/>
                <w:color w:val="auto"/>
                <w:szCs w:val="21"/>
                <w:highlight w:val="none"/>
              </w:rPr>
            </w:pPr>
          </w:p>
        </w:tc>
      </w:tr>
      <w:tr w14:paraId="0FFA77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686A82C">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3EC5509">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10BFE14">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748A8BC6">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0EE8F4D2">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1B37AE58">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13D47C68">
            <w:pPr>
              <w:jc w:val="center"/>
              <w:rPr>
                <w:rFonts w:ascii="仿宋" w:hAnsi="仿宋" w:eastAsia="仿宋" w:cs="仿宋"/>
                <w:b/>
                <w:bCs/>
                <w:color w:val="auto"/>
                <w:szCs w:val="21"/>
                <w:highlight w:val="none"/>
              </w:rPr>
            </w:pPr>
          </w:p>
        </w:tc>
      </w:tr>
      <w:tr w14:paraId="5F5A5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2FAD56">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2643F34">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D6A1960">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FF7A514">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28A43F27">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69ABD88">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6E85CEAB">
            <w:pPr>
              <w:jc w:val="center"/>
              <w:rPr>
                <w:rFonts w:ascii="仿宋" w:hAnsi="仿宋" w:eastAsia="仿宋" w:cs="仿宋"/>
                <w:b/>
                <w:bCs/>
                <w:color w:val="auto"/>
                <w:szCs w:val="21"/>
                <w:highlight w:val="none"/>
              </w:rPr>
            </w:pPr>
          </w:p>
        </w:tc>
      </w:tr>
      <w:tr w14:paraId="34BC2D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A2DBC64">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7421A746">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4F1BF81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09C1C8B">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2C7F9C98">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17BA0BCE">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1D21545">
            <w:pPr>
              <w:jc w:val="center"/>
              <w:rPr>
                <w:rFonts w:ascii="仿宋" w:hAnsi="仿宋" w:eastAsia="仿宋" w:cs="仿宋"/>
                <w:b/>
                <w:bCs/>
                <w:color w:val="auto"/>
                <w:szCs w:val="21"/>
                <w:highlight w:val="none"/>
              </w:rPr>
            </w:pPr>
          </w:p>
        </w:tc>
      </w:tr>
      <w:tr w14:paraId="570D44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D9BA6F7">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A0F4F2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47BF02EE">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1CCFCBA">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4724866D">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628CFF47">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40FA3BEB">
            <w:pPr>
              <w:jc w:val="center"/>
              <w:rPr>
                <w:rFonts w:ascii="仿宋" w:hAnsi="仿宋" w:eastAsia="仿宋" w:cs="仿宋"/>
                <w:b/>
                <w:bCs/>
                <w:color w:val="auto"/>
                <w:szCs w:val="21"/>
                <w:highlight w:val="none"/>
              </w:rPr>
            </w:pPr>
          </w:p>
        </w:tc>
      </w:tr>
      <w:tr w14:paraId="7C6FB0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D3BE8C2">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FC63EA1">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E14586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583BA1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5926D580">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700686E2">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46173723">
            <w:pPr>
              <w:jc w:val="center"/>
              <w:rPr>
                <w:rFonts w:ascii="仿宋" w:hAnsi="仿宋" w:eastAsia="仿宋" w:cs="仿宋"/>
                <w:b/>
                <w:bCs/>
                <w:color w:val="auto"/>
                <w:szCs w:val="21"/>
                <w:highlight w:val="none"/>
              </w:rPr>
            </w:pPr>
          </w:p>
        </w:tc>
      </w:tr>
      <w:tr w14:paraId="4184B3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F88C19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FF1716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D4A120F">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5011DA40">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13145CCB">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0ED3A6A3">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5995AA4D">
            <w:pPr>
              <w:jc w:val="center"/>
              <w:rPr>
                <w:rFonts w:ascii="仿宋" w:hAnsi="仿宋" w:eastAsia="仿宋" w:cs="仿宋"/>
                <w:b/>
                <w:bCs/>
                <w:color w:val="auto"/>
                <w:szCs w:val="21"/>
                <w:highlight w:val="none"/>
              </w:rPr>
            </w:pPr>
          </w:p>
        </w:tc>
      </w:tr>
      <w:tr w14:paraId="0DF6C4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23B4A25">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CD6E24A">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2C76A9F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749FC36F">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81B1E09">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6BC744A">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6E07E858">
            <w:pPr>
              <w:jc w:val="center"/>
              <w:rPr>
                <w:rFonts w:ascii="仿宋" w:hAnsi="仿宋" w:eastAsia="仿宋" w:cs="仿宋"/>
                <w:b/>
                <w:bCs/>
                <w:color w:val="auto"/>
                <w:szCs w:val="21"/>
                <w:highlight w:val="none"/>
              </w:rPr>
            </w:pPr>
          </w:p>
        </w:tc>
      </w:tr>
      <w:tr w14:paraId="033415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14:paraId="0AD83C42">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2314B214">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1.折扣数90%即9折</w:t>
            </w:r>
          </w:p>
          <w:p w14:paraId="0F47B7A8">
            <w:pPr>
              <w:keepNext w:val="0"/>
              <w:keepLines w:val="0"/>
              <w:pageBreakBefore w:val="0"/>
              <w:widowControl w:val="0"/>
              <w:kinsoku/>
              <w:wordWrap/>
              <w:overflowPunct/>
              <w:topLinePunct w:val="0"/>
              <w:autoSpaceDE/>
              <w:autoSpaceDN/>
              <w:bidi w:val="0"/>
              <w:adjustRightInd/>
              <w:snapToGrid w:val="0"/>
              <w:jc w:val="both"/>
              <w:textAlignment w:val="auto"/>
              <w:rPr>
                <w:rFonts w:ascii="仿宋" w:hAnsi="仿宋" w:eastAsia="仿宋" w:cs="仿宋"/>
                <w:b/>
                <w:bCs/>
                <w:color w:val="auto"/>
                <w:szCs w:val="21"/>
                <w:highlight w:val="none"/>
              </w:rPr>
            </w:pPr>
            <w:r>
              <w:rPr>
                <w:rFonts w:hint="eastAsia" w:ascii="仿宋" w:hAnsi="仿宋" w:eastAsia="仿宋" w:cs="仿宋"/>
                <w:b/>
                <w:bCs/>
                <w:color w:val="auto"/>
                <w:sz w:val="18"/>
                <w:szCs w:val="18"/>
                <w:highlight w:val="none"/>
              </w:rPr>
              <w:t>2.列出易损件清单（包括名称、安装部位、更换周期和价格）</w:t>
            </w:r>
          </w:p>
        </w:tc>
      </w:tr>
    </w:tbl>
    <w:p w14:paraId="6EAA1ECB">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DA04F4D">
      <w:pPr>
        <w:adjustRightInd w:val="0"/>
        <w:snapToGrid w:val="0"/>
        <w:spacing w:line="288" w:lineRule="auto"/>
        <w:jc w:val="center"/>
        <w:rPr>
          <w:rFonts w:ascii="仿宋" w:hAnsi="仿宋" w:eastAsia="仿宋" w:cs="仿宋"/>
          <w:b/>
          <w:bCs/>
          <w:color w:val="auto"/>
          <w:sz w:val="84"/>
          <w:szCs w:val="84"/>
          <w:highlight w:val="none"/>
        </w:rPr>
      </w:pPr>
    </w:p>
    <w:p w14:paraId="62757467">
      <w:pPr>
        <w:adjustRightInd w:val="0"/>
        <w:snapToGrid w:val="0"/>
        <w:spacing w:line="288" w:lineRule="auto"/>
        <w:jc w:val="center"/>
        <w:rPr>
          <w:rFonts w:ascii="仿宋" w:hAnsi="仿宋" w:eastAsia="仿宋" w:cs="仿宋"/>
          <w:b/>
          <w:bCs/>
          <w:color w:val="auto"/>
          <w:sz w:val="84"/>
          <w:szCs w:val="84"/>
          <w:highlight w:val="none"/>
        </w:rPr>
      </w:pPr>
    </w:p>
    <w:p w14:paraId="06C7BC45">
      <w:pPr>
        <w:adjustRightInd w:val="0"/>
        <w:snapToGrid w:val="0"/>
        <w:spacing w:line="288" w:lineRule="auto"/>
        <w:jc w:val="center"/>
        <w:rPr>
          <w:rFonts w:ascii="仿宋" w:hAnsi="仿宋" w:eastAsia="仿宋" w:cs="仿宋"/>
          <w:b/>
          <w:bCs/>
          <w:color w:val="auto"/>
          <w:sz w:val="84"/>
          <w:szCs w:val="84"/>
          <w:highlight w:val="none"/>
        </w:rPr>
      </w:pPr>
    </w:p>
    <w:p w14:paraId="22A709FA">
      <w:pPr>
        <w:adjustRightInd w:val="0"/>
        <w:snapToGrid w:val="0"/>
        <w:spacing w:line="288" w:lineRule="auto"/>
        <w:jc w:val="center"/>
        <w:rPr>
          <w:rFonts w:ascii="仿宋" w:hAnsi="仿宋" w:eastAsia="仿宋" w:cs="仿宋"/>
          <w:b/>
          <w:bCs/>
          <w:color w:val="auto"/>
          <w:sz w:val="84"/>
          <w:szCs w:val="84"/>
          <w:highlight w:val="none"/>
        </w:rPr>
      </w:pPr>
    </w:p>
    <w:p w14:paraId="017F69A5">
      <w:pPr>
        <w:overflowPunct w:val="0"/>
        <w:adjustRightInd w:val="0"/>
        <w:snapToGrid w:val="0"/>
        <w:spacing w:line="288" w:lineRule="auto"/>
        <w:jc w:val="center"/>
        <w:outlineLvl w:val="1"/>
        <w:rPr>
          <w:rFonts w:ascii="仿宋" w:hAnsi="仿宋" w:eastAsia="仿宋" w:cs="仿宋"/>
          <w:b/>
          <w:color w:val="auto"/>
          <w:spacing w:val="-6"/>
          <w:sz w:val="84"/>
          <w:szCs w:val="84"/>
          <w:highlight w:val="none"/>
        </w:rPr>
      </w:pPr>
      <w:r>
        <w:rPr>
          <w:rFonts w:hint="eastAsia" w:ascii="仿宋" w:hAnsi="仿宋" w:eastAsia="仿宋" w:cs="仿宋"/>
          <w:b/>
          <w:bCs/>
          <w:color w:val="auto"/>
          <w:sz w:val="84"/>
          <w:szCs w:val="84"/>
          <w:highlight w:val="none"/>
        </w:rPr>
        <w:t>报价文件</w:t>
      </w:r>
    </w:p>
    <w:p w14:paraId="481C914D">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42B4D2F">
      <w:pPr>
        <w:spacing w:line="360" w:lineRule="auto"/>
        <w:jc w:val="center"/>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开标一览表</w:t>
      </w:r>
    </w:p>
    <w:p w14:paraId="7A025347">
      <w:pPr>
        <w:adjustRightInd w:val="0"/>
        <w:snapToGrid w:val="0"/>
        <w:spacing w:line="360" w:lineRule="auto"/>
        <w:rPr>
          <w:rFonts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采 购 人：浙江工业大学</w:t>
      </w:r>
    </w:p>
    <w:p w14:paraId="4188050F">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项目名称：</w:t>
      </w:r>
      <w:r>
        <w:rPr>
          <w:rFonts w:hint="eastAsia" w:ascii="仿宋" w:hAnsi="仿宋" w:eastAsia="仿宋" w:cs="仿宋"/>
          <w:bCs/>
          <w:color w:val="auto"/>
          <w:spacing w:val="-6"/>
          <w:szCs w:val="21"/>
          <w:highlight w:val="none"/>
          <w:lang w:eastAsia="zh-CN"/>
        </w:rPr>
        <w:t>浙江工业大学能碳管理显示系统</w:t>
      </w:r>
    </w:p>
    <w:p w14:paraId="0BD0E8D1">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项目编号：</w:t>
      </w:r>
      <w:r>
        <w:rPr>
          <w:rFonts w:hint="eastAsia" w:ascii="仿宋" w:hAnsi="仿宋" w:eastAsia="仿宋" w:cs="仿宋"/>
          <w:bCs/>
          <w:color w:val="auto"/>
          <w:spacing w:val="-6"/>
          <w:szCs w:val="21"/>
          <w:highlight w:val="none"/>
          <w:lang w:eastAsia="zh-CN"/>
        </w:rPr>
        <w:t>QSZB-Z(H)-H25019(GK)</w:t>
      </w:r>
    </w:p>
    <w:tbl>
      <w:tblPr>
        <w:tblStyle w:val="24"/>
        <w:tblW w:w="4993"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12"/>
        <w:gridCol w:w="1594"/>
        <w:gridCol w:w="1581"/>
        <w:gridCol w:w="638"/>
        <w:gridCol w:w="1010"/>
        <w:gridCol w:w="1104"/>
        <w:gridCol w:w="883"/>
        <w:gridCol w:w="1008"/>
        <w:gridCol w:w="1085"/>
      </w:tblGrid>
      <w:tr w14:paraId="25460E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5554DA27">
            <w:pPr>
              <w:jc w:val="center"/>
              <w:rPr>
                <w:rFonts w:hint="eastAsia" w:ascii="仿宋" w:hAnsi="仿宋" w:eastAsia="仿宋" w:cs="仿宋"/>
                <w:b/>
                <w:bCs/>
              </w:rPr>
            </w:pPr>
            <w:r>
              <w:rPr>
                <w:rFonts w:hint="eastAsia" w:ascii="仿宋" w:hAnsi="仿宋" w:eastAsia="仿宋" w:cs="仿宋"/>
                <w:b/>
                <w:bCs/>
              </w:rPr>
              <w:t>序号</w:t>
            </w: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3FFB914A">
            <w:pPr>
              <w:jc w:val="center"/>
              <w:rPr>
                <w:rFonts w:hint="eastAsia" w:ascii="仿宋" w:hAnsi="仿宋" w:eastAsia="仿宋" w:cs="仿宋"/>
                <w:b/>
                <w:bCs/>
              </w:rPr>
            </w:pPr>
            <w:r>
              <w:rPr>
                <w:rFonts w:hint="eastAsia" w:ascii="仿宋" w:hAnsi="仿宋" w:eastAsia="仿宋" w:cs="仿宋"/>
                <w:b/>
                <w:bCs/>
              </w:rPr>
              <w:t>标的名称</w:t>
            </w: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2F96B071">
            <w:pPr>
              <w:jc w:val="center"/>
              <w:rPr>
                <w:rFonts w:hint="eastAsia" w:ascii="仿宋" w:hAnsi="仿宋" w:eastAsia="仿宋" w:cs="仿宋"/>
                <w:b/>
                <w:bCs/>
              </w:rPr>
            </w:pPr>
            <w:r>
              <w:rPr>
                <w:rFonts w:hint="eastAsia" w:ascii="仿宋" w:hAnsi="仿宋" w:eastAsia="仿宋" w:cs="仿宋"/>
                <w:b/>
                <w:bCs/>
              </w:rPr>
              <w:t>★</w:t>
            </w:r>
            <w:bookmarkStart w:id="51" w:name="_Hlk177717733"/>
            <w:r>
              <w:rPr>
                <w:rFonts w:hint="eastAsia" w:ascii="仿宋" w:hAnsi="仿宋" w:eastAsia="仿宋" w:cs="仿宋"/>
                <w:b/>
                <w:bCs/>
              </w:rPr>
              <w:t>规格型号</w:t>
            </w:r>
            <w:bookmarkEnd w:id="51"/>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2CFD3EED">
            <w:pPr>
              <w:jc w:val="center"/>
              <w:rPr>
                <w:rFonts w:hint="eastAsia" w:ascii="仿宋" w:hAnsi="仿宋" w:eastAsia="仿宋" w:cs="仿宋"/>
                <w:b/>
                <w:bCs/>
              </w:rPr>
            </w:pPr>
            <w:r>
              <w:rPr>
                <w:rFonts w:hint="eastAsia" w:ascii="仿宋" w:hAnsi="仿宋" w:eastAsia="仿宋" w:cs="仿宋"/>
                <w:b/>
                <w:bCs/>
              </w:rPr>
              <w:t>数量</w:t>
            </w:r>
          </w:p>
        </w:tc>
        <w:tc>
          <w:tcPr>
            <w:tcW w:w="525" w:type="pct"/>
            <w:tcBorders>
              <w:top w:val="single" w:color="auto" w:sz="4" w:space="0"/>
              <w:left w:val="single" w:color="auto" w:sz="4" w:space="0"/>
              <w:bottom w:val="single" w:color="auto" w:sz="4" w:space="0"/>
              <w:right w:val="single" w:color="auto" w:sz="4" w:space="0"/>
            </w:tcBorders>
            <w:shd w:val="clear" w:color="auto" w:fill="auto"/>
            <w:vAlign w:val="center"/>
          </w:tcPr>
          <w:p w14:paraId="48050B35">
            <w:pPr>
              <w:jc w:val="center"/>
              <w:rPr>
                <w:rFonts w:hint="eastAsia" w:ascii="仿宋" w:hAnsi="仿宋" w:eastAsia="仿宋" w:cs="仿宋"/>
                <w:b/>
                <w:bCs/>
              </w:rPr>
            </w:pPr>
            <w:r>
              <w:rPr>
                <w:rFonts w:hint="eastAsia" w:ascii="仿宋" w:hAnsi="仿宋" w:eastAsia="仿宋" w:cs="仿宋"/>
                <w:b/>
                <w:bCs/>
              </w:rPr>
              <w:t>★品牌</w:t>
            </w:r>
          </w:p>
        </w:tc>
        <w:tc>
          <w:tcPr>
            <w:tcW w:w="574" w:type="pct"/>
            <w:tcBorders>
              <w:top w:val="single" w:color="auto" w:sz="4" w:space="0"/>
              <w:left w:val="single" w:color="auto" w:sz="4" w:space="0"/>
              <w:bottom w:val="single" w:color="auto" w:sz="4" w:space="0"/>
              <w:right w:val="single" w:color="auto" w:sz="4" w:space="0"/>
            </w:tcBorders>
            <w:shd w:val="clear" w:color="auto" w:fill="auto"/>
            <w:vAlign w:val="center"/>
          </w:tcPr>
          <w:p w14:paraId="4F3551B1">
            <w:pPr>
              <w:jc w:val="center"/>
              <w:rPr>
                <w:rFonts w:hint="eastAsia" w:ascii="仿宋" w:hAnsi="仿宋" w:eastAsia="仿宋" w:cs="仿宋"/>
                <w:b/>
                <w:bCs/>
              </w:rPr>
            </w:pPr>
            <w:r>
              <w:rPr>
                <w:rFonts w:hint="eastAsia" w:ascii="仿宋" w:hAnsi="仿宋" w:eastAsia="仿宋" w:cs="仿宋"/>
                <w:b/>
                <w:bCs/>
              </w:rPr>
              <w:t>★制造商</w:t>
            </w: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14:paraId="2562EF1A">
            <w:pPr>
              <w:jc w:val="center"/>
              <w:rPr>
                <w:rFonts w:hint="eastAsia" w:ascii="仿宋" w:hAnsi="仿宋" w:eastAsia="仿宋" w:cs="仿宋"/>
                <w:b/>
                <w:bCs/>
              </w:rPr>
            </w:pPr>
            <w:r>
              <w:rPr>
                <w:rFonts w:hint="eastAsia" w:ascii="仿宋" w:hAnsi="仿宋" w:eastAsia="仿宋" w:cs="仿宋"/>
                <w:b/>
                <w:bCs/>
              </w:rPr>
              <w:t>★产地</w:t>
            </w:r>
          </w:p>
        </w:tc>
        <w:tc>
          <w:tcPr>
            <w:tcW w:w="524" w:type="pct"/>
            <w:tcBorders>
              <w:top w:val="single" w:color="auto" w:sz="4" w:space="0"/>
              <w:left w:val="single" w:color="auto" w:sz="4" w:space="0"/>
              <w:bottom w:val="single" w:color="auto" w:sz="4" w:space="0"/>
              <w:right w:val="single" w:color="auto" w:sz="4" w:space="0"/>
            </w:tcBorders>
            <w:shd w:val="clear" w:color="auto" w:fill="auto"/>
            <w:vAlign w:val="center"/>
          </w:tcPr>
          <w:p w14:paraId="52508C02">
            <w:pPr>
              <w:jc w:val="center"/>
              <w:rPr>
                <w:rFonts w:hint="eastAsia" w:ascii="仿宋" w:hAnsi="仿宋" w:eastAsia="仿宋" w:cs="仿宋"/>
                <w:b/>
                <w:bCs/>
              </w:rPr>
            </w:pPr>
            <w:r>
              <w:rPr>
                <w:rFonts w:hint="eastAsia" w:ascii="仿宋" w:hAnsi="仿宋" w:eastAsia="仿宋" w:cs="仿宋"/>
                <w:b/>
                <w:bCs/>
              </w:rPr>
              <w:t>单价</w:t>
            </w:r>
          </w:p>
          <w:p w14:paraId="148D8353">
            <w:pPr>
              <w:jc w:val="center"/>
              <w:rPr>
                <w:rFonts w:hint="eastAsia" w:ascii="仿宋" w:hAnsi="仿宋" w:eastAsia="仿宋" w:cs="仿宋"/>
                <w:b/>
                <w:bCs/>
              </w:rPr>
            </w:pPr>
            <w:r>
              <w:rPr>
                <w:rFonts w:hint="eastAsia" w:ascii="仿宋" w:hAnsi="仿宋" w:eastAsia="仿宋" w:cs="仿宋"/>
                <w:b/>
                <w:bCs/>
              </w:rPr>
              <w:t>（元）</w:t>
            </w:r>
          </w:p>
        </w:tc>
        <w:tc>
          <w:tcPr>
            <w:tcW w:w="561" w:type="pct"/>
            <w:tcBorders>
              <w:top w:val="single" w:color="auto" w:sz="4" w:space="0"/>
              <w:left w:val="single" w:color="auto" w:sz="4" w:space="0"/>
              <w:bottom w:val="single" w:color="auto" w:sz="4" w:space="0"/>
              <w:right w:val="single" w:color="auto" w:sz="4" w:space="0"/>
            </w:tcBorders>
            <w:shd w:val="clear" w:color="auto" w:fill="auto"/>
            <w:vAlign w:val="center"/>
          </w:tcPr>
          <w:p w14:paraId="2BCB9645">
            <w:pPr>
              <w:jc w:val="center"/>
              <w:rPr>
                <w:rFonts w:hint="eastAsia" w:ascii="仿宋" w:hAnsi="仿宋" w:eastAsia="仿宋" w:cs="仿宋"/>
                <w:b/>
                <w:bCs/>
              </w:rPr>
            </w:pPr>
            <w:r>
              <w:rPr>
                <w:rFonts w:hint="eastAsia" w:ascii="仿宋" w:hAnsi="仿宋" w:eastAsia="仿宋" w:cs="仿宋"/>
                <w:b/>
                <w:bCs/>
              </w:rPr>
              <w:t>合计</w:t>
            </w:r>
          </w:p>
          <w:p w14:paraId="7572A7D2">
            <w:pPr>
              <w:jc w:val="center"/>
              <w:rPr>
                <w:rFonts w:hint="eastAsia" w:ascii="仿宋" w:hAnsi="仿宋" w:eastAsia="仿宋" w:cs="仿宋"/>
                <w:b/>
                <w:bCs/>
              </w:rPr>
            </w:pPr>
            <w:r>
              <w:rPr>
                <w:rFonts w:hint="eastAsia" w:ascii="仿宋" w:hAnsi="仿宋" w:eastAsia="仿宋" w:cs="仿宋"/>
                <w:b/>
                <w:bCs/>
              </w:rPr>
              <w:t>（元）</w:t>
            </w:r>
          </w:p>
        </w:tc>
      </w:tr>
      <w:tr w14:paraId="100541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11D95921">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02C0CD47">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1F777E2F">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3830F9B6">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2D06A805">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75174FA5">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52D92AD3">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055A7EEB">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4E170C10">
            <w:pPr>
              <w:jc w:val="center"/>
              <w:rPr>
                <w:rFonts w:hint="eastAsia" w:ascii="仿宋" w:hAnsi="仿宋" w:eastAsia="仿宋" w:cs="仿宋"/>
              </w:rPr>
            </w:pPr>
          </w:p>
        </w:tc>
      </w:tr>
      <w:tr w14:paraId="0625D1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5040F4A6">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2B73D28E">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3EE29085">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01A4BB33">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05D418CA">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75054EC6">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0433B588">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2DE1DF01">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64FA6392">
            <w:pPr>
              <w:jc w:val="center"/>
              <w:rPr>
                <w:rFonts w:hint="eastAsia" w:ascii="仿宋" w:hAnsi="仿宋" w:eastAsia="仿宋" w:cs="仿宋"/>
              </w:rPr>
            </w:pPr>
          </w:p>
        </w:tc>
      </w:tr>
      <w:tr w14:paraId="525BE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42769EB7">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0263EEF0">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75D41B71">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0D451370">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6FB5CCB8">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0CFEC93C">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4C762E87">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71AA8113">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4C3A4230">
            <w:pPr>
              <w:jc w:val="center"/>
              <w:rPr>
                <w:rFonts w:hint="eastAsia" w:ascii="仿宋" w:hAnsi="仿宋" w:eastAsia="仿宋" w:cs="仿宋"/>
              </w:rPr>
            </w:pPr>
          </w:p>
        </w:tc>
      </w:tr>
      <w:tr w14:paraId="3CA92F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1D7ED177">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364739CB">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492B06A3">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798D3F18">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4D2BB62A">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2DD82A7E">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02BCBB4E">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62CD9671">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7223CFBD">
            <w:pPr>
              <w:jc w:val="center"/>
              <w:rPr>
                <w:rFonts w:hint="eastAsia" w:ascii="仿宋" w:hAnsi="仿宋" w:eastAsia="仿宋" w:cs="仿宋"/>
              </w:rPr>
            </w:pPr>
          </w:p>
        </w:tc>
      </w:tr>
      <w:tr w14:paraId="43C4A4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01A37C31">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43E17E25">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091605A4">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7230E144">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2B238B53">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287FC2B0">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03DCF5E9">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4D9D90B4">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675D66FD">
            <w:pPr>
              <w:jc w:val="center"/>
              <w:rPr>
                <w:rFonts w:hint="eastAsia" w:ascii="仿宋" w:hAnsi="仿宋" w:eastAsia="仿宋" w:cs="仿宋"/>
              </w:rPr>
            </w:pPr>
          </w:p>
        </w:tc>
      </w:tr>
      <w:tr w14:paraId="3F5CD1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4B51C0AB">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2C96AF8B">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4B9D8AFC">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4A6A096E">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26651F49">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124EF86C">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705D214E">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16558EF0">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648C5C7A">
            <w:pPr>
              <w:jc w:val="center"/>
              <w:rPr>
                <w:rFonts w:hint="eastAsia" w:ascii="仿宋" w:hAnsi="仿宋" w:eastAsia="仿宋" w:cs="仿宋"/>
              </w:rPr>
            </w:pPr>
          </w:p>
        </w:tc>
      </w:tr>
      <w:tr w14:paraId="40DC2F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vAlign w:val="center"/>
          </w:tcPr>
          <w:p w14:paraId="4026CFE7">
            <w:pPr>
              <w:rPr>
                <w:rFonts w:hint="eastAsia" w:ascii="仿宋" w:hAnsi="仿宋" w:eastAsia="仿宋" w:cs="仿宋"/>
                <w:b/>
                <w:bCs/>
              </w:rPr>
            </w:pPr>
            <w:r>
              <w:rPr>
                <w:rFonts w:hint="eastAsia" w:ascii="仿宋" w:hAnsi="仿宋" w:eastAsia="仿宋" w:cs="仿宋"/>
                <w:b/>
                <w:bCs/>
              </w:rPr>
              <w:t>★以下（联合体</w:t>
            </w:r>
            <w:r>
              <w:rPr>
                <w:rFonts w:hint="eastAsia" w:ascii="仿宋" w:hAnsi="仿宋" w:eastAsia="仿宋" w:cs="仿宋"/>
                <w:b/>
                <w:bCs/>
                <w:lang w:val="en-US" w:eastAsia="zh-CN"/>
              </w:rPr>
              <w:t>其他</w:t>
            </w:r>
            <w:r>
              <w:rPr>
                <w:rFonts w:hint="eastAsia" w:ascii="仿宋" w:hAnsi="仿宋" w:eastAsia="仿宋" w:cs="仿宋"/>
                <w:b/>
                <w:bCs/>
              </w:rPr>
              <w:t>成员）承担的部分</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如无则可不填写</w:t>
            </w:r>
            <w:r>
              <w:rPr>
                <w:rFonts w:hint="eastAsia" w:ascii="仿宋" w:hAnsi="仿宋" w:eastAsia="仿宋" w:cs="仿宋"/>
                <w:b/>
                <w:bCs/>
                <w:color w:val="auto"/>
                <w:highlight w:val="none"/>
                <w:lang w:eastAsia="zh-CN"/>
              </w:rPr>
              <w:t>）</w:t>
            </w:r>
          </w:p>
        </w:tc>
      </w:tr>
      <w:tr w14:paraId="7B28E6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14:paraId="1BDFA6B5">
            <w:pPr>
              <w:jc w:val="center"/>
              <w:rPr>
                <w:rFonts w:hint="eastAsia" w:ascii="仿宋" w:hAnsi="仿宋" w:eastAsia="仿宋" w:cs="仿宋"/>
              </w:rPr>
            </w:pPr>
          </w:p>
        </w:tc>
        <w:tc>
          <w:tcPr>
            <w:tcW w:w="829" w:type="pct"/>
            <w:tcBorders>
              <w:top w:val="single" w:color="auto" w:sz="4" w:space="0"/>
              <w:left w:val="single" w:color="auto" w:sz="4" w:space="0"/>
              <w:bottom w:val="single" w:color="auto" w:sz="4" w:space="0"/>
              <w:right w:val="single" w:color="auto" w:sz="4" w:space="0"/>
            </w:tcBorders>
            <w:shd w:val="clear" w:color="auto" w:fill="auto"/>
            <w:vAlign w:val="center"/>
          </w:tcPr>
          <w:p w14:paraId="6A2EE9E9">
            <w:pPr>
              <w:jc w:val="center"/>
              <w:rPr>
                <w:rFonts w:hint="eastAsia" w:ascii="仿宋" w:hAnsi="仿宋" w:eastAsia="仿宋" w:cs="仿宋"/>
              </w:rPr>
            </w:pPr>
          </w:p>
        </w:tc>
        <w:tc>
          <w:tcPr>
            <w:tcW w:w="822" w:type="pct"/>
            <w:tcBorders>
              <w:top w:val="single" w:color="auto" w:sz="4" w:space="0"/>
              <w:left w:val="single" w:color="auto" w:sz="4" w:space="0"/>
              <w:bottom w:val="single" w:color="auto" w:sz="4" w:space="0"/>
              <w:right w:val="single" w:color="auto" w:sz="4" w:space="0"/>
            </w:tcBorders>
            <w:shd w:val="clear" w:color="auto" w:fill="FFFFFF"/>
            <w:vAlign w:val="center"/>
          </w:tcPr>
          <w:p w14:paraId="4205CB18">
            <w:pPr>
              <w:jc w:val="center"/>
              <w:rPr>
                <w:rFonts w:hint="eastAsia" w:ascii="仿宋" w:hAnsi="仿宋" w:eastAsia="仿宋" w:cs="仿宋"/>
              </w:rPr>
            </w:pPr>
          </w:p>
        </w:tc>
        <w:tc>
          <w:tcPr>
            <w:tcW w:w="332" w:type="pct"/>
            <w:tcBorders>
              <w:top w:val="single" w:color="auto" w:sz="4" w:space="0"/>
              <w:left w:val="single" w:color="auto" w:sz="4" w:space="0"/>
              <w:bottom w:val="single" w:color="auto" w:sz="4" w:space="0"/>
              <w:right w:val="single" w:color="auto" w:sz="4" w:space="0"/>
            </w:tcBorders>
            <w:shd w:val="clear" w:color="auto" w:fill="FFFFFF"/>
            <w:vAlign w:val="center"/>
          </w:tcPr>
          <w:p w14:paraId="04D03163">
            <w:pPr>
              <w:jc w:val="center"/>
              <w:rPr>
                <w:rFonts w:hint="eastAsia" w:ascii="仿宋" w:hAnsi="仿宋" w:eastAsia="仿宋" w:cs="仿宋"/>
              </w:rPr>
            </w:pPr>
          </w:p>
        </w:tc>
        <w:tc>
          <w:tcPr>
            <w:tcW w:w="525" w:type="pct"/>
            <w:tcBorders>
              <w:top w:val="single" w:color="auto" w:sz="4" w:space="0"/>
              <w:left w:val="single" w:color="auto" w:sz="4" w:space="0"/>
              <w:bottom w:val="single" w:color="auto" w:sz="4" w:space="0"/>
              <w:right w:val="single" w:color="auto" w:sz="4" w:space="0"/>
            </w:tcBorders>
            <w:shd w:val="clear" w:color="auto" w:fill="FFFFFF"/>
            <w:vAlign w:val="center"/>
          </w:tcPr>
          <w:p w14:paraId="40C95E67">
            <w:pPr>
              <w:jc w:val="center"/>
              <w:rPr>
                <w:rFonts w:hint="eastAsia" w:ascii="仿宋" w:hAnsi="仿宋" w:eastAsia="仿宋" w:cs="仿宋"/>
              </w:rPr>
            </w:pPr>
          </w:p>
        </w:tc>
        <w:tc>
          <w:tcPr>
            <w:tcW w:w="574" w:type="pct"/>
            <w:tcBorders>
              <w:top w:val="single" w:color="auto" w:sz="4" w:space="0"/>
              <w:left w:val="single" w:color="auto" w:sz="4" w:space="0"/>
              <w:bottom w:val="single" w:color="auto" w:sz="4" w:space="0"/>
              <w:right w:val="single" w:color="auto" w:sz="4" w:space="0"/>
            </w:tcBorders>
            <w:shd w:val="clear" w:color="auto" w:fill="FFFFFF"/>
            <w:vAlign w:val="center"/>
          </w:tcPr>
          <w:p w14:paraId="5D78EB4F">
            <w:pPr>
              <w:jc w:val="center"/>
              <w:rPr>
                <w:rFonts w:hint="eastAsia" w:ascii="仿宋" w:hAnsi="仿宋" w:eastAsia="仿宋" w:cs="仿宋"/>
              </w:rPr>
            </w:pPr>
          </w:p>
        </w:tc>
        <w:tc>
          <w:tcPr>
            <w:tcW w:w="459" w:type="pct"/>
            <w:tcBorders>
              <w:top w:val="single" w:color="auto" w:sz="4" w:space="0"/>
              <w:left w:val="single" w:color="auto" w:sz="4" w:space="0"/>
              <w:bottom w:val="single" w:color="auto" w:sz="4" w:space="0"/>
              <w:right w:val="single" w:color="auto" w:sz="4" w:space="0"/>
            </w:tcBorders>
            <w:vAlign w:val="center"/>
          </w:tcPr>
          <w:p w14:paraId="78E6431E">
            <w:pPr>
              <w:jc w:val="center"/>
              <w:rPr>
                <w:rFonts w:hint="eastAsia" w:ascii="仿宋" w:hAnsi="仿宋" w:eastAsia="仿宋" w:cs="仿宋"/>
              </w:rPr>
            </w:pPr>
          </w:p>
        </w:tc>
        <w:tc>
          <w:tcPr>
            <w:tcW w:w="524" w:type="pct"/>
            <w:tcBorders>
              <w:top w:val="single" w:color="auto" w:sz="4" w:space="0"/>
              <w:left w:val="single" w:color="auto" w:sz="4" w:space="0"/>
              <w:bottom w:val="single" w:color="auto" w:sz="4" w:space="0"/>
              <w:right w:val="single" w:color="auto" w:sz="4" w:space="0"/>
            </w:tcBorders>
            <w:vAlign w:val="center"/>
          </w:tcPr>
          <w:p w14:paraId="52221E21">
            <w:pPr>
              <w:jc w:val="center"/>
              <w:rPr>
                <w:rFonts w:hint="eastAsia" w:ascii="仿宋" w:hAnsi="仿宋" w:eastAsia="仿宋" w:cs="仿宋"/>
              </w:rPr>
            </w:pPr>
          </w:p>
        </w:tc>
        <w:tc>
          <w:tcPr>
            <w:tcW w:w="561" w:type="pct"/>
            <w:tcBorders>
              <w:top w:val="single" w:color="auto" w:sz="4" w:space="0"/>
              <w:left w:val="single" w:color="auto" w:sz="4" w:space="0"/>
              <w:bottom w:val="single" w:color="auto" w:sz="4" w:space="0"/>
              <w:right w:val="single" w:color="auto" w:sz="4" w:space="0"/>
            </w:tcBorders>
            <w:vAlign w:val="center"/>
          </w:tcPr>
          <w:p w14:paraId="11B0CE4F">
            <w:pPr>
              <w:jc w:val="center"/>
              <w:rPr>
                <w:rFonts w:hint="eastAsia" w:ascii="仿宋" w:hAnsi="仿宋" w:eastAsia="仿宋" w:cs="仿宋"/>
              </w:rPr>
            </w:pPr>
          </w:p>
        </w:tc>
      </w:tr>
      <w:tr w14:paraId="7EAE76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9"/>
            <w:tcBorders>
              <w:top w:val="single" w:color="auto" w:sz="4" w:space="0"/>
              <w:left w:val="single" w:color="auto" w:sz="4" w:space="0"/>
              <w:bottom w:val="single" w:color="auto" w:sz="4" w:space="0"/>
              <w:right w:val="single" w:color="auto" w:sz="4" w:space="0"/>
            </w:tcBorders>
            <w:vAlign w:val="center"/>
          </w:tcPr>
          <w:p w14:paraId="63B3C67A">
            <w:pPr>
              <w:adjustRightInd w:val="0"/>
              <w:snapToGrid w:val="0"/>
              <w:spacing w:line="288" w:lineRule="auto"/>
              <w:jc w:val="center"/>
              <w:rPr>
                <w:rFonts w:hint="eastAsia" w:ascii="仿宋" w:hAnsi="仿宋" w:eastAsia="仿宋" w:cs="仿宋"/>
                <w:b/>
                <w:bCs/>
                <w:szCs w:val="21"/>
              </w:rPr>
            </w:pPr>
          </w:p>
          <w:p w14:paraId="6EA21578">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投标总价（人民币元）</w:t>
            </w:r>
          </w:p>
          <w:p w14:paraId="700F7B7F">
            <w:pPr>
              <w:adjustRightInd w:val="0"/>
              <w:snapToGrid w:val="0"/>
              <w:spacing w:line="288" w:lineRule="auto"/>
              <w:rPr>
                <w:rFonts w:hint="eastAsia" w:ascii="仿宋" w:hAnsi="仿宋" w:eastAsia="仿宋" w:cs="仿宋"/>
                <w:b/>
                <w:bCs/>
                <w:szCs w:val="21"/>
              </w:rPr>
            </w:pPr>
          </w:p>
          <w:p w14:paraId="143C16FB">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小写：_________________________</w:t>
            </w:r>
          </w:p>
          <w:p w14:paraId="0405F115">
            <w:pPr>
              <w:adjustRightInd w:val="0"/>
              <w:snapToGrid w:val="0"/>
              <w:spacing w:line="288" w:lineRule="auto"/>
              <w:rPr>
                <w:rFonts w:hint="eastAsia" w:ascii="仿宋" w:hAnsi="仿宋" w:eastAsia="仿宋" w:cs="仿宋"/>
                <w:b/>
                <w:bCs/>
                <w:szCs w:val="21"/>
              </w:rPr>
            </w:pPr>
          </w:p>
          <w:p w14:paraId="4A98CEEE">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大写：_________________________</w:t>
            </w:r>
          </w:p>
          <w:p w14:paraId="459345F4">
            <w:pPr>
              <w:adjustRightInd w:val="0"/>
              <w:snapToGrid w:val="0"/>
              <w:spacing w:line="288" w:lineRule="auto"/>
              <w:rPr>
                <w:rFonts w:hint="eastAsia" w:ascii="仿宋" w:hAnsi="仿宋" w:eastAsia="仿宋" w:cs="仿宋"/>
                <w:b/>
                <w:bCs/>
                <w:szCs w:val="21"/>
              </w:rPr>
            </w:pPr>
          </w:p>
        </w:tc>
      </w:tr>
    </w:tbl>
    <w:p w14:paraId="064A3ED6">
      <w:pPr>
        <w:adjustRightInd w:val="0"/>
        <w:snapToGrid w:val="0"/>
        <w:spacing w:line="360" w:lineRule="auto"/>
        <w:rPr>
          <w:rFonts w:ascii="仿宋" w:hAnsi="仿宋" w:eastAsia="仿宋" w:cs="仿宋"/>
          <w:color w:val="auto"/>
          <w:spacing w:val="-6"/>
          <w:szCs w:val="21"/>
          <w:highlight w:val="none"/>
        </w:rPr>
      </w:pPr>
    </w:p>
    <w:p w14:paraId="7BC99E94">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说明：</w:t>
      </w:r>
    </w:p>
    <w:p w14:paraId="7F5F7AA0">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1.开标一览表应按照本招标文件“第三章 投标人须知”关于“投标报价”的规定填写；</w:t>
      </w:r>
    </w:p>
    <w:p w14:paraId="5B9E1051">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★2.服务项目不涉及提供货物的，规格型号、品牌、制造商、产地可不填写；</w:t>
      </w:r>
    </w:p>
    <w:p w14:paraId="6823E5DF">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 w:val="18"/>
          <w:szCs w:val="18"/>
          <w:highlight w:val="none"/>
        </w:rPr>
        <w:t>★3.联合体其他成员承担的部分，应在表中列明。</w:t>
      </w:r>
    </w:p>
    <w:p w14:paraId="19E19858">
      <w:pPr>
        <w:adjustRightInd w:val="0"/>
        <w:snapToGrid w:val="0"/>
        <w:spacing w:line="360" w:lineRule="auto"/>
        <w:rPr>
          <w:rFonts w:ascii="仿宋" w:hAnsi="仿宋" w:eastAsia="仿宋" w:cs="仿宋"/>
          <w:color w:val="auto"/>
          <w:szCs w:val="21"/>
          <w:highlight w:val="none"/>
        </w:rPr>
      </w:pPr>
    </w:p>
    <w:p w14:paraId="7ED5294C">
      <w:pPr>
        <w:adjustRightInd w:val="0"/>
        <w:snapToGrid w:val="0"/>
        <w:spacing w:line="360" w:lineRule="auto"/>
        <w:rPr>
          <w:rFonts w:ascii="仿宋" w:hAnsi="仿宋" w:eastAsia="仿宋" w:cs="仿宋"/>
          <w:b/>
          <w:bCs/>
          <w:color w:val="auto"/>
          <w:spacing w:val="-6"/>
          <w:szCs w:val="21"/>
          <w:highlight w:val="none"/>
        </w:rPr>
      </w:pPr>
    </w:p>
    <w:p w14:paraId="4BF14F7B">
      <w:pPr>
        <w:adjustRightInd w:val="0"/>
        <w:snapToGrid w:val="0"/>
        <w:spacing w:line="360" w:lineRule="auto"/>
        <w:rPr>
          <w:rFonts w:ascii="仿宋" w:hAnsi="仿宋" w:eastAsia="仿宋" w:cs="仿宋"/>
          <w:b/>
          <w:bCs/>
          <w:color w:val="auto"/>
          <w:spacing w:val="-6"/>
          <w:szCs w:val="21"/>
          <w:highlight w:val="none"/>
        </w:rPr>
      </w:pPr>
    </w:p>
    <w:p w14:paraId="4F15E316">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2AE03A6C">
      <w:pPr>
        <w:adjustRightInd w:val="0"/>
        <w:snapToGrid w:val="0"/>
        <w:spacing w:line="360" w:lineRule="auto"/>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667BB5C2">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486E1784">
      <w:pPr>
        <w:spacing w:line="360" w:lineRule="auto"/>
        <w:jc w:val="center"/>
        <w:outlineLvl w:val="2"/>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中小企业声明函</w:t>
      </w:r>
    </w:p>
    <w:p w14:paraId="13A8F338">
      <w:pPr>
        <w:adjustRightInd w:val="0"/>
        <w:snapToGrid w:val="0"/>
        <w:spacing w:line="360" w:lineRule="auto"/>
        <w:jc w:val="center"/>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（若属于中小企业）</w:t>
      </w:r>
    </w:p>
    <w:p w14:paraId="79CAE3F0">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本公司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联合体</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郑重声明，根据《政府采购促进中小企业发展管理办法》（财库[2020]46号）的规定，本公司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联合体</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参加</w:t>
      </w:r>
      <w:r>
        <w:rPr>
          <w:rFonts w:hint="eastAsia" w:ascii="仿宋" w:hAnsi="仿宋" w:eastAsia="仿宋" w:cs="仿宋"/>
          <w:bCs/>
          <w:color w:val="auto"/>
          <w:spacing w:val="-6"/>
          <w:szCs w:val="21"/>
          <w:highlight w:val="none"/>
          <w:lang w:eastAsia="zh-CN"/>
        </w:rPr>
        <w:t>浙江工业大学</w:t>
      </w:r>
      <w:r>
        <w:rPr>
          <w:rFonts w:hint="eastAsia" w:ascii="仿宋" w:hAnsi="仿宋" w:eastAsia="仿宋" w:cs="仿宋"/>
          <w:color w:val="auto"/>
          <w:szCs w:val="21"/>
          <w:highlight w:val="none"/>
        </w:rPr>
        <w:t>的</w:t>
      </w:r>
      <w:r>
        <w:rPr>
          <w:rFonts w:hint="eastAsia" w:ascii="仿宋" w:hAnsi="仿宋" w:eastAsia="仿宋" w:cs="仿宋"/>
          <w:bCs/>
          <w:color w:val="auto"/>
          <w:spacing w:val="-6"/>
          <w:szCs w:val="21"/>
          <w:highlight w:val="none"/>
          <w:lang w:eastAsia="zh-CN"/>
        </w:rPr>
        <w:t>能碳管理显示系统</w:t>
      </w:r>
      <w:r>
        <w:rPr>
          <w:rFonts w:hint="eastAsia" w:ascii="仿宋" w:hAnsi="仿宋" w:eastAsia="仿宋" w:cs="仿宋"/>
          <w:bCs/>
          <w:color w:val="auto"/>
          <w:spacing w:val="-6"/>
          <w:szCs w:val="21"/>
          <w:highlight w:val="none"/>
          <w:lang w:val="en-US" w:eastAsia="zh-CN"/>
        </w:rPr>
        <w:t>采购</w:t>
      </w:r>
      <w:r>
        <w:rPr>
          <w:rFonts w:hint="eastAsia" w:ascii="仿宋" w:hAnsi="仿宋" w:eastAsia="仿宋" w:cs="仿宋"/>
          <w:color w:val="auto"/>
          <w:szCs w:val="21"/>
          <w:highlight w:val="none"/>
        </w:rPr>
        <w:t>活动，提供的货物全部由符合政策要求的中小企业制造。相关企业（含联合体中的中小企业）的具体情况如下：</w:t>
      </w:r>
    </w:p>
    <w:p w14:paraId="46D3C929">
      <w:pPr>
        <w:adjustRightInd w:val="0"/>
        <w:snapToGrid w:val="0"/>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（标的名称）</w:t>
      </w:r>
      <w:r>
        <w:rPr>
          <w:rFonts w:hint="eastAsia" w:ascii="仿宋" w:hAnsi="仿宋" w:eastAsia="仿宋" w:cs="仿宋"/>
          <w:szCs w:val="21"/>
          <w:highlight w:val="none"/>
        </w:rPr>
        <w:t>，属于</w:t>
      </w:r>
      <w:r>
        <w:rPr>
          <w:rFonts w:hint="eastAsia" w:ascii="仿宋" w:hAnsi="仿宋" w:eastAsia="仿宋" w:cs="仿宋"/>
          <w:szCs w:val="21"/>
          <w:highlight w:val="none"/>
          <w:lang w:eastAsia="zh-CN"/>
        </w:rPr>
        <w:t>工业</w:t>
      </w:r>
      <w:r>
        <w:rPr>
          <w:rFonts w:hint="eastAsia" w:ascii="仿宋" w:hAnsi="仿宋" w:eastAsia="仿宋" w:cs="仿宋"/>
          <w:szCs w:val="21"/>
          <w:highlight w:val="none"/>
        </w:rPr>
        <w:t>；制造商为</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（企业名称）</w:t>
      </w:r>
      <w:r>
        <w:rPr>
          <w:rFonts w:hint="eastAsia" w:ascii="仿宋" w:hAnsi="仿宋" w:eastAsia="仿宋" w:cs="仿宋"/>
          <w:szCs w:val="21"/>
          <w:highlight w:val="none"/>
        </w:rPr>
        <w:t>，从业人员</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人，营业收入为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万元，资产总额为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万元，属于</w:t>
      </w:r>
      <w:r>
        <w:rPr>
          <w:rFonts w:hint="eastAsia" w:ascii="MS Gothic" w:hAnsi="MS Gothic" w:eastAsia="仿宋" w:cs="仿宋"/>
          <w:kern w:val="0"/>
          <w:szCs w:val="21"/>
          <w:highlight w:val="none"/>
        </w:rPr>
        <w:t>☐</w:t>
      </w:r>
      <w:r>
        <w:rPr>
          <w:rFonts w:hint="eastAsia" w:ascii="仿宋" w:hAnsi="仿宋" w:eastAsia="仿宋" w:cs="仿宋"/>
          <w:iCs/>
          <w:szCs w:val="21"/>
          <w:highlight w:val="none"/>
        </w:rPr>
        <w:t>中型企业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小型企业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微型企业</w:t>
      </w:r>
      <w:r>
        <w:rPr>
          <w:rFonts w:hint="eastAsia" w:ascii="仿宋" w:hAnsi="仿宋" w:eastAsia="仿宋" w:cs="仿宋"/>
          <w:b/>
          <w:bCs/>
          <w:iCs/>
          <w:szCs w:val="21"/>
          <w:highlight w:val="none"/>
        </w:rPr>
        <w:t>（如实勾选）；</w:t>
      </w:r>
    </w:p>
    <w:p w14:paraId="533DC6EA">
      <w:pPr>
        <w:adjustRightInd w:val="0"/>
        <w:snapToGrid w:val="0"/>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2.</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（标的名称）</w:t>
      </w:r>
      <w:r>
        <w:rPr>
          <w:rFonts w:hint="eastAsia" w:ascii="仿宋" w:hAnsi="仿宋" w:eastAsia="仿宋" w:cs="仿宋"/>
          <w:szCs w:val="21"/>
          <w:highlight w:val="none"/>
        </w:rPr>
        <w:t>，属于</w:t>
      </w:r>
      <w:r>
        <w:rPr>
          <w:rFonts w:hint="eastAsia" w:ascii="仿宋" w:hAnsi="仿宋" w:eastAsia="仿宋" w:cs="仿宋"/>
          <w:szCs w:val="21"/>
          <w:highlight w:val="none"/>
          <w:lang w:eastAsia="zh-CN"/>
        </w:rPr>
        <w:t>工业</w:t>
      </w:r>
      <w:r>
        <w:rPr>
          <w:rFonts w:hint="eastAsia" w:ascii="仿宋" w:hAnsi="仿宋" w:eastAsia="仿宋" w:cs="仿宋"/>
          <w:szCs w:val="21"/>
          <w:highlight w:val="none"/>
        </w:rPr>
        <w:t>；制造商为</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（企业名称）</w:t>
      </w:r>
      <w:r>
        <w:rPr>
          <w:rFonts w:hint="eastAsia" w:ascii="仿宋" w:hAnsi="仿宋" w:eastAsia="仿宋" w:cs="仿宋"/>
          <w:szCs w:val="21"/>
          <w:highlight w:val="none"/>
        </w:rPr>
        <w:t>，从业人员</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人，营业收入为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万元，资产总额为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万元，属于</w:t>
      </w:r>
      <w:r>
        <w:rPr>
          <w:rFonts w:hint="eastAsia" w:ascii="MS Gothic" w:hAnsi="MS Gothic" w:eastAsia="仿宋" w:cs="仿宋"/>
          <w:kern w:val="0"/>
          <w:szCs w:val="21"/>
          <w:highlight w:val="none"/>
        </w:rPr>
        <w:t>☐</w:t>
      </w:r>
      <w:r>
        <w:rPr>
          <w:rFonts w:hint="eastAsia" w:ascii="仿宋" w:hAnsi="仿宋" w:eastAsia="仿宋" w:cs="仿宋"/>
          <w:iCs/>
          <w:szCs w:val="21"/>
          <w:highlight w:val="none"/>
        </w:rPr>
        <w:t>中型企业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小型企业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微型企业</w:t>
      </w:r>
      <w:r>
        <w:rPr>
          <w:rFonts w:hint="eastAsia" w:ascii="仿宋" w:hAnsi="仿宋" w:eastAsia="仿宋" w:cs="仿宋"/>
          <w:b/>
          <w:bCs/>
          <w:iCs/>
          <w:szCs w:val="21"/>
          <w:highlight w:val="none"/>
        </w:rPr>
        <w:t>（如实勾选）；</w:t>
      </w:r>
    </w:p>
    <w:p w14:paraId="13820B1D">
      <w:pPr>
        <w:adjustRightInd w:val="0"/>
        <w:snapToGrid w:val="0"/>
        <w:spacing w:line="360" w:lineRule="auto"/>
        <w:ind w:firstLine="422" w:firstLineChars="200"/>
        <w:rPr>
          <w:rFonts w:hint="eastAsia" w:ascii="仿宋" w:hAnsi="仿宋" w:eastAsia="仿宋" w:cs="仿宋"/>
          <w:b/>
          <w:bCs/>
          <w:szCs w:val="21"/>
          <w:highlight w:val="none"/>
          <w:lang w:eastAsia="zh-CN"/>
        </w:rPr>
      </w:pPr>
      <w:r>
        <w:rPr>
          <w:rFonts w:hint="eastAsia" w:ascii="仿宋" w:hAnsi="仿宋" w:eastAsia="仿宋" w:cs="仿宋"/>
          <w:b/>
          <w:bCs/>
          <w:szCs w:val="21"/>
          <w:highlight w:val="none"/>
        </w:rPr>
        <w:t>……（根据采购内容自行增行）</w:t>
      </w:r>
    </w:p>
    <w:p w14:paraId="0B68CD51">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以上企业，不属于大企业的分支机构，不存在控股股东为大企业的情形，也不存在与大企业的负责人为同一人的情形。</w:t>
      </w:r>
    </w:p>
    <w:p w14:paraId="5DBF2EEC">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本企业对上述声明内容的真实性负责。如有虚假，将依法承担相应责任。</w:t>
      </w:r>
    </w:p>
    <w:p w14:paraId="308587D8">
      <w:pPr>
        <w:adjustRightInd w:val="0"/>
        <w:snapToGrid w:val="0"/>
        <w:spacing w:line="360" w:lineRule="auto"/>
        <w:ind w:firstLine="420" w:firstLineChars="200"/>
        <w:rPr>
          <w:rFonts w:ascii="仿宋" w:hAnsi="仿宋" w:eastAsia="仿宋" w:cs="仿宋"/>
          <w:color w:val="auto"/>
          <w:szCs w:val="21"/>
          <w:highlight w:val="none"/>
        </w:rPr>
      </w:pPr>
    </w:p>
    <w:p w14:paraId="336E99AE">
      <w:pPr>
        <w:adjustRightInd w:val="0"/>
        <w:snapToGrid w:val="0"/>
        <w:spacing w:line="360" w:lineRule="auto"/>
        <w:ind w:firstLine="420" w:firstLineChars="200"/>
        <w:rPr>
          <w:rFonts w:ascii="仿宋" w:hAnsi="仿宋" w:eastAsia="仿宋" w:cs="仿宋"/>
          <w:color w:val="auto"/>
          <w:szCs w:val="21"/>
          <w:highlight w:val="none"/>
        </w:rPr>
      </w:pPr>
    </w:p>
    <w:p w14:paraId="02BDA390">
      <w:pPr>
        <w:adjustRightInd w:val="0"/>
        <w:snapToGrid w:val="0"/>
        <w:spacing w:line="360" w:lineRule="auto"/>
        <w:ind w:firstLine="420" w:firstLineChars="200"/>
        <w:rPr>
          <w:rFonts w:ascii="仿宋" w:hAnsi="仿宋" w:eastAsia="仿宋" w:cs="仿宋"/>
          <w:color w:val="auto"/>
          <w:szCs w:val="21"/>
          <w:highlight w:val="none"/>
        </w:rPr>
      </w:pPr>
    </w:p>
    <w:p w14:paraId="60D3E705">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企业名称（盖章）：</w:t>
      </w:r>
    </w:p>
    <w:p w14:paraId="1774CEC0">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日期：</w:t>
      </w:r>
    </w:p>
    <w:p w14:paraId="6D134CF4">
      <w:pPr>
        <w:adjustRightInd w:val="0"/>
        <w:snapToGrid w:val="0"/>
        <w:spacing w:line="360" w:lineRule="auto"/>
        <w:ind w:firstLine="420" w:firstLineChars="200"/>
        <w:rPr>
          <w:rFonts w:ascii="仿宋" w:hAnsi="仿宋" w:eastAsia="仿宋" w:cs="仿宋"/>
          <w:color w:val="auto"/>
          <w:szCs w:val="21"/>
          <w:highlight w:val="none"/>
        </w:rPr>
      </w:pPr>
    </w:p>
    <w:p w14:paraId="39827EB2">
      <w:pPr>
        <w:adjustRightInd w:val="0"/>
        <w:snapToGrid w:val="0"/>
        <w:spacing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注：</w:t>
      </w:r>
    </w:p>
    <w:p w14:paraId="1CA23940">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1.标的名称，按照招标文件中明确的标的填写；</w:t>
      </w:r>
    </w:p>
    <w:p w14:paraId="6E253A2E">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2.所属行业，按照招标文件中明确的标的“所属行业”填写；</w:t>
      </w:r>
    </w:p>
    <w:p w14:paraId="59DC5B53">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3.制造商，货物由中小企业制造，即货物由中小企业生产且使用该中小企业商号或者注册商标；</w:t>
      </w:r>
    </w:p>
    <w:p w14:paraId="659C5A74">
      <w:pPr>
        <w:adjustRightInd w:val="0"/>
        <w:snapToGrid w:val="0"/>
        <w:spacing w:line="360" w:lineRule="auto"/>
        <w:ind w:firstLine="361" w:firstLineChars="200"/>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4.从业人员、营业收入、资产总额填报上一年度数据，无上一年度数据的新成立企业可不填报</w:t>
      </w:r>
      <w:r>
        <w:rPr>
          <w:rFonts w:hint="eastAsia" w:ascii="仿宋" w:hAnsi="仿宋" w:eastAsia="仿宋" w:cs="仿宋"/>
          <w:b/>
          <w:bCs/>
          <w:color w:val="auto"/>
          <w:sz w:val="18"/>
          <w:szCs w:val="18"/>
          <w:highlight w:val="none"/>
          <w:lang w:eastAsia="zh-CN"/>
        </w:rPr>
        <w:t>；</w:t>
      </w:r>
    </w:p>
    <w:p w14:paraId="01E0384D">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5.企业类型（包括新成立企业），按照《中小企业划型标准规定》（工信部联企业〔2011〕300号）规定和招标文件中明确的标的“所属行业”，选择“中型企业、小型企业、微型企业”其中之一；</w:t>
      </w:r>
    </w:p>
    <w:p w14:paraId="09881627">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6.招标文件中明确的标的是能够独立发挥功能的产品，配件、辅料不作为标的，不需要在《中小企业声明函》里填列。</w:t>
      </w:r>
    </w:p>
    <w:p w14:paraId="54A2F64D">
      <w:pP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br w:type="page"/>
      </w:r>
    </w:p>
    <w:p w14:paraId="35F929E9">
      <w:pPr>
        <w:spacing w:line="360" w:lineRule="auto"/>
        <w:jc w:val="center"/>
        <w:outlineLvl w:val="2"/>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属于监狱企业的证明文件</w:t>
      </w:r>
    </w:p>
    <w:p w14:paraId="33CC6A80">
      <w:pPr>
        <w:adjustRightInd w:val="0"/>
        <w:snapToGrid w:val="0"/>
        <w:spacing w:line="360" w:lineRule="auto"/>
        <w:jc w:val="center"/>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（若属于监狱企业）</w:t>
      </w:r>
    </w:p>
    <w:p w14:paraId="2C9E8051">
      <w:pPr>
        <w:adjustRightInd w:val="0"/>
        <w:snapToGrid w:val="0"/>
        <w:spacing w:line="360" w:lineRule="auto"/>
        <w:rPr>
          <w:rFonts w:ascii="仿宋" w:hAnsi="仿宋" w:eastAsia="仿宋" w:cs="仿宋"/>
          <w:color w:val="auto"/>
          <w:szCs w:val="21"/>
          <w:highlight w:val="none"/>
        </w:rPr>
      </w:pPr>
    </w:p>
    <w:p w14:paraId="1877DC25">
      <w:pPr>
        <w:adjustRightInd w:val="0"/>
        <w:snapToGrid w:val="0"/>
        <w:spacing w:line="360" w:lineRule="auto"/>
        <w:rPr>
          <w:rFonts w:ascii="仿宋" w:hAnsi="仿宋" w:eastAsia="仿宋" w:cs="仿宋"/>
          <w:b/>
          <w:bCs/>
          <w:color w:val="auto"/>
          <w:kern w:val="0"/>
          <w:sz w:val="18"/>
          <w:szCs w:val="18"/>
          <w:highlight w:val="none"/>
        </w:rPr>
      </w:pPr>
      <w:r>
        <w:rPr>
          <w:rFonts w:hint="eastAsia" w:ascii="仿宋" w:hAnsi="仿宋" w:eastAsia="仿宋" w:cs="仿宋"/>
          <w:b/>
          <w:bCs/>
          <w:color w:val="auto"/>
          <w:sz w:val="18"/>
          <w:szCs w:val="18"/>
          <w:highlight w:val="none"/>
        </w:rPr>
        <w:t>说明：</w:t>
      </w:r>
      <w:r>
        <w:rPr>
          <w:rFonts w:hint="eastAsia" w:ascii="仿宋" w:hAnsi="仿宋" w:eastAsia="仿宋" w:cs="仿宋"/>
          <w:b/>
          <w:bCs/>
          <w:color w:val="auto"/>
          <w:kern w:val="0"/>
          <w:sz w:val="18"/>
          <w:szCs w:val="18"/>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在政府采购活动中，监狱企业视同小型、微型企业，享受预留份额、评审中价格扣除等政府采购促进中小企业发展的政府采购政策。</w:t>
      </w:r>
    </w:p>
    <w:p w14:paraId="6937BCB2">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C042D80">
      <w:pPr>
        <w:spacing w:line="360" w:lineRule="auto"/>
        <w:jc w:val="center"/>
        <w:outlineLvl w:val="2"/>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残疾人福利性单位声明函</w:t>
      </w:r>
    </w:p>
    <w:p w14:paraId="0BCEE507">
      <w:pPr>
        <w:adjustRightInd w:val="0"/>
        <w:snapToGrid w:val="0"/>
        <w:spacing w:line="360"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 w:val="18"/>
          <w:szCs w:val="18"/>
          <w:highlight w:val="none"/>
        </w:rPr>
        <w:t>（若属于残疾人福利性单位）</w:t>
      </w:r>
    </w:p>
    <w:p w14:paraId="2EDA3F57">
      <w:pPr>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本单位郑重声明，根据《财政部 民政部 中国残疾人联合会关于促进残疾人就业政府采购政策的通知》（财库[</w:t>
      </w:r>
      <w:r>
        <w:rPr>
          <w:rFonts w:hint="eastAsia" w:ascii="仿宋" w:hAnsi="仿宋" w:eastAsia="仿宋" w:cs="仿宋"/>
          <w:color w:val="auto"/>
          <w:szCs w:val="21"/>
          <w:highlight w:val="none"/>
        </w:rPr>
        <w:t>2017]141</w:t>
      </w:r>
      <w:r>
        <w:rPr>
          <w:rFonts w:hint="eastAsia" w:ascii="仿宋" w:hAnsi="仿宋" w:eastAsia="仿宋" w:cs="仿宋"/>
          <w:color w:val="auto"/>
          <w:spacing w:val="6"/>
          <w:szCs w:val="21"/>
          <w:highlight w:val="none"/>
        </w:rPr>
        <w:t>号）的规定，</w:t>
      </w:r>
      <w:r>
        <w:rPr>
          <w:rFonts w:hint="eastAsia" w:ascii="仿宋" w:hAnsi="仿宋" w:eastAsia="仿宋" w:cs="仿宋"/>
          <w:b/>
          <w:bCs/>
          <w:color w:val="auto"/>
          <w:spacing w:val="6"/>
          <w:szCs w:val="21"/>
          <w:highlight w:val="none"/>
        </w:rPr>
        <w:t>本单位为符合条件的残疾人福利性单位</w:t>
      </w:r>
      <w:r>
        <w:rPr>
          <w:rFonts w:hint="eastAsia" w:ascii="仿宋" w:hAnsi="仿宋" w:eastAsia="仿宋" w:cs="仿宋"/>
          <w:color w:val="auto"/>
          <w:spacing w:val="6"/>
          <w:szCs w:val="21"/>
          <w:highlight w:val="none"/>
        </w:rPr>
        <w:t>，且本单位参加</w:t>
      </w:r>
      <w:r>
        <w:rPr>
          <w:rFonts w:hint="eastAsia" w:ascii="仿宋" w:hAnsi="仿宋" w:eastAsia="仿宋" w:cs="仿宋"/>
          <w:bCs/>
          <w:color w:val="auto"/>
          <w:spacing w:val="-6"/>
          <w:szCs w:val="21"/>
          <w:highlight w:val="none"/>
          <w:lang w:eastAsia="zh-CN"/>
        </w:rPr>
        <w:t>浙江工业大学</w:t>
      </w:r>
      <w:r>
        <w:rPr>
          <w:rFonts w:hint="eastAsia" w:ascii="仿宋" w:hAnsi="仿宋" w:eastAsia="仿宋" w:cs="仿宋"/>
          <w:color w:val="auto"/>
          <w:spacing w:val="6"/>
          <w:szCs w:val="21"/>
          <w:highlight w:val="none"/>
        </w:rPr>
        <w:t>的</w:t>
      </w:r>
      <w:r>
        <w:rPr>
          <w:rFonts w:hint="eastAsia" w:ascii="仿宋" w:hAnsi="仿宋" w:eastAsia="仿宋" w:cs="仿宋"/>
          <w:color w:val="auto"/>
          <w:spacing w:val="6"/>
          <w:szCs w:val="21"/>
          <w:highlight w:val="none"/>
          <w:lang w:eastAsia="zh-CN"/>
        </w:rPr>
        <w:t>能碳管理显示系统</w:t>
      </w:r>
      <w:r>
        <w:rPr>
          <w:rFonts w:hint="eastAsia" w:ascii="仿宋" w:hAnsi="仿宋" w:eastAsia="仿宋" w:cs="仿宋"/>
          <w:color w:val="auto"/>
          <w:spacing w:val="6"/>
          <w:szCs w:val="21"/>
          <w:highlight w:val="none"/>
          <w:lang w:val="en-US" w:eastAsia="zh-CN"/>
        </w:rPr>
        <w:t>项目采购</w:t>
      </w:r>
      <w:r>
        <w:rPr>
          <w:rFonts w:hint="eastAsia" w:ascii="仿宋" w:hAnsi="仿宋" w:eastAsia="仿宋" w:cs="仿宋"/>
          <w:color w:val="auto"/>
          <w:spacing w:val="6"/>
          <w:szCs w:val="21"/>
          <w:highlight w:val="none"/>
        </w:rPr>
        <w:t>活动提供本单位制造的货物，或者提供其他残疾人福利性单位制造的货物（不包括使用非残疾人福利性单位注册商标的货物）。</w:t>
      </w:r>
    </w:p>
    <w:p w14:paraId="6BF25178">
      <w:pPr>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本单位对上述声明的真实性负责。如有虚假，将依法承担相应责任。</w:t>
      </w:r>
    </w:p>
    <w:p w14:paraId="1DE1AC47">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4DB316FD">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7BAE2911">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0BD0BD2E">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单位名称（盖章）：</w:t>
      </w:r>
    </w:p>
    <w:p w14:paraId="2DE18D3D">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日期：</w:t>
      </w:r>
    </w:p>
    <w:p w14:paraId="65A88E06">
      <w:pPr>
        <w:adjustRightInd w:val="0"/>
        <w:snapToGrid w:val="0"/>
        <w:spacing w:line="360" w:lineRule="auto"/>
        <w:ind w:firstLine="420" w:firstLineChars="200"/>
        <w:rPr>
          <w:rFonts w:ascii="仿宋" w:hAnsi="仿宋" w:eastAsia="仿宋" w:cs="仿宋"/>
          <w:color w:val="auto"/>
          <w:szCs w:val="21"/>
          <w:highlight w:val="none"/>
        </w:rPr>
      </w:pPr>
    </w:p>
    <w:p w14:paraId="4B6205A3">
      <w:pPr>
        <w:adjustRightInd w:val="0"/>
        <w:snapToGrid w:val="0"/>
        <w:spacing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36BCA9C0">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1.享受政府采购支持政策的残疾人福利性单位应当同时满足以下条件：</w:t>
      </w:r>
    </w:p>
    <w:p w14:paraId="0C6F513A">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（一）安置的残疾人占本单位在职职工人数的比例不低于25%（含25%），并且安置的残疾人人数不少于10人（含10人）；</w:t>
      </w:r>
    </w:p>
    <w:p w14:paraId="409EEB89">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（二）依法与安置的每位残疾人签订了一年以上（含一年）的劳动合同或服务协议；</w:t>
      </w:r>
    </w:p>
    <w:p w14:paraId="24AB512F">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（三）为安置的每位残疾人按月足额缴纳了基本养老保险、基本医疗保险、失业保险、工伤保险和生育保险等社会保险费；</w:t>
      </w:r>
    </w:p>
    <w:p w14:paraId="4673CCDF">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（四）通过银行等金融机构向安置的每位残疾人，按月支付了不低于单位所在区县适用的经省级人民政府批准的月最低工资标准的工资；</w:t>
      </w:r>
    </w:p>
    <w:p w14:paraId="49E1C75B">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（五）提供本单位制造的货物、承担的工程或者服务（以下简称产品），或者提供其他残疾人福利性单位制造的货物（不包括使用非残疾人福利性单位注册商标的货物）。</w:t>
      </w:r>
    </w:p>
    <w:p w14:paraId="4532DC88">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A413A8E">
      <w:pPr>
        <w:pStyle w:val="22"/>
        <w:shd w:val="clear" w:color="auto" w:fill="FFFFFF"/>
        <w:adjustRightInd w:val="0"/>
        <w:snapToGrid w:val="0"/>
        <w:spacing w:before="0" w:beforeAutospacing="0" w:after="0" w:afterAutospacing="0" w:line="360" w:lineRule="auto"/>
        <w:ind w:firstLine="361" w:firstLineChars="200"/>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2.符合条件的残疾人福利性单位在参加政府采购活动时，应当提供财库[2017]141号文件规定的《残疾人福利性单位声明函》，并对声明的真实性负责</w:t>
      </w:r>
      <w:r>
        <w:rPr>
          <w:rFonts w:hint="eastAsia" w:ascii="仿宋" w:hAnsi="仿宋" w:eastAsia="仿宋" w:cs="仿宋"/>
          <w:b/>
          <w:bCs/>
          <w:color w:val="auto"/>
          <w:sz w:val="18"/>
          <w:szCs w:val="18"/>
          <w:highlight w:val="none"/>
          <w:lang w:eastAsia="zh-CN"/>
        </w:rPr>
        <w:t>；</w:t>
      </w:r>
    </w:p>
    <w:p w14:paraId="3C0E48D4">
      <w:pPr>
        <w:pStyle w:val="22"/>
        <w:shd w:val="clear" w:color="auto" w:fill="FFFFFF"/>
        <w:adjustRightInd w:val="0"/>
        <w:snapToGrid w:val="0"/>
        <w:spacing w:before="0" w:beforeAutospacing="0" w:after="0" w:afterAutospacing="0" w:line="360" w:lineRule="auto"/>
        <w:ind w:firstLine="361" w:firstLineChars="200"/>
      </w:pPr>
      <w:r>
        <w:rPr>
          <w:rFonts w:hint="eastAsia" w:ascii="仿宋" w:hAnsi="仿宋" w:eastAsia="仿宋" w:cs="仿宋"/>
          <w:b/>
          <w:bCs/>
          <w:color w:val="auto"/>
          <w:sz w:val="18"/>
          <w:szCs w:val="18"/>
          <w:highlight w:val="none"/>
        </w:rPr>
        <w:t>3.在政府采购活动中，残疾人福利性单位视同小型、微型企业，享受预留份额、评审中价格扣除等促进中小企业发展的政府采购政策。残疾人福利性单位属于小型、微型企业的，不重复享受政策。</w:t>
      </w:r>
    </w:p>
    <w:p w14:paraId="00C4600B">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Cs/>
          <w:color w:val="auto"/>
          <w:spacing w:val="-6"/>
          <w:szCs w:val="21"/>
          <w:highlight w:val="none"/>
        </w:rPr>
        <w:br w:type="page"/>
      </w:r>
    </w:p>
    <w:p w14:paraId="297E2778">
      <w:pPr>
        <w:keepNext w:val="0"/>
        <w:keepLines w:val="0"/>
        <w:pageBreakBefore w:val="0"/>
        <w:widowControl w:val="0"/>
        <w:kinsoku/>
        <w:wordWrap/>
        <w:overflowPunct/>
        <w:topLinePunct w:val="0"/>
        <w:autoSpaceDE/>
        <w:autoSpaceDN/>
        <w:bidi w:val="0"/>
        <w:spacing w:line="360" w:lineRule="auto"/>
        <w:textAlignment w:val="auto"/>
        <w:outlineLvl w:val="1"/>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附件1</w:t>
      </w:r>
    </w:p>
    <w:p w14:paraId="2765FD3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2"/>
        <w:rPr>
          <w:rFonts w:ascii="仿宋" w:hAnsi="仿宋" w:eastAsia="仿宋" w:cs="仿宋"/>
          <w:color w:val="auto"/>
          <w:sz w:val="24"/>
          <w:szCs w:val="24"/>
          <w:highlight w:val="none"/>
          <w:u w:val="single"/>
        </w:rPr>
      </w:pPr>
      <w:r>
        <w:rPr>
          <w:rFonts w:hint="eastAsia" w:ascii="仿宋" w:hAnsi="仿宋" w:eastAsia="仿宋" w:cs="仿宋"/>
          <w:b/>
          <w:bCs/>
          <w:color w:val="auto"/>
          <w:sz w:val="24"/>
          <w:szCs w:val="24"/>
          <w:highlight w:val="none"/>
        </w:rPr>
        <w:t>业务专用章使用说明函</w:t>
      </w:r>
    </w:p>
    <w:p w14:paraId="467D359E">
      <w:pPr>
        <w:keepNext w:val="0"/>
        <w:keepLines w:val="0"/>
        <w:pageBreakBefore w:val="0"/>
        <w:widowControl w:val="0"/>
        <w:kinsoku/>
        <w:wordWrap/>
        <w:overflowPunct/>
        <w:topLinePunct w:val="0"/>
        <w:autoSpaceDE/>
        <w:autoSpaceDN/>
        <w:bidi w:val="0"/>
        <w:snapToGrid w:val="0"/>
        <w:spacing w:line="360" w:lineRule="auto"/>
        <w:textAlignment w:val="auto"/>
        <w:rPr>
          <w:rFonts w:ascii="仿宋" w:hAnsi="仿宋" w:eastAsia="仿宋" w:cs="仿宋"/>
          <w:color w:val="auto"/>
          <w:szCs w:val="21"/>
          <w:highlight w:val="none"/>
        </w:rPr>
      </w:pPr>
      <w:r>
        <w:rPr>
          <w:rFonts w:hint="eastAsia" w:ascii="仿宋" w:hAnsi="仿宋" w:eastAsia="仿宋" w:cs="仿宋"/>
          <w:b/>
          <w:bCs/>
          <w:color w:val="auto"/>
          <w:spacing w:val="-6"/>
          <w:szCs w:val="21"/>
          <w:highlight w:val="none"/>
        </w:rPr>
        <w:t>浙江工业大学、浙江求是招标代理有限公司</w:t>
      </w:r>
    </w:p>
    <w:p w14:paraId="02314F6A">
      <w:pPr>
        <w:snapToGrid w:val="0"/>
        <w:spacing w:line="360" w:lineRule="auto"/>
        <w:ind w:firstLine="424" w:firstLineChars="202"/>
        <w:rPr>
          <w:rFonts w:ascii="仿宋" w:hAnsi="仿宋" w:eastAsia="仿宋" w:cs="仿宋"/>
          <w:color w:val="auto"/>
          <w:szCs w:val="21"/>
          <w:highlight w:val="none"/>
        </w:rPr>
      </w:pPr>
      <w:r>
        <w:rPr>
          <w:rFonts w:hint="eastAsia" w:ascii="仿宋" w:hAnsi="仿宋" w:eastAsia="仿宋" w:cs="仿宋"/>
          <w:color w:val="auto"/>
          <w:kern w:val="0"/>
          <w:szCs w:val="21"/>
          <w:highlight w:val="none"/>
          <w:lang w:val="zh-CN"/>
        </w:rPr>
        <w:t>我方</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（投标人名称）</w:t>
      </w:r>
      <w:r>
        <w:rPr>
          <w:rFonts w:hint="eastAsia" w:ascii="仿宋" w:hAnsi="仿宋" w:eastAsia="仿宋" w:cs="仿宋"/>
          <w:color w:val="auto"/>
          <w:szCs w:val="21"/>
          <w:highlight w:val="none"/>
        </w:rPr>
        <w:t>是中华人民共和国依法登记注册的合法企业，</w:t>
      </w:r>
      <w:r>
        <w:rPr>
          <w:rFonts w:hint="eastAsia" w:ascii="仿宋" w:hAnsi="仿宋" w:eastAsia="仿宋" w:cs="仿宋"/>
          <w:bCs/>
          <w:color w:val="auto"/>
          <w:szCs w:val="21"/>
          <w:highlight w:val="none"/>
        </w:rPr>
        <w:t>在参加</w:t>
      </w:r>
      <w:r>
        <w:rPr>
          <w:rFonts w:hint="eastAsia" w:ascii="仿宋" w:hAnsi="仿宋" w:eastAsia="仿宋" w:cs="仿宋"/>
          <w:color w:val="auto"/>
          <w:szCs w:val="21"/>
          <w:highlight w:val="none"/>
        </w:rPr>
        <w:t>你方组织的</w:t>
      </w:r>
      <w:r>
        <w:rPr>
          <w:rFonts w:hint="eastAsia" w:ascii="仿宋" w:hAnsi="仿宋" w:eastAsia="仿宋" w:cs="仿宋"/>
          <w:color w:val="auto"/>
          <w:szCs w:val="21"/>
          <w:highlight w:val="none"/>
          <w:lang w:eastAsia="zh-CN"/>
        </w:rPr>
        <w:t>浙江工业大学能碳管理显示系统</w:t>
      </w:r>
      <w:r>
        <w:rPr>
          <w:rFonts w:hint="eastAsia" w:ascii="仿宋" w:hAnsi="仿宋" w:eastAsia="仿宋" w:cs="仿宋"/>
          <w:color w:val="auto"/>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QSZB-Z(H)-H25019(GK)]</w:t>
      </w:r>
      <w:r>
        <w:rPr>
          <w:rFonts w:hint="eastAsia" w:ascii="仿宋" w:hAnsi="仿宋" w:eastAsia="仿宋" w:cs="仿宋"/>
          <w:bCs/>
          <w:color w:val="auto"/>
          <w:szCs w:val="21"/>
          <w:highlight w:val="none"/>
        </w:rPr>
        <w:t>投标活动中作如下说明：</w:t>
      </w:r>
      <w:r>
        <w:rPr>
          <w:rFonts w:hint="eastAsia" w:ascii="仿宋" w:hAnsi="仿宋" w:eastAsia="仿宋" w:cs="仿宋"/>
          <w:color w:val="auto"/>
          <w:szCs w:val="21"/>
          <w:highlight w:val="none"/>
        </w:rPr>
        <w:t>我方所使用的“XX专用章”与法定名称章具有同等的法律效力，对使用“XX专用章”的行为予以完全承认，并愿意承担相应责任。</w:t>
      </w:r>
    </w:p>
    <w:p w14:paraId="609EDA55">
      <w:pPr>
        <w:snapToGrid w:val="0"/>
        <w:spacing w:line="360"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rPr>
        <w:t>特此说明。</w:t>
      </w:r>
    </w:p>
    <w:p w14:paraId="32789955">
      <w:pPr>
        <w:snapToGrid w:val="0"/>
        <w:spacing w:line="360" w:lineRule="auto"/>
        <w:ind w:firstLine="424" w:firstLineChars="202"/>
        <w:rPr>
          <w:rFonts w:ascii="仿宋" w:hAnsi="仿宋" w:eastAsia="仿宋" w:cs="仿宋"/>
          <w:color w:val="auto"/>
          <w:szCs w:val="21"/>
          <w:highlight w:val="none"/>
        </w:rPr>
      </w:pPr>
    </w:p>
    <w:p w14:paraId="6C34BB76">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供应商（法定名称章）：</w:t>
      </w:r>
    </w:p>
    <w:p w14:paraId="248A0F39">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pacing w:val="-6"/>
          <w:szCs w:val="21"/>
          <w:highlight w:val="none"/>
        </w:rPr>
        <w:t>日期：     年   月   日</w:t>
      </w:r>
    </w:p>
    <w:p w14:paraId="74867DD6">
      <w:pPr>
        <w:snapToGrid w:val="0"/>
        <w:spacing w:line="360" w:lineRule="auto"/>
        <w:rPr>
          <w:rFonts w:ascii="仿宋" w:hAnsi="仿宋" w:eastAsia="仿宋" w:cs="仿宋"/>
          <w:b/>
          <w:bCs/>
          <w:color w:val="auto"/>
          <w:szCs w:val="21"/>
          <w:highlight w:val="none"/>
        </w:rPr>
      </w:pPr>
    </w:p>
    <w:p w14:paraId="05DCE2D7">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附：</w:t>
      </w:r>
    </w:p>
    <w:p w14:paraId="39030237">
      <w:pPr>
        <w:snapToGrid w:val="0"/>
        <w:spacing w:line="360" w:lineRule="auto"/>
        <w:ind w:firstLine="843" w:firstLineChars="40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供应商法定名称章（印模）                 供应商“XX专用章”（印模）</w:t>
      </w:r>
    </w:p>
    <w:p w14:paraId="0E9744B5">
      <w:pPr>
        <w:snapToGrid w:val="0"/>
        <w:spacing w:line="288" w:lineRule="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r>
        <w:rPr>
          <w:rFonts w:hint="eastAsia" w:ascii="仿宋" w:hAnsi="仿宋" w:eastAsia="仿宋" w:cs="仿宋"/>
          <w:b/>
          <w:bCs/>
          <w:color w:val="auto"/>
          <w:szCs w:val="21"/>
          <w:highlight w:val="none"/>
        </w:rPr>
        <w:t xml:space="preserve"> </w:t>
      </w:r>
      <w:r>
        <w:rPr>
          <w:rFonts w:hint="eastAsia" w:ascii="仿宋" w:hAnsi="仿宋" w:eastAsia="仿宋" w:cs="仿宋"/>
          <w:b/>
          <w:bCs/>
          <w:color w:val="auto"/>
          <w:szCs w:val="21"/>
          <w:highlight w:val="none"/>
        </w:rPr>
        <mc:AlternateContent>
          <mc:Choice Requires="wps">
            <w:drawing>
              <wp:inline distT="0" distB="0" distL="0" distR="0">
                <wp:extent cx="2647950" cy="2253615"/>
                <wp:effectExtent l="5080" t="4445" r="13970" b="15240"/>
                <wp:docPr id="3"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AL1XYt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7E424D9F">
      <w:pPr>
        <w:ind w:left="0" w:leftChars="0" w:right="0" w:rightChars="0" w:firstLine="0" w:firstLineChars="0"/>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br w:type="page"/>
      </w:r>
    </w:p>
    <w:p w14:paraId="5646AD0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highlight w:val="none"/>
          <w:lang w:val="zh-CN"/>
        </w:rPr>
      </w:pPr>
      <w:r>
        <w:rPr>
          <w:rFonts w:hint="eastAsia" w:ascii="仿宋" w:hAnsi="仿宋" w:eastAsia="仿宋" w:cs="仿宋"/>
          <w:b/>
          <w:color w:val="auto"/>
          <w:spacing w:val="-6"/>
          <w:sz w:val="24"/>
          <w:highlight w:val="none"/>
          <w:lang w:val="zh-CN"/>
        </w:rPr>
        <w:t>附件2</w:t>
      </w:r>
    </w:p>
    <w:p w14:paraId="62B33B3A">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zh-CN"/>
        </w:rPr>
        <w:t>联合协议</w:t>
      </w:r>
    </w:p>
    <w:p w14:paraId="4171A8F8">
      <w:pPr>
        <w:keepNext w:val="0"/>
        <w:keepLines w:val="0"/>
        <w:pageBreakBefore w:val="0"/>
        <w:widowControl/>
        <w:kinsoku/>
        <w:wordWrap/>
        <w:overflowPunct/>
        <w:topLinePunct w:val="0"/>
        <w:autoSpaceDE/>
        <w:autoSpaceDN/>
        <w:bidi w:val="0"/>
        <w:adjustRightInd/>
        <w:snapToGrid w:val="0"/>
        <w:spacing w:line="360" w:lineRule="auto"/>
        <w:ind w:left="0" w:leftChars="0" w:right="0" w:rightChars="0"/>
        <w:jc w:val="center"/>
        <w:textAlignment w:val="auto"/>
        <w:outlineLvl w:val="9"/>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（以联合体形式投标的提供联合协议</w:t>
      </w:r>
      <w:r>
        <w:rPr>
          <w:rFonts w:hint="eastAsia" w:ascii="仿宋" w:hAnsi="仿宋" w:eastAsia="仿宋" w:cs="仿宋"/>
          <w:b/>
          <w:color w:val="auto"/>
          <w:sz w:val="18"/>
          <w:szCs w:val="18"/>
          <w:highlight w:val="none"/>
          <w:lang w:eastAsia="zh-CN"/>
        </w:rPr>
        <w:t>，</w:t>
      </w:r>
      <w:r>
        <w:rPr>
          <w:rFonts w:hint="eastAsia" w:ascii="仿宋" w:hAnsi="仿宋" w:eastAsia="仿宋" w:cs="仿宋"/>
          <w:b/>
          <w:color w:val="auto"/>
          <w:sz w:val="18"/>
          <w:szCs w:val="18"/>
          <w:highlight w:val="none"/>
        </w:rPr>
        <w:t>项目不接受联合体投标或投标人不以联合体形式投标的则不需要提供）</w:t>
      </w:r>
    </w:p>
    <w:p w14:paraId="23E5A480">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（联合体所有成员名称）</w:t>
      </w:r>
      <w:r>
        <w:rPr>
          <w:rFonts w:hint="eastAsia" w:ascii="仿宋" w:hAnsi="仿宋" w:eastAsia="仿宋" w:cs="仿宋"/>
          <w:color w:val="auto"/>
          <w:kern w:val="0"/>
          <w:szCs w:val="21"/>
          <w:highlight w:val="none"/>
        </w:rPr>
        <w:t>自愿</w:t>
      </w:r>
      <w:r>
        <w:rPr>
          <w:rFonts w:hint="eastAsia" w:ascii="仿宋" w:hAnsi="仿宋" w:eastAsia="仿宋" w:cs="仿宋"/>
          <w:color w:val="auto"/>
          <w:kern w:val="0"/>
          <w:szCs w:val="21"/>
          <w:highlight w:val="none"/>
          <w:lang w:val="zh-CN"/>
        </w:rPr>
        <w:t>组成一个联合体，以一个投标人的身份</w:t>
      </w:r>
      <w:r>
        <w:rPr>
          <w:rFonts w:hint="eastAsia" w:ascii="仿宋" w:hAnsi="仿宋" w:eastAsia="仿宋" w:cs="仿宋"/>
          <w:color w:val="auto"/>
          <w:kern w:val="0"/>
          <w:szCs w:val="21"/>
          <w:highlight w:val="none"/>
        </w:rPr>
        <w:t>参加</w:t>
      </w:r>
      <w:r>
        <w:rPr>
          <w:rFonts w:hint="eastAsia" w:ascii="仿宋" w:hAnsi="仿宋" w:eastAsia="仿宋" w:cs="仿宋"/>
          <w:color w:val="auto"/>
          <w:kern w:val="0"/>
          <w:szCs w:val="21"/>
          <w:highlight w:val="none"/>
          <w:lang w:eastAsia="zh-CN"/>
        </w:rPr>
        <w:t>浙江工业大学能碳管理显示系统</w:t>
      </w:r>
      <w:r>
        <w:rPr>
          <w:rFonts w:hint="eastAsia" w:ascii="仿宋" w:hAnsi="仿宋" w:eastAsia="仿宋" w:cs="仿宋"/>
          <w:color w:val="auto"/>
          <w:kern w:val="0"/>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QSZB-Z(H)-H25019(GK)</w:t>
      </w:r>
      <w:r>
        <w:rPr>
          <w:rFonts w:hint="eastAsia" w:ascii="仿宋" w:hAnsi="仿宋" w:eastAsia="仿宋" w:cs="仿宋"/>
          <w:color w:val="auto"/>
          <w:szCs w:val="21"/>
          <w:highlight w:val="none"/>
          <w:lang w:eastAsia="zh-CN"/>
        </w:rPr>
        <w:t>]</w:t>
      </w:r>
      <w:r>
        <w:rPr>
          <w:rFonts w:hint="eastAsia" w:ascii="仿宋" w:hAnsi="仿宋" w:eastAsia="仿宋" w:cs="仿宋"/>
          <w:color w:val="auto"/>
          <w:kern w:val="0"/>
          <w:szCs w:val="21"/>
          <w:highlight w:val="none"/>
          <w:lang w:val="zh-CN"/>
        </w:rPr>
        <w:t>投标。</w:t>
      </w:r>
    </w:p>
    <w:p w14:paraId="47C9683F">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一、各方一致决定，</w:t>
      </w:r>
      <w:r>
        <w:rPr>
          <w:rFonts w:hint="eastAsia" w:ascii="仿宋" w:hAnsi="仿宋" w:eastAsia="仿宋" w:cs="仿宋"/>
          <w:color w:val="auto"/>
          <w:kern w:val="0"/>
          <w:szCs w:val="21"/>
          <w:highlight w:val="none"/>
          <w:u w:val="single"/>
        </w:rPr>
        <w:t>（某联合体成员名称）</w:t>
      </w:r>
      <w:r>
        <w:rPr>
          <w:rFonts w:hint="eastAsia" w:ascii="仿宋" w:hAnsi="仿宋" w:eastAsia="仿宋" w:cs="仿宋"/>
          <w:color w:val="auto"/>
          <w:kern w:val="0"/>
          <w:szCs w:val="21"/>
          <w:highlight w:val="none"/>
        </w:rPr>
        <w:t>为联合体</w:t>
      </w:r>
      <w:r>
        <w:rPr>
          <w:rFonts w:hint="eastAsia" w:ascii="仿宋" w:hAnsi="仿宋" w:eastAsia="仿宋" w:cs="仿宋"/>
          <w:color w:val="auto"/>
          <w:kern w:val="0"/>
          <w:szCs w:val="21"/>
          <w:highlight w:val="none"/>
          <w:lang w:val="zh-CN"/>
        </w:rPr>
        <w:t>牵头人</w:t>
      </w:r>
      <w:r>
        <w:rPr>
          <w:rFonts w:hint="eastAsia" w:ascii="仿宋" w:hAnsi="仿宋" w:eastAsia="仿宋" w:cs="仿宋"/>
          <w:color w:val="auto"/>
          <w:szCs w:val="21"/>
          <w:highlight w:val="none"/>
        </w:rPr>
        <w:t>，代表所有联合体成员负责投标和合同实施阶段的主办、协调工作</w:t>
      </w:r>
      <w:r>
        <w:rPr>
          <w:rFonts w:hint="eastAsia" w:ascii="仿宋" w:hAnsi="仿宋" w:eastAsia="仿宋" w:cs="仿宋"/>
          <w:color w:val="auto"/>
          <w:kern w:val="0"/>
          <w:szCs w:val="21"/>
          <w:highlight w:val="none"/>
          <w:lang w:val="zh-CN"/>
        </w:rPr>
        <w:t>。</w:t>
      </w:r>
    </w:p>
    <w:p w14:paraId="0D22AB76">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w:t>
      </w:r>
      <w:r>
        <w:rPr>
          <w:rFonts w:hint="eastAsia" w:ascii="仿宋" w:hAnsi="仿宋" w:eastAsia="仿宋" w:cs="仿宋"/>
          <w:color w:val="auto"/>
          <w:szCs w:val="21"/>
          <w:highlight w:val="none"/>
        </w:rPr>
        <w:t>所有联合体成员各方签署授权书，授权书载明的</w:t>
      </w:r>
      <w:r>
        <w:rPr>
          <w:rFonts w:hint="eastAsia" w:ascii="仿宋" w:hAnsi="仿宋" w:eastAsia="仿宋" w:cs="仿宋"/>
          <w:color w:val="auto"/>
          <w:kern w:val="0"/>
          <w:szCs w:val="21"/>
          <w:highlight w:val="none"/>
          <w:lang w:val="zh-CN"/>
        </w:rPr>
        <w:t>授权代表根据招标文件规定及投标内容而对采购人、采购代理机构所作的任何合法承诺，包括书面澄清及</w:t>
      </w:r>
      <w:r>
        <w:rPr>
          <w:rFonts w:hint="eastAsia" w:ascii="仿宋" w:hAnsi="仿宋" w:eastAsia="仿宋" w:cs="仿宋"/>
          <w:color w:val="auto"/>
          <w:kern w:val="0"/>
          <w:szCs w:val="21"/>
          <w:highlight w:val="none"/>
          <w:lang w:val="en-US" w:eastAsia="zh-CN"/>
        </w:rPr>
        <w:t>响应</w:t>
      </w:r>
      <w:r>
        <w:rPr>
          <w:rFonts w:hint="eastAsia" w:ascii="仿宋" w:hAnsi="仿宋" w:eastAsia="仿宋" w:cs="仿宋"/>
          <w:color w:val="auto"/>
          <w:kern w:val="0"/>
          <w:szCs w:val="21"/>
          <w:highlight w:val="none"/>
          <w:lang w:val="zh-CN"/>
        </w:rPr>
        <w:t>等均对联合投标各方产生约束力。</w:t>
      </w:r>
    </w:p>
    <w:p w14:paraId="0F2BADE8">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三、本次联合投标中，分工如下：</w:t>
      </w:r>
      <w:r>
        <w:rPr>
          <w:rFonts w:hint="eastAsia" w:ascii="仿宋" w:hAnsi="仿宋" w:eastAsia="仿宋" w:cs="仿宋"/>
          <w:color w:val="auto"/>
          <w:kern w:val="0"/>
          <w:szCs w:val="21"/>
          <w:highlight w:val="none"/>
          <w:u w:val="single"/>
        </w:rPr>
        <w:t>（联合体其中一方成员名称）</w:t>
      </w:r>
      <w:r>
        <w:rPr>
          <w:rFonts w:hint="eastAsia" w:ascii="仿宋" w:hAnsi="仿宋" w:eastAsia="仿宋" w:cs="仿宋"/>
          <w:color w:val="auto"/>
          <w:kern w:val="0"/>
          <w:szCs w:val="21"/>
          <w:highlight w:val="none"/>
          <w:lang w:val="zh-CN"/>
        </w:rPr>
        <w:t>承担的工作和义务为：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lang w:val="zh-CN"/>
        </w:rPr>
        <w:t>；……。</w:t>
      </w:r>
    </w:p>
    <w:p w14:paraId="19665B7C">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w:t>
      </w:r>
      <w:r>
        <w:rPr>
          <w:rFonts w:hint="eastAsia" w:ascii="仿宋" w:hAnsi="仿宋" w:eastAsia="仿宋" w:cs="仿宋"/>
          <w:color w:val="auto"/>
          <w:kern w:val="0"/>
          <w:szCs w:val="21"/>
          <w:highlight w:val="none"/>
          <w:u w:val="single"/>
        </w:rPr>
        <w:t>（联合体其中一方成员名称）</w:t>
      </w:r>
      <w:r>
        <w:rPr>
          <w:rFonts w:hint="eastAsia" w:ascii="仿宋" w:hAnsi="仿宋" w:eastAsia="仿宋" w:cs="仿宋"/>
          <w:color w:val="auto"/>
          <w:kern w:val="0"/>
          <w:szCs w:val="21"/>
          <w:highlight w:val="none"/>
        </w:rPr>
        <w:t>提供的全部货物由小微企业制造，其合同份额占到合同总金额</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%以上；</w:t>
      </w:r>
      <w:r>
        <w:rPr>
          <w:rFonts w:hint="eastAsia" w:ascii="仿宋" w:hAnsi="仿宋" w:eastAsia="仿宋" w:cs="仿宋"/>
          <w:color w:val="auto"/>
          <w:kern w:val="0"/>
          <w:szCs w:val="21"/>
          <w:highlight w:val="none"/>
          <w:lang w:val="zh-CN"/>
        </w:rPr>
        <w:t>……。</w:t>
      </w:r>
    </w:p>
    <w:p w14:paraId="282C6C36">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五、如果中标，</w:t>
      </w:r>
      <w:r>
        <w:rPr>
          <w:rFonts w:hint="eastAsia" w:ascii="仿宋" w:hAnsi="仿宋" w:eastAsia="仿宋" w:cs="仿宋"/>
          <w:color w:val="auto"/>
          <w:szCs w:val="21"/>
          <w:highlight w:val="none"/>
        </w:rPr>
        <w:t>联合体各成员方共同与采购人签订合同，并就采购合同约定的事项对采购人承担连带责任。</w:t>
      </w:r>
    </w:p>
    <w:p w14:paraId="18E8ACD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六、有关本次联合投标的其他事宜：</w:t>
      </w:r>
    </w:p>
    <w:p w14:paraId="1F07D1B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1、联合体各方不再单独参加或者与其他供应商另外组成联合体参加同一合同项下的政府采购活动；</w:t>
      </w:r>
    </w:p>
    <w:p w14:paraId="3BD80E3B">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2、联合体中有同类资质的各方按照联合体分工承担相同工作的，按照资质等级较低的供应商确定资质等级；</w:t>
      </w:r>
    </w:p>
    <w:p w14:paraId="2BDED4E2">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3、本协议提交采购人、采购代理机构后，联合体各方不得以任何形式对上述内容进行修改或撤销。</w:t>
      </w:r>
    </w:p>
    <w:p w14:paraId="53BD9FCC">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29D18BC5">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5E537231">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1AC6B82F">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联合体成员名称(电子签名/公章)：</w:t>
      </w:r>
    </w:p>
    <w:p w14:paraId="327270A9">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spacing w:val="-6"/>
          <w:szCs w:val="21"/>
          <w:highlight w:val="none"/>
        </w:rPr>
        <w:t>日期：     年   月   日</w:t>
      </w:r>
    </w:p>
    <w:p w14:paraId="05E16236">
      <w:pPr>
        <w:widowControl/>
        <w:ind w:left="0" w:leftChars="0" w:right="0" w:rightChars="0" w:firstLine="0" w:firstLineChars="0"/>
        <w:jc w:val="center"/>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br w:type="page"/>
      </w:r>
    </w:p>
    <w:p w14:paraId="06F2B1B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highlight w:val="none"/>
          <w:lang w:val="zh-CN"/>
        </w:rPr>
      </w:pPr>
      <w:r>
        <w:rPr>
          <w:rFonts w:hint="eastAsia" w:ascii="仿宋" w:hAnsi="仿宋" w:eastAsia="仿宋" w:cs="仿宋"/>
          <w:b/>
          <w:color w:val="auto"/>
          <w:spacing w:val="-6"/>
          <w:sz w:val="24"/>
          <w:highlight w:val="none"/>
          <w:lang w:val="zh-CN"/>
        </w:rPr>
        <w:t>附件3</w:t>
      </w:r>
    </w:p>
    <w:p w14:paraId="265814B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zh-CN"/>
        </w:rPr>
        <w:t>分包意向协议</w:t>
      </w:r>
    </w:p>
    <w:p w14:paraId="4F015E74">
      <w:pPr>
        <w:keepNext w:val="0"/>
        <w:keepLines w:val="0"/>
        <w:pageBreakBefore w:val="0"/>
        <w:widowControl/>
        <w:kinsoku/>
        <w:wordWrap/>
        <w:overflowPunct/>
        <w:topLinePunct w:val="0"/>
        <w:autoSpaceDE/>
        <w:autoSpaceDN/>
        <w:bidi w:val="0"/>
        <w:adjustRightInd/>
        <w:snapToGrid w:val="0"/>
        <w:spacing w:line="360" w:lineRule="auto"/>
        <w:ind w:right="0" w:rightChars="0"/>
        <w:jc w:val="center"/>
        <w:textAlignment w:val="auto"/>
        <w:outlineLvl w:val="9"/>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（中标后以分包方式履行合同的提供分包意向协议</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采购人不同意分包或中标后不以分包方式履行合同的则不需要提供）</w:t>
      </w:r>
    </w:p>
    <w:p w14:paraId="7A5AFEF8">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若成为</w:t>
      </w:r>
      <w:r>
        <w:rPr>
          <w:rFonts w:hint="eastAsia" w:ascii="仿宋" w:hAnsi="仿宋" w:eastAsia="仿宋" w:cs="仿宋"/>
          <w:color w:val="auto"/>
          <w:kern w:val="0"/>
          <w:szCs w:val="21"/>
          <w:highlight w:val="none"/>
          <w:lang w:eastAsia="zh-CN"/>
        </w:rPr>
        <w:t>浙江工业大学能碳管理显示系统</w:t>
      </w:r>
      <w:r>
        <w:rPr>
          <w:rFonts w:hint="eastAsia" w:ascii="仿宋" w:hAnsi="仿宋" w:eastAsia="仿宋" w:cs="仿宋"/>
          <w:color w:val="auto"/>
          <w:kern w:val="0"/>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QSZB-Z(H)-H25019(GK)</w:t>
      </w:r>
      <w:r>
        <w:rPr>
          <w:rFonts w:hint="eastAsia" w:ascii="仿宋" w:hAnsi="仿宋" w:eastAsia="仿宋" w:cs="仿宋"/>
          <w:color w:val="auto"/>
          <w:szCs w:val="21"/>
          <w:highlight w:val="none"/>
          <w:lang w:eastAsia="zh-CN"/>
        </w:rPr>
        <w:t>]</w:t>
      </w:r>
      <w:r>
        <w:rPr>
          <w:rFonts w:hint="eastAsia" w:ascii="仿宋" w:hAnsi="仿宋" w:eastAsia="仿宋" w:cs="仿宋"/>
          <w:color w:val="auto"/>
          <w:kern w:val="0"/>
          <w:szCs w:val="21"/>
          <w:highlight w:val="none"/>
          <w:lang w:val="zh-CN"/>
        </w:rPr>
        <w:t>的中标</w:t>
      </w:r>
      <w:r>
        <w:rPr>
          <w:rFonts w:hint="eastAsia" w:ascii="仿宋" w:hAnsi="仿宋" w:eastAsia="仿宋" w:cs="仿宋"/>
          <w:color w:val="auto"/>
          <w:kern w:val="0"/>
          <w:szCs w:val="21"/>
          <w:highlight w:val="none"/>
          <w:lang w:val="en-US" w:eastAsia="zh-CN"/>
        </w:rPr>
        <w:t>人</w:t>
      </w:r>
      <w:r>
        <w:rPr>
          <w:rFonts w:hint="eastAsia" w:ascii="仿宋" w:hAnsi="仿宋" w:eastAsia="仿宋" w:cs="仿宋"/>
          <w:color w:val="auto"/>
          <w:kern w:val="0"/>
          <w:szCs w:val="21"/>
          <w:highlight w:val="none"/>
          <w:lang w:val="zh-CN"/>
        </w:rPr>
        <w:t>，将依法采取分包方式履行合同。</w:t>
      </w: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rPr>
        <w:t>与</w:t>
      </w:r>
      <w:r>
        <w:rPr>
          <w:rFonts w:hint="eastAsia" w:ascii="仿宋" w:hAnsi="仿宋" w:eastAsia="仿宋" w:cs="仿宋"/>
          <w:color w:val="auto"/>
          <w:kern w:val="0"/>
          <w:szCs w:val="21"/>
          <w:highlight w:val="none"/>
          <w:u w:val="single"/>
        </w:rPr>
        <w:t>（所有分包供应商名称）</w:t>
      </w:r>
      <w:r>
        <w:rPr>
          <w:rFonts w:hint="eastAsia" w:ascii="仿宋" w:hAnsi="仿宋" w:eastAsia="仿宋" w:cs="仿宋"/>
          <w:color w:val="auto"/>
          <w:kern w:val="0"/>
          <w:szCs w:val="21"/>
          <w:highlight w:val="none"/>
        </w:rPr>
        <w:t>达成分包意向协议</w:t>
      </w:r>
      <w:r>
        <w:rPr>
          <w:rFonts w:hint="eastAsia" w:ascii="仿宋" w:hAnsi="仿宋" w:eastAsia="仿宋" w:cs="仿宋"/>
          <w:color w:val="auto"/>
          <w:kern w:val="0"/>
          <w:szCs w:val="21"/>
          <w:highlight w:val="none"/>
          <w:lang w:val="zh-CN"/>
        </w:rPr>
        <w:t>。</w:t>
      </w:r>
    </w:p>
    <w:p w14:paraId="0134E7BC">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一、分包标的及数量</w:t>
      </w:r>
    </w:p>
    <w:p w14:paraId="72AC7B08">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将</w:t>
      </w:r>
      <w:r>
        <w:rPr>
          <w:rFonts w:hint="eastAsia" w:ascii="仿宋" w:hAnsi="仿宋" w:eastAsia="仿宋" w:cs="仿宋"/>
          <w:color w:val="auto"/>
          <w:szCs w:val="21"/>
          <w:highlight w:val="none"/>
          <w:u w:val="single"/>
        </w:rPr>
        <w:t>XX工作内容</w:t>
      </w:r>
      <w:r>
        <w:rPr>
          <w:rFonts w:hint="eastAsia" w:ascii="仿宋" w:hAnsi="仿宋" w:eastAsia="仿宋" w:cs="仿宋"/>
          <w:color w:val="auto"/>
          <w:szCs w:val="21"/>
          <w:highlight w:val="none"/>
        </w:rPr>
        <w:t>分包给</w:t>
      </w: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lang w:val="zh-CN"/>
        </w:rPr>
        <w:t>，</w:t>
      </w: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lang w:val="zh-CN"/>
        </w:rPr>
        <w:t>具备承</w:t>
      </w:r>
      <w:r>
        <w:rPr>
          <w:rFonts w:hint="eastAsia" w:ascii="仿宋" w:hAnsi="仿宋" w:eastAsia="仿宋" w:cs="仿宋"/>
          <w:color w:val="auto"/>
          <w:kern w:val="0"/>
          <w:szCs w:val="21"/>
          <w:highlight w:val="none"/>
        </w:rPr>
        <w:t>担</w:t>
      </w:r>
      <w:r>
        <w:rPr>
          <w:rFonts w:hint="eastAsia" w:ascii="仿宋" w:hAnsi="仿宋" w:eastAsia="仿宋" w:cs="仿宋"/>
          <w:color w:val="auto"/>
          <w:szCs w:val="21"/>
          <w:highlight w:val="none"/>
          <w:u w:val="single"/>
        </w:rPr>
        <w:t>XX工作内容</w:t>
      </w:r>
      <w:r>
        <w:rPr>
          <w:rFonts w:hint="eastAsia" w:ascii="仿宋" w:hAnsi="仿宋" w:eastAsia="仿宋" w:cs="仿宋"/>
          <w:color w:val="auto"/>
          <w:kern w:val="0"/>
          <w:szCs w:val="21"/>
          <w:highlight w:val="none"/>
          <w:lang w:val="zh-CN"/>
        </w:rPr>
        <w:t>相应资质条件且不得再次分包；</w:t>
      </w:r>
    </w:p>
    <w:p w14:paraId="7D06220D">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w:t>
      </w:r>
    </w:p>
    <w:p w14:paraId="14690F81">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二、分包工作履行期限、地点、方式：</w:t>
      </w:r>
    </w:p>
    <w:p w14:paraId="696200C7">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三、质量：</w:t>
      </w:r>
    </w:p>
    <w:p w14:paraId="1EC87CC2">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四、价款或者报酬：</w:t>
      </w:r>
    </w:p>
    <w:p w14:paraId="20EF5913">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五、违约责任：</w:t>
      </w:r>
    </w:p>
    <w:p w14:paraId="5B5DCFF9">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六、争议解决的办法：</w:t>
      </w:r>
    </w:p>
    <w:p w14:paraId="36F008F3">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七、其他：</w:t>
      </w:r>
    </w:p>
    <w:p w14:paraId="0FF68E9B">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u w:val="none"/>
        </w:rPr>
        <w:t>提供的货物全部由小微企业制造，</w:t>
      </w:r>
      <w:r>
        <w:rPr>
          <w:rFonts w:hint="eastAsia" w:ascii="仿宋" w:hAnsi="仿宋" w:eastAsia="仿宋" w:cs="仿宋"/>
          <w:color w:val="auto"/>
          <w:kern w:val="0"/>
          <w:szCs w:val="21"/>
          <w:highlight w:val="none"/>
        </w:rPr>
        <w:t>其合同份额占到合同总金额</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%以上</w:t>
      </w:r>
      <w:r>
        <w:rPr>
          <w:rFonts w:hint="eastAsia" w:ascii="仿宋" w:hAnsi="仿宋" w:eastAsia="仿宋" w:cs="仿宋"/>
          <w:color w:val="auto"/>
          <w:szCs w:val="21"/>
          <w:highlight w:val="none"/>
        </w:rPr>
        <w:t>。</w:t>
      </w:r>
    </w:p>
    <w:p w14:paraId="0BBC6F70">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p>
    <w:p w14:paraId="62E5917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color w:val="auto"/>
          <w:kern w:val="0"/>
          <w:szCs w:val="21"/>
          <w:highlight w:val="none"/>
          <w:lang w:val="zh-CN"/>
        </w:rPr>
      </w:pPr>
    </w:p>
    <w:p w14:paraId="4A93F692">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color w:val="auto"/>
          <w:kern w:val="0"/>
          <w:szCs w:val="21"/>
          <w:highlight w:val="none"/>
          <w:lang w:val="zh-CN"/>
        </w:rPr>
      </w:pPr>
    </w:p>
    <w:p w14:paraId="4CFFBFAC">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投标人名称（电子签名/公章）：</w:t>
      </w:r>
    </w:p>
    <w:p w14:paraId="6575C2BF">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分包供应商名称：（电子签名/公章）：</w:t>
      </w:r>
    </w:p>
    <w:p w14:paraId="6BD26385">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color w:val="auto"/>
          <w:highlight w:val="none"/>
        </w:rPr>
      </w:pPr>
      <w:r>
        <w:rPr>
          <w:rFonts w:hint="eastAsia" w:ascii="仿宋" w:hAnsi="仿宋" w:eastAsia="仿宋" w:cs="仿宋"/>
          <w:b/>
          <w:bCs/>
          <w:color w:val="auto"/>
          <w:spacing w:val="-6"/>
          <w:szCs w:val="21"/>
          <w:highlight w:val="none"/>
        </w:rPr>
        <w:t>日期：     年   月   日</w:t>
      </w:r>
    </w:p>
    <w:sectPr>
      <w:pgSz w:w="11906" w:h="16838"/>
      <w:pgMar w:top="1440" w:right="1247" w:bottom="1440" w:left="1247" w:header="340" w:footer="850" w:gutter="0"/>
      <w:cols w:space="0" w:num="1"/>
      <w:rtlGutter w:val="0"/>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Helvetica Neue Light">
    <w:altName w:val="Segoe Print"/>
    <w:panose1 w:val="00000000000000000000"/>
    <w:charset w:val="00"/>
    <w:family w:val="auto"/>
    <w:pitch w:val="default"/>
    <w:sig w:usb0="00000000" w:usb1="00000000" w:usb2="00000002" w:usb3="00000000" w:csb0="00000007" w:csb1="00000000"/>
  </w:font>
  <w:font w:name="Segoe Print">
    <w:panose1 w:val="02000600000000000000"/>
    <w:charset w:val="00"/>
    <w:family w:val="auto"/>
    <w:pitch w:val="default"/>
    <w:sig w:usb0="0000028F" w:usb1="00000000" w:usb2="00000000" w:usb3="00000000" w:csb0="2000009F" w:csb1="47010000"/>
  </w:font>
  <w:font w:name="ヒラギノ角ゴ Pro W3">
    <w:altName w:val="Yu Gothic"/>
    <w:panose1 w:val="00000000000000000000"/>
    <w:charset w:val="80"/>
    <w:family w:val="auto"/>
    <w:pitch w:val="default"/>
    <w:sig w:usb0="00000000" w:usb1="00000000" w:usb2="00000012" w:usb3="00000000" w:csb0="0002000D" w:csb1="00000000"/>
  </w:font>
  <w:font w:name="Yu Gothic">
    <w:panose1 w:val="020B0400000000000000"/>
    <w:charset w:val="80"/>
    <w:family w:val="auto"/>
    <w:pitch w:val="default"/>
    <w:sig w:usb0="E00002FF" w:usb1="2AC7FDFF" w:usb2="00000016" w:usb3="00000000" w:csb0="2002009F" w:csb1="00000000"/>
  </w:font>
  <w:font w:name="MS Gothic">
    <w:panose1 w:val="020B0609070205080204"/>
    <w:charset w:val="80"/>
    <w:family w:val="auto"/>
    <w:pitch w:val="default"/>
    <w:sig w:usb0="E00002FF" w:usb1="6AC7FDFB" w:usb2="08000012" w:usb3="00000000" w:csb0="4002009F" w:csb1="DFD7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03013">
    <w:pPr>
      <w:pStyle w:val="18"/>
      <w:jc w:val="both"/>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108D1">
    <w:pPr>
      <w:pStyle w:val="18"/>
      <w:jc w:val="both"/>
      <w:rPr>
        <w:rFonts w:ascii="宋体" w:hAnsi="宋体" w:eastAsia="宋体"/>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74C85">
                          <w:pPr>
                            <w:pStyle w:val="18"/>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5174C85">
                    <w:pPr>
                      <w:pStyle w:val="18"/>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09887">
    <w:pPr>
      <w:jc w:val="center"/>
    </w:pPr>
    <w:r>
      <w:rPr>
        <w:rFonts w:hint="eastAsia" w:eastAsiaTheme="minorEastAsia"/>
        <w:lang w:eastAsia="zh-CN"/>
      </w:rPr>
      <w:drawing>
        <wp:inline distT="0" distB="0" distL="114300" distR="114300">
          <wp:extent cx="5906770" cy="676910"/>
          <wp:effectExtent l="0" t="0" r="6350" b="8890"/>
          <wp:docPr id="2" name="图片 2" descr="页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页眉"/>
                  <pic:cNvPicPr>
                    <a:picLocks noChangeAspect="1"/>
                  </pic:cNvPicPr>
                </pic:nvPicPr>
                <pic:blipFill>
                  <a:blip r:embed="rId1"/>
                  <a:stretch>
                    <a:fillRect/>
                  </a:stretch>
                </pic:blipFill>
                <pic:spPr>
                  <a:xfrm>
                    <a:off x="0" y="0"/>
                    <a:ext cx="5906770" cy="67691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6"/>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UwMTFkMDI3ZjBmZjczM2Q3M2EwOGI5M2VjYzUzMDkifQ=="/>
  </w:docVars>
  <w:rsids>
    <w:rsidRoot w:val="00172A27"/>
    <w:rsid w:val="000009E4"/>
    <w:rsid w:val="0000114F"/>
    <w:rsid w:val="0000436F"/>
    <w:rsid w:val="00004B8F"/>
    <w:rsid w:val="00006469"/>
    <w:rsid w:val="00006CFD"/>
    <w:rsid w:val="000116E4"/>
    <w:rsid w:val="00013608"/>
    <w:rsid w:val="00013B07"/>
    <w:rsid w:val="00014530"/>
    <w:rsid w:val="00015995"/>
    <w:rsid w:val="00016D69"/>
    <w:rsid w:val="00037CC3"/>
    <w:rsid w:val="00037F12"/>
    <w:rsid w:val="000404C3"/>
    <w:rsid w:val="0004184A"/>
    <w:rsid w:val="00042FA2"/>
    <w:rsid w:val="00043D3F"/>
    <w:rsid w:val="0004610A"/>
    <w:rsid w:val="00046C0F"/>
    <w:rsid w:val="00047FBE"/>
    <w:rsid w:val="000505CC"/>
    <w:rsid w:val="000536E0"/>
    <w:rsid w:val="00057E8D"/>
    <w:rsid w:val="0006261A"/>
    <w:rsid w:val="00065AAC"/>
    <w:rsid w:val="00066C2F"/>
    <w:rsid w:val="00067CDC"/>
    <w:rsid w:val="00074377"/>
    <w:rsid w:val="000765FF"/>
    <w:rsid w:val="00080197"/>
    <w:rsid w:val="00080E86"/>
    <w:rsid w:val="000814E9"/>
    <w:rsid w:val="00082DB5"/>
    <w:rsid w:val="00082FB1"/>
    <w:rsid w:val="00085C8D"/>
    <w:rsid w:val="00085FCC"/>
    <w:rsid w:val="00091AA5"/>
    <w:rsid w:val="00091FF9"/>
    <w:rsid w:val="000922B3"/>
    <w:rsid w:val="000949E6"/>
    <w:rsid w:val="0009761D"/>
    <w:rsid w:val="000A108A"/>
    <w:rsid w:val="000A68FB"/>
    <w:rsid w:val="000A74CF"/>
    <w:rsid w:val="000A7D0F"/>
    <w:rsid w:val="000B1B92"/>
    <w:rsid w:val="000B5BC8"/>
    <w:rsid w:val="000C1DE2"/>
    <w:rsid w:val="000C1EF8"/>
    <w:rsid w:val="000C3537"/>
    <w:rsid w:val="000C587E"/>
    <w:rsid w:val="000C67A6"/>
    <w:rsid w:val="000D0B38"/>
    <w:rsid w:val="000D107B"/>
    <w:rsid w:val="000D4121"/>
    <w:rsid w:val="000D763B"/>
    <w:rsid w:val="000E0B46"/>
    <w:rsid w:val="000E12A8"/>
    <w:rsid w:val="000E6420"/>
    <w:rsid w:val="000F4562"/>
    <w:rsid w:val="00103101"/>
    <w:rsid w:val="00106A4D"/>
    <w:rsid w:val="001137C8"/>
    <w:rsid w:val="00117EF1"/>
    <w:rsid w:val="001203D7"/>
    <w:rsid w:val="00120781"/>
    <w:rsid w:val="00130294"/>
    <w:rsid w:val="001358FA"/>
    <w:rsid w:val="00137FB9"/>
    <w:rsid w:val="00145597"/>
    <w:rsid w:val="001466D3"/>
    <w:rsid w:val="001472FE"/>
    <w:rsid w:val="00147E13"/>
    <w:rsid w:val="00154E6E"/>
    <w:rsid w:val="00160F71"/>
    <w:rsid w:val="00162355"/>
    <w:rsid w:val="00162B7F"/>
    <w:rsid w:val="001639E5"/>
    <w:rsid w:val="00164553"/>
    <w:rsid w:val="00164E88"/>
    <w:rsid w:val="00166D36"/>
    <w:rsid w:val="00167EC3"/>
    <w:rsid w:val="0017064E"/>
    <w:rsid w:val="00170DD1"/>
    <w:rsid w:val="00172304"/>
    <w:rsid w:val="0018079E"/>
    <w:rsid w:val="00182FEC"/>
    <w:rsid w:val="00183AD9"/>
    <w:rsid w:val="00191976"/>
    <w:rsid w:val="00197EDA"/>
    <w:rsid w:val="001A1C51"/>
    <w:rsid w:val="001A2D63"/>
    <w:rsid w:val="001A2F81"/>
    <w:rsid w:val="001B01EC"/>
    <w:rsid w:val="001B03B6"/>
    <w:rsid w:val="001B1958"/>
    <w:rsid w:val="001B2E94"/>
    <w:rsid w:val="001B63B2"/>
    <w:rsid w:val="001B6AE4"/>
    <w:rsid w:val="001B6C0D"/>
    <w:rsid w:val="001C1474"/>
    <w:rsid w:val="001C2000"/>
    <w:rsid w:val="001C2933"/>
    <w:rsid w:val="001C4075"/>
    <w:rsid w:val="001D157A"/>
    <w:rsid w:val="001D2D58"/>
    <w:rsid w:val="001D7868"/>
    <w:rsid w:val="001E1516"/>
    <w:rsid w:val="001E3085"/>
    <w:rsid w:val="001E79C3"/>
    <w:rsid w:val="001F36AC"/>
    <w:rsid w:val="001F7274"/>
    <w:rsid w:val="002004E1"/>
    <w:rsid w:val="00200536"/>
    <w:rsid w:val="00201125"/>
    <w:rsid w:val="00201321"/>
    <w:rsid w:val="00202EC6"/>
    <w:rsid w:val="00204F17"/>
    <w:rsid w:val="00210339"/>
    <w:rsid w:val="00211660"/>
    <w:rsid w:val="00213589"/>
    <w:rsid w:val="00221BD1"/>
    <w:rsid w:val="00223595"/>
    <w:rsid w:val="00224BD6"/>
    <w:rsid w:val="002265A9"/>
    <w:rsid w:val="00230DA7"/>
    <w:rsid w:val="002336BD"/>
    <w:rsid w:val="00236327"/>
    <w:rsid w:val="00236937"/>
    <w:rsid w:val="002402D1"/>
    <w:rsid w:val="002435F2"/>
    <w:rsid w:val="00243D1E"/>
    <w:rsid w:val="0025569A"/>
    <w:rsid w:val="00255E9B"/>
    <w:rsid w:val="00255F77"/>
    <w:rsid w:val="0025659F"/>
    <w:rsid w:val="002570E8"/>
    <w:rsid w:val="00257110"/>
    <w:rsid w:val="002607CF"/>
    <w:rsid w:val="00262884"/>
    <w:rsid w:val="00263BCE"/>
    <w:rsid w:val="00264D84"/>
    <w:rsid w:val="00267917"/>
    <w:rsid w:val="00272073"/>
    <w:rsid w:val="00275FBD"/>
    <w:rsid w:val="00283AE2"/>
    <w:rsid w:val="00283EB5"/>
    <w:rsid w:val="00296AB0"/>
    <w:rsid w:val="002A7085"/>
    <w:rsid w:val="002A799A"/>
    <w:rsid w:val="002B0296"/>
    <w:rsid w:val="002B1048"/>
    <w:rsid w:val="002B4AE9"/>
    <w:rsid w:val="002C3342"/>
    <w:rsid w:val="002D2EAF"/>
    <w:rsid w:val="002D3A28"/>
    <w:rsid w:val="002E3494"/>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17B9"/>
    <w:rsid w:val="00311A4B"/>
    <w:rsid w:val="00312BBF"/>
    <w:rsid w:val="00317A81"/>
    <w:rsid w:val="00320EE9"/>
    <w:rsid w:val="00321487"/>
    <w:rsid w:val="00327618"/>
    <w:rsid w:val="0033301D"/>
    <w:rsid w:val="00336F68"/>
    <w:rsid w:val="00336FDD"/>
    <w:rsid w:val="00341604"/>
    <w:rsid w:val="00347CBA"/>
    <w:rsid w:val="003502B4"/>
    <w:rsid w:val="00352E2F"/>
    <w:rsid w:val="003560E6"/>
    <w:rsid w:val="00357CF0"/>
    <w:rsid w:val="00363F3D"/>
    <w:rsid w:val="003665F6"/>
    <w:rsid w:val="0036728D"/>
    <w:rsid w:val="00371425"/>
    <w:rsid w:val="00371E29"/>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7992"/>
    <w:rsid w:val="003A7D03"/>
    <w:rsid w:val="003B064C"/>
    <w:rsid w:val="003B13A5"/>
    <w:rsid w:val="003B3605"/>
    <w:rsid w:val="003B5B05"/>
    <w:rsid w:val="003B6DAB"/>
    <w:rsid w:val="003C3454"/>
    <w:rsid w:val="003C4781"/>
    <w:rsid w:val="003C5468"/>
    <w:rsid w:val="003C7A4A"/>
    <w:rsid w:val="003D1ED8"/>
    <w:rsid w:val="003D26B2"/>
    <w:rsid w:val="003D3515"/>
    <w:rsid w:val="003D6E1E"/>
    <w:rsid w:val="003E24B1"/>
    <w:rsid w:val="003E60E1"/>
    <w:rsid w:val="003F52EA"/>
    <w:rsid w:val="004011A4"/>
    <w:rsid w:val="00403B44"/>
    <w:rsid w:val="00403FBB"/>
    <w:rsid w:val="00405332"/>
    <w:rsid w:val="0041002E"/>
    <w:rsid w:val="00413B01"/>
    <w:rsid w:val="004142D4"/>
    <w:rsid w:val="004173F4"/>
    <w:rsid w:val="0043170C"/>
    <w:rsid w:val="004327AE"/>
    <w:rsid w:val="00433671"/>
    <w:rsid w:val="004430E8"/>
    <w:rsid w:val="0045480E"/>
    <w:rsid w:val="00456743"/>
    <w:rsid w:val="00456DA5"/>
    <w:rsid w:val="00457EA2"/>
    <w:rsid w:val="004610D3"/>
    <w:rsid w:val="00461FD3"/>
    <w:rsid w:val="00462180"/>
    <w:rsid w:val="00463860"/>
    <w:rsid w:val="00463AF9"/>
    <w:rsid w:val="004644FC"/>
    <w:rsid w:val="00464B58"/>
    <w:rsid w:val="00464D58"/>
    <w:rsid w:val="004719AB"/>
    <w:rsid w:val="0047231B"/>
    <w:rsid w:val="0047725C"/>
    <w:rsid w:val="004840CF"/>
    <w:rsid w:val="0048470A"/>
    <w:rsid w:val="00484EC1"/>
    <w:rsid w:val="004866A5"/>
    <w:rsid w:val="00491047"/>
    <w:rsid w:val="004914C8"/>
    <w:rsid w:val="0049330E"/>
    <w:rsid w:val="004934D4"/>
    <w:rsid w:val="004967FF"/>
    <w:rsid w:val="00497365"/>
    <w:rsid w:val="004977E3"/>
    <w:rsid w:val="00497B33"/>
    <w:rsid w:val="004A0913"/>
    <w:rsid w:val="004A1C68"/>
    <w:rsid w:val="004A2732"/>
    <w:rsid w:val="004A2B24"/>
    <w:rsid w:val="004A4BA1"/>
    <w:rsid w:val="004A62EE"/>
    <w:rsid w:val="004A758D"/>
    <w:rsid w:val="004A7612"/>
    <w:rsid w:val="004B1139"/>
    <w:rsid w:val="004B7ECD"/>
    <w:rsid w:val="004C0ACF"/>
    <w:rsid w:val="004C38B7"/>
    <w:rsid w:val="004C4AEA"/>
    <w:rsid w:val="004C5359"/>
    <w:rsid w:val="004D0781"/>
    <w:rsid w:val="004D2BC8"/>
    <w:rsid w:val="004D3156"/>
    <w:rsid w:val="004D3FD1"/>
    <w:rsid w:val="004D6D2F"/>
    <w:rsid w:val="004D71C3"/>
    <w:rsid w:val="004E373B"/>
    <w:rsid w:val="004E40A7"/>
    <w:rsid w:val="004E764E"/>
    <w:rsid w:val="004F1F7A"/>
    <w:rsid w:val="004F749F"/>
    <w:rsid w:val="005000B3"/>
    <w:rsid w:val="005004BC"/>
    <w:rsid w:val="0050432A"/>
    <w:rsid w:val="0051415E"/>
    <w:rsid w:val="0051461C"/>
    <w:rsid w:val="00516C2B"/>
    <w:rsid w:val="00517F0F"/>
    <w:rsid w:val="00520566"/>
    <w:rsid w:val="00520844"/>
    <w:rsid w:val="00520CCA"/>
    <w:rsid w:val="0052332C"/>
    <w:rsid w:val="005238C8"/>
    <w:rsid w:val="0052419B"/>
    <w:rsid w:val="00525513"/>
    <w:rsid w:val="00530E18"/>
    <w:rsid w:val="00533573"/>
    <w:rsid w:val="0053482D"/>
    <w:rsid w:val="005349E7"/>
    <w:rsid w:val="00536EA4"/>
    <w:rsid w:val="00543979"/>
    <w:rsid w:val="0055295C"/>
    <w:rsid w:val="005541E6"/>
    <w:rsid w:val="005552F4"/>
    <w:rsid w:val="00555329"/>
    <w:rsid w:val="005579AA"/>
    <w:rsid w:val="0056031C"/>
    <w:rsid w:val="00561927"/>
    <w:rsid w:val="00563576"/>
    <w:rsid w:val="00565695"/>
    <w:rsid w:val="005666C3"/>
    <w:rsid w:val="00567903"/>
    <w:rsid w:val="005735F1"/>
    <w:rsid w:val="005762C1"/>
    <w:rsid w:val="00577861"/>
    <w:rsid w:val="00584B0A"/>
    <w:rsid w:val="00585951"/>
    <w:rsid w:val="00592BC6"/>
    <w:rsid w:val="00593624"/>
    <w:rsid w:val="005936D5"/>
    <w:rsid w:val="0059376A"/>
    <w:rsid w:val="005938EE"/>
    <w:rsid w:val="00594309"/>
    <w:rsid w:val="00595A42"/>
    <w:rsid w:val="00597EA9"/>
    <w:rsid w:val="005A2031"/>
    <w:rsid w:val="005A603C"/>
    <w:rsid w:val="005A6A8A"/>
    <w:rsid w:val="005B2265"/>
    <w:rsid w:val="005B7D64"/>
    <w:rsid w:val="005C25EA"/>
    <w:rsid w:val="005D0C62"/>
    <w:rsid w:val="005D4D28"/>
    <w:rsid w:val="005D5F6E"/>
    <w:rsid w:val="005E2D92"/>
    <w:rsid w:val="005E632D"/>
    <w:rsid w:val="005E74BA"/>
    <w:rsid w:val="005F1144"/>
    <w:rsid w:val="005F14E1"/>
    <w:rsid w:val="005F2651"/>
    <w:rsid w:val="005F531A"/>
    <w:rsid w:val="005F5528"/>
    <w:rsid w:val="005F65C8"/>
    <w:rsid w:val="005F70AB"/>
    <w:rsid w:val="005F7DB1"/>
    <w:rsid w:val="00602E5E"/>
    <w:rsid w:val="0060397B"/>
    <w:rsid w:val="006070EC"/>
    <w:rsid w:val="006072E8"/>
    <w:rsid w:val="00611AFB"/>
    <w:rsid w:val="006135DB"/>
    <w:rsid w:val="006143BF"/>
    <w:rsid w:val="006153AB"/>
    <w:rsid w:val="006175EF"/>
    <w:rsid w:val="006279EA"/>
    <w:rsid w:val="006314E7"/>
    <w:rsid w:val="00635BD5"/>
    <w:rsid w:val="00640CB4"/>
    <w:rsid w:val="00641772"/>
    <w:rsid w:val="00642A44"/>
    <w:rsid w:val="00657DC0"/>
    <w:rsid w:val="00660BB7"/>
    <w:rsid w:val="00664079"/>
    <w:rsid w:val="006642C4"/>
    <w:rsid w:val="00664DAA"/>
    <w:rsid w:val="00664F3B"/>
    <w:rsid w:val="006713B5"/>
    <w:rsid w:val="00674C38"/>
    <w:rsid w:val="006763DA"/>
    <w:rsid w:val="00681FEB"/>
    <w:rsid w:val="006823E7"/>
    <w:rsid w:val="0068459B"/>
    <w:rsid w:val="00685148"/>
    <w:rsid w:val="006900EA"/>
    <w:rsid w:val="0069103C"/>
    <w:rsid w:val="00691AD4"/>
    <w:rsid w:val="00693005"/>
    <w:rsid w:val="00693820"/>
    <w:rsid w:val="00696E42"/>
    <w:rsid w:val="00697054"/>
    <w:rsid w:val="00697CA8"/>
    <w:rsid w:val="006A43F9"/>
    <w:rsid w:val="006A4806"/>
    <w:rsid w:val="006A4E30"/>
    <w:rsid w:val="006B4735"/>
    <w:rsid w:val="006B60FC"/>
    <w:rsid w:val="006C0103"/>
    <w:rsid w:val="006C1090"/>
    <w:rsid w:val="006C3E32"/>
    <w:rsid w:val="006C5E79"/>
    <w:rsid w:val="006C7249"/>
    <w:rsid w:val="006D584E"/>
    <w:rsid w:val="006D5DA2"/>
    <w:rsid w:val="006D62F4"/>
    <w:rsid w:val="006E0F3D"/>
    <w:rsid w:val="006F1A49"/>
    <w:rsid w:val="006F4883"/>
    <w:rsid w:val="006F6B94"/>
    <w:rsid w:val="00701FAE"/>
    <w:rsid w:val="00710E91"/>
    <w:rsid w:val="00712B38"/>
    <w:rsid w:val="00716277"/>
    <w:rsid w:val="0071668C"/>
    <w:rsid w:val="0071784C"/>
    <w:rsid w:val="00722B86"/>
    <w:rsid w:val="00725627"/>
    <w:rsid w:val="007258CF"/>
    <w:rsid w:val="00726EB1"/>
    <w:rsid w:val="00732E62"/>
    <w:rsid w:val="007359D0"/>
    <w:rsid w:val="00735C25"/>
    <w:rsid w:val="0073691D"/>
    <w:rsid w:val="00737B87"/>
    <w:rsid w:val="00742745"/>
    <w:rsid w:val="007433C8"/>
    <w:rsid w:val="0074775E"/>
    <w:rsid w:val="00756626"/>
    <w:rsid w:val="007572BE"/>
    <w:rsid w:val="00763093"/>
    <w:rsid w:val="00764B19"/>
    <w:rsid w:val="00765853"/>
    <w:rsid w:val="0076760A"/>
    <w:rsid w:val="00774D1E"/>
    <w:rsid w:val="007765A6"/>
    <w:rsid w:val="00777132"/>
    <w:rsid w:val="0078494B"/>
    <w:rsid w:val="00784A57"/>
    <w:rsid w:val="007851E4"/>
    <w:rsid w:val="00785B83"/>
    <w:rsid w:val="00785D4D"/>
    <w:rsid w:val="0078688E"/>
    <w:rsid w:val="00787700"/>
    <w:rsid w:val="007910A8"/>
    <w:rsid w:val="00791D7E"/>
    <w:rsid w:val="0079274B"/>
    <w:rsid w:val="00792E7D"/>
    <w:rsid w:val="00796DBA"/>
    <w:rsid w:val="007A1535"/>
    <w:rsid w:val="007A2697"/>
    <w:rsid w:val="007A3332"/>
    <w:rsid w:val="007A4000"/>
    <w:rsid w:val="007A6DC4"/>
    <w:rsid w:val="007A7660"/>
    <w:rsid w:val="007A7E00"/>
    <w:rsid w:val="007B2A33"/>
    <w:rsid w:val="007B3510"/>
    <w:rsid w:val="007B70E0"/>
    <w:rsid w:val="007D0155"/>
    <w:rsid w:val="007D0409"/>
    <w:rsid w:val="007D0DB5"/>
    <w:rsid w:val="007D299D"/>
    <w:rsid w:val="007D3533"/>
    <w:rsid w:val="007D5A95"/>
    <w:rsid w:val="007D736C"/>
    <w:rsid w:val="007D7DBA"/>
    <w:rsid w:val="007E0063"/>
    <w:rsid w:val="007E13AE"/>
    <w:rsid w:val="007E5D59"/>
    <w:rsid w:val="007E6466"/>
    <w:rsid w:val="007E6782"/>
    <w:rsid w:val="007E74B9"/>
    <w:rsid w:val="007E7D3E"/>
    <w:rsid w:val="007F3874"/>
    <w:rsid w:val="007F46A2"/>
    <w:rsid w:val="007F5783"/>
    <w:rsid w:val="007F58B9"/>
    <w:rsid w:val="007F73C5"/>
    <w:rsid w:val="007F7402"/>
    <w:rsid w:val="008051C0"/>
    <w:rsid w:val="008062F5"/>
    <w:rsid w:val="00810B33"/>
    <w:rsid w:val="00814392"/>
    <w:rsid w:val="008143E7"/>
    <w:rsid w:val="008147B0"/>
    <w:rsid w:val="0081666D"/>
    <w:rsid w:val="00816F86"/>
    <w:rsid w:val="00826BEC"/>
    <w:rsid w:val="008309E3"/>
    <w:rsid w:val="0083275D"/>
    <w:rsid w:val="008331E4"/>
    <w:rsid w:val="0083518C"/>
    <w:rsid w:val="00835258"/>
    <w:rsid w:val="00836C7B"/>
    <w:rsid w:val="00837A11"/>
    <w:rsid w:val="008400F7"/>
    <w:rsid w:val="00845785"/>
    <w:rsid w:val="0084629B"/>
    <w:rsid w:val="008470A5"/>
    <w:rsid w:val="008524BA"/>
    <w:rsid w:val="00854FBA"/>
    <w:rsid w:val="00860FD0"/>
    <w:rsid w:val="008629F4"/>
    <w:rsid w:val="0087038D"/>
    <w:rsid w:val="008800E3"/>
    <w:rsid w:val="008807C0"/>
    <w:rsid w:val="00887F0C"/>
    <w:rsid w:val="00893A32"/>
    <w:rsid w:val="008A1A9C"/>
    <w:rsid w:val="008A541E"/>
    <w:rsid w:val="008B0ED1"/>
    <w:rsid w:val="008B3188"/>
    <w:rsid w:val="008B336F"/>
    <w:rsid w:val="008B56D2"/>
    <w:rsid w:val="008B7147"/>
    <w:rsid w:val="008C23E0"/>
    <w:rsid w:val="008C3D8A"/>
    <w:rsid w:val="008C3FF0"/>
    <w:rsid w:val="008C56F5"/>
    <w:rsid w:val="008C6787"/>
    <w:rsid w:val="008C7394"/>
    <w:rsid w:val="008C7810"/>
    <w:rsid w:val="008D0FB0"/>
    <w:rsid w:val="008D2DB0"/>
    <w:rsid w:val="008D3747"/>
    <w:rsid w:val="008D6BE2"/>
    <w:rsid w:val="008E0100"/>
    <w:rsid w:val="008E7989"/>
    <w:rsid w:val="008E7DD4"/>
    <w:rsid w:val="008F3F87"/>
    <w:rsid w:val="008F3FFA"/>
    <w:rsid w:val="0090229C"/>
    <w:rsid w:val="00903112"/>
    <w:rsid w:val="0090469F"/>
    <w:rsid w:val="0090555B"/>
    <w:rsid w:val="00912B21"/>
    <w:rsid w:val="00917842"/>
    <w:rsid w:val="009207E0"/>
    <w:rsid w:val="00921DF6"/>
    <w:rsid w:val="00924893"/>
    <w:rsid w:val="00926422"/>
    <w:rsid w:val="009302F3"/>
    <w:rsid w:val="00934006"/>
    <w:rsid w:val="009369AF"/>
    <w:rsid w:val="00937328"/>
    <w:rsid w:val="0093779E"/>
    <w:rsid w:val="00940228"/>
    <w:rsid w:val="00945580"/>
    <w:rsid w:val="00950D6E"/>
    <w:rsid w:val="009548AD"/>
    <w:rsid w:val="0096020D"/>
    <w:rsid w:val="009652E1"/>
    <w:rsid w:val="009700EA"/>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4FED"/>
    <w:rsid w:val="009B6FEB"/>
    <w:rsid w:val="009C428B"/>
    <w:rsid w:val="009C5F48"/>
    <w:rsid w:val="009C62B5"/>
    <w:rsid w:val="009D4E08"/>
    <w:rsid w:val="009D5CF6"/>
    <w:rsid w:val="009D79D9"/>
    <w:rsid w:val="009E0D54"/>
    <w:rsid w:val="009E2C98"/>
    <w:rsid w:val="009E5DE6"/>
    <w:rsid w:val="009E6E7D"/>
    <w:rsid w:val="009F00CA"/>
    <w:rsid w:val="009F6E40"/>
    <w:rsid w:val="00A01CA9"/>
    <w:rsid w:val="00A02B70"/>
    <w:rsid w:val="00A02EC0"/>
    <w:rsid w:val="00A11D23"/>
    <w:rsid w:val="00A12BFB"/>
    <w:rsid w:val="00A131C6"/>
    <w:rsid w:val="00A14643"/>
    <w:rsid w:val="00A153E2"/>
    <w:rsid w:val="00A208BD"/>
    <w:rsid w:val="00A20C0F"/>
    <w:rsid w:val="00A24843"/>
    <w:rsid w:val="00A272A5"/>
    <w:rsid w:val="00A31583"/>
    <w:rsid w:val="00A31B9C"/>
    <w:rsid w:val="00A32353"/>
    <w:rsid w:val="00A32B99"/>
    <w:rsid w:val="00A33534"/>
    <w:rsid w:val="00A34503"/>
    <w:rsid w:val="00A36534"/>
    <w:rsid w:val="00A365B5"/>
    <w:rsid w:val="00A37F7F"/>
    <w:rsid w:val="00A41840"/>
    <w:rsid w:val="00A436D8"/>
    <w:rsid w:val="00A500FC"/>
    <w:rsid w:val="00A50DF7"/>
    <w:rsid w:val="00A5356D"/>
    <w:rsid w:val="00A56E2F"/>
    <w:rsid w:val="00A63F72"/>
    <w:rsid w:val="00A66EBD"/>
    <w:rsid w:val="00A739E7"/>
    <w:rsid w:val="00A75C85"/>
    <w:rsid w:val="00A8478E"/>
    <w:rsid w:val="00A85D86"/>
    <w:rsid w:val="00A91A61"/>
    <w:rsid w:val="00A91F9F"/>
    <w:rsid w:val="00A93BEF"/>
    <w:rsid w:val="00AA1EC4"/>
    <w:rsid w:val="00AA26BF"/>
    <w:rsid w:val="00AA4EEB"/>
    <w:rsid w:val="00AA6158"/>
    <w:rsid w:val="00AB197A"/>
    <w:rsid w:val="00AB538C"/>
    <w:rsid w:val="00AB6351"/>
    <w:rsid w:val="00AC0C26"/>
    <w:rsid w:val="00AC2AE1"/>
    <w:rsid w:val="00AC2CC3"/>
    <w:rsid w:val="00AC729C"/>
    <w:rsid w:val="00AD15D6"/>
    <w:rsid w:val="00AD4215"/>
    <w:rsid w:val="00AD454A"/>
    <w:rsid w:val="00AD7AC4"/>
    <w:rsid w:val="00AE109C"/>
    <w:rsid w:val="00AE2D51"/>
    <w:rsid w:val="00AE5218"/>
    <w:rsid w:val="00AE6143"/>
    <w:rsid w:val="00AE6479"/>
    <w:rsid w:val="00AE65DE"/>
    <w:rsid w:val="00AF0A8C"/>
    <w:rsid w:val="00AF0D11"/>
    <w:rsid w:val="00AF2EB1"/>
    <w:rsid w:val="00AF4159"/>
    <w:rsid w:val="00AF47F0"/>
    <w:rsid w:val="00AF4C17"/>
    <w:rsid w:val="00AF57C7"/>
    <w:rsid w:val="00AF7D17"/>
    <w:rsid w:val="00AF7E39"/>
    <w:rsid w:val="00B016AA"/>
    <w:rsid w:val="00B11414"/>
    <w:rsid w:val="00B2224D"/>
    <w:rsid w:val="00B26485"/>
    <w:rsid w:val="00B27103"/>
    <w:rsid w:val="00B27134"/>
    <w:rsid w:val="00B27466"/>
    <w:rsid w:val="00B31493"/>
    <w:rsid w:val="00B408F4"/>
    <w:rsid w:val="00B41A65"/>
    <w:rsid w:val="00B44146"/>
    <w:rsid w:val="00B5172B"/>
    <w:rsid w:val="00B5208F"/>
    <w:rsid w:val="00B54056"/>
    <w:rsid w:val="00B54F8A"/>
    <w:rsid w:val="00B608E3"/>
    <w:rsid w:val="00B6179A"/>
    <w:rsid w:val="00B63121"/>
    <w:rsid w:val="00B64886"/>
    <w:rsid w:val="00B6513B"/>
    <w:rsid w:val="00B66247"/>
    <w:rsid w:val="00B6671E"/>
    <w:rsid w:val="00B709E0"/>
    <w:rsid w:val="00B71159"/>
    <w:rsid w:val="00B724F3"/>
    <w:rsid w:val="00B76833"/>
    <w:rsid w:val="00B76BE5"/>
    <w:rsid w:val="00B83888"/>
    <w:rsid w:val="00B852B1"/>
    <w:rsid w:val="00B85628"/>
    <w:rsid w:val="00B90814"/>
    <w:rsid w:val="00B90B33"/>
    <w:rsid w:val="00B91B56"/>
    <w:rsid w:val="00B962D4"/>
    <w:rsid w:val="00B96B37"/>
    <w:rsid w:val="00BA396F"/>
    <w:rsid w:val="00BA4D43"/>
    <w:rsid w:val="00BA74CC"/>
    <w:rsid w:val="00BB0B3D"/>
    <w:rsid w:val="00BB5F21"/>
    <w:rsid w:val="00BB5FAE"/>
    <w:rsid w:val="00BC1A71"/>
    <w:rsid w:val="00BC48DB"/>
    <w:rsid w:val="00BC4928"/>
    <w:rsid w:val="00BC74E1"/>
    <w:rsid w:val="00BC78C9"/>
    <w:rsid w:val="00BD2CA3"/>
    <w:rsid w:val="00BD2EE6"/>
    <w:rsid w:val="00BD5352"/>
    <w:rsid w:val="00BD7446"/>
    <w:rsid w:val="00BE0F12"/>
    <w:rsid w:val="00BE21D5"/>
    <w:rsid w:val="00BE5332"/>
    <w:rsid w:val="00BF3D5C"/>
    <w:rsid w:val="00C01687"/>
    <w:rsid w:val="00C02080"/>
    <w:rsid w:val="00C02627"/>
    <w:rsid w:val="00C03DE1"/>
    <w:rsid w:val="00C049FB"/>
    <w:rsid w:val="00C07B07"/>
    <w:rsid w:val="00C10A57"/>
    <w:rsid w:val="00C111CD"/>
    <w:rsid w:val="00C11B1B"/>
    <w:rsid w:val="00C12647"/>
    <w:rsid w:val="00C12F52"/>
    <w:rsid w:val="00C2067F"/>
    <w:rsid w:val="00C21AEB"/>
    <w:rsid w:val="00C25177"/>
    <w:rsid w:val="00C25898"/>
    <w:rsid w:val="00C266F1"/>
    <w:rsid w:val="00C270E3"/>
    <w:rsid w:val="00C31323"/>
    <w:rsid w:val="00C32230"/>
    <w:rsid w:val="00C343E2"/>
    <w:rsid w:val="00C3722B"/>
    <w:rsid w:val="00C373A3"/>
    <w:rsid w:val="00C41A90"/>
    <w:rsid w:val="00C41BEC"/>
    <w:rsid w:val="00C44455"/>
    <w:rsid w:val="00C5397C"/>
    <w:rsid w:val="00C57474"/>
    <w:rsid w:val="00C6026E"/>
    <w:rsid w:val="00C61007"/>
    <w:rsid w:val="00C61726"/>
    <w:rsid w:val="00C641CA"/>
    <w:rsid w:val="00C6577C"/>
    <w:rsid w:val="00C667C1"/>
    <w:rsid w:val="00C674A0"/>
    <w:rsid w:val="00C71F89"/>
    <w:rsid w:val="00C72C1E"/>
    <w:rsid w:val="00C72F15"/>
    <w:rsid w:val="00C74B9A"/>
    <w:rsid w:val="00C77FD8"/>
    <w:rsid w:val="00C855AA"/>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1574"/>
    <w:rsid w:val="00CD15DC"/>
    <w:rsid w:val="00CD4CE1"/>
    <w:rsid w:val="00CD674E"/>
    <w:rsid w:val="00CD6C86"/>
    <w:rsid w:val="00CD6CAD"/>
    <w:rsid w:val="00CD7100"/>
    <w:rsid w:val="00CE1BC2"/>
    <w:rsid w:val="00CE3C16"/>
    <w:rsid w:val="00CE6FB6"/>
    <w:rsid w:val="00CE7AD9"/>
    <w:rsid w:val="00CF3576"/>
    <w:rsid w:val="00CF4740"/>
    <w:rsid w:val="00CF6826"/>
    <w:rsid w:val="00CF7A2E"/>
    <w:rsid w:val="00D00847"/>
    <w:rsid w:val="00D03363"/>
    <w:rsid w:val="00D04AA5"/>
    <w:rsid w:val="00D14CB3"/>
    <w:rsid w:val="00D20C5C"/>
    <w:rsid w:val="00D23BB6"/>
    <w:rsid w:val="00D24377"/>
    <w:rsid w:val="00D25F8C"/>
    <w:rsid w:val="00D26829"/>
    <w:rsid w:val="00D279B4"/>
    <w:rsid w:val="00D304E2"/>
    <w:rsid w:val="00D33AD3"/>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3C6"/>
    <w:rsid w:val="00D601FB"/>
    <w:rsid w:val="00D618F4"/>
    <w:rsid w:val="00D642C9"/>
    <w:rsid w:val="00D66FB7"/>
    <w:rsid w:val="00D72413"/>
    <w:rsid w:val="00D7265F"/>
    <w:rsid w:val="00D737DF"/>
    <w:rsid w:val="00D769DE"/>
    <w:rsid w:val="00D76D20"/>
    <w:rsid w:val="00D81C37"/>
    <w:rsid w:val="00D82CD2"/>
    <w:rsid w:val="00D938B2"/>
    <w:rsid w:val="00D944DF"/>
    <w:rsid w:val="00DA023F"/>
    <w:rsid w:val="00DA249D"/>
    <w:rsid w:val="00DA739D"/>
    <w:rsid w:val="00DB1340"/>
    <w:rsid w:val="00DB18EF"/>
    <w:rsid w:val="00DB23D8"/>
    <w:rsid w:val="00DB3FB2"/>
    <w:rsid w:val="00DB4B8D"/>
    <w:rsid w:val="00DB52B1"/>
    <w:rsid w:val="00DB696D"/>
    <w:rsid w:val="00DB7068"/>
    <w:rsid w:val="00DC335E"/>
    <w:rsid w:val="00DC4D9B"/>
    <w:rsid w:val="00DD013F"/>
    <w:rsid w:val="00DD17D3"/>
    <w:rsid w:val="00DD3FB1"/>
    <w:rsid w:val="00DD4E42"/>
    <w:rsid w:val="00DD5814"/>
    <w:rsid w:val="00DD6C53"/>
    <w:rsid w:val="00DE123F"/>
    <w:rsid w:val="00DE2C67"/>
    <w:rsid w:val="00DE45BC"/>
    <w:rsid w:val="00DE5638"/>
    <w:rsid w:val="00DE7182"/>
    <w:rsid w:val="00DF02C6"/>
    <w:rsid w:val="00DF11F5"/>
    <w:rsid w:val="00DF26D8"/>
    <w:rsid w:val="00DF3656"/>
    <w:rsid w:val="00DF3A80"/>
    <w:rsid w:val="00DF4586"/>
    <w:rsid w:val="00DF5B5D"/>
    <w:rsid w:val="00DF5D92"/>
    <w:rsid w:val="00DF65B2"/>
    <w:rsid w:val="00DF73F4"/>
    <w:rsid w:val="00E001D9"/>
    <w:rsid w:val="00E03ACF"/>
    <w:rsid w:val="00E03B2B"/>
    <w:rsid w:val="00E03DEE"/>
    <w:rsid w:val="00E04498"/>
    <w:rsid w:val="00E04709"/>
    <w:rsid w:val="00E048FB"/>
    <w:rsid w:val="00E0701D"/>
    <w:rsid w:val="00E1306D"/>
    <w:rsid w:val="00E136E8"/>
    <w:rsid w:val="00E151D8"/>
    <w:rsid w:val="00E15522"/>
    <w:rsid w:val="00E159C7"/>
    <w:rsid w:val="00E17491"/>
    <w:rsid w:val="00E215AB"/>
    <w:rsid w:val="00E22BDB"/>
    <w:rsid w:val="00E261F0"/>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3AEE"/>
    <w:rsid w:val="00E74ABE"/>
    <w:rsid w:val="00E8199F"/>
    <w:rsid w:val="00E81C2D"/>
    <w:rsid w:val="00E826D9"/>
    <w:rsid w:val="00E849B4"/>
    <w:rsid w:val="00E84C89"/>
    <w:rsid w:val="00E85DFB"/>
    <w:rsid w:val="00E8633D"/>
    <w:rsid w:val="00E87852"/>
    <w:rsid w:val="00E90F4F"/>
    <w:rsid w:val="00E920B9"/>
    <w:rsid w:val="00E92C09"/>
    <w:rsid w:val="00E9413C"/>
    <w:rsid w:val="00E94676"/>
    <w:rsid w:val="00E96BF3"/>
    <w:rsid w:val="00EA0C3B"/>
    <w:rsid w:val="00EA1755"/>
    <w:rsid w:val="00EA18DE"/>
    <w:rsid w:val="00EA4F01"/>
    <w:rsid w:val="00EA6C57"/>
    <w:rsid w:val="00EB0A8D"/>
    <w:rsid w:val="00EB32D8"/>
    <w:rsid w:val="00EB7AB1"/>
    <w:rsid w:val="00EC2397"/>
    <w:rsid w:val="00EC4F83"/>
    <w:rsid w:val="00ED15BD"/>
    <w:rsid w:val="00ED1947"/>
    <w:rsid w:val="00ED1C7D"/>
    <w:rsid w:val="00ED22B7"/>
    <w:rsid w:val="00ED487B"/>
    <w:rsid w:val="00ED558D"/>
    <w:rsid w:val="00EE04AC"/>
    <w:rsid w:val="00EE20BA"/>
    <w:rsid w:val="00EE2E85"/>
    <w:rsid w:val="00EE370B"/>
    <w:rsid w:val="00EE3A4F"/>
    <w:rsid w:val="00EE6014"/>
    <w:rsid w:val="00EE69E7"/>
    <w:rsid w:val="00EF2298"/>
    <w:rsid w:val="00EF23EC"/>
    <w:rsid w:val="00EF4317"/>
    <w:rsid w:val="00EF50C5"/>
    <w:rsid w:val="00EF560F"/>
    <w:rsid w:val="00F06AEE"/>
    <w:rsid w:val="00F10C79"/>
    <w:rsid w:val="00F13AE7"/>
    <w:rsid w:val="00F14F28"/>
    <w:rsid w:val="00F15F50"/>
    <w:rsid w:val="00F20358"/>
    <w:rsid w:val="00F23FE1"/>
    <w:rsid w:val="00F244B7"/>
    <w:rsid w:val="00F24546"/>
    <w:rsid w:val="00F249B5"/>
    <w:rsid w:val="00F25AE9"/>
    <w:rsid w:val="00F25FC8"/>
    <w:rsid w:val="00F26F38"/>
    <w:rsid w:val="00F27C4E"/>
    <w:rsid w:val="00F30E12"/>
    <w:rsid w:val="00F33F8B"/>
    <w:rsid w:val="00F343CD"/>
    <w:rsid w:val="00F37864"/>
    <w:rsid w:val="00F431A3"/>
    <w:rsid w:val="00F43AE5"/>
    <w:rsid w:val="00F44EFF"/>
    <w:rsid w:val="00F45A96"/>
    <w:rsid w:val="00F45C23"/>
    <w:rsid w:val="00F5041F"/>
    <w:rsid w:val="00F529D3"/>
    <w:rsid w:val="00F5535C"/>
    <w:rsid w:val="00F55A1E"/>
    <w:rsid w:val="00F55A6D"/>
    <w:rsid w:val="00F56BE9"/>
    <w:rsid w:val="00F612B8"/>
    <w:rsid w:val="00F61515"/>
    <w:rsid w:val="00F63B33"/>
    <w:rsid w:val="00F65007"/>
    <w:rsid w:val="00F65257"/>
    <w:rsid w:val="00F66744"/>
    <w:rsid w:val="00F7137A"/>
    <w:rsid w:val="00F75F0C"/>
    <w:rsid w:val="00F76A54"/>
    <w:rsid w:val="00F827AA"/>
    <w:rsid w:val="00F85469"/>
    <w:rsid w:val="00F855E3"/>
    <w:rsid w:val="00F857AF"/>
    <w:rsid w:val="00F86F0B"/>
    <w:rsid w:val="00F87AC8"/>
    <w:rsid w:val="00F87B12"/>
    <w:rsid w:val="00F90BB7"/>
    <w:rsid w:val="00F91A27"/>
    <w:rsid w:val="00F94E51"/>
    <w:rsid w:val="00F9692B"/>
    <w:rsid w:val="00FA15C6"/>
    <w:rsid w:val="00FA3C67"/>
    <w:rsid w:val="00FA4722"/>
    <w:rsid w:val="00FA4BE6"/>
    <w:rsid w:val="00FA52DE"/>
    <w:rsid w:val="00FA5F22"/>
    <w:rsid w:val="00FB4062"/>
    <w:rsid w:val="00FC0078"/>
    <w:rsid w:val="00FC59A5"/>
    <w:rsid w:val="00FD1F23"/>
    <w:rsid w:val="00FD3E41"/>
    <w:rsid w:val="00FD4A9E"/>
    <w:rsid w:val="00FD55B1"/>
    <w:rsid w:val="00FD6717"/>
    <w:rsid w:val="00FE0D9E"/>
    <w:rsid w:val="00FE1EE7"/>
    <w:rsid w:val="00FE5A7E"/>
    <w:rsid w:val="00FF3198"/>
    <w:rsid w:val="010033FE"/>
    <w:rsid w:val="01087940"/>
    <w:rsid w:val="011D4062"/>
    <w:rsid w:val="01285229"/>
    <w:rsid w:val="018C1267"/>
    <w:rsid w:val="01A7043C"/>
    <w:rsid w:val="01E81FFF"/>
    <w:rsid w:val="01F81427"/>
    <w:rsid w:val="02012A20"/>
    <w:rsid w:val="02410BBD"/>
    <w:rsid w:val="0255631B"/>
    <w:rsid w:val="025A1D16"/>
    <w:rsid w:val="02675FA2"/>
    <w:rsid w:val="02723003"/>
    <w:rsid w:val="029858A5"/>
    <w:rsid w:val="02B01928"/>
    <w:rsid w:val="02DB66DE"/>
    <w:rsid w:val="03271B39"/>
    <w:rsid w:val="033B65DB"/>
    <w:rsid w:val="0367195A"/>
    <w:rsid w:val="037035B4"/>
    <w:rsid w:val="0389415C"/>
    <w:rsid w:val="0395216D"/>
    <w:rsid w:val="03E17F2F"/>
    <w:rsid w:val="03F93561"/>
    <w:rsid w:val="04012B21"/>
    <w:rsid w:val="04117261"/>
    <w:rsid w:val="041C048B"/>
    <w:rsid w:val="042652DF"/>
    <w:rsid w:val="04455AED"/>
    <w:rsid w:val="044A77D2"/>
    <w:rsid w:val="04543A7E"/>
    <w:rsid w:val="04656FC2"/>
    <w:rsid w:val="046B3463"/>
    <w:rsid w:val="04932572"/>
    <w:rsid w:val="04933C53"/>
    <w:rsid w:val="04960E16"/>
    <w:rsid w:val="04BD1104"/>
    <w:rsid w:val="04C81265"/>
    <w:rsid w:val="05156760"/>
    <w:rsid w:val="05172669"/>
    <w:rsid w:val="05287B6D"/>
    <w:rsid w:val="052E5413"/>
    <w:rsid w:val="05362D79"/>
    <w:rsid w:val="05702602"/>
    <w:rsid w:val="059E7BA9"/>
    <w:rsid w:val="059F5E57"/>
    <w:rsid w:val="05A16D4A"/>
    <w:rsid w:val="05B15B8F"/>
    <w:rsid w:val="05CF1E17"/>
    <w:rsid w:val="05D34727"/>
    <w:rsid w:val="05D66602"/>
    <w:rsid w:val="05F3515E"/>
    <w:rsid w:val="06372924"/>
    <w:rsid w:val="06495BAA"/>
    <w:rsid w:val="064B395F"/>
    <w:rsid w:val="067A5D0F"/>
    <w:rsid w:val="06887ED4"/>
    <w:rsid w:val="068E57D3"/>
    <w:rsid w:val="06D0191A"/>
    <w:rsid w:val="07023E90"/>
    <w:rsid w:val="073700E5"/>
    <w:rsid w:val="07580619"/>
    <w:rsid w:val="078A686A"/>
    <w:rsid w:val="07983601"/>
    <w:rsid w:val="07C36DE5"/>
    <w:rsid w:val="07E51502"/>
    <w:rsid w:val="07FD4090"/>
    <w:rsid w:val="080055AF"/>
    <w:rsid w:val="08406399"/>
    <w:rsid w:val="08882010"/>
    <w:rsid w:val="08931933"/>
    <w:rsid w:val="08A42702"/>
    <w:rsid w:val="08DF5AD4"/>
    <w:rsid w:val="08E550FE"/>
    <w:rsid w:val="08EF7436"/>
    <w:rsid w:val="0923693C"/>
    <w:rsid w:val="09490841"/>
    <w:rsid w:val="095274DB"/>
    <w:rsid w:val="09957BC4"/>
    <w:rsid w:val="09EB2B51"/>
    <w:rsid w:val="09F27F75"/>
    <w:rsid w:val="0A127337"/>
    <w:rsid w:val="0A133D15"/>
    <w:rsid w:val="0A270D93"/>
    <w:rsid w:val="0A5A6688"/>
    <w:rsid w:val="0A634D99"/>
    <w:rsid w:val="0A6F7309"/>
    <w:rsid w:val="0A745034"/>
    <w:rsid w:val="0A754277"/>
    <w:rsid w:val="0A7F2E26"/>
    <w:rsid w:val="0AD55193"/>
    <w:rsid w:val="0B1110DC"/>
    <w:rsid w:val="0B335263"/>
    <w:rsid w:val="0B3B6FFB"/>
    <w:rsid w:val="0B4A1776"/>
    <w:rsid w:val="0B71123C"/>
    <w:rsid w:val="0B796AE0"/>
    <w:rsid w:val="0B7D4982"/>
    <w:rsid w:val="0B966D19"/>
    <w:rsid w:val="0BC707BF"/>
    <w:rsid w:val="0C1214DA"/>
    <w:rsid w:val="0C31724E"/>
    <w:rsid w:val="0C525A8C"/>
    <w:rsid w:val="0C697076"/>
    <w:rsid w:val="0C786503"/>
    <w:rsid w:val="0CA84FD3"/>
    <w:rsid w:val="0CE9115E"/>
    <w:rsid w:val="0D1A04C9"/>
    <w:rsid w:val="0D2850E4"/>
    <w:rsid w:val="0D3C08AB"/>
    <w:rsid w:val="0D3E3F80"/>
    <w:rsid w:val="0D417349"/>
    <w:rsid w:val="0D451638"/>
    <w:rsid w:val="0D4F31E3"/>
    <w:rsid w:val="0D500C64"/>
    <w:rsid w:val="0D60217F"/>
    <w:rsid w:val="0D90780B"/>
    <w:rsid w:val="0DAA0079"/>
    <w:rsid w:val="0DB72A31"/>
    <w:rsid w:val="0E0272E3"/>
    <w:rsid w:val="0E3A13A6"/>
    <w:rsid w:val="0E3B7858"/>
    <w:rsid w:val="0E5126E9"/>
    <w:rsid w:val="0F2365E1"/>
    <w:rsid w:val="0F3516D1"/>
    <w:rsid w:val="0F583081"/>
    <w:rsid w:val="0F5E2F43"/>
    <w:rsid w:val="0FA945F5"/>
    <w:rsid w:val="0FB33CD1"/>
    <w:rsid w:val="0FB37036"/>
    <w:rsid w:val="0FCD42AB"/>
    <w:rsid w:val="0FEB18AD"/>
    <w:rsid w:val="0FF42356"/>
    <w:rsid w:val="10383F2B"/>
    <w:rsid w:val="103E7503"/>
    <w:rsid w:val="10437D3D"/>
    <w:rsid w:val="10493E45"/>
    <w:rsid w:val="10757130"/>
    <w:rsid w:val="10951221"/>
    <w:rsid w:val="10C446C9"/>
    <w:rsid w:val="10FC16EA"/>
    <w:rsid w:val="11116365"/>
    <w:rsid w:val="112A7CC0"/>
    <w:rsid w:val="112B34AD"/>
    <w:rsid w:val="119C37F2"/>
    <w:rsid w:val="11F8610A"/>
    <w:rsid w:val="11FF3294"/>
    <w:rsid w:val="11FF5827"/>
    <w:rsid w:val="123A6B73"/>
    <w:rsid w:val="12425AC4"/>
    <w:rsid w:val="12532F3F"/>
    <w:rsid w:val="127F1A55"/>
    <w:rsid w:val="12BC5CA1"/>
    <w:rsid w:val="13220891"/>
    <w:rsid w:val="136021D9"/>
    <w:rsid w:val="139602B0"/>
    <w:rsid w:val="13C67CD0"/>
    <w:rsid w:val="13CC23F4"/>
    <w:rsid w:val="14013F61"/>
    <w:rsid w:val="140A4210"/>
    <w:rsid w:val="141F7503"/>
    <w:rsid w:val="14615582"/>
    <w:rsid w:val="148B57E4"/>
    <w:rsid w:val="149D3DDF"/>
    <w:rsid w:val="14DF4CF8"/>
    <w:rsid w:val="14E34758"/>
    <w:rsid w:val="156C32AB"/>
    <w:rsid w:val="157500DF"/>
    <w:rsid w:val="157E0164"/>
    <w:rsid w:val="15BA1F00"/>
    <w:rsid w:val="15D06A51"/>
    <w:rsid w:val="15E05F5F"/>
    <w:rsid w:val="15E74DD8"/>
    <w:rsid w:val="163254FA"/>
    <w:rsid w:val="163B4B05"/>
    <w:rsid w:val="16434203"/>
    <w:rsid w:val="165068A2"/>
    <w:rsid w:val="166F0578"/>
    <w:rsid w:val="16892FAE"/>
    <w:rsid w:val="1697487D"/>
    <w:rsid w:val="16AE28C5"/>
    <w:rsid w:val="16B92AFD"/>
    <w:rsid w:val="16C31566"/>
    <w:rsid w:val="16EC4928"/>
    <w:rsid w:val="17176AAE"/>
    <w:rsid w:val="172C3986"/>
    <w:rsid w:val="177A7EAB"/>
    <w:rsid w:val="178F79B5"/>
    <w:rsid w:val="17905436"/>
    <w:rsid w:val="179F160C"/>
    <w:rsid w:val="17A11E41"/>
    <w:rsid w:val="17B111EE"/>
    <w:rsid w:val="17BA71C3"/>
    <w:rsid w:val="17BD0472"/>
    <w:rsid w:val="17CF1B78"/>
    <w:rsid w:val="18070575"/>
    <w:rsid w:val="18090C43"/>
    <w:rsid w:val="180F13CC"/>
    <w:rsid w:val="18185587"/>
    <w:rsid w:val="188F1B48"/>
    <w:rsid w:val="1892694D"/>
    <w:rsid w:val="1897527F"/>
    <w:rsid w:val="189936EA"/>
    <w:rsid w:val="18AA031B"/>
    <w:rsid w:val="18FB5F15"/>
    <w:rsid w:val="18FE0E90"/>
    <w:rsid w:val="192047DE"/>
    <w:rsid w:val="19477B5C"/>
    <w:rsid w:val="195E692B"/>
    <w:rsid w:val="19770184"/>
    <w:rsid w:val="19777C04"/>
    <w:rsid w:val="19AB6A2A"/>
    <w:rsid w:val="1A027439"/>
    <w:rsid w:val="1A2336FD"/>
    <w:rsid w:val="1A3D3D9B"/>
    <w:rsid w:val="1A7148DF"/>
    <w:rsid w:val="1A777714"/>
    <w:rsid w:val="1A841E0B"/>
    <w:rsid w:val="1A996F8F"/>
    <w:rsid w:val="1AB723E0"/>
    <w:rsid w:val="1B066372"/>
    <w:rsid w:val="1B1F63F0"/>
    <w:rsid w:val="1B321622"/>
    <w:rsid w:val="1B4B3B1C"/>
    <w:rsid w:val="1BB75806"/>
    <w:rsid w:val="1BD65236"/>
    <w:rsid w:val="1C5E3339"/>
    <w:rsid w:val="1CC118B2"/>
    <w:rsid w:val="1CDB5968"/>
    <w:rsid w:val="1CFE5E04"/>
    <w:rsid w:val="1D102580"/>
    <w:rsid w:val="1D245D5D"/>
    <w:rsid w:val="1D3A3784"/>
    <w:rsid w:val="1D3D4708"/>
    <w:rsid w:val="1D4A6188"/>
    <w:rsid w:val="1D6951CC"/>
    <w:rsid w:val="1D805F2A"/>
    <w:rsid w:val="1DA069AB"/>
    <w:rsid w:val="1DAA2193"/>
    <w:rsid w:val="1DAC61B7"/>
    <w:rsid w:val="1DC72953"/>
    <w:rsid w:val="1DEA06D7"/>
    <w:rsid w:val="1DEC1F22"/>
    <w:rsid w:val="1E112162"/>
    <w:rsid w:val="1E274306"/>
    <w:rsid w:val="1E2E1A92"/>
    <w:rsid w:val="1E511B62"/>
    <w:rsid w:val="1E7E6E04"/>
    <w:rsid w:val="1E9A0DC1"/>
    <w:rsid w:val="1EA9678E"/>
    <w:rsid w:val="1EBA3927"/>
    <w:rsid w:val="1EE86942"/>
    <w:rsid w:val="1F034F6D"/>
    <w:rsid w:val="1F3E36B9"/>
    <w:rsid w:val="1F8B2622"/>
    <w:rsid w:val="1F9C38D3"/>
    <w:rsid w:val="1FAA007F"/>
    <w:rsid w:val="1FCA02F8"/>
    <w:rsid w:val="20330EE3"/>
    <w:rsid w:val="207451CF"/>
    <w:rsid w:val="20767551"/>
    <w:rsid w:val="20B15F2E"/>
    <w:rsid w:val="20B803BF"/>
    <w:rsid w:val="20EA2C10"/>
    <w:rsid w:val="214A57C8"/>
    <w:rsid w:val="215A3673"/>
    <w:rsid w:val="21820804"/>
    <w:rsid w:val="21BA7989"/>
    <w:rsid w:val="21CB1EFE"/>
    <w:rsid w:val="21DB64E2"/>
    <w:rsid w:val="22090C3F"/>
    <w:rsid w:val="221C4C30"/>
    <w:rsid w:val="22726703"/>
    <w:rsid w:val="22972901"/>
    <w:rsid w:val="22A15376"/>
    <w:rsid w:val="22A70B6C"/>
    <w:rsid w:val="22C648B8"/>
    <w:rsid w:val="23034503"/>
    <w:rsid w:val="23346832"/>
    <w:rsid w:val="23412D64"/>
    <w:rsid w:val="235A170F"/>
    <w:rsid w:val="23651C9F"/>
    <w:rsid w:val="238A4F93"/>
    <w:rsid w:val="23A21B04"/>
    <w:rsid w:val="23A45007"/>
    <w:rsid w:val="23C14303"/>
    <w:rsid w:val="23CB4DD1"/>
    <w:rsid w:val="23FF4622"/>
    <w:rsid w:val="24032E22"/>
    <w:rsid w:val="24086AFE"/>
    <w:rsid w:val="243F320D"/>
    <w:rsid w:val="245109A3"/>
    <w:rsid w:val="245E7CB8"/>
    <w:rsid w:val="246E7F53"/>
    <w:rsid w:val="2489326F"/>
    <w:rsid w:val="24A63F04"/>
    <w:rsid w:val="24CD7D3C"/>
    <w:rsid w:val="24D06CF2"/>
    <w:rsid w:val="24D740FF"/>
    <w:rsid w:val="250138AE"/>
    <w:rsid w:val="25244341"/>
    <w:rsid w:val="25390FB5"/>
    <w:rsid w:val="254002AB"/>
    <w:rsid w:val="25413B2E"/>
    <w:rsid w:val="257C56A5"/>
    <w:rsid w:val="25A62199"/>
    <w:rsid w:val="26096519"/>
    <w:rsid w:val="263E274C"/>
    <w:rsid w:val="26612121"/>
    <w:rsid w:val="26626EF5"/>
    <w:rsid w:val="2678162D"/>
    <w:rsid w:val="2695315B"/>
    <w:rsid w:val="269907FE"/>
    <w:rsid w:val="26B15F84"/>
    <w:rsid w:val="26C356DA"/>
    <w:rsid w:val="26F0482F"/>
    <w:rsid w:val="270A231C"/>
    <w:rsid w:val="27432BC1"/>
    <w:rsid w:val="275D785C"/>
    <w:rsid w:val="27791A74"/>
    <w:rsid w:val="278065DC"/>
    <w:rsid w:val="27E32A7D"/>
    <w:rsid w:val="27F0275A"/>
    <w:rsid w:val="27F15616"/>
    <w:rsid w:val="281A02BE"/>
    <w:rsid w:val="282525ED"/>
    <w:rsid w:val="28503431"/>
    <w:rsid w:val="28580092"/>
    <w:rsid w:val="287171E9"/>
    <w:rsid w:val="28757D97"/>
    <w:rsid w:val="28B740DA"/>
    <w:rsid w:val="28BC23D4"/>
    <w:rsid w:val="28D03787"/>
    <w:rsid w:val="28E4673B"/>
    <w:rsid w:val="28F563E3"/>
    <w:rsid w:val="290578B9"/>
    <w:rsid w:val="292254B1"/>
    <w:rsid w:val="29293308"/>
    <w:rsid w:val="295A1365"/>
    <w:rsid w:val="297D0620"/>
    <w:rsid w:val="29822826"/>
    <w:rsid w:val="29BC3988"/>
    <w:rsid w:val="29BF49A7"/>
    <w:rsid w:val="29D9700E"/>
    <w:rsid w:val="2A090204"/>
    <w:rsid w:val="2A407C2A"/>
    <w:rsid w:val="2A6B4A25"/>
    <w:rsid w:val="2A720F87"/>
    <w:rsid w:val="2A7243B0"/>
    <w:rsid w:val="2AA10ED5"/>
    <w:rsid w:val="2ACE6CC8"/>
    <w:rsid w:val="2ADA0518"/>
    <w:rsid w:val="2AE17EE7"/>
    <w:rsid w:val="2AF05838"/>
    <w:rsid w:val="2B004F19"/>
    <w:rsid w:val="2B087B04"/>
    <w:rsid w:val="2B0B5FD2"/>
    <w:rsid w:val="2B1A17A1"/>
    <w:rsid w:val="2B4A2EDD"/>
    <w:rsid w:val="2B5A6CC9"/>
    <w:rsid w:val="2B623CB8"/>
    <w:rsid w:val="2B7F08E4"/>
    <w:rsid w:val="2B8D1B43"/>
    <w:rsid w:val="2BB3023F"/>
    <w:rsid w:val="2C0608AB"/>
    <w:rsid w:val="2C293EE8"/>
    <w:rsid w:val="2C6A44EB"/>
    <w:rsid w:val="2C921974"/>
    <w:rsid w:val="2CCA5064"/>
    <w:rsid w:val="2CCF7D4F"/>
    <w:rsid w:val="2D212596"/>
    <w:rsid w:val="2D242B88"/>
    <w:rsid w:val="2D354EB8"/>
    <w:rsid w:val="2D4F21F6"/>
    <w:rsid w:val="2D4F2439"/>
    <w:rsid w:val="2D74241F"/>
    <w:rsid w:val="2D7B2469"/>
    <w:rsid w:val="2DAE7AA9"/>
    <w:rsid w:val="2DB12284"/>
    <w:rsid w:val="2DBE14C9"/>
    <w:rsid w:val="2DCC08AF"/>
    <w:rsid w:val="2DD90117"/>
    <w:rsid w:val="2E084AD9"/>
    <w:rsid w:val="2E13652B"/>
    <w:rsid w:val="2E251D02"/>
    <w:rsid w:val="2E50003C"/>
    <w:rsid w:val="2E612427"/>
    <w:rsid w:val="2EA804F8"/>
    <w:rsid w:val="2EB035A9"/>
    <w:rsid w:val="2EB775B3"/>
    <w:rsid w:val="2ECE0839"/>
    <w:rsid w:val="2EE6487F"/>
    <w:rsid w:val="2F1B5E2A"/>
    <w:rsid w:val="2F3A4309"/>
    <w:rsid w:val="2F3E6592"/>
    <w:rsid w:val="2F5F3244"/>
    <w:rsid w:val="2F6A64D8"/>
    <w:rsid w:val="2FA10B9C"/>
    <w:rsid w:val="2FE0031A"/>
    <w:rsid w:val="2FFB6945"/>
    <w:rsid w:val="2FFF0BCF"/>
    <w:rsid w:val="3019698E"/>
    <w:rsid w:val="30362265"/>
    <w:rsid w:val="30393F2D"/>
    <w:rsid w:val="30616EA9"/>
    <w:rsid w:val="30777C65"/>
    <w:rsid w:val="30A438DB"/>
    <w:rsid w:val="30CA6C5F"/>
    <w:rsid w:val="30CD2521"/>
    <w:rsid w:val="30F2130F"/>
    <w:rsid w:val="31085620"/>
    <w:rsid w:val="31160397"/>
    <w:rsid w:val="313431CA"/>
    <w:rsid w:val="314C115E"/>
    <w:rsid w:val="31763C33"/>
    <w:rsid w:val="31A44D82"/>
    <w:rsid w:val="31BD3233"/>
    <w:rsid w:val="31DA5B56"/>
    <w:rsid w:val="31E66E9E"/>
    <w:rsid w:val="31F950A2"/>
    <w:rsid w:val="3204001F"/>
    <w:rsid w:val="320609C3"/>
    <w:rsid w:val="322E5523"/>
    <w:rsid w:val="32660FBD"/>
    <w:rsid w:val="326F5337"/>
    <w:rsid w:val="32863A70"/>
    <w:rsid w:val="32AE299C"/>
    <w:rsid w:val="32B70A61"/>
    <w:rsid w:val="32BE120D"/>
    <w:rsid w:val="32D2015C"/>
    <w:rsid w:val="32E05404"/>
    <w:rsid w:val="32EB4A9A"/>
    <w:rsid w:val="33027952"/>
    <w:rsid w:val="330C0EF9"/>
    <w:rsid w:val="33261E23"/>
    <w:rsid w:val="33291024"/>
    <w:rsid w:val="332A7AF8"/>
    <w:rsid w:val="3333740C"/>
    <w:rsid w:val="33506DE6"/>
    <w:rsid w:val="33A273C0"/>
    <w:rsid w:val="33A9206B"/>
    <w:rsid w:val="33B41FC9"/>
    <w:rsid w:val="33C17F75"/>
    <w:rsid w:val="33C87900"/>
    <w:rsid w:val="33D9561C"/>
    <w:rsid w:val="33FA529D"/>
    <w:rsid w:val="33FB26D9"/>
    <w:rsid w:val="341A4047"/>
    <w:rsid w:val="342B1BA3"/>
    <w:rsid w:val="34336813"/>
    <w:rsid w:val="3439693A"/>
    <w:rsid w:val="34615900"/>
    <w:rsid w:val="348722BC"/>
    <w:rsid w:val="34A95CF4"/>
    <w:rsid w:val="34C42121"/>
    <w:rsid w:val="3517359F"/>
    <w:rsid w:val="351F03F9"/>
    <w:rsid w:val="35316ED2"/>
    <w:rsid w:val="35586D92"/>
    <w:rsid w:val="355F0FC1"/>
    <w:rsid w:val="356C3834"/>
    <w:rsid w:val="359615AC"/>
    <w:rsid w:val="359A6216"/>
    <w:rsid w:val="35A54CED"/>
    <w:rsid w:val="35D804D9"/>
    <w:rsid w:val="36527A5E"/>
    <w:rsid w:val="36717BDF"/>
    <w:rsid w:val="368C1810"/>
    <w:rsid w:val="370C1C5B"/>
    <w:rsid w:val="371C0D8B"/>
    <w:rsid w:val="37203345"/>
    <w:rsid w:val="372B0E36"/>
    <w:rsid w:val="37534CA7"/>
    <w:rsid w:val="3795413E"/>
    <w:rsid w:val="37965442"/>
    <w:rsid w:val="379D6B2D"/>
    <w:rsid w:val="37D824F1"/>
    <w:rsid w:val="37DE343F"/>
    <w:rsid w:val="38853A46"/>
    <w:rsid w:val="388A0A03"/>
    <w:rsid w:val="3893170F"/>
    <w:rsid w:val="38960FBF"/>
    <w:rsid w:val="389F2071"/>
    <w:rsid w:val="38C712F0"/>
    <w:rsid w:val="38C84583"/>
    <w:rsid w:val="38E07CB0"/>
    <w:rsid w:val="38F0685B"/>
    <w:rsid w:val="3923276A"/>
    <w:rsid w:val="39251A5E"/>
    <w:rsid w:val="392C1E69"/>
    <w:rsid w:val="39331197"/>
    <w:rsid w:val="39431E3F"/>
    <w:rsid w:val="396E5D7C"/>
    <w:rsid w:val="396E7BB0"/>
    <w:rsid w:val="397336CF"/>
    <w:rsid w:val="39C73159"/>
    <w:rsid w:val="39D04FC4"/>
    <w:rsid w:val="39E42CC8"/>
    <w:rsid w:val="3A172FBE"/>
    <w:rsid w:val="3A29071D"/>
    <w:rsid w:val="3A301D7F"/>
    <w:rsid w:val="3A3E409C"/>
    <w:rsid w:val="3A3F1B1E"/>
    <w:rsid w:val="3A3F6146"/>
    <w:rsid w:val="3A445FA5"/>
    <w:rsid w:val="3A476F4B"/>
    <w:rsid w:val="3A4C0E33"/>
    <w:rsid w:val="3A613357"/>
    <w:rsid w:val="3A721073"/>
    <w:rsid w:val="3AB62A61"/>
    <w:rsid w:val="3AC577F8"/>
    <w:rsid w:val="3AD5649A"/>
    <w:rsid w:val="3B0C4DFA"/>
    <w:rsid w:val="3B2C04A1"/>
    <w:rsid w:val="3B3F4F44"/>
    <w:rsid w:val="3B547968"/>
    <w:rsid w:val="3B62097B"/>
    <w:rsid w:val="3B664276"/>
    <w:rsid w:val="3B972F43"/>
    <w:rsid w:val="3BA93D77"/>
    <w:rsid w:val="3BC944D9"/>
    <w:rsid w:val="3BF9590C"/>
    <w:rsid w:val="3BFF762D"/>
    <w:rsid w:val="3C022A83"/>
    <w:rsid w:val="3C022D13"/>
    <w:rsid w:val="3C161724"/>
    <w:rsid w:val="3C4D12A4"/>
    <w:rsid w:val="3C4D26C6"/>
    <w:rsid w:val="3C5E539B"/>
    <w:rsid w:val="3C6121BE"/>
    <w:rsid w:val="3C9A0678"/>
    <w:rsid w:val="3CE00B05"/>
    <w:rsid w:val="3D044EFC"/>
    <w:rsid w:val="3D057D27"/>
    <w:rsid w:val="3D2924E6"/>
    <w:rsid w:val="3D476A8F"/>
    <w:rsid w:val="3D6C15E5"/>
    <w:rsid w:val="3DBF09BB"/>
    <w:rsid w:val="3DC36C24"/>
    <w:rsid w:val="3DF52EB3"/>
    <w:rsid w:val="3E062677"/>
    <w:rsid w:val="3E3C3E33"/>
    <w:rsid w:val="3E5654D6"/>
    <w:rsid w:val="3E633745"/>
    <w:rsid w:val="3E6946AD"/>
    <w:rsid w:val="3E9B10C2"/>
    <w:rsid w:val="3EAF5B65"/>
    <w:rsid w:val="3EB60CB3"/>
    <w:rsid w:val="3EBE0D9B"/>
    <w:rsid w:val="3EC436F9"/>
    <w:rsid w:val="3EC47F7D"/>
    <w:rsid w:val="3ED969A9"/>
    <w:rsid w:val="3EE96C43"/>
    <w:rsid w:val="3EFB063C"/>
    <w:rsid w:val="3F705C23"/>
    <w:rsid w:val="3F740895"/>
    <w:rsid w:val="3F7F04F6"/>
    <w:rsid w:val="3F82696B"/>
    <w:rsid w:val="3F996DE7"/>
    <w:rsid w:val="3FA64164"/>
    <w:rsid w:val="3FB93DC6"/>
    <w:rsid w:val="400A7A69"/>
    <w:rsid w:val="40253F4D"/>
    <w:rsid w:val="402A691C"/>
    <w:rsid w:val="408B3DF1"/>
    <w:rsid w:val="40AF2ED8"/>
    <w:rsid w:val="40B956E1"/>
    <w:rsid w:val="40C31DD9"/>
    <w:rsid w:val="410D4941"/>
    <w:rsid w:val="41200E1E"/>
    <w:rsid w:val="41464524"/>
    <w:rsid w:val="416D21E5"/>
    <w:rsid w:val="417D6BDB"/>
    <w:rsid w:val="418830DA"/>
    <w:rsid w:val="419104D9"/>
    <w:rsid w:val="419C0816"/>
    <w:rsid w:val="41B05692"/>
    <w:rsid w:val="41B403DB"/>
    <w:rsid w:val="41C24ED2"/>
    <w:rsid w:val="41D90132"/>
    <w:rsid w:val="41EF252B"/>
    <w:rsid w:val="422E66F3"/>
    <w:rsid w:val="42395211"/>
    <w:rsid w:val="425D46BB"/>
    <w:rsid w:val="42664BB1"/>
    <w:rsid w:val="4275164D"/>
    <w:rsid w:val="427F3924"/>
    <w:rsid w:val="429B73D4"/>
    <w:rsid w:val="42DD1142"/>
    <w:rsid w:val="42F02361"/>
    <w:rsid w:val="430A3262"/>
    <w:rsid w:val="433513BF"/>
    <w:rsid w:val="43395143"/>
    <w:rsid w:val="434A21E9"/>
    <w:rsid w:val="438A27C8"/>
    <w:rsid w:val="43A7408E"/>
    <w:rsid w:val="43E47456"/>
    <w:rsid w:val="43EE6A01"/>
    <w:rsid w:val="44054428"/>
    <w:rsid w:val="441309F0"/>
    <w:rsid w:val="44277E60"/>
    <w:rsid w:val="44310C44"/>
    <w:rsid w:val="4446618D"/>
    <w:rsid w:val="44644583"/>
    <w:rsid w:val="446B6F5D"/>
    <w:rsid w:val="447107A7"/>
    <w:rsid w:val="44786965"/>
    <w:rsid w:val="4484575B"/>
    <w:rsid w:val="449A491B"/>
    <w:rsid w:val="449B239D"/>
    <w:rsid w:val="44A722AA"/>
    <w:rsid w:val="44AF0CED"/>
    <w:rsid w:val="45007B43"/>
    <w:rsid w:val="45154265"/>
    <w:rsid w:val="451648E4"/>
    <w:rsid w:val="45572A56"/>
    <w:rsid w:val="45675BEC"/>
    <w:rsid w:val="457E42F3"/>
    <w:rsid w:val="45B11EE5"/>
    <w:rsid w:val="45C72917"/>
    <w:rsid w:val="460E768F"/>
    <w:rsid w:val="46101B39"/>
    <w:rsid w:val="468D0193"/>
    <w:rsid w:val="46A824B9"/>
    <w:rsid w:val="46BB170B"/>
    <w:rsid w:val="46C0371F"/>
    <w:rsid w:val="46D15968"/>
    <w:rsid w:val="46E22257"/>
    <w:rsid w:val="46E71F62"/>
    <w:rsid w:val="46FD4105"/>
    <w:rsid w:val="47050245"/>
    <w:rsid w:val="47105324"/>
    <w:rsid w:val="475016C9"/>
    <w:rsid w:val="47510906"/>
    <w:rsid w:val="47567AEE"/>
    <w:rsid w:val="477F6C5D"/>
    <w:rsid w:val="47882EEC"/>
    <w:rsid w:val="478C5485"/>
    <w:rsid w:val="4796785C"/>
    <w:rsid w:val="479E608B"/>
    <w:rsid w:val="47AF6127"/>
    <w:rsid w:val="47E85B9B"/>
    <w:rsid w:val="48164F15"/>
    <w:rsid w:val="48174852"/>
    <w:rsid w:val="485A61E1"/>
    <w:rsid w:val="48774732"/>
    <w:rsid w:val="48850709"/>
    <w:rsid w:val="48D17504"/>
    <w:rsid w:val="48F71942"/>
    <w:rsid w:val="492277DA"/>
    <w:rsid w:val="49464F44"/>
    <w:rsid w:val="495D70F7"/>
    <w:rsid w:val="49605AEE"/>
    <w:rsid w:val="4985062F"/>
    <w:rsid w:val="49D75CC0"/>
    <w:rsid w:val="49FC6FF1"/>
    <w:rsid w:val="4A262AF4"/>
    <w:rsid w:val="4A46504C"/>
    <w:rsid w:val="4A545481"/>
    <w:rsid w:val="4A6F30E5"/>
    <w:rsid w:val="4ABA5EA6"/>
    <w:rsid w:val="4ABB036F"/>
    <w:rsid w:val="4ADD244D"/>
    <w:rsid w:val="4B0A4380"/>
    <w:rsid w:val="4B2E0621"/>
    <w:rsid w:val="4B414A2E"/>
    <w:rsid w:val="4B4C5A72"/>
    <w:rsid w:val="4B560527"/>
    <w:rsid w:val="4B642F54"/>
    <w:rsid w:val="4B7074E5"/>
    <w:rsid w:val="4B716301"/>
    <w:rsid w:val="4B7D5F80"/>
    <w:rsid w:val="4B9E67E7"/>
    <w:rsid w:val="4BA076A2"/>
    <w:rsid w:val="4BE56B11"/>
    <w:rsid w:val="4BF3562C"/>
    <w:rsid w:val="4BF40741"/>
    <w:rsid w:val="4C1F59F2"/>
    <w:rsid w:val="4C326C11"/>
    <w:rsid w:val="4C3E2A23"/>
    <w:rsid w:val="4C411429"/>
    <w:rsid w:val="4C5E019B"/>
    <w:rsid w:val="4C673543"/>
    <w:rsid w:val="4C7A3E2A"/>
    <w:rsid w:val="4CB64C6B"/>
    <w:rsid w:val="4D334235"/>
    <w:rsid w:val="4D3C2946"/>
    <w:rsid w:val="4D4557D4"/>
    <w:rsid w:val="4D811DB6"/>
    <w:rsid w:val="4DF57B76"/>
    <w:rsid w:val="4DF609C4"/>
    <w:rsid w:val="4E1B4533"/>
    <w:rsid w:val="4E397895"/>
    <w:rsid w:val="4E475085"/>
    <w:rsid w:val="4E4A17FE"/>
    <w:rsid w:val="4E6179A5"/>
    <w:rsid w:val="4EAF6FA4"/>
    <w:rsid w:val="4ECB0704"/>
    <w:rsid w:val="4F54289B"/>
    <w:rsid w:val="4F64249F"/>
    <w:rsid w:val="4F6E1200"/>
    <w:rsid w:val="4F8172FD"/>
    <w:rsid w:val="4F8F0277"/>
    <w:rsid w:val="4FCF3A38"/>
    <w:rsid w:val="4FE72524"/>
    <w:rsid w:val="4FEE189E"/>
    <w:rsid w:val="4FF5727D"/>
    <w:rsid w:val="504B2FD5"/>
    <w:rsid w:val="504F0C4F"/>
    <w:rsid w:val="5074340D"/>
    <w:rsid w:val="50874CB6"/>
    <w:rsid w:val="50945995"/>
    <w:rsid w:val="50B10CF4"/>
    <w:rsid w:val="50BA2237"/>
    <w:rsid w:val="50CE7D37"/>
    <w:rsid w:val="50E02600"/>
    <w:rsid w:val="50EB6E9C"/>
    <w:rsid w:val="50EE3925"/>
    <w:rsid w:val="50F413DD"/>
    <w:rsid w:val="510113CF"/>
    <w:rsid w:val="51054EFA"/>
    <w:rsid w:val="51070878"/>
    <w:rsid w:val="51183F1B"/>
    <w:rsid w:val="5148519A"/>
    <w:rsid w:val="51801200"/>
    <w:rsid w:val="51A95A08"/>
    <w:rsid w:val="51C407B0"/>
    <w:rsid w:val="51FB1FE6"/>
    <w:rsid w:val="52044E1D"/>
    <w:rsid w:val="520909A0"/>
    <w:rsid w:val="52121B0D"/>
    <w:rsid w:val="52143588"/>
    <w:rsid w:val="527D4949"/>
    <w:rsid w:val="529F2C8A"/>
    <w:rsid w:val="52DA5B1C"/>
    <w:rsid w:val="52EE029E"/>
    <w:rsid w:val="53101AD7"/>
    <w:rsid w:val="53121571"/>
    <w:rsid w:val="531A6B64"/>
    <w:rsid w:val="532332A7"/>
    <w:rsid w:val="536C2F7E"/>
    <w:rsid w:val="5376147C"/>
    <w:rsid w:val="539F2EE7"/>
    <w:rsid w:val="53D26312"/>
    <w:rsid w:val="53F038EA"/>
    <w:rsid w:val="543F264E"/>
    <w:rsid w:val="54442DCE"/>
    <w:rsid w:val="54984779"/>
    <w:rsid w:val="54A72E72"/>
    <w:rsid w:val="54E160E1"/>
    <w:rsid w:val="54E23850"/>
    <w:rsid w:val="54E43457"/>
    <w:rsid w:val="5511121D"/>
    <w:rsid w:val="55191463"/>
    <w:rsid w:val="55214D3B"/>
    <w:rsid w:val="55473849"/>
    <w:rsid w:val="554930D2"/>
    <w:rsid w:val="55A41A91"/>
    <w:rsid w:val="55C15F0B"/>
    <w:rsid w:val="55C36AC2"/>
    <w:rsid w:val="55C43C6A"/>
    <w:rsid w:val="55E15287"/>
    <w:rsid w:val="56023D34"/>
    <w:rsid w:val="56257A60"/>
    <w:rsid w:val="56412C14"/>
    <w:rsid w:val="565E037A"/>
    <w:rsid w:val="566B1ECD"/>
    <w:rsid w:val="56724FD9"/>
    <w:rsid w:val="56AE54C4"/>
    <w:rsid w:val="56B31C4E"/>
    <w:rsid w:val="56C65928"/>
    <w:rsid w:val="56C972A1"/>
    <w:rsid w:val="56DB78D1"/>
    <w:rsid w:val="56E26F1A"/>
    <w:rsid w:val="57045AA2"/>
    <w:rsid w:val="570D57DF"/>
    <w:rsid w:val="570F6E7F"/>
    <w:rsid w:val="572B7F1B"/>
    <w:rsid w:val="57597E5D"/>
    <w:rsid w:val="57677173"/>
    <w:rsid w:val="57793602"/>
    <w:rsid w:val="57B97E77"/>
    <w:rsid w:val="57BC0885"/>
    <w:rsid w:val="57F80C60"/>
    <w:rsid w:val="58055B79"/>
    <w:rsid w:val="582C5C37"/>
    <w:rsid w:val="58427DDB"/>
    <w:rsid w:val="58A6207E"/>
    <w:rsid w:val="58B54896"/>
    <w:rsid w:val="58C023F9"/>
    <w:rsid w:val="58D41D8A"/>
    <w:rsid w:val="59016F14"/>
    <w:rsid w:val="59142F2D"/>
    <w:rsid w:val="5948194C"/>
    <w:rsid w:val="595A333D"/>
    <w:rsid w:val="596A4D22"/>
    <w:rsid w:val="59AA5403"/>
    <w:rsid w:val="59BA08C1"/>
    <w:rsid w:val="59BA69E3"/>
    <w:rsid w:val="59E21AF1"/>
    <w:rsid w:val="59E91410"/>
    <w:rsid w:val="5A063425"/>
    <w:rsid w:val="5A19415E"/>
    <w:rsid w:val="5A3B5D1E"/>
    <w:rsid w:val="5A417035"/>
    <w:rsid w:val="5A4B453D"/>
    <w:rsid w:val="5A522A93"/>
    <w:rsid w:val="5A661DF4"/>
    <w:rsid w:val="5A7F74DE"/>
    <w:rsid w:val="5A935F96"/>
    <w:rsid w:val="5AA47945"/>
    <w:rsid w:val="5AB70B64"/>
    <w:rsid w:val="5ACF0178"/>
    <w:rsid w:val="5AD73617"/>
    <w:rsid w:val="5B0C5D54"/>
    <w:rsid w:val="5B2402E4"/>
    <w:rsid w:val="5B763444"/>
    <w:rsid w:val="5B7F0C7E"/>
    <w:rsid w:val="5B9D1978"/>
    <w:rsid w:val="5BA929FE"/>
    <w:rsid w:val="5BB82905"/>
    <w:rsid w:val="5BD73121"/>
    <w:rsid w:val="5BDB0AF9"/>
    <w:rsid w:val="5BFD0E7B"/>
    <w:rsid w:val="5C0F2617"/>
    <w:rsid w:val="5C3E17F9"/>
    <w:rsid w:val="5C4C7FFB"/>
    <w:rsid w:val="5C537D21"/>
    <w:rsid w:val="5C54188A"/>
    <w:rsid w:val="5C5708BC"/>
    <w:rsid w:val="5CC13254"/>
    <w:rsid w:val="5CFA53B0"/>
    <w:rsid w:val="5D3A6920"/>
    <w:rsid w:val="5D4A02A9"/>
    <w:rsid w:val="5D530128"/>
    <w:rsid w:val="5D5958B4"/>
    <w:rsid w:val="5D6F32DB"/>
    <w:rsid w:val="5D790367"/>
    <w:rsid w:val="5D8135CC"/>
    <w:rsid w:val="5D911291"/>
    <w:rsid w:val="5DA46C2D"/>
    <w:rsid w:val="5DA64C8A"/>
    <w:rsid w:val="5DB44CC9"/>
    <w:rsid w:val="5DB9334F"/>
    <w:rsid w:val="5DE501AF"/>
    <w:rsid w:val="5DEB03AE"/>
    <w:rsid w:val="5E002DDD"/>
    <w:rsid w:val="5E0559CD"/>
    <w:rsid w:val="5E071F26"/>
    <w:rsid w:val="5E23788C"/>
    <w:rsid w:val="5E551C67"/>
    <w:rsid w:val="5E566CF4"/>
    <w:rsid w:val="5E6C7908"/>
    <w:rsid w:val="5E812C6D"/>
    <w:rsid w:val="5E986B23"/>
    <w:rsid w:val="5EAE7678"/>
    <w:rsid w:val="5EB86210"/>
    <w:rsid w:val="5EDB7FAF"/>
    <w:rsid w:val="5EE240B6"/>
    <w:rsid w:val="5EED05F3"/>
    <w:rsid w:val="5EF046D1"/>
    <w:rsid w:val="5F064C35"/>
    <w:rsid w:val="5F0E3C81"/>
    <w:rsid w:val="5F3400AD"/>
    <w:rsid w:val="5FB1348A"/>
    <w:rsid w:val="5FB82E15"/>
    <w:rsid w:val="600446EC"/>
    <w:rsid w:val="600D2EE6"/>
    <w:rsid w:val="601E7EAA"/>
    <w:rsid w:val="60407876"/>
    <w:rsid w:val="60541D9A"/>
    <w:rsid w:val="6091207C"/>
    <w:rsid w:val="60D91FF3"/>
    <w:rsid w:val="60F2100A"/>
    <w:rsid w:val="61012548"/>
    <w:rsid w:val="61312681"/>
    <w:rsid w:val="61B6615E"/>
    <w:rsid w:val="61B970E2"/>
    <w:rsid w:val="61BD2AE7"/>
    <w:rsid w:val="61BE6360"/>
    <w:rsid w:val="61C316DA"/>
    <w:rsid w:val="61D0464C"/>
    <w:rsid w:val="61DB5D3A"/>
    <w:rsid w:val="61FF23CB"/>
    <w:rsid w:val="621760F6"/>
    <w:rsid w:val="62246B60"/>
    <w:rsid w:val="623A1FCE"/>
    <w:rsid w:val="6284202E"/>
    <w:rsid w:val="62E36EC5"/>
    <w:rsid w:val="62E75EB4"/>
    <w:rsid w:val="62E81FE8"/>
    <w:rsid w:val="62E97B13"/>
    <w:rsid w:val="63041683"/>
    <w:rsid w:val="636F54EC"/>
    <w:rsid w:val="637067B4"/>
    <w:rsid w:val="637970C3"/>
    <w:rsid w:val="637B25C6"/>
    <w:rsid w:val="638E6E02"/>
    <w:rsid w:val="63B1110F"/>
    <w:rsid w:val="64472F94"/>
    <w:rsid w:val="644F1ACD"/>
    <w:rsid w:val="6498638D"/>
    <w:rsid w:val="64A245A7"/>
    <w:rsid w:val="64A8372F"/>
    <w:rsid w:val="64C035B4"/>
    <w:rsid w:val="64D76619"/>
    <w:rsid w:val="64FD6D44"/>
    <w:rsid w:val="65272AB2"/>
    <w:rsid w:val="653F3838"/>
    <w:rsid w:val="658D6058"/>
    <w:rsid w:val="65DA33AA"/>
    <w:rsid w:val="65FC336D"/>
    <w:rsid w:val="65FD6DE2"/>
    <w:rsid w:val="66007761"/>
    <w:rsid w:val="66072AAD"/>
    <w:rsid w:val="662D19F1"/>
    <w:rsid w:val="663E4CD2"/>
    <w:rsid w:val="66A53123"/>
    <w:rsid w:val="66C83F2C"/>
    <w:rsid w:val="66F85BDC"/>
    <w:rsid w:val="66F97F7F"/>
    <w:rsid w:val="66FF2EE4"/>
    <w:rsid w:val="671F2FEE"/>
    <w:rsid w:val="672B1A53"/>
    <w:rsid w:val="67446448"/>
    <w:rsid w:val="675E1AFC"/>
    <w:rsid w:val="67693AB6"/>
    <w:rsid w:val="67861401"/>
    <w:rsid w:val="678655E4"/>
    <w:rsid w:val="67897CFE"/>
    <w:rsid w:val="679F25C0"/>
    <w:rsid w:val="67A212D9"/>
    <w:rsid w:val="67D6545D"/>
    <w:rsid w:val="67EA44FC"/>
    <w:rsid w:val="67F444D0"/>
    <w:rsid w:val="67FF1998"/>
    <w:rsid w:val="680C374A"/>
    <w:rsid w:val="680D1D99"/>
    <w:rsid w:val="68127C8A"/>
    <w:rsid w:val="681A7759"/>
    <w:rsid w:val="6840613C"/>
    <w:rsid w:val="684962C4"/>
    <w:rsid w:val="68596C41"/>
    <w:rsid w:val="6876068B"/>
    <w:rsid w:val="687E35FE"/>
    <w:rsid w:val="68C97848"/>
    <w:rsid w:val="68DC320D"/>
    <w:rsid w:val="68E40DA4"/>
    <w:rsid w:val="68E7433A"/>
    <w:rsid w:val="68E86ABE"/>
    <w:rsid w:val="68FE56A8"/>
    <w:rsid w:val="690470DA"/>
    <w:rsid w:val="69056BF9"/>
    <w:rsid w:val="6907225D"/>
    <w:rsid w:val="691E67B1"/>
    <w:rsid w:val="69431270"/>
    <w:rsid w:val="696B1F82"/>
    <w:rsid w:val="696C5805"/>
    <w:rsid w:val="69974682"/>
    <w:rsid w:val="69BA078D"/>
    <w:rsid w:val="69C37723"/>
    <w:rsid w:val="69D4612E"/>
    <w:rsid w:val="6A0505C6"/>
    <w:rsid w:val="6A151116"/>
    <w:rsid w:val="6A7F4F75"/>
    <w:rsid w:val="6AA25882"/>
    <w:rsid w:val="6AA65594"/>
    <w:rsid w:val="6AB91C24"/>
    <w:rsid w:val="6ACA16F9"/>
    <w:rsid w:val="6AFF00CA"/>
    <w:rsid w:val="6B16774A"/>
    <w:rsid w:val="6B494446"/>
    <w:rsid w:val="6B6524EF"/>
    <w:rsid w:val="6B803A4C"/>
    <w:rsid w:val="6BAB2FCD"/>
    <w:rsid w:val="6BFF5D3A"/>
    <w:rsid w:val="6C2F630D"/>
    <w:rsid w:val="6C321536"/>
    <w:rsid w:val="6C492D55"/>
    <w:rsid w:val="6C7E3126"/>
    <w:rsid w:val="6C8178B4"/>
    <w:rsid w:val="6C84727C"/>
    <w:rsid w:val="6D595790"/>
    <w:rsid w:val="6D8E174D"/>
    <w:rsid w:val="6DBA5A94"/>
    <w:rsid w:val="6E2D30BE"/>
    <w:rsid w:val="6E2F78A7"/>
    <w:rsid w:val="6E45347A"/>
    <w:rsid w:val="6E752944"/>
    <w:rsid w:val="6E7A494E"/>
    <w:rsid w:val="6E8509EA"/>
    <w:rsid w:val="6EB227A9"/>
    <w:rsid w:val="6EB54E50"/>
    <w:rsid w:val="6ECE2681"/>
    <w:rsid w:val="6EDF4571"/>
    <w:rsid w:val="6EE367FB"/>
    <w:rsid w:val="6EF77006"/>
    <w:rsid w:val="6EFF612B"/>
    <w:rsid w:val="6F003BAD"/>
    <w:rsid w:val="6F1502CF"/>
    <w:rsid w:val="6F2936EC"/>
    <w:rsid w:val="6F48335E"/>
    <w:rsid w:val="6F5F3BC6"/>
    <w:rsid w:val="6F656567"/>
    <w:rsid w:val="6F9441FC"/>
    <w:rsid w:val="6FB9715F"/>
    <w:rsid w:val="6FC96403"/>
    <w:rsid w:val="6FCE54FF"/>
    <w:rsid w:val="6FF10F37"/>
    <w:rsid w:val="700D4ACD"/>
    <w:rsid w:val="705E30C9"/>
    <w:rsid w:val="706A10C0"/>
    <w:rsid w:val="708A3C8C"/>
    <w:rsid w:val="709A1CCF"/>
    <w:rsid w:val="70A12054"/>
    <w:rsid w:val="71030383"/>
    <w:rsid w:val="71197B42"/>
    <w:rsid w:val="713D1393"/>
    <w:rsid w:val="71600CB0"/>
    <w:rsid w:val="71C81DA9"/>
    <w:rsid w:val="71DC4ECC"/>
    <w:rsid w:val="71E15C6A"/>
    <w:rsid w:val="720811E2"/>
    <w:rsid w:val="72254A9F"/>
    <w:rsid w:val="72340F9C"/>
    <w:rsid w:val="7251704C"/>
    <w:rsid w:val="72686EF1"/>
    <w:rsid w:val="72827F6B"/>
    <w:rsid w:val="72910586"/>
    <w:rsid w:val="729965A8"/>
    <w:rsid w:val="729E789B"/>
    <w:rsid w:val="72B65B08"/>
    <w:rsid w:val="72F52C2C"/>
    <w:rsid w:val="72FA70AF"/>
    <w:rsid w:val="73087812"/>
    <w:rsid w:val="731E5707"/>
    <w:rsid w:val="73272558"/>
    <w:rsid w:val="733F5DA0"/>
    <w:rsid w:val="734F3E3C"/>
    <w:rsid w:val="7351733F"/>
    <w:rsid w:val="73524DC0"/>
    <w:rsid w:val="73601B58"/>
    <w:rsid w:val="737238D8"/>
    <w:rsid w:val="737816B0"/>
    <w:rsid w:val="738269A0"/>
    <w:rsid w:val="738D3920"/>
    <w:rsid w:val="738F4C25"/>
    <w:rsid w:val="73922BF6"/>
    <w:rsid w:val="73A94EF7"/>
    <w:rsid w:val="73AA3251"/>
    <w:rsid w:val="73AB63BB"/>
    <w:rsid w:val="73C623CD"/>
    <w:rsid w:val="73D4787E"/>
    <w:rsid w:val="73D8631E"/>
    <w:rsid w:val="73F22348"/>
    <w:rsid w:val="746F4A04"/>
    <w:rsid w:val="7478277B"/>
    <w:rsid w:val="749679D6"/>
    <w:rsid w:val="74AA542F"/>
    <w:rsid w:val="74BD630E"/>
    <w:rsid w:val="74CB259B"/>
    <w:rsid w:val="74FC737A"/>
    <w:rsid w:val="75471407"/>
    <w:rsid w:val="755D199D"/>
    <w:rsid w:val="758A740A"/>
    <w:rsid w:val="7599056E"/>
    <w:rsid w:val="75BF6015"/>
    <w:rsid w:val="75EF44CC"/>
    <w:rsid w:val="76056734"/>
    <w:rsid w:val="760D6414"/>
    <w:rsid w:val="762D38BA"/>
    <w:rsid w:val="76353BFF"/>
    <w:rsid w:val="76363181"/>
    <w:rsid w:val="765069A7"/>
    <w:rsid w:val="76741247"/>
    <w:rsid w:val="767F3E5C"/>
    <w:rsid w:val="76F21D7B"/>
    <w:rsid w:val="76F8393D"/>
    <w:rsid w:val="76FE06BA"/>
    <w:rsid w:val="77116A65"/>
    <w:rsid w:val="772A02AD"/>
    <w:rsid w:val="774152C9"/>
    <w:rsid w:val="77751EE2"/>
    <w:rsid w:val="777759EB"/>
    <w:rsid w:val="77CA3C95"/>
    <w:rsid w:val="77CE269B"/>
    <w:rsid w:val="77D2110D"/>
    <w:rsid w:val="77E635C6"/>
    <w:rsid w:val="77FD31EB"/>
    <w:rsid w:val="78194B43"/>
    <w:rsid w:val="7844789F"/>
    <w:rsid w:val="786C12A0"/>
    <w:rsid w:val="78C15396"/>
    <w:rsid w:val="78DA18D4"/>
    <w:rsid w:val="793070F8"/>
    <w:rsid w:val="79321F63"/>
    <w:rsid w:val="79347CC6"/>
    <w:rsid w:val="794A540B"/>
    <w:rsid w:val="795E792F"/>
    <w:rsid w:val="79620D19"/>
    <w:rsid w:val="796F195D"/>
    <w:rsid w:val="797E1901"/>
    <w:rsid w:val="79B7422C"/>
    <w:rsid w:val="79D825C1"/>
    <w:rsid w:val="79D83C36"/>
    <w:rsid w:val="7A094544"/>
    <w:rsid w:val="7A1C5763"/>
    <w:rsid w:val="7A3F6AB2"/>
    <w:rsid w:val="7A5D1027"/>
    <w:rsid w:val="7A8555FE"/>
    <w:rsid w:val="7A8F318B"/>
    <w:rsid w:val="7A9479AC"/>
    <w:rsid w:val="7A971B46"/>
    <w:rsid w:val="7AB855E2"/>
    <w:rsid w:val="7ACE3009"/>
    <w:rsid w:val="7ACF0A8A"/>
    <w:rsid w:val="7ACF5207"/>
    <w:rsid w:val="7ADC408A"/>
    <w:rsid w:val="7AE606AF"/>
    <w:rsid w:val="7AE75F94"/>
    <w:rsid w:val="7AF409AB"/>
    <w:rsid w:val="7AF83E4D"/>
    <w:rsid w:val="7B133128"/>
    <w:rsid w:val="7B1959FC"/>
    <w:rsid w:val="7B1C502C"/>
    <w:rsid w:val="7B3202D1"/>
    <w:rsid w:val="7B5022DD"/>
    <w:rsid w:val="7B52681B"/>
    <w:rsid w:val="7B5D131E"/>
    <w:rsid w:val="7BB34580"/>
    <w:rsid w:val="7BC44ABA"/>
    <w:rsid w:val="7BD26CFC"/>
    <w:rsid w:val="7BF60D85"/>
    <w:rsid w:val="7C07400A"/>
    <w:rsid w:val="7C0A0C54"/>
    <w:rsid w:val="7CCF5FD1"/>
    <w:rsid w:val="7CD1559E"/>
    <w:rsid w:val="7CF53C93"/>
    <w:rsid w:val="7D12145C"/>
    <w:rsid w:val="7D343777"/>
    <w:rsid w:val="7D5D23BD"/>
    <w:rsid w:val="7D7C4AB4"/>
    <w:rsid w:val="7D7D75C8"/>
    <w:rsid w:val="7D80447E"/>
    <w:rsid w:val="7D9C5E7C"/>
    <w:rsid w:val="7DB41B16"/>
    <w:rsid w:val="7DC11C5E"/>
    <w:rsid w:val="7DCB29F1"/>
    <w:rsid w:val="7DE07113"/>
    <w:rsid w:val="7DEB79E2"/>
    <w:rsid w:val="7DEF19CE"/>
    <w:rsid w:val="7DFC5027"/>
    <w:rsid w:val="7E002D54"/>
    <w:rsid w:val="7E1A04DD"/>
    <w:rsid w:val="7E684A6E"/>
    <w:rsid w:val="7E74358B"/>
    <w:rsid w:val="7E7F7F16"/>
    <w:rsid w:val="7EA426D4"/>
    <w:rsid w:val="7EDA0022"/>
    <w:rsid w:val="7F03273E"/>
    <w:rsid w:val="7F0F534D"/>
    <w:rsid w:val="7F1046BF"/>
    <w:rsid w:val="7F524FAC"/>
    <w:rsid w:val="7F600D62"/>
    <w:rsid w:val="7FB563F9"/>
    <w:rsid w:val="7FD75F49"/>
    <w:rsid w:val="7FE05A59"/>
    <w:rsid w:val="7FF245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42"/>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43"/>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4">
    <w:name w:val="heading 3"/>
    <w:basedOn w:val="1"/>
    <w:next w:val="1"/>
    <w:link w:val="44"/>
    <w:qFormat/>
    <w:uiPriority w:val="9"/>
    <w:pPr>
      <w:keepNext/>
      <w:keepLines/>
      <w:spacing w:before="260" w:after="260" w:line="416" w:lineRule="auto"/>
      <w:outlineLvl w:val="2"/>
    </w:pPr>
    <w:rPr>
      <w:rFonts w:ascii="Times New Roman" w:hAnsi="Times New Roman" w:eastAsia="宋体" w:cs="Times New Roman"/>
      <w:b/>
      <w:bCs/>
      <w:sz w:val="32"/>
      <w:szCs w:val="32"/>
    </w:rPr>
  </w:style>
  <w:style w:type="paragraph" w:styleId="5">
    <w:name w:val="heading 4"/>
    <w:basedOn w:val="1"/>
    <w:next w:val="1"/>
    <w:qFormat/>
    <w:uiPriority w:val="9"/>
    <w:pPr>
      <w:keepNext/>
      <w:keepLines/>
      <w:spacing w:before="280" w:after="290"/>
      <w:outlineLvl w:val="3"/>
    </w:pPr>
    <w:rPr>
      <w:rFonts w:ascii="Calibri Light" w:hAnsi="Calibri Light" w:eastAsia="微软雅黑"/>
      <w:b/>
      <w:bCs/>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6">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7">
    <w:name w:val="Normal Indent"/>
    <w:basedOn w:val="1"/>
    <w:next w:val="8"/>
    <w:link w:val="51"/>
    <w:qFormat/>
    <w:uiPriority w:val="0"/>
    <w:pPr>
      <w:ind w:firstLine="420"/>
    </w:pPr>
    <w:rPr>
      <w:rFonts w:eastAsia="宋体"/>
    </w:rPr>
  </w:style>
  <w:style w:type="paragraph" w:styleId="8">
    <w:name w:val="Plain Text"/>
    <w:basedOn w:val="1"/>
    <w:link w:val="60"/>
    <w:qFormat/>
    <w:uiPriority w:val="99"/>
    <w:pPr>
      <w:spacing w:before="156" w:beforeLines="50" w:after="156" w:afterLines="50" w:line="400" w:lineRule="atLeast"/>
    </w:pPr>
    <w:rPr>
      <w:rFonts w:ascii="宋体" w:hAnsi="Courier New"/>
      <w:sz w:val="24"/>
      <w:szCs w:val="24"/>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Document Map"/>
    <w:basedOn w:val="1"/>
    <w:link w:val="48"/>
    <w:unhideWhenUsed/>
    <w:qFormat/>
    <w:uiPriority w:val="99"/>
    <w:rPr>
      <w:rFonts w:ascii="宋体"/>
      <w:sz w:val="18"/>
      <w:szCs w:val="18"/>
    </w:rPr>
  </w:style>
  <w:style w:type="paragraph" w:styleId="11">
    <w:name w:val="annotation text"/>
    <w:basedOn w:val="1"/>
    <w:link w:val="83"/>
    <w:unhideWhenUsed/>
    <w:qFormat/>
    <w:uiPriority w:val="99"/>
    <w:pPr>
      <w:jc w:val="left"/>
    </w:pPr>
  </w:style>
  <w:style w:type="paragraph" w:styleId="12">
    <w:name w:val="Body Text"/>
    <w:basedOn w:val="1"/>
    <w:next w:val="1"/>
    <w:link w:val="86"/>
    <w:unhideWhenUsed/>
    <w:qFormat/>
    <w:uiPriority w:val="99"/>
    <w:pPr>
      <w:spacing w:after="120"/>
    </w:pPr>
    <w:rPr>
      <w:rFonts w:ascii="Times New Roman" w:hAnsi="Times New Roman" w:eastAsia="宋体" w:cs="Times New Roman"/>
      <w:sz w:val="28"/>
      <w:szCs w:val="24"/>
    </w:rPr>
  </w:style>
  <w:style w:type="paragraph" w:styleId="13">
    <w:name w:val="Body Text Indent"/>
    <w:basedOn w:val="1"/>
    <w:next w:val="14"/>
    <w:link w:val="75"/>
    <w:qFormat/>
    <w:uiPriority w:val="0"/>
    <w:pPr>
      <w:spacing w:line="200" w:lineRule="atLeast"/>
      <w:ind w:firstLine="301"/>
    </w:pPr>
    <w:rPr>
      <w:rFonts w:ascii="宋体" w:hAnsi="Courier New"/>
      <w:spacing w:val="-4"/>
      <w:sz w:val="18"/>
    </w:rPr>
  </w:style>
  <w:style w:type="paragraph" w:styleId="14">
    <w:name w:val="Body Text First Indent 2"/>
    <w:basedOn w:val="13"/>
    <w:link w:val="91"/>
    <w:unhideWhenUsed/>
    <w:qFormat/>
    <w:uiPriority w:val="99"/>
    <w:pPr>
      <w:ind w:firstLine="420"/>
    </w:pPr>
  </w:style>
  <w:style w:type="paragraph" w:styleId="15">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6">
    <w:name w:val="Date"/>
    <w:basedOn w:val="1"/>
    <w:next w:val="1"/>
    <w:link w:val="89"/>
    <w:qFormat/>
    <w:uiPriority w:val="0"/>
    <w:pPr>
      <w:ind w:left="2500" w:leftChars="2500"/>
    </w:pPr>
    <w:rPr>
      <w:rFonts w:ascii="Times New Roman" w:hAnsi="Times New Roman" w:eastAsia="楷体_GB2312" w:cs="Times New Roman"/>
      <w:sz w:val="32"/>
      <w:szCs w:val="20"/>
    </w:rPr>
  </w:style>
  <w:style w:type="paragraph" w:styleId="17">
    <w:name w:val="Balloon Text"/>
    <w:basedOn w:val="1"/>
    <w:link w:val="87"/>
    <w:qFormat/>
    <w:uiPriority w:val="0"/>
    <w:rPr>
      <w:rFonts w:ascii="Times New Roman" w:hAnsi="Times New Roman" w:eastAsia="宋体" w:cs="Times New Roman"/>
      <w:sz w:val="18"/>
      <w:szCs w:val="18"/>
    </w:rPr>
  </w:style>
  <w:style w:type="paragraph" w:styleId="18">
    <w:name w:val="footer"/>
    <w:basedOn w:val="1"/>
    <w:link w:val="41"/>
    <w:unhideWhenUsed/>
    <w:qFormat/>
    <w:uiPriority w:val="99"/>
    <w:pPr>
      <w:tabs>
        <w:tab w:val="center" w:pos="4153"/>
        <w:tab w:val="right" w:pos="8306"/>
      </w:tabs>
      <w:snapToGrid w:val="0"/>
      <w:jc w:val="left"/>
    </w:pPr>
    <w:rPr>
      <w:sz w:val="18"/>
      <w:szCs w:val="18"/>
    </w:rPr>
  </w:style>
  <w:style w:type="paragraph" w:styleId="19">
    <w:name w:val="header"/>
    <w:basedOn w:val="1"/>
    <w:link w:val="40"/>
    <w:unhideWhenUsed/>
    <w:qFormat/>
    <w:uiPriority w:val="99"/>
    <w:pPr>
      <w:pBdr>
        <w:bottom w:val="single" w:color="auto" w:sz="6" w:space="1"/>
      </w:pBdr>
      <w:tabs>
        <w:tab w:val="center" w:pos="4153"/>
        <w:tab w:val="right" w:pos="8306"/>
      </w:tabs>
      <w:snapToGrid w:val="0"/>
      <w:jc w:val="center"/>
    </w:pPr>
    <w:rPr>
      <w:sz w:val="18"/>
      <w:szCs w:val="18"/>
    </w:rPr>
  </w:style>
  <w:style w:type="paragraph" w:styleId="20">
    <w:name w:val="List"/>
    <w:basedOn w:val="1"/>
    <w:qFormat/>
    <w:uiPriority w:val="0"/>
    <w:pPr>
      <w:ind w:left="200" w:hanging="200" w:hangingChars="200"/>
    </w:pPr>
    <w:rPr>
      <w:rFonts w:ascii="Times New Roman" w:hAnsi="Times New Roman" w:eastAsia="宋体" w:cs="Times New Roman"/>
      <w:sz w:val="28"/>
      <w:szCs w:val="24"/>
    </w:rPr>
  </w:style>
  <w:style w:type="paragraph" w:styleId="21">
    <w:name w:val="Body Text 2"/>
    <w:basedOn w:val="1"/>
    <w:link w:val="77"/>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2">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3">
    <w:name w:val="annotation subject"/>
    <w:basedOn w:val="11"/>
    <w:next w:val="11"/>
    <w:link w:val="61"/>
    <w:unhideWhenUsed/>
    <w:qFormat/>
    <w:uiPriority w:val="99"/>
    <w:rPr>
      <w:b/>
      <w:bCs/>
      <w:sz w:val="28"/>
      <w:szCs w:val="24"/>
    </w:rPr>
  </w:style>
  <w:style w:type="table" w:styleId="25">
    <w:name w:val="Table Grid"/>
    <w:basedOn w:val="2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0"/>
    <w:rPr>
      <w:b/>
      <w:bCs/>
    </w:rPr>
  </w:style>
  <w:style w:type="character" w:styleId="28">
    <w:name w:val="page number"/>
    <w:basedOn w:val="26"/>
    <w:qFormat/>
    <w:uiPriority w:val="0"/>
  </w:style>
  <w:style w:type="character" w:styleId="29">
    <w:name w:val="FollowedHyperlink"/>
    <w:unhideWhenUsed/>
    <w:qFormat/>
    <w:uiPriority w:val="99"/>
    <w:rPr>
      <w:color w:val="5579A7"/>
      <w:u w:val="none"/>
    </w:rPr>
  </w:style>
  <w:style w:type="character" w:styleId="30">
    <w:name w:val="Emphasis"/>
    <w:basedOn w:val="26"/>
    <w:qFormat/>
    <w:uiPriority w:val="20"/>
    <w:rPr>
      <w:i/>
    </w:rPr>
  </w:style>
  <w:style w:type="character" w:styleId="31">
    <w:name w:val="HTML Definition"/>
    <w:unhideWhenUsed/>
    <w:qFormat/>
    <w:uiPriority w:val="99"/>
    <w:rPr>
      <w:i/>
    </w:rPr>
  </w:style>
  <w:style w:type="character" w:styleId="32">
    <w:name w:val="Hyperlink"/>
    <w:qFormat/>
    <w:uiPriority w:val="0"/>
    <w:rPr>
      <w:color w:val="5579A7"/>
      <w:u w:val="none"/>
    </w:rPr>
  </w:style>
  <w:style w:type="character" w:styleId="33">
    <w:name w:val="HTML Code"/>
    <w:unhideWhenUsed/>
    <w:qFormat/>
    <w:uiPriority w:val="99"/>
    <w:rPr>
      <w:rFonts w:ascii="-apple-system" w:hAnsi="-apple-system" w:eastAsia="-apple-system" w:cs="-apple-system"/>
      <w:sz w:val="21"/>
      <w:szCs w:val="21"/>
    </w:rPr>
  </w:style>
  <w:style w:type="character" w:styleId="34">
    <w:name w:val="annotation reference"/>
    <w:unhideWhenUsed/>
    <w:qFormat/>
    <w:uiPriority w:val="99"/>
    <w:rPr>
      <w:sz w:val="21"/>
      <w:szCs w:val="21"/>
    </w:rPr>
  </w:style>
  <w:style w:type="character" w:styleId="35">
    <w:name w:val="HTML Keyboard"/>
    <w:unhideWhenUsed/>
    <w:qFormat/>
    <w:uiPriority w:val="99"/>
    <w:rPr>
      <w:rFonts w:hint="default" w:ascii="-apple-system" w:hAnsi="-apple-system" w:eastAsia="-apple-system" w:cs="-apple-system"/>
      <w:sz w:val="21"/>
      <w:szCs w:val="21"/>
    </w:rPr>
  </w:style>
  <w:style w:type="character" w:styleId="36">
    <w:name w:val="HTML Sample"/>
    <w:unhideWhenUsed/>
    <w:qFormat/>
    <w:uiPriority w:val="99"/>
    <w:rPr>
      <w:rFonts w:hint="default" w:ascii="-apple-system" w:hAnsi="-apple-system" w:eastAsia="-apple-system" w:cs="-apple-system"/>
      <w:sz w:val="21"/>
      <w:szCs w:val="21"/>
    </w:rPr>
  </w:style>
  <w:style w:type="paragraph" w:customStyle="1" w:styleId="37">
    <w:name w:val="Default"/>
    <w:next w:val="38"/>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9">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40">
    <w:name w:val="页眉 字符"/>
    <w:basedOn w:val="26"/>
    <w:link w:val="19"/>
    <w:qFormat/>
    <w:uiPriority w:val="99"/>
    <w:rPr>
      <w:sz w:val="18"/>
      <w:szCs w:val="18"/>
    </w:rPr>
  </w:style>
  <w:style w:type="character" w:customStyle="1" w:styleId="41">
    <w:name w:val="页脚 字符"/>
    <w:basedOn w:val="26"/>
    <w:link w:val="18"/>
    <w:qFormat/>
    <w:uiPriority w:val="99"/>
    <w:rPr>
      <w:sz w:val="18"/>
      <w:szCs w:val="18"/>
    </w:rPr>
  </w:style>
  <w:style w:type="character" w:customStyle="1" w:styleId="42">
    <w:name w:val="标题 1 字符"/>
    <w:basedOn w:val="26"/>
    <w:link w:val="2"/>
    <w:qFormat/>
    <w:uiPriority w:val="9"/>
    <w:rPr>
      <w:rFonts w:ascii="Times New Roman" w:hAnsi="Times New Roman" w:eastAsia="宋体" w:cs="Times New Roman"/>
      <w:b/>
      <w:bCs/>
      <w:kern w:val="44"/>
      <w:sz w:val="44"/>
      <w:szCs w:val="44"/>
    </w:rPr>
  </w:style>
  <w:style w:type="character" w:customStyle="1" w:styleId="43">
    <w:name w:val="标题 2 字符"/>
    <w:basedOn w:val="26"/>
    <w:link w:val="3"/>
    <w:qFormat/>
    <w:uiPriority w:val="9"/>
    <w:rPr>
      <w:rFonts w:ascii="Cambria" w:hAnsi="Cambria" w:eastAsia="宋体" w:cs="Times New Roman"/>
      <w:b/>
      <w:bCs/>
      <w:sz w:val="32"/>
      <w:szCs w:val="32"/>
    </w:rPr>
  </w:style>
  <w:style w:type="character" w:customStyle="1" w:styleId="44">
    <w:name w:val="标题 3 字符"/>
    <w:basedOn w:val="26"/>
    <w:link w:val="4"/>
    <w:qFormat/>
    <w:uiPriority w:val="9"/>
    <w:rPr>
      <w:rFonts w:ascii="Times New Roman" w:hAnsi="Times New Roman" w:eastAsia="宋体" w:cs="Times New Roman"/>
      <w:b/>
      <w:bCs/>
      <w:sz w:val="32"/>
      <w:szCs w:val="32"/>
    </w:rPr>
  </w:style>
  <w:style w:type="character" w:customStyle="1" w:styleId="45">
    <w:name w:val="jbox-icon-none"/>
    <w:qFormat/>
    <w:uiPriority w:val="0"/>
    <w:rPr>
      <w:vanish/>
    </w:rPr>
  </w:style>
  <w:style w:type="character" w:customStyle="1" w:styleId="46">
    <w:name w:val="z-窗体底端 字符"/>
    <w:link w:val="47"/>
    <w:qFormat/>
    <w:uiPriority w:val="99"/>
    <w:rPr>
      <w:rFonts w:ascii="Arial" w:hAnsi="Arial"/>
      <w:vanish/>
      <w:sz w:val="16"/>
      <w:szCs w:val="16"/>
    </w:rPr>
  </w:style>
  <w:style w:type="paragraph" w:customStyle="1" w:styleId="47">
    <w:name w:val="z-窗体底端1"/>
    <w:basedOn w:val="1"/>
    <w:next w:val="1"/>
    <w:link w:val="46"/>
    <w:unhideWhenUsed/>
    <w:qFormat/>
    <w:uiPriority w:val="99"/>
    <w:pPr>
      <w:widowControl/>
      <w:pBdr>
        <w:top w:val="single" w:color="auto" w:sz="6" w:space="1"/>
      </w:pBdr>
      <w:jc w:val="center"/>
    </w:pPr>
    <w:rPr>
      <w:rFonts w:ascii="Arial" w:hAnsi="Arial"/>
      <w:vanish/>
      <w:sz w:val="16"/>
      <w:szCs w:val="16"/>
    </w:rPr>
  </w:style>
  <w:style w:type="character" w:customStyle="1" w:styleId="48">
    <w:name w:val="文档结构图 字符"/>
    <w:link w:val="10"/>
    <w:qFormat/>
    <w:uiPriority w:val="99"/>
    <w:rPr>
      <w:rFonts w:ascii="宋体"/>
      <w:sz w:val="18"/>
      <w:szCs w:val="18"/>
    </w:rPr>
  </w:style>
  <w:style w:type="character" w:customStyle="1" w:styleId="49">
    <w:name w:val="black601"/>
    <w:qFormat/>
    <w:uiPriority w:val="0"/>
    <w:rPr>
      <w:color w:val="666666"/>
    </w:rPr>
  </w:style>
  <w:style w:type="character" w:customStyle="1" w:styleId="50">
    <w:name w:val="hour_pm"/>
    <w:basedOn w:val="26"/>
    <w:qFormat/>
    <w:uiPriority w:val="0"/>
  </w:style>
  <w:style w:type="character" w:customStyle="1" w:styleId="51">
    <w:name w:val="正文缩进 字符"/>
    <w:link w:val="7"/>
    <w:qFormat/>
    <w:uiPriority w:val="0"/>
    <w:rPr>
      <w:rFonts w:eastAsia="宋体"/>
    </w:rPr>
  </w:style>
  <w:style w:type="character" w:customStyle="1" w:styleId="52">
    <w:name w:val="标题 1 Char Char"/>
    <w:qFormat/>
    <w:uiPriority w:val="0"/>
    <w:rPr>
      <w:rFonts w:eastAsia="宋体"/>
      <w:b/>
      <w:spacing w:val="-2"/>
      <w:sz w:val="24"/>
      <w:lang w:val="en-US" w:eastAsia="zh-CN" w:bidi="ar-SA"/>
    </w:rPr>
  </w:style>
  <w:style w:type="character" w:customStyle="1" w:styleId="53">
    <w:name w:val="jbox-icon-info"/>
    <w:basedOn w:val="26"/>
    <w:qFormat/>
    <w:uiPriority w:val="0"/>
  </w:style>
  <w:style w:type="character" w:customStyle="1" w:styleId="54">
    <w:name w:val="hover9"/>
    <w:qFormat/>
    <w:uiPriority w:val="0"/>
    <w:rPr>
      <w:shd w:val="clear" w:color="auto" w:fill="EEEEEE"/>
    </w:rPr>
  </w:style>
  <w:style w:type="character" w:customStyle="1" w:styleId="55">
    <w:name w:val="maywed421"/>
    <w:qFormat/>
    <w:uiPriority w:val="0"/>
    <w:rPr>
      <w:color w:val="366FB6"/>
      <w:u w:val="none"/>
    </w:rPr>
  </w:style>
  <w:style w:type="character" w:customStyle="1" w:styleId="56">
    <w:name w:val="old"/>
    <w:qFormat/>
    <w:uiPriority w:val="0"/>
    <w:rPr>
      <w:color w:val="999999"/>
    </w:rPr>
  </w:style>
  <w:style w:type="character" w:customStyle="1" w:styleId="57">
    <w:name w:val="jbox-icon-warning"/>
    <w:basedOn w:val="26"/>
    <w:qFormat/>
    <w:uiPriority w:val="0"/>
  </w:style>
  <w:style w:type="character" w:customStyle="1" w:styleId="58">
    <w:name w:val="z-窗体顶端 字符"/>
    <w:link w:val="59"/>
    <w:qFormat/>
    <w:uiPriority w:val="99"/>
    <w:rPr>
      <w:rFonts w:ascii="Arial" w:hAnsi="Arial"/>
      <w:vanish/>
      <w:sz w:val="16"/>
      <w:szCs w:val="16"/>
    </w:rPr>
  </w:style>
  <w:style w:type="paragraph" w:customStyle="1" w:styleId="59">
    <w:name w:val="z-窗体顶端1"/>
    <w:basedOn w:val="1"/>
    <w:next w:val="1"/>
    <w:link w:val="58"/>
    <w:unhideWhenUsed/>
    <w:qFormat/>
    <w:uiPriority w:val="99"/>
    <w:pPr>
      <w:widowControl/>
      <w:pBdr>
        <w:bottom w:val="single" w:color="auto" w:sz="6" w:space="1"/>
      </w:pBdr>
      <w:jc w:val="center"/>
    </w:pPr>
    <w:rPr>
      <w:rFonts w:ascii="Arial" w:hAnsi="Arial"/>
      <w:vanish/>
      <w:sz w:val="16"/>
      <w:szCs w:val="16"/>
    </w:rPr>
  </w:style>
  <w:style w:type="character" w:customStyle="1" w:styleId="60">
    <w:name w:val="纯文本 字符1"/>
    <w:link w:val="8"/>
    <w:qFormat/>
    <w:uiPriority w:val="99"/>
    <w:rPr>
      <w:rFonts w:ascii="宋体" w:hAnsi="Courier New"/>
      <w:sz w:val="24"/>
      <w:szCs w:val="24"/>
    </w:rPr>
  </w:style>
  <w:style w:type="character" w:customStyle="1" w:styleId="61">
    <w:name w:val="批注主题 字符"/>
    <w:link w:val="23"/>
    <w:qFormat/>
    <w:uiPriority w:val="99"/>
    <w:rPr>
      <w:b/>
      <w:bCs/>
      <w:sz w:val="28"/>
      <w:szCs w:val="24"/>
    </w:rPr>
  </w:style>
  <w:style w:type="character" w:customStyle="1" w:styleId="62">
    <w:name w:val="jbox-icon-loading"/>
    <w:basedOn w:val="26"/>
    <w:qFormat/>
    <w:uiPriority w:val="0"/>
  </w:style>
  <w:style w:type="character" w:customStyle="1" w:styleId="63">
    <w:name w:val="正文文本缩进 字符"/>
    <w:qFormat/>
    <w:uiPriority w:val="0"/>
    <w:rPr>
      <w:rFonts w:ascii="宋体" w:hAnsi="Courier New"/>
      <w:spacing w:val="-4"/>
      <w:kern w:val="2"/>
      <w:sz w:val="18"/>
    </w:rPr>
  </w:style>
  <w:style w:type="character" w:customStyle="1" w:styleId="64">
    <w:name w:val="正文文本缩进 字符1"/>
    <w:qFormat/>
    <w:uiPriority w:val="0"/>
    <w:rPr>
      <w:rFonts w:ascii="宋体" w:hAnsi="Courier New"/>
      <w:spacing w:val="-4"/>
      <w:kern w:val="2"/>
      <w:sz w:val="18"/>
    </w:rPr>
  </w:style>
  <w:style w:type="character" w:customStyle="1" w:styleId="65">
    <w:name w:val="纯文本 字符"/>
    <w:qFormat/>
    <w:uiPriority w:val="99"/>
    <w:rPr>
      <w:rFonts w:ascii="宋体" w:hAnsi="Courier New"/>
      <w:kern w:val="2"/>
      <w:sz w:val="24"/>
      <w:szCs w:val="24"/>
    </w:rPr>
  </w:style>
  <w:style w:type="character" w:customStyle="1" w:styleId="66">
    <w:name w:val="jbox-icon-question"/>
    <w:basedOn w:val="26"/>
    <w:qFormat/>
    <w:uiPriority w:val="0"/>
  </w:style>
  <w:style w:type="character" w:customStyle="1" w:styleId="67">
    <w:name w:val="jbox-icon"/>
    <w:basedOn w:val="26"/>
    <w:qFormat/>
    <w:uiPriority w:val="0"/>
  </w:style>
  <w:style w:type="character" w:customStyle="1" w:styleId="68">
    <w:name w:val="纯文本 字符2"/>
    <w:qFormat/>
    <w:uiPriority w:val="99"/>
    <w:rPr>
      <w:rFonts w:ascii="宋体" w:hAnsi="Courier New"/>
      <w:kern w:val="2"/>
      <w:sz w:val="24"/>
      <w:szCs w:val="24"/>
    </w:rPr>
  </w:style>
  <w:style w:type="character" w:customStyle="1" w:styleId="69">
    <w:name w:val="hour_am"/>
    <w:basedOn w:val="26"/>
    <w:qFormat/>
    <w:uiPriority w:val="0"/>
  </w:style>
  <w:style w:type="character" w:customStyle="1" w:styleId="70">
    <w:name w:val="jbox-icon-success"/>
    <w:basedOn w:val="26"/>
    <w:qFormat/>
    <w:uiPriority w:val="0"/>
  </w:style>
  <w:style w:type="character" w:customStyle="1" w:styleId="71">
    <w:name w:val="批注文字 字符"/>
    <w:qFormat/>
    <w:uiPriority w:val="99"/>
    <w:rPr>
      <w:kern w:val="2"/>
      <w:sz w:val="28"/>
      <w:szCs w:val="24"/>
    </w:rPr>
  </w:style>
  <w:style w:type="character" w:customStyle="1" w:styleId="72">
    <w:name w:val="纯文本 Char1"/>
    <w:qFormat/>
    <w:uiPriority w:val="0"/>
    <w:rPr>
      <w:rFonts w:ascii="宋体" w:hAnsi="Courier New"/>
      <w:kern w:val="2"/>
      <w:sz w:val="21"/>
    </w:rPr>
  </w:style>
  <w:style w:type="character" w:customStyle="1" w:styleId="73">
    <w:name w:val="纯文本 Char"/>
    <w:qFormat/>
    <w:uiPriority w:val="99"/>
    <w:rPr>
      <w:rFonts w:ascii="宋体" w:hAnsi="Courier New"/>
      <w:kern w:val="2"/>
      <w:sz w:val="24"/>
      <w:szCs w:val="24"/>
    </w:rPr>
  </w:style>
  <w:style w:type="character" w:customStyle="1" w:styleId="74">
    <w:name w:val="sub_title s0"/>
    <w:basedOn w:val="26"/>
    <w:qFormat/>
    <w:uiPriority w:val="0"/>
  </w:style>
  <w:style w:type="character" w:customStyle="1" w:styleId="75">
    <w:name w:val="正文文本缩进 字符2"/>
    <w:link w:val="13"/>
    <w:qFormat/>
    <w:uiPriority w:val="0"/>
    <w:rPr>
      <w:rFonts w:ascii="宋体" w:hAnsi="Courier New"/>
      <w:spacing w:val="-4"/>
      <w:sz w:val="18"/>
    </w:rPr>
  </w:style>
  <w:style w:type="character" w:customStyle="1" w:styleId="76">
    <w:name w:val="jbox-icon-error"/>
    <w:basedOn w:val="26"/>
    <w:qFormat/>
    <w:uiPriority w:val="0"/>
  </w:style>
  <w:style w:type="character" w:customStyle="1" w:styleId="77">
    <w:name w:val="正文文本 2 字符"/>
    <w:basedOn w:val="26"/>
    <w:link w:val="21"/>
    <w:qFormat/>
    <w:uiPriority w:val="0"/>
    <w:rPr>
      <w:rFonts w:ascii="宋体" w:hAnsi="宋体" w:eastAsia="宋体" w:cs="Times New Roman"/>
      <w:color w:val="000000"/>
      <w:sz w:val="24"/>
      <w:szCs w:val="24"/>
    </w:rPr>
  </w:style>
  <w:style w:type="paragraph" w:customStyle="1" w:styleId="78">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9">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80">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character" w:customStyle="1" w:styleId="81">
    <w:name w:val="z-窗体顶端 字符1"/>
    <w:basedOn w:val="26"/>
    <w:semiHidden/>
    <w:qFormat/>
    <w:uiPriority w:val="99"/>
    <w:rPr>
      <w:rFonts w:ascii="Arial" w:hAnsi="Arial" w:cs="Arial"/>
      <w:vanish/>
      <w:sz w:val="16"/>
      <w:szCs w:val="16"/>
    </w:rPr>
  </w:style>
  <w:style w:type="paragraph" w:customStyle="1" w:styleId="82">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character" w:customStyle="1" w:styleId="83">
    <w:name w:val="批注文字 字符1"/>
    <w:basedOn w:val="26"/>
    <w:link w:val="11"/>
    <w:semiHidden/>
    <w:qFormat/>
    <w:uiPriority w:val="99"/>
  </w:style>
  <w:style w:type="character" w:customStyle="1" w:styleId="84">
    <w:name w:val="批注主题 字符1"/>
    <w:basedOn w:val="83"/>
    <w:semiHidden/>
    <w:qFormat/>
    <w:uiPriority w:val="99"/>
    <w:rPr>
      <w:b/>
      <w:bCs/>
    </w:rPr>
  </w:style>
  <w:style w:type="character" w:customStyle="1" w:styleId="85">
    <w:name w:val="文档结构图 字符1"/>
    <w:basedOn w:val="26"/>
    <w:semiHidden/>
    <w:qFormat/>
    <w:uiPriority w:val="99"/>
    <w:rPr>
      <w:rFonts w:ascii="Microsoft YaHei UI" w:eastAsia="Microsoft YaHei UI"/>
      <w:sz w:val="18"/>
      <w:szCs w:val="18"/>
    </w:rPr>
  </w:style>
  <w:style w:type="character" w:customStyle="1" w:styleId="86">
    <w:name w:val="正文文本 字符"/>
    <w:basedOn w:val="26"/>
    <w:link w:val="12"/>
    <w:qFormat/>
    <w:uiPriority w:val="99"/>
    <w:rPr>
      <w:rFonts w:ascii="Times New Roman" w:hAnsi="Times New Roman" w:eastAsia="宋体" w:cs="Times New Roman"/>
      <w:sz w:val="28"/>
      <w:szCs w:val="24"/>
    </w:rPr>
  </w:style>
  <w:style w:type="character" w:customStyle="1" w:styleId="87">
    <w:name w:val="批注框文本 字符"/>
    <w:basedOn w:val="26"/>
    <w:link w:val="17"/>
    <w:qFormat/>
    <w:uiPriority w:val="0"/>
    <w:rPr>
      <w:rFonts w:ascii="Times New Roman" w:hAnsi="Times New Roman" w:eastAsia="宋体" w:cs="Times New Roman"/>
      <w:sz w:val="18"/>
      <w:szCs w:val="18"/>
    </w:rPr>
  </w:style>
  <w:style w:type="character" w:customStyle="1" w:styleId="88">
    <w:name w:val="正文文本缩进 字符3"/>
    <w:basedOn w:val="26"/>
    <w:semiHidden/>
    <w:qFormat/>
    <w:uiPriority w:val="99"/>
  </w:style>
  <w:style w:type="character" w:customStyle="1" w:styleId="89">
    <w:name w:val="日期 字符"/>
    <w:basedOn w:val="26"/>
    <w:link w:val="16"/>
    <w:qFormat/>
    <w:uiPriority w:val="0"/>
    <w:rPr>
      <w:rFonts w:ascii="Times New Roman" w:hAnsi="Times New Roman" w:eastAsia="楷体_GB2312" w:cs="Times New Roman"/>
      <w:sz w:val="32"/>
      <w:szCs w:val="20"/>
    </w:rPr>
  </w:style>
  <w:style w:type="character" w:customStyle="1" w:styleId="90">
    <w:name w:val="纯文本 字符3"/>
    <w:basedOn w:val="26"/>
    <w:semiHidden/>
    <w:qFormat/>
    <w:uiPriority w:val="99"/>
    <w:rPr>
      <w:rFonts w:hAnsi="Courier New" w:cs="Courier New" w:asciiTheme="minorEastAsia"/>
    </w:rPr>
  </w:style>
  <w:style w:type="character" w:customStyle="1" w:styleId="91">
    <w:name w:val="正文文本首行缩进 2 字符"/>
    <w:basedOn w:val="88"/>
    <w:link w:val="14"/>
    <w:qFormat/>
    <w:uiPriority w:val="99"/>
    <w:rPr>
      <w:rFonts w:ascii="宋体" w:hAnsi="Courier New"/>
      <w:spacing w:val="-4"/>
      <w:sz w:val="18"/>
    </w:rPr>
  </w:style>
  <w:style w:type="character" w:customStyle="1" w:styleId="92">
    <w:name w:val="z-窗体底端 字符1"/>
    <w:basedOn w:val="26"/>
    <w:semiHidden/>
    <w:qFormat/>
    <w:uiPriority w:val="99"/>
    <w:rPr>
      <w:rFonts w:ascii="Arial" w:hAnsi="Arial" w:cs="Arial"/>
      <w:vanish/>
      <w:sz w:val="16"/>
      <w:szCs w:val="16"/>
    </w:rPr>
  </w:style>
  <w:style w:type="paragraph" w:customStyle="1" w:styleId="93">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4">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5">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6">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7">
    <w:name w:val="Char Char Char Char1"/>
    <w:basedOn w:val="1"/>
    <w:qFormat/>
    <w:uiPriority w:val="0"/>
    <w:rPr>
      <w:rFonts w:ascii="Tahoma" w:hAnsi="Tahoma" w:eastAsia="宋体" w:cs="Times New Roman"/>
      <w:sz w:val="24"/>
      <w:szCs w:val="20"/>
    </w:rPr>
  </w:style>
  <w:style w:type="paragraph" w:customStyle="1" w:styleId="98">
    <w:name w:val="彩色列表 - 强调文字颜色 11"/>
    <w:basedOn w:val="1"/>
    <w:qFormat/>
    <w:uiPriority w:val="34"/>
    <w:pPr>
      <w:ind w:firstLine="420" w:firstLineChars="200"/>
    </w:pPr>
    <w:rPr>
      <w:rFonts w:ascii="Calibri" w:hAnsi="Calibri" w:eastAsia="宋体" w:cs="Times New Roman"/>
    </w:rPr>
  </w:style>
  <w:style w:type="paragraph" w:customStyle="1" w:styleId="99">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100">
    <w:name w:val="正文2"/>
    <w:basedOn w:val="1"/>
    <w:link w:val="109"/>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10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2">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3">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4">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5">
    <w:name w:val="标题 10"/>
    <w:basedOn w:val="3"/>
    <w:qFormat/>
    <w:uiPriority w:val="0"/>
    <w:pPr>
      <w:jc w:val="center"/>
    </w:pPr>
    <w:rPr>
      <w:kern w:val="0"/>
    </w:rPr>
  </w:style>
  <w:style w:type="character" w:customStyle="1" w:styleId="106">
    <w:name w:val="未处理的提及1"/>
    <w:semiHidden/>
    <w:unhideWhenUsed/>
    <w:qFormat/>
    <w:uiPriority w:val="99"/>
    <w:rPr>
      <w:color w:val="605E5C"/>
      <w:shd w:val="clear" w:color="auto" w:fill="E1DFDD"/>
    </w:rPr>
  </w:style>
  <w:style w:type="character" w:customStyle="1" w:styleId="107">
    <w:name w:val="未处理的提及2"/>
    <w:basedOn w:val="26"/>
    <w:semiHidden/>
    <w:unhideWhenUsed/>
    <w:qFormat/>
    <w:uiPriority w:val="99"/>
    <w:rPr>
      <w:color w:val="605E5C"/>
      <w:shd w:val="clear" w:color="auto" w:fill="E1DFDD"/>
    </w:rPr>
  </w:style>
  <w:style w:type="character" w:customStyle="1" w:styleId="108">
    <w:name w:val="未处理的提及3"/>
    <w:basedOn w:val="26"/>
    <w:semiHidden/>
    <w:unhideWhenUsed/>
    <w:qFormat/>
    <w:uiPriority w:val="99"/>
    <w:rPr>
      <w:color w:val="605E5C"/>
      <w:shd w:val="clear" w:color="auto" w:fill="E1DFDD"/>
    </w:rPr>
  </w:style>
  <w:style w:type="character" w:customStyle="1" w:styleId="109">
    <w:name w:val="正文2 Char Char"/>
    <w:link w:val="100"/>
    <w:qFormat/>
    <w:uiPriority w:val="0"/>
    <w:rPr>
      <w:kern w:val="2"/>
      <w:sz w:val="24"/>
    </w:rPr>
  </w:style>
  <w:style w:type="paragraph" w:customStyle="1" w:styleId="110">
    <w:name w:val="TOC 72"/>
    <w:next w:val="1"/>
    <w:qFormat/>
    <w:uiPriority w:val="0"/>
    <w:pPr>
      <w:wordWrap w:val="0"/>
      <w:ind w:left="2550"/>
      <w:jc w:val="both"/>
    </w:pPr>
    <w:rPr>
      <w:rFonts w:ascii="Calibri" w:hAnsi="Calibri" w:eastAsia="宋体" w:cs="Times New Roman"/>
      <w:sz w:val="21"/>
      <w:szCs w:val="22"/>
      <w:lang w:val="en-US" w:eastAsia="zh-CN" w:bidi="ar-SA"/>
    </w:rPr>
  </w:style>
  <w:style w:type="table" w:customStyle="1" w:styleId="111">
    <w:name w:val="网格型1"/>
    <w:basedOn w:val="24"/>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2">
    <w:name w:val="Normal Indent1"/>
    <w:qFormat/>
    <w:uiPriority w:val="0"/>
    <w:pPr>
      <w:ind w:firstLine="420"/>
    </w:pPr>
    <w:rPr>
      <w:rFonts w:ascii="Times New Roman" w:hAnsi="Times New Roman" w:eastAsia="仿宋_GB2312" w:cs="宋体"/>
      <w:b/>
      <w:bCs/>
      <w:color w:val="000000"/>
      <w:sz w:val="21"/>
      <w:lang w:val="en-US" w:eastAsia="zh-CN" w:bidi="ar-SA"/>
    </w:rPr>
  </w:style>
  <w:style w:type="paragraph" w:customStyle="1" w:styleId="113">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sz w:val="24"/>
      <w:szCs w:val="22"/>
      <w:lang w:val="en-US" w:eastAsia="zh-CN" w:bidi="ar-SA"/>
    </w:rPr>
  </w:style>
  <w:style w:type="character" w:customStyle="1" w:styleId="114">
    <w:name w:val="font11"/>
    <w:basedOn w:val="26"/>
    <w:qFormat/>
    <w:uiPriority w:val="0"/>
    <w:rPr>
      <w:rFonts w:hint="eastAsia" w:ascii="仿宋" w:hAnsi="仿宋" w:eastAsia="仿宋" w:cs="仿宋"/>
      <w:b/>
      <w:bCs/>
      <w:color w:val="000000"/>
      <w:sz w:val="21"/>
      <w:szCs w:val="21"/>
      <w:u w:val="none"/>
    </w:rPr>
  </w:style>
  <w:style w:type="character" w:customStyle="1" w:styleId="115">
    <w:name w:val="font41"/>
    <w:basedOn w:val="26"/>
    <w:qFormat/>
    <w:uiPriority w:val="0"/>
    <w:rPr>
      <w:rFonts w:hint="eastAsia" w:ascii="宋体" w:hAnsi="宋体" w:eastAsia="宋体" w:cs="宋体"/>
      <w:b/>
      <w:bCs/>
      <w:color w:val="000000"/>
      <w:sz w:val="21"/>
      <w:szCs w:val="21"/>
      <w:u w:val="none"/>
    </w:rPr>
  </w:style>
  <w:style w:type="character" w:customStyle="1" w:styleId="116">
    <w:name w:val="font51"/>
    <w:basedOn w:val="26"/>
    <w:qFormat/>
    <w:uiPriority w:val="0"/>
    <w:rPr>
      <w:rFonts w:ascii="Arial" w:hAnsi="Arial" w:cs="Arial"/>
      <w:b/>
      <w:bCs/>
      <w:color w:val="000000"/>
      <w:sz w:val="21"/>
      <w:szCs w:val="21"/>
      <w:u w:val="none"/>
    </w:rPr>
  </w:style>
  <w:style w:type="character" w:customStyle="1" w:styleId="117">
    <w:name w:val="font61"/>
    <w:basedOn w:val="26"/>
    <w:qFormat/>
    <w:uiPriority w:val="0"/>
    <w:rPr>
      <w:rFonts w:ascii="Calibri" w:hAnsi="Calibri" w:cs="Calibri"/>
      <w:b/>
      <w:bCs/>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85</Pages>
  <Words>2901</Words>
  <Characters>3379</Characters>
  <Lines>32</Lines>
  <Paragraphs>64</Paragraphs>
  <TotalTime>16</TotalTime>
  <ScaleCrop>false</ScaleCrop>
  <LinksUpToDate>false</LinksUpToDate>
  <CharactersWithSpaces>3404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冥灵有叶</cp:lastModifiedBy>
  <dcterms:modified xsi:type="dcterms:W3CDTF">2025-04-03T10:00:20Z</dcterms:modified>
  <cp:revision>771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B363B45C01FF4C5A8AB2573BD522DAF7</vt:lpwstr>
  </property>
  <property fmtid="{D5CDD505-2E9C-101B-9397-08002B2CF9AE}" pid="4" name="KSOTemplateDocerSaveRecord">
    <vt:lpwstr>eyJoZGlkIjoiNDUwMTFkMDI3ZjBmZjczM2Q3M2EwOGI5M2VjYzUzMDkiLCJ1c2VySWQiOiI2MjY2ODE2NTEifQ==</vt:lpwstr>
  </property>
</Properties>
</file>