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小和山校区体育馆及运动场地改扩建工程可行性研究咨询服务</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小和山校区体育馆及运动场地改扩建工程可行性研究咨询服务</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QSZB-Z(F)-B25047(GK)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[2025]8860号</w:t>
      </w:r>
    </w:p>
    <w:p w14:paraId="6DF20D90">
      <w:pPr>
        <w:adjustRightInd w:val="0"/>
        <w:snapToGrid w:val="0"/>
        <w:spacing w:line="288" w:lineRule="auto"/>
        <w:rPr>
          <w:rFonts w:ascii="楷体" w:hAnsi="楷体" w:eastAsia="楷体" w:cs="Times New Roman"/>
          <w:b/>
          <w:szCs w:val="21"/>
          <w:highlight w:val="none"/>
        </w:rPr>
      </w:pPr>
    </w:p>
    <w:p w14:paraId="22695171">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24BBD4DD">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小和山校区体育馆及运动场地改扩建工程可行性研究咨询服务</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2025年04月03日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QSZB-Z(F)-B25047(GK)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小和山校区体育馆及运动场地改扩建工程可行性研究咨询服务</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400000元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400000元</w:t>
      </w:r>
    </w:p>
    <w:p w14:paraId="690FF59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.合同履约期限：自合同签订至项目可行性研究获相关部门批复</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小和山校区体育馆及运动场地改扩建工程可行性研究咨询服务</w:t>
            </w:r>
          </w:p>
        </w:tc>
        <w:tc>
          <w:tcPr>
            <w:tcW w:w="430" w:type="pct"/>
            <w:tcBorders>
              <w:tl2br w:val="nil"/>
              <w:tr2bl w:val="nil"/>
            </w:tcBorders>
            <w:vAlign w:val="center"/>
          </w:tcPr>
          <w:p w14:paraId="55DE7AF3">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原有建筑约10000平方米的拆除、新建体育馆约15000平方米、地下工程约17000平方米（含人防）共32000平方米、室外运动场地的改造等项目决策的可行性研究工程咨询服务，具体内容详见第二章采购需求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35393791"/>
      <w:bookmarkStart w:id="6" w:name="_Toc28359080"/>
      <w:bookmarkStart w:id="7" w:name="_Toc28359003"/>
      <w:bookmarkStart w:id="8" w:name="_Toc35393622"/>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5539CE91">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02C89DB4">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√服务全部由中小企业承接，即提供服务的人员为中小企业依照《中华人民共和国劳动合同法》订立劳动合同的从业人员</w:t>
      </w:r>
    </w:p>
    <w:p w14:paraId="08589E53">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4005A8D8">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本项目属性为：服务</w:t>
      </w:r>
    </w:p>
    <w:p w14:paraId="3E209B0D">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eastAsia="zh-CN"/>
        </w:rPr>
        <w:t>其他未列明行业</w:t>
      </w:r>
    </w:p>
    <w:p w14:paraId="30F76D3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2025年04月03日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2025年04月03日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2025年04月03日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794"/>
      <w:bookmarkStart w:id="20" w:name="_Toc35393625"/>
      <w:bookmarkStart w:id="21" w:name="_Toc28359084"/>
      <w:bookmarkStart w:id="22" w:name="_Toc28359007"/>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highlight w:val="none"/>
        </w:rPr>
      </w:pPr>
      <w:bookmarkStart w:id="29" w:name="_Toc28359008"/>
      <w:bookmarkStart w:id="30" w:name="_Toc35393796"/>
      <w:bookmarkStart w:id="31" w:name="_Toc35393627"/>
      <w:bookmarkStart w:id="32" w:name="_Toc28359085"/>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浙江外国语学院</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w:t>
      </w:r>
      <w:r>
        <w:rPr>
          <w:rFonts w:hint="eastAsia" w:ascii="宋体" w:hAnsi="宋体" w:eastAsia="宋体" w:cs="Times New Roman"/>
          <w:szCs w:val="21"/>
          <w:highlight w:val="none"/>
          <w:lang w:val="en-US" w:eastAsia="zh-CN"/>
        </w:rPr>
        <w:t>299</w:t>
      </w:r>
      <w:r>
        <w:rPr>
          <w:rFonts w:hint="eastAsia" w:ascii="宋体" w:hAnsi="宋体" w:eastAsia="宋体" w:cs="Times New Roman"/>
          <w:szCs w:val="21"/>
          <w:highlight w:val="none"/>
        </w:rPr>
        <w:t>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蒋老师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项目联系方式（询问）：0571-87799041</w:t>
      </w:r>
    </w:p>
    <w:p w14:paraId="54EA0DA7">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质疑联系人：童老师</w:t>
      </w:r>
    </w:p>
    <w:p w14:paraId="4B96A4BF">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质疑联系方法：0571-87799042</w:t>
      </w:r>
    </w:p>
    <w:p w14:paraId="0B96BB39">
      <w:pPr>
        <w:pStyle w:val="11"/>
        <w:rPr>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名称：</w:t>
      </w:r>
      <w:r>
        <w:rPr>
          <w:rFonts w:hint="eastAsia" w:ascii="宋体" w:hAnsi="宋体" w:eastAsia="宋体" w:cs="Times New Roman"/>
          <w:spacing w:val="-6"/>
          <w:szCs w:val="21"/>
          <w:highlight w:val="none"/>
          <w:lang w:eastAsia="zh-CN"/>
        </w:rPr>
        <w:t>浙江外国语学院</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w:t>
      </w:r>
      <w:r>
        <w:rPr>
          <w:rFonts w:hint="eastAsia" w:ascii="宋体" w:hAnsi="宋体" w:eastAsia="宋体" w:cs="Times New Roman"/>
          <w:spacing w:val="-6"/>
          <w:szCs w:val="21"/>
          <w:highlight w:val="none"/>
          <w:lang w:val="en-US" w:eastAsia="zh-CN"/>
        </w:rPr>
        <w:t>299</w:t>
      </w:r>
      <w:r>
        <w:rPr>
          <w:rFonts w:hint="eastAsia" w:ascii="宋体" w:hAnsi="宋体" w:eastAsia="宋体" w:cs="Times New Roman"/>
          <w:spacing w:val="-6"/>
          <w:szCs w:val="21"/>
          <w:highlight w:val="none"/>
        </w:rPr>
        <w:t>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r>
        <w:rPr>
          <w:rFonts w:hint="eastAsia" w:ascii="宋体" w:hAnsi="宋体" w:eastAsia="宋体" w:cs="Times New Roman"/>
          <w:spacing w:val="-6"/>
          <w:szCs w:val="21"/>
          <w:highlight w:val="none"/>
          <w:lang w:val="en-US" w:eastAsia="zh-CN"/>
        </w:rPr>
        <w:t>童</w:t>
      </w:r>
      <w:r>
        <w:rPr>
          <w:rFonts w:hint="eastAsia" w:ascii="宋体" w:hAnsi="宋体" w:eastAsia="宋体" w:cs="Times New Roman"/>
          <w:spacing w:val="-6"/>
          <w:szCs w:val="21"/>
          <w:highlight w:val="none"/>
        </w:rPr>
        <w:t>老师</w:t>
      </w:r>
    </w:p>
    <w:p w14:paraId="5611E086">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w:t>
      </w:r>
      <w:r>
        <w:rPr>
          <w:rFonts w:hint="eastAsia" w:ascii="宋体" w:hAnsi="宋体" w:eastAsia="宋体" w:cs="Times New Roman"/>
          <w:szCs w:val="21"/>
          <w:highlight w:val="none"/>
        </w:rPr>
        <w:t>0571-87799042</w:t>
      </w:r>
    </w:p>
    <w:p w14:paraId="7365BA7C">
      <w:pPr>
        <w:adjustRightInd w:val="0"/>
        <w:snapToGrid w:val="0"/>
        <w:spacing w:line="288" w:lineRule="auto"/>
        <w:ind w:firstLine="425" w:firstLineChars="215"/>
        <w:rPr>
          <w:rFonts w:ascii="宋体" w:hAnsi="宋体" w:eastAsia="宋体" w:cs="Times New Roman"/>
          <w:spacing w:val="-6"/>
          <w:szCs w:val="21"/>
          <w:highlight w:val="none"/>
        </w:rPr>
      </w:pPr>
    </w:p>
    <w:p w14:paraId="31BE582F">
      <w:pPr>
        <w:adjustRightInd w:val="0"/>
        <w:snapToGrid w:val="0"/>
        <w:spacing w:line="288" w:lineRule="auto"/>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szCs w:val="21"/>
                <w:highlight w:val="none"/>
                <w:lang w:eastAsia="zh-CN"/>
              </w:rPr>
              <w:t>其他未列明行业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2"/>
        <w:gridCol w:w="7961"/>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532"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961" w:type="dxa"/>
            <w:tcBorders>
              <w:top w:val="single" w:color="auto" w:sz="4" w:space="0"/>
              <w:left w:val="single" w:color="auto" w:sz="4" w:space="0"/>
              <w:bottom w:val="single" w:color="auto" w:sz="4" w:space="0"/>
              <w:right w:val="single" w:color="auto" w:sz="4" w:space="0"/>
            </w:tcBorders>
            <w:vAlign w:val="center"/>
          </w:tcPr>
          <w:p w14:paraId="393A3BE6">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17A0E688">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532"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hint="eastAsia" w:ascii="宋体" w:hAnsi="宋体" w:eastAsia="宋体" w:cs="宋体"/>
                <w:b/>
                <w:spacing w:val="-6"/>
                <w:szCs w:val="21"/>
                <w:highlight w:val="none"/>
              </w:rPr>
            </w:pPr>
            <w:r>
              <w:rPr>
                <w:rFonts w:hint="eastAsia" w:ascii="宋体" w:hAnsi="宋体" w:eastAsia="宋体" w:cs="宋体"/>
                <w:b/>
                <w:spacing w:val="-6"/>
                <w:sz w:val="21"/>
                <w:szCs w:val="21"/>
                <w:highlight w:val="none"/>
              </w:rPr>
              <w:t>▲付款方式</w:t>
            </w:r>
          </w:p>
        </w:tc>
        <w:tc>
          <w:tcPr>
            <w:tcW w:w="7961" w:type="dxa"/>
            <w:tcBorders>
              <w:top w:val="single" w:color="auto" w:sz="4" w:space="0"/>
              <w:left w:val="single" w:color="auto" w:sz="4" w:space="0"/>
              <w:bottom w:val="single" w:color="auto" w:sz="4" w:space="0"/>
              <w:right w:val="single" w:color="auto" w:sz="4" w:space="0"/>
            </w:tcBorders>
            <w:vAlign w:val="center"/>
          </w:tcPr>
          <w:p w14:paraId="272DA30C">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1.预付款：合同生效且中标人出具履约保函或缴纳履约保证金后七个工作日内，采购人向中标人支付合同金额20%的预付款。</w:t>
            </w:r>
          </w:p>
          <w:p w14:paraId="22EBDBA5">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039AEC9B">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2.付款条件：</w:t>
            </w:r>
          </w:p>
          <w:p w14:paraId="4407E6C6">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（1）提交可行性研究报告初稿，并收到发票后7个工作日内，采购人向中标人支付</w:t>
            </w:r>
            <w:r>
              <w:rPr>
                <w:rFonts w:hint="eastAsia" w:ascii="宋体" w:hAnsi="宋体" w:eastAsia="宋体" w:cs="宋体"/>
                <w:spacing w:val="-6"/>
                <w:kern w:val="0"/>
                <w:szCs w:val="21"/>
                <w:highlight w:val="none"/>
                <w:lang w:val="en-US" w:eastAsia="zh-CN"/>
              </w:rPr>
              <w:t>至</w:t>
            </w:r>
            <w:r>
              <w:rPr>
                <w:rFonts w:hint="eastAsia" w:ascii="宋体" w:hAnsi="宋体" w:eastAsia="宋体" w:cs="宋体"/>
                <w:spacing w:val="-6"/>
                <w:kern w:val="0"/>
                <w:szCs w:val="21"/>
                <w:highlight w:val="none"/>
              </w:rPr>
              <w:t>合同总价的40%；</w:t>
            </w:r>
          </w:p>
          <w:p w14:paraId="2E768710">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（2）可行性研究获相关部门批复，并收到发票后7个工作日内，采购人向中标人支付至合同总价的100%。</w:t>
            </w:r>
          </w:p>
        </w:tc>
      </w:tr>
      <w:bookmarkEnd w:id="36"/>
    </w:tbl>
    <w:p w14:paraId="4919FBC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4"/>
          <w:sz w:val="21"/>
          <w:szCs w:val="21"/>
          <w:highlight w:val="none"/>
        </w:rPr>
      </w:pPr>
    </w:p>
    <w:p w14:paraId="587B19D8">
      <w:pPr>
        <w:keepNext w:val="0"/>
        <w:keepLines w:val="0"/>
        <w:pageBreakBefore w:val="0"/>
        <w:kinsoku/>
        <w:wordWrap/>
        <w:overflowPunct/>
        <w:topLinePunct w:val="0"/>
        <w:autoSpaceDE/>
        <w:autoSpaceDN/>
        <w:bidi w:val="0"/>
        <w:adjustRightInd w:val="0"/>
        <w:snapToGrid w:val="0"/>
        <w:spacing w:line="288" w:lineRule="auto"/>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三、服务要求</w:t>
      </w:r>
    </w:p>
    <w:p w14:paraId="1F133FC9">
      <w:pPr>
        <w:keepNext w:val="0"/>
        <w:keepLines w:val="0"/>
        <w:pageBreakBefore w:val="0"/>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项目背景</w:t>
      </w:r>
    </w:p>
    <w:p w14:paraId="256422D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本项目位于浙江外国语学校小和山校区内。浙江外国语学校小和山校区位于杭州市西湖区小和山高教园区留和路299号，校区北临留和路，西接支四路，南为小和山，东邻支五路。</w:t>
      </w:r>
    </w:p>
    <w:p w14:paraId="5CEEB41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项目用地面积约 61500 平方米，其中：体育用房用地约35000平方米、室外运动场地约26500平方米。体育馆总建筑面积约32000平方米，其中：地上建筑面积约15000 平方米，地下建筑面积约17000 平方米（含人防）共计32000平方米。项目总投资约2.725亿元。其中，工程费用24191万元，工程建设其他费2260万元，预备费799万元。</w:t>
      </w:r>
    </w:p>
    <w:p w14:paraId="1E39B2A3">
      <w:pPr>
        <w:keepNext w:val="0"/>
        <w:keepLines w:val="0"/>
        <w:pageBreakBefore w:val="0"/>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sz w:val="21"/>
          <w:szCs w:val="21"/>
          <w:highlight w:val="none"/>
          <w:lang w:eastAsia="zh-CN"/>
        </w:rPr>
      </w:pPr>
    </w:p>
    <w:p w14:paraId="32D0FD61">
      <w:pPr>
        <w:keepNext w:val="0"/>
        <w:keepLines w:val="0"/>
        <w:pageBreakBefore w:val="0"/>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概况简介</w:t>
      </w:r>
    </w:p>
    <w:p w14:paraId="03C6277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用地及建筑指标表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632"/>
        <w:gridCol w:w="1974"/>
        <w:gridCol w:w="1643"/>
        <w:gridCol w:w="2230"/>
      </w:tblGrid>
      <w:tr w14:paraId="13DF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369CF0C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367" w:type="pct"/>
            <w:vAlign w:val="center"/>
          </w:tcPr>
          <w:p w14:paraId="4A293053">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025" w:type="pct"/>
            <w:vAlign w:val="center"/>
          </w:tcPr>
          <w:p w14:paraId="55B5C9D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数值</w:t>
            </w:r>
          </w:p>
        </w:tc>
        <w:tc>
          <w:tcPr>
            <w:tcW w:w="853" w:type="pct"/>
            <w:vAlign w:val="center"/>
          </w:tcPr>
          <w:p w14:paraId="49BAD87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158" w:type="pct"/>
            <w:vAlign w:val="center"/>
          </w:tcPr>
          <w:p w14:paraId="6ADBF803">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4E98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3E873B6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67" w:type="pct"/>
            <w:vAlign w:val="center"/>
          </w:tcPr>
          <w:p w14:paraId="1AB3C62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用地面积</w:t>
            </w:r>
          </w:p>
        </w:tc>
        <w:tc>
          <w:tcPr>
            <w:tcW w:w="1025" w:type="pct"/>
            <w:vAlign w:val="center"/>
          </w:tcPr>
          <w:p w14:paraId="7F1DBCD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35000</w:t>
            </w:r>
          </w:p>
        </w:tc>
        <w:tc>
          <w:tcPr>
            <w:tcW w:w="853" w:type="pct"/>
            <w:vAlign w:val="center"/>
          </w:tcPr>
          <w:p w14:paraId="388E15E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vertAlign w:val="superscript"/>
              </w:rPr>
              <w:t>2</w:t>
            </w:r>
          </w:p>
        </w:tc>
        <w:tc>
          <w:tcPr>
            <w:tcW w:w="1158" w:type="pct"/>
            <w:vAlign w:val="center"/>
          </w:tcPr>
          <w:p w14:paraId="778FB983">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p>
        </w:tc>
      </w:tr>
      <w:tr w14:paraId="406E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7961384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67" w:type="pct"/>
            <w:vAlign w:val="center"/>
          </w:tcPr>
          <w:p w14:paraId="12ADE41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总建筑面积</w:t>
            </w:r>
          </w:p>
        </w:tc>
        <w:tc>
          <w:tcPr>
            <w:tcW w:w="1025" w:type="pct"/>
            <w:vAlign w:val="center"/>
          </w:tcPr>
          <w:p w14:paraId="189DBBA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000</w:t>
            </w:r>
          </w:p>
        </w:tc>
        <w:tc>
          <w:tcPr>
            <w:tcW w:w="853" w:type="pct"/>
            <w:vAlign w:val="center"/>
          </w:tcPr>
          <w:p w14:paraId="42F912B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vertAlign w:val="superscript"/>
              </w:rPr>
              <w:t>2</w:t>
            </w:r>
          </w:p>
        </w:tc>
        <w:tc>
          <w:tcPr>
            <w:tcW w:w="1158" w:type="pct"/>
            <w:vAlign w:val="center"/>
          </w:tcPr>
          <w:p w14:paraId="11B4757B">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p>
        </w:tc>
      </w:tr>
      <w:tr w14:paraId="1E99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4FD2BC1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367" w:type="pct"/>
            <w:vAlign w:val="center"/>
          </w:tcPr>
          <w:p w14:paraId="49A2E38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地上面积</w:t>
            </w:r>
          </w:p>
        </w:tc>
        <w:tc>
          <w:tcPr>
            <w:tcW w:w="1025" w:type="pct"/>
            <w:vAlign w:val="center"/>
          </w:tcPr>
          <w:p w14:paraId="70239F8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15000</w:t>
            </w:r>
          </w:p>
        </w:tc>
        <w:tc>
          <w:tcPr>
            <w:tcW w:w="853" w:type="pct"/>
            <w:vAlign w:val="center"/>
          </w:tcPr>
          <w:p w14:paraId="077A140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vertAlign w:val="superscript"/>
              </w:rPr>
              <w:t>2</w:t>
            </w:r>
          </w:p>
        </w:tc>
        <w:tc>
          <w:tcPr>
            <w:tcW w:w="1158" w:type="pct"/>
            <w:vAlign w:val="center"/>
          </w:tcPr>
          <w:p w14:paraId="4F854B9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p>
        </w:tc>
      </w:tr>
      <w:tr w14:paraId="37AC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499863F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367" w:type="pct"/>
            <w:vAlign w:val="center"/>
          </w:tcPr>
          <w:p w14:paraId="1024FA3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地下面积</w:t>
            </w:r>
          </w:p>
        </w:tc>
        <w:tc>
          <w:tcPr>
            <w:tcW w:w="1025" w:type="pct"/>
            <w:vAlign w:val="center"/>
          </w:tcPr>
          <w:p w14:paraId="69CB6CA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000</w:t>
            </w:r>
          </w:p>
        </w:tc>
        <w:tc>
          <w:tcPr>
            <w:tcW w:w="853" w:type="pct"/>
            <w:vAlign w:val="center"/>
          </w:tcPr>
          <w:p w14:paraId="0760D0AB">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vertAlign w:val="superscript"/>
              </w:rPr>
              <w:t>2</w:t>
            </w:r>
          </w:p>
        </w:tc>
        <w:tc>
          <w:tcPr>
            <w:tcW w:w="1158" w:type="pct"/>
            <w:vAlign w:val="center"/>
          </w:tcPr>
          <w:p w14:paraId="1565630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p>
        </w:tc>
      </w:tr>
      <w:tr w14:paraId="49B9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52DD3C3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367" w:type="pct"/>
            <w:vAlign w:val="center"/>
          </w:tcPr>
          <w:p w14:paraId="3CB32D9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建筑占地</w:t>
            </w:r>
          </w:p>
        </w:tc>
        <w:tc>
          <w:tcPr>
            <w:tcW w:w="1025" w:type="pct"/>
            <w:vAlign w:val="center"/>
          </w:tcPr>
          <w:p w14:paraId="0B6E20F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18000</w:t>
            </w:r>
          </w:p>
        </w:tc>
        <w:tc>
          <w:tcPr>
            <w:tcW w:w="853" w:type="pct"/>
            <w:vAlign w:val="center"/>
          </w:tcPr>
          <w:p w14:paraId="5362D37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vertAlign w:val="superscript"/>
              </w:rPr>
              <w:t>2</w:t>
            </w:r>
          </w:p>
        </w:tc>
        <w:tc>
          <w:tcPr>
            <w:tcW w:w="1158" w:type="pct"/>
            <w:vAlign w:val="center"/>
          </w:tcPr>
          <w:p w14:paraId="21D62EC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p>
        </w:tc>
      </w:tr>
      <w:tr w14:paraId="2178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6A51409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367" w:type="pct"/>
            <w:vAlign w:val="center"/>
          </w:tcPr>
          <w:p w14:paraId="5124873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绿化面积</w:t>
            </w:r>
          </w:p>
        </w:tc>
        <w:tc>
          <w:tcPr>
            <w:tcW w:w="1025" w:type="pct"/>
            <w:vAlign w:val="center"/>
          </w:tcPr>
          <w:p w14:paraId="69DCDB5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4000</w:t>
            </w:r>
          </w:p>
        </w:tc>
        <w:tc>
          <w:tcPr>
            <w:tcW w:w="853" w:type="pct"/>
            <w:vAlign w:val="center"/>
          </w:tcPr>
          <w:p w14:paraId="0ED3C11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vertAlign w:val="superscript"/>
              </w:rPr>
              <w:t>2</w:t>
            </w:r>
          </w:p>
        </w:tc>
        <w:tc>
          <w:tcPr>
            <w:tcW w:w="1158" w:type="pct"/>
            <w:vAlign w:val="center"/>
          </w:tcPr>
          <w:p w14:paraId="5A9359A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p>
        </w:tc>
      </w:tr>
    </w:tbl>
    <w:p w14:paraId="56E47FDE">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highlight w:val="none"/>
          <w:lang w:eastAsia="zh-CN"/>
        </w:rPr>
      </w:pPr>
    </w:p>
    <w:p w14:paraId="1DA4E22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服务内容</w:t>
      </w:r>
      <w:bookmarkStart w:id="55" w:name="_GoBack"/>
      <w:bookmarkEnd w:id="55"/>
    </w:p>
    <w:p w14:paraId="12AFF2FF">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1、需实现的目标：</w:t>
      </w:r>
    </w:p>
    <w:p w14:paraId="28329C10">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原有建筑约10000平方米的拆除、新建体育馆约15000平方米、地下工程约17000平方米（含人防）共计32000平方米、室外运动场地的改造等项目决策的可行性研究工程咨询服务。</w:t>
      </w:r>
      <w:r>
        <w:rPr>
          <w:rFonts w:hint="eastAsia" w:ascii="宋体" w:hAnsi="宋体" w:eastAsia="宋体" w:cs="Times New Roman"/>
          <w:szCs w:val="21"/>
          <w:highlight w:val="none"/>
          <w:lang w:val="en-US" w:eastAsia="zh-CN"/>
        </w:rPr>
        <w:t>符合质量、环境、职业健康管理标准要求。</w:t>
      </w:r>
    </w:p>
    <w:p w14:paraId="19423F47">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2、需满足的质量、服务、安全、时限等要求</w:t>
      </w:r>
      <w:r>
        <w:rPr>
          <w:rFonts w:hint="eastAsia" w:ascii="宋体" w:hAnsi="宋体" w:eastAsia="宋体" w:cs="Times New Roman"/>
          <w:b/>
          <w:bCs/>
          <w:szCs w:val="21"/>
          <w:highlight w:val="none"/>
          <w:lang w:eastAsia="zh-CN"/>
        </w:rPr>
        <w:t>：</w:t>
      </w:r>
    </w:p>
    <w:p w14:paraId="2A4D3E3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可行性研究报告应符合国家投资主管部门的编制要求，投资估算符合项目规模及当地价格指数；可行性研究报告编制、投资估算等咨询服务；符合国家现行相关法律法规要求；服务期自合同签订至项目可行性研究获相关部门批复。</w:t>
      </w:r>
    </w:p>
    <w:p w14:paraId="0F9DBE4D">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highlight w:val="none"/>
        </w:rPr>
      </w:pP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具体服务</w:t>
      </w:r>
      <w:r>
        <w:rPr>
          <w:rFonts w:hint="eastAsia" w:ascii="宋体" w:hAnsi="宋体" w:eastAsia="宋体" w:cs="Times New Roman"/>
          <w:b/>
          <w:bCs/>
          <w:szCs w:val="21"/>
          <w:highlight w:val="none"/>
        </w:rPr>
        <w:t>：</w:t>
      </w:r>
    </w:p>
    <w:p w14:paraId="6AC8B77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服务要求：对项目进行前期研究，需要根据学校要求，并按照国家发改委有关可行性研究报告编制的内容和深度要求，编制符合报批要求的可行性研究报告，同时包括为编制报告而进行的调研、现场踏勘、资料收集等工作，并协助学校进行项目评审及报批工作。</w:t>
      </w:r>
    </w:p>
    <w:p w14:paraId="6CAF4F09">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bCs/>
          <w:szCs w:val="21"/>
          <w:highlight w:val="none"/>
        </w:rPr>
      </w:pPr>
      <w:r>
        <w:rPr>
          <w:rFonts w:hint="eastAsia" w:ascii="宋体" w:hAnsi="宋体" w:eastAsia="宋体" w:cs="Times New Roman"/>
          <w:szCs w:val="21"/>
          <w:highlight w:val="none"/>
        </w:rPr>
        <w:t>（2）深度要求：在符合国家发改委规定的可行性研究报告编制要求的基础上，满足项目报批需要，</w:t>
      </w:r>
      <w:r>
        <w:rPr>
          <w:rFonts w:hint="eastAsia" w:ascii="宋体" w:hAnsi="宋体" w:eastAsia="宋体" w:cs="Times New Roman"/>
          <w:b/>
          <w:bCs/>
          <w:szCs w:val="21"/>
          <w:highlight w:val="none"/>
        </w:rPr>
        <w:t>同时符合《政府投资项目可行性研究报告编写通用大纲》（2023年版）编制要求。（若有新的规范标准应执行最新规范标准）</w:t>
      </w:r>
    </w:p>
    <w:p w14:paraId="1499E61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lang w:val="en-US" w:eastAsia="zh-CN"/>
        </w:rPr>
        <w:t>3</w:t>
      </w: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lang w:val="en-US" w:eastAsia="zh-CN"/>
        </w:rPr>
        <w:t>为满足项目实施需要，项目团队成员应具备相关能力及经验，具有注册咨询工程师、中级及以上职称。</w:t>
      </w:r>
    </w:p>
    <w:p w14:paraId="70A6C4AF">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4、项目进度及目标要求</w:t>
      </w:r>
      <w:r>
        <w:rPr>
          <w:rFonts w:hint="eastAsia" w:ascii="宋体" w:hAnsi="宋体" w:eastAsia="宋体" w:cs="Times New Roman"/>
          <w:b/>
          <w:bCs/>
          <w:szCs w:val="21"/>
          <w:highlight w:val="none"/>
          <w:lang w:eastAsia="zh-CN"/>
        </w:rPr>
        <w:t>：</w:t>
      </w:r>
    </w:p>
    <w:p w14:paraId="5CB22AB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（1）项目进度：自《可研报告》编制资料齐备后，</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0个日历日内完成初稿，并送达学校。最终成果完成后，经修改完善，形成《可研报告》报批版，并上报审批部门。</w:t>
      </w:r>
    </w:p>
    <w:p w14:paraId="102B5AB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（2）目标要求：《可研报告》主要包括以下主要内容：</w:t>
      </w:r>
    </w:p>
    <w:p w14:paraId="41FAD2E4">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1）总论；</w:t>
      </w:r>
    </w:p>
    <w:p w14:paraId="516604F1">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2）项目建设背景与必要性；</w:t>
      </w:r>
    </w:p>
    <w:p w14:paraId="3464D944">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3）项目选址和建设条件；</w:t>
      </w:r>
    </w:p>
    <w:p w14:paraId="6C887E94">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4）项目建设内容与规模</w:t>
      </w:r>
    </w:p>
    <w:p w14:paraId="7DF5741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5）建设方案；</w:t>
      </w:r>
    </w:p>
    <w:p w14:paraId="019570E0">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6）公用工程；</w:t>
      </w:r>
    </w:p>
    <w:p w14:paraId="152C3F8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7）节能方案；</w:t>
      </w:r>
    </w:p>
    <w:p w14:paraId="61DC41B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8）环境保护与劳动安全；</w:t>
      </w:r>
    </w:p>
    <w:p w14:paraId="34CA926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9）项目组织机构与建设管理；</w:t>
      </w:r>
    </w:p>
    <w:p w14:paraId="1D6E74E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10）项目实施计划和进度；</w:t>
      </w:r>
    </w:p>
    <w:p w14:paraId="6F8B403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11）投资估算与资金筹措；</w:t>
      </w:r>
    </w:p>
    <w:p w14:paraId="2836E1E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12）社会及经济效益评价；</w:t>
      </w:r>
    </w:p>
    <w:p w14:paraId="156261C9">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13）社会稳定风险分析</w:t>
      </w:r>
    </w:p>
    <w:p w14:paraId="181B1CA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14）结论。</w:t>
      </w:r>
    </w:p>
    <w:p w14:paraId="52F956A7">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5、需提交的成果资料及份数</w:t>
      </w:r>
      <w:r>
        <w:rPr>
          <w:rFonts w:hint="eastAsia" w:ascii="宋体" w:hAnsi="宋体" w:eastAsia="宋体" w:cs="Times New Roman"/>
          <w:b/>
          <w:bCs/>
          <w:szCs w:val="21"/>
          <w:highlight w:val="none"/>
          <w:lang w:eastAsia="zh-CN"/>
        </w:rPr>
        <w:t>：</w:t>
      </w:r>
    </w:p>
    <w:p w14:paraId="439C487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（1）可行性研究报告纸质文本若干本；</w:t>
      </w:r>
    </w:p>
    <w:p w14:paraId="5B111A8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s="Times New Roman"/>
          <w:szCs w:val="21"/>
          <w:highlight w:val="none"/>
        </w:rPr>
      </w:pPr>
      <w:r>
        <w:rPr>
          <w:rFonts w:hint="eastAsia" w:ascii="宋体" w:hAnsi="宋体" w:eastAsia="宋体" w:cs="Times New Roman"/>
          <w:szCs w:val="21"/>
          <w:highlight w:val="none"/>
        </w:rPr>
        <w:t>（2）电子成果若干份</w:t>
      </w:r>
      <w:r>
        <w:rPr>
          <w:rFonts w:hint="eastAsia" w:ascii="宋体" w:hAnsi="宋体" w:eastAsia="宋体" w:cs="Times New Roman"/>
          <w:szCs w:val="21"/>
          <w:highlight w:val="none"/>
          <w:lang w:eastAsia="zh-CN"/>
        </w:rPr>
        <w:t>。</w:t>
      </w: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浙江外国语学院小和山校区体育馆及运动场地改扩建工程可行性研究咨询服务</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2024年09月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szCs w:val="21"/>
                <w:highlight w:val="none"/>
              </w:rPr>
            </w:pPr>
            <w:r>
              <w:rPr>
                <w:rFonts w:hint="eastAsia" w:ascii="宋体" w:hAnsi="宋体" w:eastAsia="宋体" w:cs="宋体"/>
                <w:sz w:val="21"/>
                <w:szCs w:val="21"/>
                <w:highlight w:val="none"/>
              </w:rPr>
              <w:t>转包与分包</w:t>
            </w:r>
          </w:p>
        </w:tc>
        <w:tc>
          <w:tcPr>
            <w:tcW w:w="6663" w:type="dxa"/>
            <w:vAlign w:val="center"/>
          </w:tcPr>
          <w:p w14:paraId="66C62F9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1.本项目</w:t>
            </w:r>
            <w:r>
              <w:rPr>
                <w:rFonts w:hint="eastAsia" w:ascii="宋体" w:hAnsi="宋体" w:eastAsia="宋体" w:cs="宋体"/>
                <w:color w:val="auto"/>
                <w:sz w:val="21"/>
                <w:szCs w:val="21"/>
                <w:highlight w:val="none"/>
              </w:rPr>
              <w:t>不允许转包；</w:t>
            </w:r>
          </w:p>
          <w:p w14:paraId="75F16CF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本项目为建设项目全过程可行性研究咨询，为保证项目整体的稳定与统一，不宜分包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4E60731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7EE2144A">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20459360">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40003B4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25E1EE6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14:paraId="4E21CF2B">
            <w:pPr>
              <w:adjustRightInd w:val="0"/>
              <w:snapToGrid w:val="0"/>
              <w:spacing w:line="288" w:lineRule="auto"/>
              <w:rPr>
                <w:rFonts w:ascii="宋体" w:hAnsi="宋体" w:eastAsia="宋体"/>
                <w:color w:val="auto"/>
                <w:szCs w:val="21"/>
                <w:highlight w:val="none"/>
              </w:rPr>
            </w:pPr>
            <w:r>
              <w:rPr>
                <w:rFonts w:hint="eastAsia" w:ascii="宋体" w:hAnsi="宋体" w:eastAsia="宋体"/>
                <w:szCs w:val="21"/>
                <w:highlight w:val="none"/>
              </w:rPr>
              <w:t>2.以人民</w:t>
            </w:r>
            <w:r>
              <w:rPr>
                <w:rFonts w:hint="eastAsia" w:ascii="宋体" w:hAnsi="宋体" w:eastAsia="宋体"/>
                <w:color w:val="auto"/>
                <w:szCs w:val="21"/>
                <w:highlight w:val="none"/>
              </w:rPr>
              <w:t>币报价；</w:t>
            </w:r>
          </w:p>
          <w:p w14:paraId="16E225D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0338E1B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7F51237A">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365F47C2">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7"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浙江外国语学院小和山校区体育馆及运动场地改扩建工程可行性研究咨询服务</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浙江外国语学院</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u w:val="single"/>
        </w:rPr>
        <w:t>本项目为建设项目全过程可行性研究咨询，为保证项目整体的稳定与统一，不宜分包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w:t>
      </w:r>
      <w:r>
        <w:rPr>
          <w:rFonts w:hint="eastAsia" w:ascii="宋体" w:hAnsi="宋体" w:eastAsia="宋体" w:cs="Times New Roman"/>
          <w:spacing w:val="-6"/>
          <w:szCs w:val="21"/>
          <w:highlight w:val="none"/>
        </w:rPr>
        <w:t>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0" w:name="_Hlk92273111"/>
      <w:bookmarkStart w:id="41"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2"/>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3" w:name="_Hlk96329183"/>
      <w:r>
        <w:rPr>
          <w:rFonts w:hint="eastAsia" w:ascii="宋体" w:hAnsi="宋体" w:eastAsia="宋体"/>
          <w:spacing w:val="-6"/>
          <w:szCs w:val="21"/>
          <w:highlight w:val="none"/>
        </w:rPr>
        <w:t>加盖公章</w:t>
      </w:r>
      <w:bookmarkEnd w:id="43"/>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4"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0"/>
          <w:rFonts w:hint="eastAsia" w:ascii="宋体" w:hAnsi="宋体" w:eastAsia="宋体"/>
          <w:b/>
          <w:bCs/>
          <w:szCs w:val="21"/>
          <w:highlight w:val="none"/>
        </w:rPr>
        <w:t>https://edu.zcygov.cn/luban/e-biding</w:t>
      </w:r>
      <w:r>
        <w:rPr>
          <w:rStyle w:val="30"/>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3CE0A59D">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bookmarkStart w:id="45" w:name="_Hlk94018664"/>
      <w:r>
        <w:rPr>
          <w:rFonts w:hint="default" w:hAnsi="宋体" w:eastAsia="宋体" w:cs="宋体"/>
          <w:color w:val="auto"/>
          <w:sz w:val="21"/>
          <w:szCs w:val="21"/>
          <w:highlight w:val="none"/>
          <w:lang w:val="en-US" w:eastAsia="zh-CN"/>
        </w:rPr>
        <w:t>1.报价应按招标文件要求的格式编制、填写报价内容（可自行增行），未按招标文件要求编制、填写的投标文件可能被拒绝；</w:t>
      </w:r>
    </w:p>
    <w:p w14:paraId="21FEFD14">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2.以人民币报价；</w:t>
      </w:r>
    </w:p>
    <w:p w14:paraId="6603BB55">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3.投标报价是履行合同的最终价格，有关本项目实施所涉及的一切费用均计入报价；总价不为零，分项报价中部分产品、服务单价为零的，视作已包含在总价中。</w:t>
      </w:r>
    </w:p>
    <w:p w14:paraId="727CF7FD">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4.投标文件只允许有一个报价，有选择的报价将不予接受。</w:t>
      </w:r>
    </w:p>
    <w:p w14:paraId="300CDDF4">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▲5.采购人将以合同形式有偿取得货物或服务，不接受投标人给予的赠品、回扣或者与采购无关的其他商品、服务。</w:t>
      </w:r>
    </w:p>
    <w:bookmarkEnd w:id="45"/>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6" w:name="_Hlk94018682"/>
      <w:r>
        <w:rPr>
          <w:rFonts w:hint="eastAsia" w:ascii="宋体" w:hAnsi="宋体" w:eastAsia="宋体" w:cs="宋体"/>
          <w:szCs w:val="21"/>
          <w:highlight w:val="none"/>
        </w:rPr>
        <w:t>未响应招标文件“▲”标记条款要求的，投标无效。</w:t>
      </w:r>
    </w:p>
    <w:bookmarkEnd w:id="46"/>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99"/>
        <w:snapToGrid w:val="0"/>
        <w:spacing w:before="0" w:line="288" w:lineRule="auto"/>
        <w:ind w:left="0" w:firstLine="424" w:firstLineChars="201"/>
        <w:rPr>
          <w:rFonts w:ascii="宋体" w:hAnsi="宋体"/>
          <w:szCs w:val="21"/>
          <w:highlight w:val="none"/>
        </w:rPr>
      </w:pPr>
      <w:bookmarkStart w:id="48"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99"/>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49"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kern w:val="0"/>
          <w:szCs w:val="21"/>
          <w:highlight w:val="none"/>
        </w:rPr>
      </w:pPr>
      <w:bookmarkStart w:id="50"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w:t>
      </w:r>
      <w:r>
        <w:rPr>
          <w:rFonts w:ascii="宋体" w:hAnsi="宋体" w:cs="仿宋"/>
          <w:color w:val="auto"/>
          <w:kern w:val="0"/>
          <w:sz w:val="21"/>
          <w:szCs w:val="21"/>
          <w:highlight w:val="none"/>
        </w:rPr>
        <w:t>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2D12593F">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8"/>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654" w:type="dxa"/>
            <w:vAlign w:val="center"/>
          </w:tcPr>
          <w:p w14:paraId="0B0322FF">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7072" w:type="dxa"/>
            <w:vAlign w:val="center"/>
          </w:tcPr>
          <w:p w14:paraId="495744E9">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价格分（</w:t>
            </w:r>
            <w:r>
              <w:rPr>
                <w:rFonts w:hint="eastAsia" w:ascii="宋体" w:hAnsi="宋体" w:eastAsia="宋体" w:cs="宋体"/>
                <w:b/>
                <w:bCs/>
                <w:sz w:val="21"/>
                <w:szCs w:val="21"/>
                <w:highlight w:val="none"/>
                <w:lang w:val="en-US" w:eastAsia="zh-CN"/>
              </w:rPr>
              <w:t>20</w:t>
            </w:r>
            <w:r>
              <w:rPr>
                <w:rFonts w:hint="eastAsia" w:ascii="宋体" w:hAnsi="宋体" w:eastAsia="宋体" w:cs="宋体"/>
                <w:b/>
                <w:bCs/>
                <w:sz w:val="21"/>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14:paraId="594E1F45">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0%×100</w:t>
            </w:r>
          </w:p>
          <w:p w14:paraId="7E9609CD">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pacing w:val="-6"/>
                <w:sz w:val="21"/>
                <w:szCs w:val="21"/>
                <w:highlight w:val="none"/>
                <w:u w:val="none"/>
                <w:lang w:val="en-US" w:eastAsia="zh-CN"/>
              </w:rPr>
              <w:t>本</w:t>
            </w:r>
            <w:r>
              <w:rPr>
                <w:rFonts w:hint="eastAsia" w:ascii="宋体" w:hAnsi="宋体" w:eastAsia="宋体" w:cs="宋体"/>
                <w:color w:val="auto"/>
                <w:spacing w:val="-6"/>
                <w:sz w:val="21"/>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商务分（</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业绩</w:t>
            </w:r>
          </w:p>
        </w:tc>
        <w:tc>
          <w:tcPr>
            <w:tcW w:w="654" w:type="dxa"/>
            <w:vAlign w:val="center"/>
          </w:tcPr>
          <w:p w14:paraId="4D60862C">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p>
        </w:tc>
        <w:tc>
          <w:tcPr>
            <w:tcW w:w="7072" w:type="dxa"/>
            <w:vAlign w:val="center"/>
          </w:tcPr>
          <w:p w14:paraId="26FCF5B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0293290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投标人自2022年1月1日以来（以合同签订时间为准）同类合同业绩（以提供的合同扫描件为准）：每提供1份</w:t>
            </w:r>
            <w:r>
              <w:rPr>
                <w:rFonts w:hint="eastAsia" w:ascii="宋体" w:hAnsi="宋体" w:eastAsia="宋体" w:cs="宋体"/>
                <w:szCs w:val="21"/>
                <w:highlight w:val="none"/>
                <w:lang w:val="en-US" w:eastAsia="zh-CN"/>
              </w:rPr>
              <w:t>业绩证明材料</w:t>
            </w:r>
            <w:r>
              <w:rPr>
                <w:rFonts w:hint="eastAsia" w:ascii="宋体" w:hAnsi="宋体" w:eastAsia="宋体" w:cs="宋体"/>
                <w:szCs w:val="21"/>
                <w:highlight w:val="none"/>
              </w:rPr>
              <w:t>得0.5分，最高得2分。</w:t>
            </w:r>
          </w:p>
          <w:p w14:paraId="7F792AFC">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Cs w:val="21"/>
                <w:highlight w:val="none"/>
              </w:rPr>
              <w:t>证明材料：需</w:t>
            </w:r>
            <w:r>
              <w:rPr>
                <w:rFonts w:hint="eastAsia" w:ascii="宋体" w:hAnsi="宋体" w:eastAsia="宋体" w:cs="宋体"/>
                <w:szCs w:val="21"/>
                <w:highlight w:val="none"/>
                <w:lang w:val="en-US" w:eastAsia="zh-CN"/>
              </w:rPr>
              <w:t>同时</w:t>
            </w:r>
            <w:r>
              <w:rPr>
                <w:rFonts w:hint="eastAsia" w:ascii="宋体" w:hAnsi="宋体" w:eastAsia="宋体" w:cs="宋体"/>
                <w:szCs w:val="21"/>
                <w:highlight w:val="none"/>
              </w:rPr>
              <w:t>提供业绩合同扫描件</w:t>
            </w:r>
            <w:r>
              <w:rPr>
                <w:rFonts w:hint="eastAsia" w:ascii="宋体" w:hAnsi="宋体" w:eastAsia="宋体" w:cs="宋体"/>
                <w:szCs w:val="21"/>
                <w:highlight w:val="none"/>
                <w:lang w:val="en-US" w:eastAsia="zh-CN"/>
              </w:rPr>
              <w:t>及可行性研究批准文件扫描件</w:t>
            </w:r>
            <w:r>
              <w:rPr>
                <w:rFonts w:hint="eastAsia" w:ascii="宋体" w:hAnsi="宋体" w:eastAsia="宋体" w:cs="宋体"/>
                <w:szCs w:val="21"/>
                <w:highlight w:val="none"/>
              </w:rPr>
              <w:t>。</w:t>
            </w:r>
          </w:p>
        </w:tc>
      </w:tr>
      <w:tr w14:paraId="4A64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BE36972">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证书</w:t>
            </w:r>
          </w:p>
        </w:tc>
        <w:tc>
          <w:tcPr>
            <w:tcW w:w="654" w:type="dxa"/>
            <w:vAlign w:val="center"/>
          </w:tcPr>
          <w:p w14:paraId="4448D1BB">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p>
        </w:tc>
        <w:tc>
          <w:tcPr>
            <w:tcW w:w="7072" w:type="dxa"/>
            <w:vAlign w:val="center"/>
          </w:tcPr>
          <w:p w14:paraId="179B7BC0">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【客观分】</w:t>
            </w:r>
          </w:p>
          <w:p w14:paraId="2E47C1DE">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投标人具备有效的质量管理体系认证、环境管理体系认证、职业健康安全管理体系认证的，每份证书得1分，最高得3分。</w:t>
            </w:r>
          </w:p>
          <w:p w14:paraId="57D92CE1">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（证明材料：须提供有效期内证书扫描件及国家认证认可监督管理委员会官网（http://www.cnca.gov.cn/）查询截图，否则不得分）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技术分（</w:t>
            </w:r>
            <w:r>
              <w:rPr>
                <w:rFonts w:hint="eastAsia" w:ascii="宋体" w:hAnsi="宋体" w:eastAsia="宋体" w:cs="宋体"/>
                <w:b/>
                <w:bCs/>
                <w:sz w:val="21"/>
                <w:szCs w:val="21"/>
                <w:highlight w:val="none"/>
                <w:lang w:val="en-US" w:eastAsia="zh-CN"/>
              </w:rPr>
              <w:t>75</w:t>
            </w:r>
            <w:r>
              <w:rPr>
                <w:rFonts w:hint="eastAsia" w:ascii="宋体" w:hAnsi="宋体" w:eastAsia="宋体" w:cs="宋体"/>
                <w:b/>
                <w:bCs/>
                <w:sz w:val="21"/>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53D3EC5">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kern w:val="0"/>
                <w:sz w:val="21"/>
                <w:szCs w:val="21"/>
                <w:highlight w:val="none"/>
              </w:rPr>
              <w:t>项目需求的理解及分析</w:t>
            </w:r>
          </w:p>
        </w:tc>
        <w:tc>
          <w:tcPr>
            <w:tcW w:w="654" w:type="dxa"/>
            <w:shd w:val="clear" w:color="auto" w:fill="auto"/>
            <w:vAlign w:val="center"/>
          </w:tcPr>
          <w:p w14:paraId="0FC0B3CC">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
              </w:rPr>
            </w:pPr>
            <w:r>
              <w:rPr>
                <w:rFonts w:hint="eastAsia" w:ascii="宋体" w:hAnsi="宋体" w:eastAsia="宋体" w:cs="宋体"/>
                <w:b/>
                <w:bCs/>
                <w:sz w:val="21"/>
                <w:szCs w:val="21"/>
                <w:highlight w:val="none"/>
                <w:lang w:val="en-US" w:eastAsia="zh-CN"/>
              </w:rPr>
              <w:t>5</w:t>
            </w:r>
          </w:p>
        </w:tc>
        <w:tc>
          <w:tcPr>
            <w:tcW w:w="7072" w:type="dxa"/>
            <w:shd w:val="clear" w:color="auto" w:fill="auto"/>
            <w:vAlign w:val="center"/>
          </w:tcPr>
          <w:p w14:paraId="2D828112">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2C6C337C">
            <w:pPr>
              <w:keepNext w:val="0"/>
              <w:keepLines w:val="0"/>
              <w:pageBreakBefore w:val="0"/>
              <w:widowControl w:val="0"/>
              <w:kinsoku/>
              <w:wordWrap/>
              <w:overflowPunct/>
              <w:topLinePunct w:val="0"/>
              <w:bidi w:val="0"/>
              <w:adjustRightInd w:val="0"/>
              <w:snapToGrid w:val="0"/>
              <w:spacing w:line="288" w:lineRule="auto"/>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针对本项目对</w:t>
            </w:r>
            <w:r>
              <w:rPr>
                <w:rFonts w:hint="eastAsia" w:ascii="宋体" w:hAnsi="宋体" w:eastAsia="宋体" w:cs="宋体"/>
                <w:sz w:val="21"/>
                <w:szCs w:val="21"/>
                <w:highlight w:val="none"/>
              </w:rPr>
              <w:t>现状分析、需求分析和重点难点分析：熟悉该项目现状，对采购人需求、项目重点、难点的把握准确到位，现状分析到位，需求分析详细、项目重点难点把握准确，能够充分满足采购人对项目整体的服务要求</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4F33496E">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技术方案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B53D7A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33D8B70B">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投标人针对本项目提供的咨询建设方案，要求方案内容具备可行性，能够充分满足采购人对项目整体的服务要求。（评分范围：5,4,3,2,1,0）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6EF932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4AFDA95E">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投标人针对本项目提供的公用工程咨询方案，要求方案内容具备可行性，能够充分满足采购人对项目整体的服务要求。（评分范围：5,4,3,2,1,0）</w:t>
            </w:r>
          </w:p>
        </w:tc>
      </w:tr>
      <w:tr w14:paraId="4B06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7D637E6">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75D095">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2E6047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38FB2027">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投标人针对本项目提供的咨询节能和环保方案，要求方案内容具备可行性，能够充分满足采购人对项目整体的服务要求。（评分范围：5,4,3,2,1,0）</w:t>
            </w:r>
          </w:p>
        </w:tc>
      </w:tr>
      <w:tr w14:paraId="4980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C05BDA9">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217DD70">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22532D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7B32D3A2">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投标人针对本项目提供投资估算与资金筹措方案，要求方案内容具备可行性，能够充分满足采购人对项目整体的服务要求。（评分范围：5,4,3,2,1,0）</w:t>
            </w:r>
          </w:p>
        </w:tc>
      </w:tr>
      <w:tr w14:paraId="1982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295EE9B">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3FB10E1">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33774D2">
            <w:pPr>
              <w:adjustRightInd w:val="0"/>
              <w:snapToGrid w:val="0"/>
              <w:spacing w:line="288" w:lineRule="auto"/>
              <w:rPr>
                <w:rFonts w:ascii="宋体" w:hAnsi="宋体" w:eastAsia="宋体" w:cs="宋体"/>
                <w:kern w:val="0"/>
                <w:szCs w:val="21"/>
                <w:highlight w:val="none"/>
              </w:rPr>
            </w:pPr>
            <w:r>
              <w:rPr>
                <w:rFonts w:hint="eastAsia" w:ascii="宋体" w:hAnsi="宋体" w:eastAsia="宋体" w:cs="宋体"/>
                <w:kern w:val="0"/>
                <w:szCs w:val="21"/>
                <w:highlight w:val="none"/>
              </w:rPr>
              <w:t>【主观分】</w:t>
            </w:r>
          </w:p>
          <w:p w14:paraId="1F12471D">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投标人针对本项目提供的选址和建设条件分析、建设背景和必要性分析，能够充分满足采购人对项目整体的服务要求。（评分范围：5,4,3,2,1,0）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A353E33">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6EE1194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1B83486A">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投标人针对本项目提供社会效益、社会风险的分析，能够充分满足采购人对项目整体的服务要求。（评分范围：5,4,3,2,1,0）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3954C672">
            <w:pPr>
              <w:adjustRightInd w:val="0"/>
              <w:snapToGrid w:val="0"/>
              <w:spacing w:line="288" w:lineRule="auto"/>
              <w:jc w:val="center"/>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adjustRightInd w:val="0"/>
              <w:snapToGrid w:val="0"/>
              <w:spacing w:line="288" w:lineRule="auto"/>
              <w:jc w:val="center"/>
              <w:rPr>
                <w:rFonts w:hint="eastAsia" w:ascii="宋体" w:hAnsi="宋体" w:eastAsia="宋体" w:cs="宋体"/>
                <w:b/>
                <w:bCs/>
                <w:spacing w:val="-6"/>
                <w:kern w:val="2"/>
                <w:sz w:val="21"/>
                <w:szCs w:val="21"/>
                <w:highlight w:val="none"/>
                <w:lang w:val="en-US" w:eastAsia="zh-CN" w:bidi="ar"/>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2121838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56E7DDF7">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投标人针对本项目提供技术支持服务方案，包含提供相关法律政策的解读、协助采购人完成相关审批等技术支持方面。（评分范围：</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4,3,2,1,0）</w:t>
            </w:r>
          </w:p>
        </w:tc>
      </w:tr>
      <w:tr w14:paraId="1C6E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767" w:type="dxa"/>
            <w:vMerge w:val="continue"/>
            <w:tcBorders>
              <w:left w:val="single" w:color="auto" w:sz="4" w:space="0"/>
              <w:right w:val="single" w:color="auto" w:sz="4" w:space="0"/>
            </w:tcBorders>
            <w:shd w:val="clear" w:color="auto" w:fill="auto"/>
            <w:vAlign w:val="center"/>
          </w:tcPr>
          <w:p w14:paraId="6C164292">
            <w:pPr>
              <w:spacing w:line="288" w:lineRule="auto"/>
              <w:jc w:val="center"/>
              <w:rPr>
                <w:rFonts w:hint="eastAsia" w:ascii="宋体" w:hAnsi="宋体" w:eastAsia="宋体" w:cs="宋体"/>
                <w:b/>
                <w:bCs/>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4BD897F">
            <w:pPr>
              <w:adjustRightInd w:val="0"/>
              <w:snapToGrid w:val="0"/>
              <w:spacing w:line="288" w:lineRule="auto"/>
              <w:jc w:val="center"/>
              <w:rPr>
                <w:rFonts w:hint="default" w:ascii="宋体" w:hAnsi="宋体" w:eastAsia="宋体" w:cs="宋体"/>
                <w:b/>
                <w:bCs/>
                <w:sz w:val="21"/>
                <w:szCs w:val="21"/>
                <w:highlight w:val="none"/>
                <w:lang w:val="en-US" w:eastAsia="zh-CN"/>
              </w:rPr>
            </w:pPr>
            <w:r>
              <w:rPr>
                <w:rFonts w:ascii="宋体" w:hAnsi="宋体" w:eastAsia="宋体" w:cs="宋体"/>
                <w:b/>
                <w:szCs w:val="21"/>
                <w:highlight w:val="none"/>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5358992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006E3433">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投标人针对本项目提供协调工作能力承诺，</w:t>
            </w:r>
            <w:r>
              <w:rPr>
                <w:rFonts w:hint="eastAsia" w:ascii="宋体" w:hAnsi="宋体" w:eastAsia="宋体" w:cs="宋体"/>
                <w:szCs w:val="21"/>
                <w:highlight w:val="none"/>
                <w:lang w:val="en-US" w:eastAsia="zh-CN"/>
              </w:rPr>
              <w:t>如可</w:t>
            </w:r>
            <w:r>
              <w:rPr>
                <w:rFonts w:hint="eastAsia" w:ascii="宋体" w:hAnsi="宋体" w:eastAsia="宋体" w:cs="宋体"/>
                <w:szCs w:val="21"/>
                <w:highlight w:val="none"/>
              </w:rPr>
              <w:t>派驻专员协助采购人协调可研审批工作的承诺</w:t>
            </w:r>
            <w:r>
              <w:rPr>
                <w:rFonts w:hint="eastAsia" w:ascii="宋体" w:hAnsi="宋体" w:eastAsia="宋体" w:cs="宋体"/>
                <w:szCs w:val="21"/>
                <w:highlight w:val="none"/>
                <w:lang w:val="en-US" w:eastAsia="zh-CN"/>
              </w:rPr>
              <w:t>等，能配合采购人工作开展，有利于项目实施</w:t>
            </w:r>
            <w:r>
              <w:rPr>
                <w:rFonts w:hint="eastAsia" w:ascii="宋体" w:hAnsi="宋体" w:eastAsia="宋体" w:cs="宋体"/>
                <w:szCs w:val="21"/>
                <w:highlight w:val="none"/>
              </w:rPr>
              <w:t>。（评分范围：3,2,1,0）</w:t>
            </w:r>
          </w:p>
        </w:tc>
      </w:tr>
      <w:tr w14:paraId="642D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67" w:type="dxa"/>
            <w:vMerge w:val="continue"/>
            <w:tcBorders>
              <w:left w:val="single" w:color="auto" w:sz="4" w:space="0"/>
              <w:right w:val="single" w:color="auto" w:sz="4" w:space="0"/>
            </w:tcBorders>
            <w:shd w:val="clear" w:color="auto" w:fill="auto"/>
            <w:vAlign w:val="center"/>
          </w:tcPr>
          <w:p w14:paraId="128807B2">
            <w:pPr>
              <w:spacing w:line="288" w:lineRule="auto"/>
              <w:jc w:val="center"/>
              <w:rPr>
                <w:rFonts w:hint="eastAsia" w:ascii="宋体" w:hAnsi="宋体" w:eastAsia="宋体" w:cs="宋体"/>
                <w:b/>
                <w:bCs/>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329E9DF">
            <w:pPr>
              <w:adjustRightInd w:val="0"/>
              <w:snapToGrid w:val="0"/>
              <w:spacing w:line="288"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pacing w:val="-6"/>
                <w:szCs w:val="21"/>
                <w:highlight w:val="none"/>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466CDCB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2B0088ED">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投标人针对本项目提供</w:t>
            </w:r>
            <w:r>
              <w:rPr>
                <w:rFonts w:hint="eastAsia" w:ascii="宋体" w:hAnsi="宋体" w:eastAsia="宋体" w:cs="宋体"/>
                <w:szCs w:val="21"/>
                <w:highlight w:val="none"/>
                <w:lang w:eastAsia="zh-CN"/>
              </w:rPr>
              <w:t>的</w:t>
            </w:r>
            <w:r>
              <w:rPr>
                <w:rFonts w:hint="eastAsia" w:ascii="宋体" w:hAnsi="宋体" w:eastAsia="宋体" w:cs="宋体"/>
                <w:szCs w:val="21"/>
                <w:highlight w:val="none"/>
              </w:rPr>
              <w:t>流程优化</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，能正确掌握可研审批流程，并提出优化流程的建议</w:t>
            </w:r>
            <w:r>
              <w:rPr>
                <w:rFonts w:hint="eastAsia" w:ascii="宋体" w:hAnsi="宋体" w:eastAsia="宋体" w:cs="宋体"/>
                <w:szCs w:val="21"/>
                <w:highlight w:val="none"/>
                <w:lang w:eastAsia="zh-CN"/>
              </w:rPr>
              <w:t>。</w:t>
            </w:r>
            <w:r>
              <w:rPr>
                <w:rFonts w:hint="eastAsia" w:ascii="宋体" w:hAnsi="宋体" w:eastAsia="宋体" w:cs="宋体"/>
                <w:szCs w:val="21"/>
                <w:highlight w:val="none"/>
              </w:rPr>
              <w:t>（评分范围：2,</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0）</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bidi="ar"/>
              </w:rPr>
              <w:t>廉洁保密制度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C8ED5E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3BCFF824">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针对本项目的</w:t>
            </w:r>
            <w:r>
              <w:rPr>
                <w:rFonts w:hint="eastAsia" w:ascii="宋体" w:hAnsi="宋体" w:eastAsia="宋体" w:cs="宋体"/>
                <w:szCs w:val="21"/>
                <w:highlight w:val="none"/>
              </w:rPr>
              <w:t>项目组人员廉洁自律、秉公办事管理措施科学性、合理性、针对性及合理性。</w:t>
            </w:r>
            <w:r>
              <w:rPr>
                <w:rFonts w:hint="eastAsia" w:ascii="宋体" w:hAnsi="宋体" w:eastAsia="宋体" w:cs="宋体"/>
                <w:szCs w:val="21"/>
                <w:highlight w:val="none"/>
                <w:lang w:val="en-US" w:eastAsia="zh-CN"/>
              </w:rPr>
              <w:t>（评分范围：4,3,2,1,0）</w:t>
            </w:r>
          </w:p>
        </w:tc>
      </w:tr>
      <w:tr w14:paraId="7376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44A6C720">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bidi="ar"/>
              </w:rPr>
              <w:t>进度控制方案</w:t>
            </w:r>
          </w:p>
        </w:tc>
        <w:tc>
          <w:tcPr>
            <w:tcW w:w="0" w:type="auto"/>
            <w:shd w:val="clear" w:color="auto" w:fill="auto"/>
            <w:vAlign w:val="center"/>
          </w:tcPr>
          <w:p w14:paraId="1C442DFA">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bidi="ar"/>
              </w:rPr>
              <w:t>4</w:t>
            </w:r>
          </w:p>
        </w:tc>
        <w:tc>
          <w:tcPr>
            <w:tcW w:w="0" w:type="auto"/>
            <w:shd w:val="clear" w:color="auto" w:fill="auto"/>
            <w:vAlign w:val="center"/>
          </w:tcPr>
          <w:p w14:paraId="532154A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60443B29">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w:t>
            </w:r>
            <w:r>
              <w:rPr>
                <w:rFonts w:hint="eastAsia" w:ascii="宋体" w:hAnsi="宋体" w:eastAsia="宋体" w:cs="宋体"/>
                <w:szCs w:val="21"/>
                <w:highlight w:val="none"/>
              </w:rPr>
              <w:t>提供的进度的组织措施、进度技术措施方案的科学性、合理性。</w:t>
            </w:r>
            <w:r>
              <w:rPr>
                <w:rFonts w:hint="eastAsia" w:ascii="宋体" w:hAnsi="宋体" w:eastAsia="宋体" w:cs="宋体"/>
                <w:szCs w:val="21"/>
                <w:highlight w:val="none"/>
                <w:lang w:val="en-US" w:eastAsia="zh-CN"/>
              </w:rPr>
              <w:t>（评分范围：4,3,2,1,0）</w:t>
            </w:r>
          </w:p>
        </w:tc>
      </w:tr>
      <w:tr w14:paraId="16A5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135253B2">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bidi="ar"/>
              </w:rPr>
              <w:t>服务质量保证</w:t>
            </w:r>
          </w:p>
        </w:tc>
        <w:tc>
          <w:tcPr>
            <w:tcW w:w="0" w:type="auto"/>
            <w:shd w:val="clear" w:color="auto" w:fill="auto"/>
            <w:vAlign w:val="center"/>
          </w:tcPr>
          <w:p w14:paraId="471B26B6">
            <w:pPr>
              <w:keepNext w:val="0"/>
              <w:keepLines w:val="0"/>
              <w:pageBreakBefore w:val="0"/>
              <w:widowControl w:val="0"/>
              <w:kinsoku/>
              <w:wordWrap/>
              <w:overflowPunct/>
              <w:topLinePunct w:val="0"/>
              <w:autoSpaceDE/>
              <w:autoSpaceDN/>
              <w:bidi w:val="0"/>
              <w:spacing w:line="288" w:lineRule="auto"/>
              <w:jc w:val="center"/>
              <w:textAlignment w:val="auto"/>
              <w:rPr>
                <w:rFonts w:hint="default" w:ascii="宋体" w:hAnsi="宋体" w:eastAsia="宋体" w:cs="宋体"/>
                <w:b/>
                <w:bCs/>
                <w:spacing w:val="-6"/>
                <w:kern w:val="2"/>
                <w:sz w:val="21"/>
                <w:szCs w:val="21"/>
                <w:highlight w:val="none"/>
                <w:lang w:val="en-US" w:eastAsia="zh-CN" w:bidi="ar"/>
              </w:rPr>
            </w:pPr>
            <w:r>
              <w:rPr>
                <w:rFonts w:hint="eastAsia" w:ascii="宋体" w:hAnsi="宋体" w:eastAsia="宋体" w:cs="宋体"/>
                <w:b/>
                <w:bCs/>
                <w:spacing w:val="-6"/>
                <w:kern w:val="2"/>
                <w:sz w:val="21"/>
                <w:szCs w:val="21"/>
                <w:highlight w:val="none"/>
                <w:lang w:val="en-US" w:eastAsia="zh-CN" w:bidi="ar"/>
              </w:rPr>
              <w:t>4</w:t>
            </w:r>
          </w:p>
        </w:tc>
        <w:tc>
          <w:tcPr>
            <w:tcW w:w="0" w:type="auto"/>
            <w:shd w:val="clear" w:color="auto" w:fill="auto"/>
            <w:vAlign w:val="center"/>
          </w:tcPr>
          <w:p w14:paraId="53BF996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3B8DFA53">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w:t>
            </w:r>
            <w:r>
              <w:rPr>
                <w:rFonts w:hint="eastAsia" w:ascii="宋体" w:hAnsi="宋体" w:eastAsia="宋体" w:cs="宋体"/>
                <w:szCs w:val="21"/>
                <w:highlight w:val="none"/>
              </w:rPr>
              <w:t>提供的</w:t>
            </w:r>
            <w:r>
              <w:rPr>
                <w:rFonts w:hint="eastAsia" w:ascii="宋体" w:hAnsi="宋体" w:eastAsia="宋体" w:cs="宋体"/>
                <w:szCs w:val="21"/>
                <w:highlight w:val="none"/>
                <w:lang w:val="en-US" w:eastAsia="zh-CN"/>
              </w:rPr>
              <w:t>咨询服务</w:t>
            </w:r>
            <w:r>
              <w:rPr>
                <w:rFonts w:hint="eastAsia" w:ascii="宋体" w:hAnsi="宋体" w:eastAsia="宋体" w:cs="宋体"/>
                <w:szCs w:val="21"/>
                <w:highlight w:val="none"/>
              </w:rPr>
              <w:t>的质量控制措施、控制重点与方法、控制体系、技术复核与管理综合评分。</w:t>
            </w:r>
            <w:r>
              <w:rPr>
                <w:rFonts w:hint="eastAsia" w:ascii="宋体" w:hAnsi="宋体" w:eastAsia="宋体" w:cs="宋体"/>
                <w:szCs w:val="21"/>
                <w:highlight w:val="none"/>
                <w:lang w:val="en-US" w:eastAsia="zh-CN"/>
              </w:rPr>
              <w:t>（评分范围：4,3,2,1,0）</w:t>
            </w:r>
          </w:p>
        </w:tc>
      </w:tr>
      <w:tr w14:paraId="6D35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1C7B2830">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sz w:val="21"/>
                <w:szCs w:val="21"/>
                <w:highlight w:val="none"/>
                <w:lang w:bidi="ar"/>
              </w:rPr>
            </w:pPr>
            <w:r>
              <w:rPr>
                <w:rFonts w:hint="eastAsia" w:ascii="宋体" w:hAnsi="宋体" w:eastAsia="宋体" w:cs="宋体"/>
                <w:b/>
                <w:bCs/>
                <w:spacing w:val="-6"/>
                <w:sz w:val="21"/>
                <w:szCs w:val="21"/>
                <w:highlight w:val="none"/>
                <w:lang w:bidi="ar"/>
              </w:rPr>
              <w:t>实施项目组</w:t>
            </w:r>
          </w:p>
          <w:p w14:paraId="220D7E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p>
        </w:tc>
        <w:tc>
          <w:tcPr>
            <w:tcW w:w="654" w:type="dxa"/>
            <w:shd w:val="clear" w:color="auto" w:fill="auto"/>
            <w:vAlign w:val="center"/>
          </w:tcPr>
          <w:p w14:paraId="5DE1C8B2">
            <w:pPr>
              <w:spacing w:line="288" w:lineRule="auto"/>
              <w:jc w:val="center"/>
              <w:rPr>
                <w:rFonts w:hint="eastAsia" w:ascii="宋体" w:hAnsi="宋体" w:eastAsia="宋体" w:cs="宋体"/>
                <w:b/>
                <w:bCs/>
                <w:spacing w:val="-6"/>
                <w:kern w:val="2"/>
                <w:sz w:val="21"/>
                <w:szCs w:val="21"/>
                <w:highlight w:val="none"/>
                <w:lang w:val="en-US" w:eastAsia="zh-CN" w:bidi="ar"/>
              </w:rPr>
            </w:pPr>
            <w:r>
              <w:rPr>
                <w:rFonts w:hint="eastAsia" w:ascii="宋体" w:hAnsi="宋体" w:eastAsia="宋体" w:cs="宋体"/>
                <w:b/>
                <w:bCs/>
                <w:spacing w:val="-6"/>
                <w:szCs w:val="21"/>
                <w:highlight w:val="none"/>
                <w:lang w:val="en-US" w:eastAsia="zh-CN" w:bidi="ar"/>
              </w:rPr>
              <w:t>5</w:t>
            </w:r>
          </w:p>
        </w:tc>
        <w:tc>
          <w:tcPr>
            <w:tcW w:w="7072" w:type="dxa"/>
            <w:shd w:val="clear" w:color="auto" w:fill="auto"/>
            <w:vAlign w:val="center"/>
          </w:tcPr>
          <w:p w14:paraId="08E1662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14:paraId="152CC39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项目负责人：</w:t>
            </w:r>
          </w:p>
          <w:p w14:paraId="61CB88E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1.技术职称：副高级及以上职称的得2分、中级职称的得1分、中级职称以下（不含中级）不得分，最高得2分；</w:t>
            </w:r>
          </w:p>
          <w:p w14:paraId="39C051A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2.项目负责人业绩：自2022年1月1日以来，完成过同类项目可行性研究咨询服务业绩的，每个业绩得1分；最高得3分。</w:t>
            </w:r>
          </w:p>
          <w:p w14:paraId="1969595D">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证明材料：技术职称证书扫描件、业绩合同或中标通知书扫描件（证明材料中应能明确反映项目负责人的姓名）、人员在职证明（社保或劳动合同等），能明确体现上述得分要点内容。</w:t>
            </w:r>
          </w:p>
        </w:tc>
      </w:tr>
      <w:tr w14:paraId="4F30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4E4F7B9E">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kern w:val="2"/>
                <w:sz w:val="21"/>
                <w:szCs w:val="21"/>
                <w:highlight w:val="none"/>
                <w:lang w:val="en-US" w:eastAsia="zh-CN" w:bidi="ar-SA"/>
              </w:rPr>
            </w:pPr>
          </w:p>
        </w:tc>
        <w:tc>
          <w:tcPr>
            <w:tcW w:w="654" w:type="dxa"/>
            <w:shd w:val="clear" w:color="auto" w:fill="auto"/>
            <w:vAlign w:val="center"/>
          </w:tcPr>
          <w:p w14:paraId="572BAFA7">
            <w:pPr>
              <w:spacing w:line="288" w:lineRule="auto"/>
              <w:jc w:val="center"/>
              <w:rPr>
                <w:rFonts w:hint="eastAsia" w:ascii="宋体" w:hAnsi="宋体" w:eastAsia="宋体" w:cs="宋体"/>
                <w:b/>
                <w:bCs/>
                <w:spacing w:val="-6"/>
                <w:kern w:val="2"/>
                <w:sz w:val="21"/>
                <w:szCs w:val="21"/>
                <w:highlight w:val="none"/>
                <w:lang w:val="en-US" w:eastAsia="zh-CN" w:bidi="ar"/>
              </w:rPr>
            </w:pPr>
            <w:r>
              <w:rPr>
                <w:rFonts w:hint="eastAsia" w:ascii="宋体" w:hAnsi="宋体" w:eastAsia="宋体" w:cs="宋体"/>
                <w:b/>
                <w:bCs/>
                <w:spacing w:val="-6"/>
                <w:szCs w:val="21"/>
                <w:highlight w:val="none"/>
                <w:lang w:val="en-US" w:eastAsia="zh-CN" w:bidi="ar"/>
              </w:rPr>
              <w:t>6</w:t>
            </w:r>
          </w:p>
        </w:tc>
        <w:tc>
          <w:tcPr>
            <w:tcW w:w="7072" w:type="dxa"/>
            <w:shd w:val="clear" w:color="auto" w:fill="auto"/>
            <w:vAlign w:val="center"/>
          </w:tcPr>
          <w:p w14:paraId="2890BCF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16048929">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1.项目</w:t>
            </w:r>
            <w:r>
              <w:rPr>
                <w:rFonts w:hint="eastAsia" w:ascii="宋体" w:hAnsi="宋体" w:eastAsia="宋体" w:cs="宋体"/>
                <w:szCs w:val="21"/>
                <w:highlight w:val="none"/>
              </w:rPr>
              <w:t>团队人员（除项目负责人外）：具有副高级及以上技术职称的，每人得2分；具有中级技术职称的，每人得1分；中级以下技术职称的不得分。最高得4分</w:t>
            </w:r>
            <w:r>
              <w:rPr>
                <w:rFonts w:hint="eastAsia" w:ascii="宋体" w:hAnsi="宋体" w:eastAsia="宋体" w:cs="宋体"/>
                <w:szCs w:val="21"/>
                <w:highlight w:val="none"/>
                <w:lang w:eastAsia="zh-CN"/>
              </w:rPr>
              <w:t>；</w:t>
            </w:r>
          </w:p>
          <w:p w14:paraId="5DDD019A">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2.项目</w:t>
            </w:r>
            <w:r>
              <w:rPr>
                <w:rFonts w:hint="eastAsia" w:ascii="宋体" w:hAnsi="宋体" w:eastAsia="宋体" w:cs="宋体"/>
                <w:szCs w:val="21"/>
                <w:highlight w:val="none"/>
              </w:rPr>
              <w:t>团队人员（除项目负责人外）</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具备注册工程咨询师的每人得1分，其余不得分，最高得2分。</w:t>
            </w:r>
          </w:p>
          <w:p w14:paraId="13004BF3">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证明材料：</w:t>
            </w:r>
            <w:r>
              <w:rPr>
                <w:rFonts w:hint="eastAsia" w:ascii="宋体" w:hAnsi="宋体" w:eastAsia="宋体" w:cs="宋体"/>
                <w:szCs w:val="21"/>
                <w:highlight w:val="none"/>
                <w:lang w:val="en-US" w:eastAsia="zh-CN"/>
              </w:rPr>
              <w:t>同时提供证书扫描件及</w:t>
            </w:r>
            <w:r>
              <w:rPr>
                <w:rFonts w:hint="eastAsia" w:ascii="宋体" w:hAnsi="宋体" w:eastAsia="宋体" w:cs="宋体"/>
                <w:szCs w:val="21"/>
                <w:highlight w:val="none"/>
              </w:rPr>
              <w:t>人员在职证明（社保或劳动合同等），未提供有效证明材料或者证明材料不完善的均不得分。</w:t>
            </w:r>
          </w:p>
        </w:tc>
      </w:tr>
      <w:tr w14:paraId="4CF9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61CFBC5B">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sz w:val="21"/>
                <w:szCs w:val="21"/>
                <w:highlight w:val="none"/>
                <w:lang w:val="en-US" w:eastAsia="zh-CN"/>
              </w:rPr>
              <w:t>服务承诺</w:t>
            </w:r>
          </w:p>
        </w:tc>
        <w:tc>
          <w:tcPr>
            <w:tcW w:w="0" w:type="auto"/>
            <w:shd w:val="clear" w:color="auto" w:fill="auto"/>
            <w:vAlign w:val="center"/>
          </w:tcPr>
          <w:p w14:paraId="080E4302">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4</w:t>
            </w:r>
          </w:p>
        </w:tc>
        <w:tc>
          <w:tcPr>
            <w:tcW w:w="0" w:type="auto"/>
            <w:shd w:val="clear" w:color="auto" w:fill="auto"/>
            <w:vAlign w:val="center"/>
          </w:tcPr>
          <w:p w14:paraId="2F2A2557">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0D8B60AC">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sz w:val="21"/>
                <w:szCs w:val="21"/>
                <w:highlight w:val="none"/>
                <w:lang w:eastAsia="zh-CN"/>
              </w:rPr>
              <w:t>对各阶段服务的现场配合，服务人员及次数的承诺，解决问题的时效性等现场服务内容。</w:t>
            </w:r>
            <w:r>
              <w:rPr>
                <w:rFonts w:hint="eastAsia" w:ascii="宋体" w:hAnsi="宋体" w:eastAsia="宋体" w:cs="宋体"/>
                <w:color w:val="auto"/>
                <w:sz w:val="21"/>
                <w:szCs w:val="21"/>
                <w:highlight w:val="none"/>
                <w:lang w:val="en-US" w:eastAsia="zh-CN"/>
              </w:rPr>
              <w:t>（评分范围：4,3,2,1,0）</w:t>
            </w:r>
          </w:p>
        </w:tc>
      </w:tr>
      <w:tr w14:paraId="7A19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50262505">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highlight w:val="none"/>
                <w:lang w:val="en-US" w:eastAsia="zh-CN" w:bidi="ar"/>
              </w:rPr>
            </w:pPr>
            <w:r>
              <w:rPr>
                <w:rFonts w:hint="eastAsia" w:ascii="宋体" w:hAnsi="宋体" w:eastAsia="宋体" w:cs="宋体"/>
                <w:b/>
                <w:bCs/>
                <w:spacing w:val="-6"/>
                <w:sz w:val="21"/>
                <w:szCs w:val="21"/>
                <w:highlight w:val="none"/>
                <w:lang w:bidi="ar"/>
              </w:rPr>
              <w:t>合理化建议</w:t>
            </w:r>
          </w:p>
        </w:tc>
        <w:tc>
          <w:tcPr>
            <w:tcW w:w="0" w:type="auto"/>
            <w:shd w:val="clear" w:color="auto" w:fill="auto"/>
            <w:vAlign w:val="center"/>
          </w:tcPr>
          <w:p w14:paraId="1A0AEABE">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highlight w:val="none"/>
                <w:lang w:val="en-US" w:eastAsia="zh-CN" w:bidi="ar"/>
              </w:rPr>
            </w:pPr>
            <w:r>
              <w:rPr>
                <w:rFonts w:hint="eastAsia" w:ascii="宋体" w:hAnsi="宋体" w:eastAsia="宋体" w:cs="宋体"/>
                <w:b/>
                <w:bCs/>
                <w:spacing w:val="-6"/>
                <w:sz w:val="21"/>
                <w:szCs w:val="21"/>
                <w:highlight w:val="none"/>
                <w:lang w:val="en-US" w:eastAsia="zh-CN" w:bidi="ar"/>
              </w:rPr>
              <w:t>3</w:t>
            </w:r>
          </w:p>
        </w:tc>
        <w:tc>
          <w:tcPr>
            <w:tcW w:w="0" w:type="auto"/>
            <w:shd w:val="clear" w:color="auto" w:fill="auto"/>
            <w:vAlign w:val="center"/>
          </w:tcPr>
          <w:p w14:paraId="2BE168C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6CB5484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针对本项目可行性研究咨询</w:t>
            </w:r>
            <w:r>
              <w:rPr>
                <w:rFonts w:hint="eastAsia" w:ascii="宋体" w:hAnsi="宋体" w:eastAsia="宋体" w:cs="宋体"/>
                <w:sz w:val="21"/>
                <w:szCs w:val="21"/>
                <w:highlight w:val="none"/>
              </w:rPr>
              <w:t>特点提出合理化建议，科学、严谨、系统完整，具备可操作性。</w:t>
            </w:r>
            <w:r>
              <w:rPr>
                <w:rFonts w:hint="eastAsia" w:ascii="宋体" w:hAnsi="宋体" w:eastAsia="宋体" w:cs="宋体"/>
                <w:color w:val="auto"/>
                <w:sz w:val="21"/>
                <w:szCs w:val="21"/>
                <w:highlight w:val="none"/>
                <w:lang w:val="en-US" w:eastAsia="zh-CN"/>
              </w:rPr>
              <w:t>（评分范围：3,2,1,0）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浙江外国语学院</w:t>
      </w:r>
      <w:r>
        <w:rPr>
          <w:rFonts w:hint="eastAsia" w:ascii="宋体" w:hAnsi="宋体" w:eastAsia="宋体" w:cs="宋体"/>
          <w:b/>
          <w:spacing w:val="-6"/>
          <w:szCs w:val="21"/>
          <w:highlight w:val="none"/>
        </w:rPr>
        <w:t xml:space="preserve"> 政府采购合同</w:t>
      </w:r>
    </w:p>
    <w:p w14:paraId="4CE3F9F8">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小和山校区体育馆及运动场地改扩建工程可行性研究咨询服务</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QSZB-Z(F)-B25047(GK)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浙江外国语学院</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Cs w:val="21"/>
          <w:highlight w:val="none"/>
        </w:rPr>
        <w:t>根</w:t>
      </w:r>
      <w:r>
        <w:rPr>
          <w:rFonts w:hint="eastAsia" w:ascii="宋体" w:hAnsi="宋体" w:eastAsia="宋体" w:cs="宋体"/>
          <w:spacing w:val="-6"/>
          <w:sz w:val="21"/>
          <w:szCs w:val="21"/>
          <w:highlight w:val="none"/>
        </w:rPr>
        <w:t>据《中华人民共和国政府采购法》等法律法规规定，浙江求是招标代理有限公司受</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eastAsia="zh-CN"/>
        </w:rPr>
        <w:t>浙江外国语学院</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委托，经</w:t>
      </w:r>
      <w:r>
        <w:rPr>
          <w:rFonts w:hint="eastAsia" w:ascii="宋体" w:hAnsi="宋体" w:eastAsia="宋体" w:cs="宋体"/>
          <w:spacing w:val="-6"/>
          <w:sz w:val="21"/>
          <w:szCs w:val="21"/>
          <w:highlight w:val="none"/>
          <w:u w:val="single"/>
        </w:rPr>
        <w:t xml:space="preserve"> 公开招标 </w:t>
      </w:r>
      <w:r>
        <w:rPr>
          <w:rFonts w:hint="eastAsia" w:ascii="宋体" w:hAnsi="宋体" w:eastAsia="宋体" w:cs="宋体"/>
          <w:spacing w:val="-6"/>
          <w:sz w:val="21"/>
          <w:szCs w:val="21"/>
          <w:highlight w:val="none"/>
        </w:rPr>
        <w:t>，确定</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为</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eastAsia="zh-CN"/>
        </w:rPr>
        <w:t>小和山校区体育馆及运动场地改扩建工程可行性研究咨询服务</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项目编号</w:t>
      </w:r>
      <w:r>
        <w:rPr>
          <w:rFonts w:hint="eastAsia" w:ascii="宋体" w:hAnsi="宋体" w:eastAsia="宋体" w:cs="宋体"/>
          <w:spacing w:val="-6"/>
          <w:sz w:val="21"/>
          <w:szCs w:val="21"/>
          <w:highlight w:val="none"/>
          <w:u w:val="single"/>
        </w:rPr>
        <w:t>（</w:t>
      </w:r>
      <w:r>
        <w:rPr>
          <w:rFonts w:hint="eastAsia" w:ascii="宋体" w:hAnsi="宋体" w:eastAsia="宋体" w:cs="宋体"/>
          <w:spacing w:val="-6"/>
          <w:sz w:val="21"/>
          <w:szCs w:val="21"/>
          <w:highlight w:val="none"/>
          <w:u w:val="single"/>
          <w:lang w:eastAsia="zh-CN"/>
        </w:rPr>
        <w:t>QSZB-Z(F)-B25047(GK)</w:t>
      </w:r>
      <w:r>
        <w:rPr>
          <w:rFonts w:hint="eastAsia" w:ascii="宋体" w:hAnsi="宋体" w:eastAsia="宋体" w:cs="宋体"/>
          <w:spacing w:val="-6"/>
          <w:sz w:val="21"/>
          <w:szCs w:val="21"/>
          <w:highlight w:val="none"/>
          <w:u w:val="single"/>
        </w:rPr>
        <w:t>）</w:t>
      </w:r>
      <w:r>
        <w:rPr>
          <w:rFonts w:hint="eastAsia" w:ascii="宋体" w:hAnsi="宋体" w:eastAsia="宋体" w:cs="宋体"/>
          <w:spacing w:val="-6"/>
          <w:sz w:val="21"/>
          <w:szCs w:val="21"/>
          <w:highlight w:val="none"/>
        </w:rPr>
        <w:t>的中标人。根据《中华人民共和国民法典》规定，签署本合同。</w:t>
      </w:r>
    </w:p>
    <w:p w14:paraId="4CF8B652">
      <w:pPr>
        <w:adjustRightInd w:val="0"/>
        <w:snapToGrid w:val="0"/>
        <w:spacing w:line="288" w:lineRule="auto"/>
        <w:rPr>
          <w:rFonts w:hint="eastAsia" w:ascii="宋体" w:hAnsi="宋体" w:eastAsia="宋体" w:cs="宋体"/>
          <w:b/>
          <w:spacing w:val="-6"/>
          <w:sz w:val="21"/>
          <w:szCs w:val="21"/>
          <w:highlight w:val="none"/>
        </w:rPr>
      </w:pPr>
    </w:p>
    <w:p w14:paraId="2A2BCA4A">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7E056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E196225">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序号</w:t>
            </w:r>
          </w:p>
        </w:tc>
        <w:tc>
          <w:tcPr>
            <w:tcW w:w="2163" w:type="dxa"/>
            <w:vAlign w:val="center"/>
          </w:tcPr>
          <w:p w14:paraId="369DE964">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名称</w:t>
            </w:r>
          </w:p>
        </w:tc>
        <w:tc>
          <w:tcPr>
            <w:tcW w:w="2532" w:type="dxa"/>
            <w:vAlign w:val="center"/>
          </w:tcPr>
          <w:p w14:paraId="625194F1">
            <w:pPr>
              <w:adjustRightInd w:val="0"/>
              <w:snapToGrid w:val="0"/>
              <w:spacing w:line="288" w:lineRule="auto"/>
              <w:jc w:val="center"/>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服务内容</w:t>
            </w:r>
          </w:p>
        </w:tc>
        <w:tc>
          <w:tcPr>
            <w:tcW w:w="709" w:type="dxa"/>
            <w:vAlign w:val="center"/>
          </w:tcPr>
          <w:p w14:paraId="08FD96FC">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数量</w:t>
            </w:r>
          </w:p>
        </w:tc>
        <w:tc>
          <w:tcPr>
            <w:tcW w:w="708" w:type="dxa"/>
            <w:vAlign w:val="center"/>
          </w:tcPr>
          <w:p w14:paraId="7205E821">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单位</w:t>
            </w:r>
          </w:p>
        </w:tc>
        <w:tc>
          <w:tcPr>
            <w:tcW w:w="1418" w:type="dxa"/>
            <w:vAlign w:val="center"/>
          </w:tcPr>
          <w:p w14:paraId="64C82C43">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单价（元）</w:t>
            </w:r>
          </w:p>
        </w:tc>
        <w:tc>
          <w:tcPr>
            <w:tcW w:w="1300" w:type="dxa"/>
            <w:vAlign w:val="center"/>
          </w:tcPr>
          <w:p w14:paraId="4FDAFA30">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合计（元）</w:t>
            </w:r>
          </w:p>
        </w:tc>
      </w:tr>
      <w:tr w14:paraId="26910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E76213B">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w:t>
            </w:r>
          </w:p>
        </w:tc>
        <w:tc>
          <w:tcPr>
            <w:tcW w:w="2163" w:type="dxa"/>
            <w:vAlign w:val="center"/>
          </w:tcPr>
          <w:p w14:paraId="16EBEBF7">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2532" w:type="dxa"/>
            <w:vAlign w:val="center"/>
          </w:tcPr>
          <w:p w14:paraId="4C1ACA7F">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9" w:type="dxa"/>
            <w:vAlign w:val="center"/>
          </w:tcPr>
          <w:p w14:paraId="7016536E">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8" w:type="dxa"/>
            <w:vAlign w:val="center"/>
          </w:tcPr>
          <w:p w14:paraId="4EEEC9F0">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418" w:type="dxa"/>
            <w:vAlign w:val="center"/>
          </w:tcPr>
          <w:p w14:paraId="4ACB71F3">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300" w:type="dxa"/>
            <w:vAlign w:val="center"/>
          </w:tcPr>
          <w:p w14:paraId="48AB5CF6">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r>
      <w:tr w14:paraId="34AE4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DC344C3">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w:t>
            </w:r>
          </w:p>
        </w:tc>
        <w:tc>
          <w:tcPr>
            <w:tcW w:w="2163" w:type="dxa"/>
            <w:vAlign w:val="center"/>
          </w:tcPr>
          <w:p w14:paraId="65E0212D">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2532" w:type="dxa"/>
            <w:vAlign w:val="center"/>
          </w:tcPr>
          <w:p w14:paraId="790D3FE3">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9" w:type="dxa"/>
            <w:vAlign w:val="center"/>
          </w:tcPr>
          <w:p w14:paraId="01C4E120">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8" w:type="dxa"/>
            <w:vAlign w:val="center"/>
          </w:tcPr>
          <w:p w14:paraId="43920E53">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418" w:type="dxa"/>
            <w:vAlign w:val="center"/>
          </w:tcPr>
          <w:p w14:paraId="4F13A826">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300" w:type="dxa"/>
            <w:vAlign w:val="center"/>
          </w:tcPr>
          <w:p w14:paraId="41F7DACD">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r>
      <w:tr w14:paraId="15965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D2C4E3A">
            <w:pPr>
              <w:adjustRightInd w:val="0"/>
              <w:snapToGrid w:val="0"/>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总计（小写）：</w:t>
            </w:r>
          </w:p>
        </w:tc>
      </w:tr>
      <w:tr w14:paraId="4304DD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DEEB5DE">
            <w:pPr>
              <w:adjustRightInd w:val="0"/>
              <w:snapToGrid w:val="0"/>
              <w:spacing w:line="288" w:lineRule="auto"/>
              <w:jc w:val="left"/>
              <w:rPr>
                <w:rFonts w:hint="eastAsia" w:ascii="宋体" w:hAnsi="宋体" w:eastAsia="宋体" w:cs="宋体"/>
                <w:spacing w:val="-6"/>
                <w:sz w:val="21"/>
                <w:szCs w:val="21"/>
                <w:highlight w:val="none"/>
                <w:lang w:val="zh-CN"/>
              </w:rPr>
            </w:pPr>
          </w:p>
          <w:p w14:paraId="27646052">
            <w:pPr>
              <w:adjustRightInd w:val="0"/>
              <w:snapToGrid w:val="0"/>
              <w:spacing w:line="288" w:lineRule="auto"/>
              <w:jc w:val="left"/>
              <w:rPr>
                <w:rFonts w:hint="eastAsia" w:ascii="宋体" w:hAnsi="宋体" w:eastAsia="宋体" w:cs="宋体"/>
                <w:spacing w:val="-6"/>
                <w:sz w:val="21"/>
                <w:szCs w:val="21"/>
                <w:highlight w:val="none"/>
                <w:lang w:val="zh-CN"/>
              </w:rPr>
            </w:pPr>
            <w:r>
              <w:rPr>
                <w:rFonts w:hint="eastAsia" w:ascii="宋体" w:hAnsi="宋体" w:eastAsia="宋体" w:cs="宋体"/>
                <w:spacing w:val="-6"/>
                <w:sz w:val="21"/>
                <w:szCs w:val="21"/>
                <w:highlight w:val="none"/>
                <w:lang w:val="zh-CN"/>
              </w:rPr>
              <w:t>合同总价（大写）：</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083CFA96">
            <w:pPr>
              <w:adjustRightInd w:val="0"/>
              <w:snapToGrid w:val="0"/>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注：</w:t>
            </w:r>
          </w:p>
          <w:p w14:paraId="791FCB6E">
            <w:pPr>
              <w:adjustRightInd w:val="0"/>
              <w:snapToGrid w:val="0"/>
              <w:spacing w:line="288" w:lineRule="auto"/>
              <w:jc w:val="left"/>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1、以上合同总价包括履行合同所涉及的一切费用。</w:t>
            </w:r>
          </w:p>
          <w:p w14:paraId="10B6582F">
            <w:pPr>
              <w:adjustRightInd w:val="0"/>
              <w:snapToGrid w:val="0"/>
              <w:spacing w:line="288" w:lineRule="auto"/>
              <w:jc w:val="left"/>
              <w:rPr>
                <w:rFonts w:hint="eastAsia" w:ascii="宋体" w:hAnsi="宋体" w:eastAsia="宋体" w:cs="宋体"/>
                <w:sz w:val="21"/>
                <w:szCs w:val="21"/>
                <w:highlight w:val="none"/>
                <w:lang w:val="en-US"/>
              </w:rPr>
            </w:pPr>
            <w:r>
              <w:rPr>
                <w:rFonts w:hint="eastAsia" w:ascii="宋体" w:hAnsi="宋体" w:eastAsia="宋体" w:cs="宋体"/>
                <w:spacing w:val="-6"/>
                <w:sz w:val="21"/>
                <w:szCs w:val="21"/>
                <w:highlight w:val="none"/>
                <w:lang w:val="en-US" w:eastAsia="zh-CN"/>
              </w:rPr>
              <w:t>2、后续可研批复的项目总投资金额（包括工程费用、工程建设其他费、预备费）可能低于采购需求中的金额，实际支付的费用将根据项目总投资金额下降比例同比例降低。</w:t>
            </w:r>
          </w:p>
        </w:tc>
      </w:tr>
    </w:tbl>
    <w:p w14:paraId="61C4C641">
      <w:pPr>
        <w:adjustRightInd w:val="0"/>
        <w:snapToGrid w:val="0"/>
        <w:spacing w:line="288" w:lineRule="auto"/>
        <w:ind w:firstLine="396" w:firstLineChars="200"/>
        <w:rPr>
          <w:rFonts w:hint="eastAsia" w:ascii="宋体" w:hAnsi="宋体" w:eastAsia="宋体" w:cs="宋体"/>
          <w:spacing w:val="-6"/>
          <w:sz w:val="21"/>
          <w:szCs w:val="21"/>
          <w:highlight w:val="none"/>
        </w:rPr>
      </w:pPr>
    </w:p>
    <w:p w14:paraId="3C84E00B">
      <w:pPr>
        <w:keepNext w:val="0"/>
        <w:keepLines w:val="0"/>
        <w:widowControl w:val="0"/>
        <w:suppressLineNumbers w:val="0"/>
        <w:spacing w:before="0" w:beforeAutospacing="0" w:after="0" w:afterAutospacing="0" w:line="288" w:lineRule="auto"/>
        <w:ind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spacing w:val="-6"/>
          <w:kern w:val="2"/>
          <w:sz w:val="21"/>
          <w:szCs w:val="21"/>
          <w:highlight w:val="none"/>
          <w:lang w:val="en-US" w:eastAsia="zh-CN" w:bidi="ar"/>
        </w:rPr>
        <w:t>第二条：</w:t>
      </w:r>
      <w:r>
        <w:rPr>
          <w:rFonts w:hint="eastAsia" w:ascii="宋体" w:hAnsi="宋体" w:eastAsia="宋体" w:cs="宋体"/>
          <w:b/>
          <w:bCs w:val="0"/>
          <w:color w:val="auto"/>
          <w:kern w:val="2"/>
          <w:sz w:val="21"/>
          <w:szCs w:val="21"/>
          <w:highlight w:val="none"/>
          <w:lang w:val="en-US" w:eastAsia="zh-CN" w:bidi="ar"/>
        </w:rPr>
        <w:t>服务要求</w:t>
      </w:r>
    </w:p>
    <w:p w14:paraId="0804E622">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1、需实现的目标：</w:t>
      </w:r>
    </w:p>
    <w:p w14:paraId="05BAB38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原有建筑约10000平方米的拆除、新建体育馆约15000平方米、地下工程约17000平方米（含人防）共计32000平方米、室外运动场地的改造等项目决策的可行性研究工程咨询服务。</w:t>
      </w:r>
    </w:p>
    <w:p w14:paraId="5C4785C6">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2、需满足的质量、服务、安全、时限等要求</w:t>
      </w:r>
      <w:r>
        <w:rPr>
          <w:rFonts w:hint="eastAsia" w:ascii="宋体" w:hAnsi="宋体" w:eastAsia="宋体" w:cs="宋体"/>
          <w:b/>
          <w:bCs/>
          <w:sz w:val="21"/>
          <w:szCs w:val="21"/>
          <w:highlight w:val="none"/>
          <w:lang w:eastAsia="zh-CN"/>
        </w:rPr>
        <w:t>：</w:t>
      </w:r>
    </w:p>
    <w:p w14:paraId="2789A67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可行性研究报告应符合国家投资主管部门的编制要求，投资估算符合项目规模及当地价格指数；可行性研究报告编制、投资估算等咨询服务；符合国家现行相关法律法规要求；服务期自合同签订至项目可行性研究获相关部门批复。</w:t>
      </w:r>
    </w:p>
    <w:p w14:paraId="34F522D3">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highlight w:val="none"/>
        </w:rPr>
      </w:pP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具体服务</w:t>
      </w:r>
      <w:r>
        <w:rPr>
          <w:rFonts w:hint="eastAsia" w:ascii="宋体" w:hAnsi="宋体" w:eastAsia="宋体" w:cs="Times New Roman"/>
          <w:b/>
          <w:bCs/>
          <w:szCs w:val="21"/>
          <w:highlight w:val="none"/>
        </w:rPr>
        <w:t>：</w:t>
      </w:r>
    </w:p>
    <w:p w14:paraId="139DECB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服务要求：对项目进行前期研究，需要根据学校要求，并按照国家发改委有关可行性研究报告编制的内容和深度要求，编制符合报批要求的可行性研究报告，同时包括为编制报告而进行的调研、现场踏勘、资料收集等工作，并协助学校进行项目评审及报批工作。</w:t>
      </w:r>
    </w:p>
    <w:p w14:paraId="25973130">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bCs/>
          <w:szCs w:val="21"/>
          <w:highlight w:val="none"/>
        </w:rPr>
      </w:pPr>
      <w:r>
        <w:rPr>
          <w:rFonts w:hint="eastAsia" w:ascii="宋体" w:hAnsi="宋体" w:eastAsia="宋体" w:cs="Times New Roman"/>
          <w:szCs w:val="21"/>
          <w:highlight w:val="none"/>
        </w:rPr>
        <w:t>（2）深度要求：在符合国家发改委规定的可行性研究报告编制要求的基础上，满足项目报批需要，</w:t>
      </w:r>
      <w:r>
        <w:rPr>
          <w:rFonts w:hint="eastAsia" w:ascii="宋体" w:hAnsi="宋体" w:eastAsia="宋体" w:cs="Times New Roman"/>
          <w:b/>
          <w:bCs/>
          <w:szCs w:val="21"/>
          <w:highlight w:val="none"/>
        </w:rPr>
        <w:t>同时符合《政府投资项目可行性研究报告编写通用大纲》（2023年版）编制要求。</w:t>
      </w:r>
    </w:p>
    <w:p w14:paraId="263C6409">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lang w:val="en-US" w:eastAsia="zh-CN"/>
        </w:rPr>
        <w:t>3</w:t>
      </w: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lang w:val="en-US" w:eastAsia="zh-CN"/>
        </w:rPr>
        <w:t>为满足项目实施需要，项目团队成员应具备相关能力及经验，具有注册咨询工程师、中级及以上职称。</w:t>
      </w:r>
    </w:p>
    <w:p w14:paraId="1C206920">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4、项目进度及目标要求</w:t>
      </w:r>
    </w:p>
    <w:p w14:paraId="7CFEFE81">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（1）项目进度：自《可研报告》编制资料齐备后，</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0个日历日内完成初稿，并送达学校。最终成果完成后，经修改完善，形成《可研报告》报批版，并上报审批部门。</w:t>
      </w:r>
    </w:p>
    <w:p w14:paraId="63E922B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（2）目标要求：《可研报告》主要包括以下主要内容：</w:t>
      </w:r>
    </w:p>
    <w:p w14:paraId="6000649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1）总论；</w:t>
      </w:r>
    </w:p>
    <w:p w14:paraId="393D60B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2）项目建设背景与必要性；</w:t>
      </w:r>
    </w:p>
    <w:p w14:paraId="551649A0">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3）项目选址和建设条件；</w:t>
      </w:r>
    </w:p>
    <w:p w14:paraId="5ED8389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4）项目建设内容与规模</w:t>
      </w:r>
    </w:p>
    <w:p w14:paraId="7E5AB50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5）建设方案；</w:t>
      </w:r>
    </w:p>
    <w:p w14:paraId="34C774A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6）公用工程；</w:t>
      </w:r>
    </w:p>
    <w:p w14:paraId="468CE61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7）节能方案；</w:t>
      </w:r>
    </w:p>
    <w:p w14:paraId="2C9F9B8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8）环境保护与劳动安全；</w:t>
      </w:r>
    </w:p>
    <w:p w14:paraId="5FB04D31">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9）项目组织机构与建设管理；</w:t>
      </w:r>
    </w:p>
    <w:p w14:paraId="570BC3B1">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10）项目实施计划和进度；</w:t>
      </w:r>
    </w:p>
    <w:p w14:paraId="338FC16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11）投资估算与资金筹措；</w:t>
      </w:r>
    </w:p>
    <w:p w14:paraId="5038B05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12）社会及经济效益评价；</w:t>
      </w:r>
    </w:p>
    <w:p w14:paraId="439AEAE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13）社会稳定风险分析</w:t>
      </w:r>
    </w:p>
    <w:p w14:paraId="69B4DCD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14）结论。</w:t>
      </w:r>
    </w:p>
    <w:p w14:paraId="445BCD5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5、需提交的成果资料及份数</w:t>
      </w:r>
    </w:p>
    <w:p w14:paraId="2C6CE334">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（1）可行性研究报告纸质文本若干本；</w:t>
      </w:r>
    </w:p>
    <w:p w14:paraId="7870E188">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Times New Roman"/>
          <w:szCs w:val="21"/>
          <w:highlight w:val="none"/>
        </w:rPr>
        <w:t>（2）电子成果若干份</w:t>
      </w:r>
    </w:p>
    <w:p w14:paraId="751A4FA3">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b/>
          <w:bCs w:val="0"/>
          <w:color w:val="auto"/>
          <w:spacing w:val="-6"/>
          <w:kern w:val="2"/>
          <w:sz w:val="21"/>
          <w:szCs w:val="21"/>
          <w:highlight w:val="none"/>
        </w:rPr>
      </w:pPr>
      <w:r>
        <w:rPr>
          <w:rFonts w:hint="eastAsia" w:ascii="宋体" w:hAnsi="宋体" w:eastAsia="宋体" w:cs="宋体"/>
          <w:b/>
          <w:bCs w:val="0"/>
          <w:color w:val="auto"/>
          <w:spacing w:val="-6"/>
          <w:kern w:val="2"/>
          <w:sz w:val="21"/>
          <w:szCs w:val="21"/>
          <w:highlight w:val="none"/>
          <w:lang w:val="en-US" w:eastAsia="zh-CN" w:bidi="ar"/>
        </w:rPr>
        <w:t>第三条：合同款的支付</w:t>
      </w:r>
    </w:p>
    <w:p w14:paraId="00EA79F1">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1.合同签订后一周内，乙方向甲方提交合同总价1%的履约保证金，履约保证金在合同履约期间无违约情形的，项目验收结束后，于一周内退还（不计息）；</w:t>
      </w:r>
    </w:p>
    <w:p w14:paraId="4CA1B4D8">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2.提交方式：支票、汇票、本票或金融机构、担保机构出具的保函等非现金形式。</w:t>
      </w:r>
    </w:p>
    <w:p w14:paraId="7DA30360">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3.付款方式</w:t>
      </w:r>
    </w:p>
    <w:p w14:paraId="34B8EC6F">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3.1.预付款：</w:t>
      </w:r>
      <w:r>
        <w:rPr>
          <w:rFonts w:hint="eastAsia" w:ascii="宋体" w:hAnsi="宋体" w:eastAsia="宋体" w:cs="宋体"/>
          <w:spacing w:val="-6"/>
          <w:szCs w:val="21"/>
          <w:highlight w:val="none"/>
          <w:lang w:bidi="ar"/>
        </w:rPr>
        <w:t>合同生效且提交履约保函或保证金</w:t>
      </w:r>
      <w:r>
        <w:rPr>
          <w:rFonts w:hint="eastAsia" w:ascii="宋体" w:hAnsi="宋体" w:eastAsia="宋体" w:cs="宋体"/>
          <w:color w:val="auto"/>
          <w:spacing w:val="-6"/>
          <w:kern w:val="2"/>
          <w:sz w:val="21"/>
          <w:szCs w:val="21"/>
          <w:highlight w:val="none"/>
          <w:lang w:val="en-US" w:eastAsia="zh-CN" w:bidi="ar"/>
        </w:rPr>
        <w:t>后七个工作日内，甲方向乙方支付合同金额20%的预付款。</w:t>
      </w:r>
    </w:p>
    <w:p w14:paraId="61BEF9AE">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3.2.付款条件</w:t>
      </w:r>
    </w:p>
    <w:p w14:paraId="7C67B0C8">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（1）提交可行性研究报告初稿，并收到发票后7个工作日内，甲方向乙方支付至合同总价的40%；</w:t>
      </w:r>
    </w:p>
    <w:p w14:paraId="4A5BF3D1">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（2）可行性研究获相关部门批复，并收到发票后7个工作日内，甲方向乙方支付至合同总价的100%。</w:t>
      </w:r>
    </w:p>
    <w:p w14:paraId="7274FB6B">
      <w:pPr>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四</w:t>
      </w:r>
      <w:r>
        <w:rPr>
          <w:rFonts w:hint="eastAsia" w:ascii="宋体" w:hAnsi="宋体" w:eastAsia="宋体" w:cs="宋体"/>
          <w:b/>
          <w:color w:val="auto"/>
          <w:spacing w:val="-6"/>
          <w:sz w:val="21"/>
          <w:szCs w:val="21"/>
          <w:highlight w:val="none"/>
        </w:rPr>
        <w:t>条：违约责任</w:t>
      </w:r>
    </w:p>
    <w:p w14:paraId="56743E7C">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1．乙方逾期履行合同的，自逾期之日起，向甲方每周偿付合同总价千分之五的滞纳金。</w:t>
      </w:r>
    </w:p>
    <w:p w14:paraId="44886DD7">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w:t>
      </w:r>
      <w:r>
        <w:rPr>
          <w:rFonts w:hint="eastAsia" w:ascii="宋体" w:hAnsi="宋体" w:eastAsia="宋体" w:cs="宋体"/>
          <w:color w:val="auto"/>
          <w:spacing w:val="-6"/>
          <w:sz w:val="21"/>
          <w:szCs w:val="21"/>
          <w:highlight w:val="none"/>
          <w:lang w:val="en-US" w:eastAsia="zh-CN"/>
        </w:rPr>
        <w:t>合同</w:t>
      </w:r>
      <w:r>
        <w:rPr>
          <w:rFonts w:hint="eastAsia" w:ascii="宋体" w:hAnsi="宋体" w:eastAsia="宋体" w:cs="宋体"/>
          <w:color w:val="auto"/>
          <w:spacing w:val="-6"/>
          <w:sz w:val="21"/>
          <w:szCs w:val="21"/>
          <w:highlight w:val="none"/>
        </w:rPr>
        <w:t>款的，自逾期之日起，向乙方每周偿付未付价款千分之五的滞纳金。</w:t>
      </w:r>
    </w:p>
    <w:p w14:paraId="797000CC">
      <w:pPr>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bidi="ar"/>
        </w:rPr>
        <w:t>第</w:t>
      </w:r>
      <w:r>
        <w:rPr>
          <w:rFonts w:hint="eastAsia" w:ascii="宋体" w:hAnsi="宋体" w:eastAsia="宋体" w:cs="宋体"/>
          <w:b/>
          <w:color w:val="auto"/>
          <w:spacing w:val="-6"/>
          <w:sz w:val="21"/>
          <w:szCs w:val="21"/>
          <w:highlight w:val="none"/>
          <w:lang w:val="en-US" w:eastAsia="zh-CN" w:bidi="ar"/>
        </w:rPr>
        <w:t>五</w:t>
      </w:r>
      <w:r>
        <w:rPr>
          <w:rFonts w:hint="eastAsia" w:ascii="宋体" w:hAnsi="宋体" w:eastAsia="宋体" w:cs="宋体"/>
          <w:b/>
          <w:color w:val="auto"/>
          <w:spacing w:val="-6"/>
          <w:sz w:val="21"/>
          <w:szCs w:val="21"/>
          <w:highlight w:val="none"/>
          <w:lang w:bidi="ar"/>
        </w:rPr>
        <w:t>条：风险责任的承担</w:t>
      </w:r>
    </w:p>
    <w:p w14:paraId="40B20EB6">
      <w:pPr>
        <w:snapToGrid w:val="0"/>
        <w:spacing w:line="288" w:lineRule="auto"/>
        <w:ind w:firstLine="396"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lang w:bidi="ar"/>
        </w:rPr>
        <w:t>在履行本合同的过程中，确因在现有水平和条件下难以克服的技术困难，导致研究开发部分或全部失败所造成的损失，风险责任由乙方承担。因方案设计错误、需求调研和分析不充分、或因出现无法克服的技术困难，导致设计开发失败或部分失败的，由此造成的风险损失均由乙方负担。</w:t>
      </w:r>
    </w:p>
    <w:p w14:paraId="50F786EE">
      <w:pPr>
        <w:snapToGrid w:val="0"/>
        <w:spacing w:line="288" w:lineRule="auto"/>
        <w:ind w:firstLine="396"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lang w:bidi="ar"/>
        </w:rPr>
        <w:t>本项目风险责任确认的方式：由甲、乙双方协商确认。</w:t>
      </w:r>
    </w:p>
    <w:p w14:paraId="1E428D6B">
      <w:pPr>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六</w:t>
      </w:r>
      <w:r>
        <w:rPr>
          <w:rFonts w:hint="eastAsia" w:ascii="宋体" w:hAnsi="宋体" w:eastAsia="宋体" w:cs="宋体"/>
          <w:b/>
          <w:color w:val="auto"/>
          <w:spacing w:val="-6"/>
          <w:sz w:val="21"/>
          <w:szCs w:val="21"/>
          <w:highlight w:val="none"/>
        </w:rPr>
        <w:t>条：不可抗力事件处理</w:t>
      </w:r>
    </w:p>
    <w:p w14:paraId="0B88F16D">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69E095D">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2.不可抗力事件延续120天以上，双方应通过友好协商，确定是否继续履行合同。</w:t>
      </w:r>
    </w:p>
    <w:p w14:paraId="6B91620C">
      <w:pPr>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七</w:t>
      </w:r>
      <w:r>
        <w:rPr>
          <w:rFonts w:hint="eastAsia" w:ascii="宋体" w:hAnsi="宋体" w:eastAsia="宋体" w:cs="宋体"/>
          <w:b/>
          <w:color w:val="auto"/>
          <w:spacing w:val="-6"/>
          <w:sz w:val="21"/>
          <w:szCs w:val="21"/>
          <w:highlight w:val="none"/>
        </w:rPr>
        <w:t>条：争议解决</w:t>
      </w:r>
    </w:p>
    <w:p w14:paraId="41DAEF67">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本合同未尽事宜由三方协商解决，如协商不成，三方同意将本合同引起的争议提交杭州仲裁委员会仲裁解决，仲裁为终局。</w:t>
      </w:r>
    </w:p>
    <w:p w14:paraId="5EBD06D9">
      <w:pPr>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八</w:t>
      </w:r>
      <w:r>
        <w:rPr>
          <w:rFonts w:hint="eastAsia" w:ascii="宋体" w:hAnsi="宋体" w:eastAsia="宋体" w:cs="宋体"/>
          <w:b/>
          <w:color w:val="auto"/>
          <w:spacing w:val="-6"/>
          <w:sz w:val="21"/>
          <w:szCs w:val="21"/>
          <w:highlight w:val="none"/>
        </w:rPr>
        <w:t>条：合同生效</w:t>
      </w:r>
    </w:p>
    <w:p w14:paraId="4A8948B1">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1.合同经双方法定代表人或授权代表签字并加盖单位公章后生效。</w:t>
      </w:r>
    </w:p>
    <w:p w14:paraId="4530C095">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2.合同执行中涉及采购资金和采购内容修改或补充的，须经财政部门审批，并签书面补充协议报采购监督管理部门备案，方可作为主合同不可分割的一部分。</w:t>
      </w:r>
    </w:p>
    <w:p w14:paraId="770D962B">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3.本合同未尽事宜，遵照《民法典》有关条文执行。</w:t>
      </w:r>
    </w:p>
    <w:p w14:paraId="150F9CD6">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4.本合同一式柒份，乙方、采购代理机构各执壹份，甲方执伍份，经三方签字、盖公章后生效。</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宋体"/>
          <w:color w:val="auto"/>
          <w:spacing w:val="-6"/>
          <w:sz w:val="21"/>
          <w:szCs w:val="21"/>
          <w:highlight w:val="none"/>
        </w:rPr>
        <w:t>5.相关招标文件、投标文件、询标承诺等与本合同具有同等法律效力</w:t>
      </w:r>
      <w:r>
        <w:rPr>
          <w:rFonts w:hint="eastAsia" w:ascii="宋体" w:hAnsi="宋体" w:eastAsia="宋体" w:cs="Times New Roman"/>
          <w:spacing w:val="-6"/>
          <w:szCs w:val="21"/>
          <w:highlight w:val="none"/>
        </w:rPr>
        <w:t>。</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46068DCE">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588E10E4">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576C5EBD">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0A0C9A31">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324864C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695FE792">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2D681C21">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79E35CD6">
      <w:pPr>
        <w:adjustRightInd w:val="0"/>
        <w:snapToGrid w:val="0"/>
        <w:spacing w:line="288" w:lineRule="auto"/>
        <w:ind w:firstLine="396" w:firstLineChars="200"/>
        <w:jc w:val="left"/>
        <w:rPr>
          <w:rFonts w:ascii="宋体" w:hAnsi="宋体" w:eastAsia="宋体" w:cs="宋体"/>
          <w:bCs/>
          <w:spacing w:val="-6"/>
          <w:szCs w:val="21"/>
          <w:highlight w:val="none"/>
        </w:rPr>
      </w:pP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5620FD1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（5）项目需求的理解及分析</w:t>
      </w:r>
    </w:p>
    <w:p w14:paraId="6B16A44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（6）技术方案</w:t>
      </w:r>
    </w:p>
    <w:p w14:paraId="170B75F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（7）服务方案</w:t>
      </w:r>
    </w:p>
    <w:p w14:paraId="5D86CE5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（8）廉洁保密制度</w:t>
      </w:r>
    </w:p>
    <w:p w14:paraId="7062BB1A">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（9）进度控制方案</w:t>
      </w:r>
    </w:p>
    <w:p w14:paraId="010A1A1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（10）服务质量保证</w:t>
      </w:r>
    </w:p>
    <w:p w14:paraId="6C7771DF">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（11）实施项目组</w:t>
      </w:r>
    </w:p>
    <w:p w14:paraId="59CB463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（12）服务承诺</w:t>
      </w:r>
    </w:p>
    <w:p w14:paraId="32DFC47A">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（13）合理化建议</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（14）</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p>
    <w:p w14:paraId="3505A191">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14:paraId="6D24DA5E">
      <w:pPr>
        <w:adjustRightInd w:val="0"/>
        <w:snapToGrid w:val="0"/>
        <w:spacing w:line="288" w:lineRule="auto"/>
        <w:ind w:firstLine="498" w:firstLineChars="236"/>
        <w:outlineLvl w:val="9"/>
        <w:rPr>
          <w:rFonts w:ascii="宋体" w:hAnsi="宋体" w:eastAsia="宋体" w:cs="Times New Roman"/>
          <w:b/>
          <w:szCs w:val="21"/>
          <w:highlight w:val="none"/>
        </w:rPr>
      </w:pPr>
    </w:p>
    <w:p w14:paraId="44169657">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hint="eastAsia" w:ascii="宋体" w:hAnsi="宋体" w:eastAsia="宋体" w:cs="Times New Roman"/>
          <w:i w:val="0"/>
          <w:iCs/>
          <w:color w:val="auto"/>
          <w:szCs w:val="21"/>
          <w:highlight w:val="none"/>
          <w:u w:val="single"/>
          <w:lang w:val="en-US" w:eastAsia="zh-CN"/>
        </w:rPr>
        <w:t>浙江外国语学院</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小和山校区体育馆及运动场地改扩建工程可行性研究咨询服务</w:t>
      </w:r>
      <w:r>
        <w:rPr>
          <w:rFonts w:ascii="宋体" w:hAnsi="宋体" w:eastAsia="宋体" w:cs="Times New Roman"/>
          <w:szCs w:val="21"/>
          <w:highlight w:val="none"/>
        </w:rPr>
        <w:t>采购活动，服务全部由符合政策要求的中小企业承接。相关企业（含联合体中的中小企业、签订分包意向协议的中小企业）的具体情况如下：</w:t>
      </w:r>
    </w:p>
    <w:p w14:paraId="3EFDC423">
      <w:pPr>
        <w:adjustRightInd w:val="0"/>
        <w:snapToGrid w:val="0"/>
        <w:spacing w:line="288" w:lineRule="auto"/>
        <w:ind w:firstLine="495" w:firstLineChars="236"/>
        <w:outlineLvl w:val="9"/>
        <w:rPr>
          <w:rFonts w:ascii="宋体" w:hAnsi="宋体" w:eastAsia="宋体" w:cs="Times New Roman"/>
          <w:i/>
          <w:szCs w:val="21"/>
          <w:highlight w:val="none"/>
          <w:u w:val="single"/>
        </w:rPr>
      </w:pPr>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w:t>
      </w:r>
      <w:r>
        <w:rPr>
          <w:rFonts w:hint="eastAsia" w:ascii="宋体" w:hAnsi="宋体" w:eastAsia="宋体" w:cs="Times New Roman"/>
          <w:i w:val="0"/>
          <w:iCs/>
          <w:color w:val="auto"/>
          <w:szCs w:val="21"/>
          <w:highlight w:val="none"/>
          <w:u w:val="single"/>
          <w:lang w:eastAsia="zh-CN"/>
        </w:rPr>
        <w:t>小和山校区体育馆及运动场地改扩建工程可行性研究咨询服务</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lang w:eastAsia="zh-CN"/>
        </w:rPr>
        <w:t>其他未列明行业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w:t>
      </w:r>
      <w:r>
        <w:rPr>
          <w:rFonts w:ascii="宋体" w:hAnsi="宋体" w:eastAsia="宋体" w:cs="Times New Roman"/>
          <w:szCs w:val="21"/>
          <w:highlight w:val="none"/>
        </w:rPr>
        <w:t>承接企业为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11A61618">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2DD2C227">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54A12221">
      <w:pPr>
        <w:adjustRightInd w:val="0"/>
        <w:snapToGrid w:val="0"/>
        <w:spacing w:line="288" w:lineRule="auto"/>
        <w:ind w:firstLine="495" w:firstLineChars="236"/>
        <w:outlineLvl w:val="9"/>
        <w:rPr>
          <w:rFonts w:ascii="宋体" w:hAnsi="宋体" w:eastAsia="宋体" w:cs="Times New Roman"/>
          <w:szCs w:val="21"/>
          <w:highlight w:val="none"/>
        </w:rPr>
      </w:pPr>
    </w:p>
    <w:p w14:paraId="56FED2EE">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企业名称（盖章）：</w:t>
      </w:r>
    </w:p>
    <w:p w14:paraId="257D586C">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日期：</w:t>
      </w:r>
    </w:p>
    <w:p w14:paraId="3D1EE022">
      <w:pPr>
        <w:adjustRightInd w:val="0"/>
        <w:snapToGrid w:val="0"/>
        <w:spacing w:line="288" w:lineRule="auto"/>
        <w:ind w:firstLine="495" w:firstLineChars="236"/>
        <w:outlineLvl w:val="9"/>
        <w:rPr>
          <w:rFonts w:ascii="宋体" w:hAnsi="宋体" w:eastAsia="宋体" w:cs="Times New Roman"/>
          <w:szCs w:val="21"/>
          <w:highlight w:val="none"/>
        </w:rPr>
      </w:pPr>
    </w:p>
    <w:p w14:paraId="3168B15F">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738540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0D12CA0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BB5597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314994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2813B5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CFE104E">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04844F9B">
      <w:pPr>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64BE324">
      <w:pPr>
        <w:adjustRightInd w:val="0"/>
        <w:snapToGrid w:val="0"/>
        <w:spacing w:line="288" w:lineRule="auto"/>
        <w:jc w:val="center"/>
        <w:outlineLvl w:val="9"/>
        <w:rPr>
          <w:rFonts w:ascii="宋体" w:hAnsi="宋体" w:eastAsia="宋体" w:cs="宋体"/>
          <w:color w:val="000000"/>
          <w:kern w:val="0"/>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rPr>
        <w:t>）属于监狱企业的证明文件（若属于监狱企业）</w:t>
      </w:r>
    </w:p>
    <w:p w14:paraId="20B35AE9">
      <w:pPr>
        <w:adjustRightInd w:val="0"/>
        <w:snapToGrid w:val="0"/>
        <w:spacing w:line="288" w:lineRule="auto"/>
        <w:outlineLvl w:val="9"/>
        <w:rPr>
          <w:rFonts w:ascii="宋体" w:hAnsi="宋体" w:eastAsia="宋体" w:cs="宋体"/>
          <w:color w:val="000000"/>
          <w:kern w:val="0"/>
          <w:szCs w:val="21"/>
          <w:highlight w:val="none"/>
        </w:rPr>
      </w:pPr>
    </w:p>
    <w:p w14:paraId="67F1E99D">
      <w:pPr>
        <w:adjustRightInd w:val="0"/>
        <w:snapToGrid w:val="0"/>
        <w:spacing w:line="288" w:lineRule="auto"/>
        <w:ind w:firstLine="373" w:firstLineChars="177"/>
        <w:outlineLvl w:val="9"/>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60705B62">
      <w:pPr>
        <w:adjustRightInd w:val="0"/>
        <w:snapToGrid w:val="0"/>
        <w:spacing w:line="288" w:lineRule="auto"/>
        <w:outlineLvl w:val="9"/>
        <w:rPr>
          <w:rFonts w:ascii="宋体" w:hAnsi="宋体" w:eastAsia="宋体"/>
          <w:szCs w:val="21"/>
          <w:highlight w:val="none"/>
        </w:rPr>
      </w:pPr>
    </w:p>
    <w:p w14:paraId="7AA49447">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1A4EDFA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F4E8E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7764E3E">
      <w:pPr>
        <w:widowControl/>
        <w:adjustRightInd w:val="0"/>
        <w:snapToGrid w:val="0"/>
        <w:spacing w:line="288" w:lineRule="auto"/>
        <w:jc w:val="left"/>
        <w:outlineLvl w:val="9"/>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7AC5CE08">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rPr>
        <w:t>）残疾人福利性单位声明函（若属于残疾人福利性单位）</w:t>
      </w:r>
    </w:p>
    <w:p w14:paraId="22300465">
      <w:pPr>
        <w:adjustRightInd w:val="0"/>
        <w:snapToGrid w:val="0"/>
        <w:spacing w:line="288" w:lineRule="auto"/>
        <w:outlineLvl w:val="9"/>
        <w:rPr>
          <w:rFonts w:ascii="宋体" w:hAnsi="宋体" w:eastAsia="宋体" w:cs="Times New Roman"/>
          <w:b/>
          <w:spacing w:val="6"/>
          <w:szCs w:val="21"/>
          <w:highlight w:val="none"/>
        </w:rPr>
      </w:pPr>
    </w:p>
    <w:p w14:paraId="07F18000">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69063BF1">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3A3A986B">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52F076CF">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4DE51147">
      <w:pPr>
        <w:adjustRightInd w:val="0"/>
        <w:snapToGrid w:val="0"/>
        <w:spacing w:line="288" w:lineRule="auto"/>
        <w:outlineLvl w:val="9"/>
        <w:rPr>
          <w:rFonts w:ascii="宋体" w:hAnsi="宋体" w:eastAsia="宋体"/>
          <w:szCs w:val="21"/>
          <w:highlight w:val="none"/>
        </w:rPr>
      </w:pPr>
    </w:p>
    <w:p w14:paraId="672B4066">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20722856">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28E14710">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65E759F3">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6E1886E0">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579FE57D">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239FFFEF">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56A14244">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6234F1">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34FAC2E8">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22EE2F2B">
      <w:pPr>
        <w:pStyle w:val="20"/>
        <w:shd w:val="clear" w:color="auto" w:fill="FFFFFF"/>
        <w:adjustRightInd w:val="0"/>
        <w:snapToGrid w:val="0"/>
        <w:spacing w:before="0" w:beforeAutospacing="0" w:after="0" w:afterAutospacing="0" w:line="288" w:lineRule="auto"/>
        <w:ind w:firstLine="371" w:firstLineChars="177"/>
        <w:outlineLvl w:val="9"/>
        <w:rPr>
          <w:sz w:val="21"/>
          <w:szCs w:val="21"/>
          <w:highlight w:val="none"/>
        </w:rPr>
      </w:pPr>
      <w:r>
        <w:rPr>
          <w:rFonts w:hint="eastAsia"/>
          <w:sz w:val="21"/>
          <w:szCs w:val="21"/>
          <w:highlight w:val="none"/>
        </w:rPr>
        <w:t>残疾人福利性单位属于小型、微型企业的，不重复享受政策。</w:t>
      </w:r>
    </w:p>
    <w:p w14:paraId="639E454C">
      <w:pP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浙江外国语学院小和山校区体育馆及运动场地改扩建工程可行性研究咨询服务</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QSZB-Z(F)-B25047(GK)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浙江外国语学院</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浙江外国语学院小和山校区体育馆及运动场地改扩建工程可行性研究咨询服务</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QSZB-Z(F)-B25047(GK)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2024年09月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2024年09月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小和山校区体育馆及运动场地改扩建工程可行性研究咨询服务</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QSZB-Z(F)-B25047(GK)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1CD473D">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16E467C5">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（5）项目需求的理解及分析</w:t>
      </w:r>
    </w:p>
    <w:p w14:paraId="19E18A22">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（6）技术方案</w:t>
      </w:r>
    </w:p>
    <w:p w14:paraId="575050B4">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（7）服务方案</w:t>
      </w:r>
    </w:p>
    <w:p w14:paraId="6937EB07">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（8）廉洁保密制度</w:t>
      </w:r>
    </w:p>
    <w:p w14:paraId="5F09C6B0">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（9）进度控制方案</w:t>
      </w:r>
    </w:p>
    <w:p w14:paraId="032ADD78">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（10）服务质量保证</w:t>
      </w:r>
    </w:p>
    <w:p w14:paraId="51503F19">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（11）实施项目组</w:t>
      </w:r>
    </w:p>
    <w:p w14:paraId="7DD41593">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（12）服务承诺</w:t>
      </w:r>
    </w:p>
    <w:p w14:paraId="78C239E3">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（13）合理化建议</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（14）投标人需要说明的其他文件和材料。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小和山校区体育馆及运动场地改扩建工程可行性研究咨询服务</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QSZB-Z(F)-B25047(GK)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0"/>
        <w:gridCol w:w="4120"/>
        <w:gridCol w:w="1160"/>
        <w:gridCol w:w="1014"/>
        <w:gridCol w:w="1001"/>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sz w:val="21"/>
                <w:szCs w:val="21"/>
                <w:highlight w:val="none"/>
              </w:rPr>
            </w:pPr>
            <w:bookmarkStart w:id="51" w:name="_Hlk177717733"/>
            <w:r>
              <w:rPr>
                <w:rFonts w:hint="eastAsia" w:ascii="宋体" w:hAnsi="宋体" w:eastAsia="宋体" w:cs="宋体"/>
                <w:b/>
                <w:bCs/>
                <w:sz w:val="21"/>
                <w:szCs w:val="21"/>
                <w:highlight w:val="none"/>
              </w:rPr>
              <w:t>具体服务</w:t>
            </w:r>
            <w:bookmarkEnd w:id="51"/>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163C038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595CE6A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360" w:lineRule="auto"/>
              <w:jc w:val="center"/>
              <w:rPr>
                <w:rFonts w:hint="eastAsia" w:ascii="宋体" w:hAnsi="宋体" w:eastAsia="宋体" w:cs="宋体"/>
                <w:b/>
                <w:bCs/>
                <w:sz w:val="21"/>
                <w:szCs w:val="21"/>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6721C15B">
            <w:pPr>
              <w:adjustRightInd w:val="0"/>
              <w:snapToGrid w:val="0"/>
              <w:spacing w:line="360" w:lineRule="auto"/>
              <w:jc w:val="center"/>
              <w:rPr>
                <w:rFonts w:hint="eastAsia" w:ascii="宋体" w:hAnsi="宋体" w:eastAsia="宋体" w:cs="宋体"/>
                <w:b/>
                <w:bCs/>
                <w:sz w:val="21"/>
                <w:szCs w:val="21"/>
                <w:highlight w:val="none"/>
              </w:rPr>
            </w:pPr>
          </w:p>
        </w:tc>
        <w:tc>
          <w:tcPr>
            <w:tcW w:w="603" w:type="pct"/>
            <w:tcBorders>
              <w:top w:val="single" w:color="auto" w:sz="4" w:space="0"/>
              <w:left w:val="single" w:color="auto" w:sz="4" w:space="0"/>
              <w:bottom w:val="single" w:color="auto" w:sz="4" w:space="0"/>
              <w:right w:val="single" w:color="auto" w:sz="4" w:space="0"/>
            </w:tcBorders>
            <w:vAlign w:val="center"/>
          </w:tcPr>
          <w:p w14:paraId="2BCCD481">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sz w:val="21"/>
                <w:szCs w:val="21"/>
                <w:highlight w:val="none"/>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360" w:lineRule="auto"/>
              <w:jc w:val="center"/>
              <w:rPr>
                <w:rFonts w:hint="eastAsia" w:ascii="宋体" w:hAnsi="宋体" w:eastAsia="宋体" w:cs="宋体"/>
                <w:b/>
                <w:bCs/>
                <w:sz w:val="21"/>
                <w:szCs w:val="21"/>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7658FB15">
            <w:pPr>
              <w:adjustRightInd w:val="0"/>
              <w:snapToGrid w:val="0"/>
              <w:spacing w:line="360" w:lineRule="auto"/>
              <w:jc w:val="center"/>
              <w:rPr>
                <w:rFonts w:hint="eastAsia" w:ascii="宋体" w:hAnsi="宋体" w:eastAsia="宋体" w:cs="宋体"/>
                <w:b/>
                <w:bCs/>
                <w:sz w:val="21"/>
                <w:szCs w:val="21"/>
                <w:highlight w:val="none"/>
              </w:rPr>
            </w:pPr>
          </w:p>
        </w:tc>
        <w:tc>
          <w:tcPr>
            <w:tcW w:w="603" w:type="pct"/>
            <w:tcBorders>
              <w:top w:val="single" w:color="auto" w:sz="4" w:space="0"/>
              <w:left w:val="single" w:color="auto" w:sz="4" w:space="0"/>
              <w:bottom w:val="single" w:color="auto" w:sz="4" w:space="0"/>
              <w:right w:val="single" w:color="auto" w:sz="4" w:space="0"/>
            </w:tcBorders>
            <w:vAlign w:val="center"/>
          </w:tcPr>
          <w:p w14:paraId="5DF936B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sz w:val="21"/>
                <w:szCs w:val="21"/>
                <w:highlight w:val="none"/>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sz w:val="21"/>
                <w:szCs w:val="21"/>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sz w:val="21"/>
                <w:szCs w:val="21"/>
                <w:highlight w:val="none"/>
              </w:rPr>
            </w:pPr>
          </w:p>
        </w:tc>
        <w:tc>
          <w:tcPr>
            <w:tcW w:w="603"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sz w:val="21"/>
                <w:szCs w:val="21"/>
                <w:highlight w:val="none"/>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sz w:val="21"/>
                <w:szCs w:val="21"/>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sz w:val="21"/>
                <w:szCs w:val="21"/>
                <w:highlight w:val="none"/>
              </w:rPr>
            </w:pPr>
          </w:p>
        </w:tc>
        <w:tc>
          <w:tcPr>
            <w:tcW w:w="603"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sz w:val="21"/>
                <w:szCs w:val="21"/>
                <w:highlight w:val="none"/>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sz w:val="21"/>
                <w:szCs w:val="21"/>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sz w:val="21"/>
                <w:szCs w:val="21"/>
                <w:highlight w:val="none"/>
              </w:rPr>
            </w:pPr>
          </w:p>
        </w:tc>
        <w:tc>
          <w:tcPr>
            <w:tcW w:w="603"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sz w:val="21"/>
                <w:szCs w:val="21"/>
                <w:highlight w:val="none"/>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8EED5D2">
            <w:pPr>
              <w:adjustRightInd w:val="0"/>
              <w:snapToGrid w:val="0"/>
              <w:spacing w:line="288" w:lineRule="auto"/>
              <w:rPr>
                <w:rFonts w:ascii="宋体" w:hAnsi="宋体" w:eastAsia="宋体" w:cs="宋体"/>
                <w:b/>
                <w:bCs/>
                <w:szCs w:val="21"/>
                <w:highlight w:val="none"/>
              </w:rPr>
            </w:pPr>
          </w:p>
          <w:p w14:paraId="5AF707F2">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4F2006C0">
            <w:pPr>
              <w:adjustRightInd w:val="0"/>
              <w:snapToGrid w:val="0"/>
              <w:spacing w:line="288" w:lineRule="auto"/>
              <w:rPr>
                <w:rFonts w:ascii="宋体" w:hAnsi="宋体" w:eastAsia="宋体" w:cs="宋体"/>
                <w:b/>
                <w:bCs/>
                <w:szCs w:val="21"/>
                <w:highlight w:val="none"/>
              </w:rPr>
            </w:pPr>
          </w:p>
          <w:p w14:paraId="1896281B">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312DBF9B">
            <w:pPr>
              <w:adjustRightInd w:val="0"/>
              <w:snapToGrid w:val="0"/>
              <w:spacing w:line="288" w:lineRule="auto"/>
              <w:rPr>
                <w:rFonts w:ascii="宋体" w:hAnsi="宋体" w:eastAsia="宋体" w:cs="宋体"/>
                <w:b/>
                <w:bCs/>
                <w:szCs w:val="21"/>
                <w:highlight w:val="none"/>
              </w:rPr>
            </w:pPr>
          </w:p>
        </w:tc>
      </w:tr>
    </w:tbl>
    <w:p w14:paraId="10466E76">
      <w:pPr>
        <w:adjustRightInd w:val="0"/>
        <w:snapToGrid w:val="0"/>
        <w:spacing w:line="288" w:lineRule="auto"/>
        <w:rPr>
          <w:rFonts w:ascii="宋体" w:hAnsi="宋体" w:eastAsia="宋体" w:cs="Times New Roman"/>
          <w:spacing w:val="-6"/>
          <w:szCs w:val="21"/>
          <w:highlight w:val="none"/>
        </w:rPr>
      </w:pPr>
    </w:p>
    <w:p w14:paraId="7F9B4D5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5BB7574C">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3255C792">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602DC4E5">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FB0C741">
      <w:pPr>
        <w:adjustRightInd w:val="0"/>
        <w:snapToGrid w:val="0"/>
        <w:spacing w:line="288" w:lineRule="auto"/>
        <w:jc w:val="both"/>
        <w:outlineLvl w:val="9"/>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51F239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1888E4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03580D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867472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7D580757">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2"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2"/>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3"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3"/>
      <w:r>
        <w:rPr>
          <w:rFonts w:hint="eastAsia" w:ascii="宋体" w:hAnsi="宋体" w:eastAsia="宋体" w:cs="宋体"/>
          <w:b/>
          <w:kern w:val="0"/>
          <w:szCs w:val="21"/>
          <w:highlight w:val="none"/>
          <w:lang w:val="zh-CN"/>
        </w:rPr>
        <w:t>）</w:t>
      </w:r>
    </w:p>
    <w:p w14:paraId="6C004019">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4"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4"/>
    </w:p>
    <w:p w14:paraId="3B68D82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highlight w:val="none"/>
          <w:lang w:val="zh-CN"/>
        </w:rPr>
      </w:pPr>
    </w:p>
    <w:p w14:paraId="48D8C571">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07645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08D20872">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30857C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65630CB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4EA09561">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0F81B4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5CFD24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315EA77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07C19B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04B8D2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C6BF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4EC5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EAE9AB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782EE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4F212F1">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F052283">
      <w:pPr>
        <w:snapToGrid w:val="0"/>
        <w:spacing w:line="288" w:lineRule="auto"/>
        <w:ind w:firstLine="424" w:firstLineChars="201"/>
        <w:rPr>
          <w:rFonts w:ascii="宋体" w:hAnsi="宋体" w:eastAsia="宋体" w:cs="仿宋_GB2312"/>
          <w:b/>
          <w:bCs/>
          <w:kern w:val="0"/>
          <w:szCs w:val="21"/>
          <w:highlight w:val="none"/>
          <w:lang w:val="zh-CN"/>
        </w:rPr>
      </w:pPr>
    </w:p>
    <w:p w14:paraId="401757F1">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68D6DA54">
      <w:pPr>
        <w:snapToGrid w:val="0"/>
        <w:spacing w:line="288" w:lineRule="auto"/>
        <w:rPr>
          <w:rFonts w:ascii="宋体" w:hAnsi="宋体" w:eastAsia="宋体" w:cs="仿宋_GB2312"/>
          <w:b/>
          <w:bCs/>
          <w:kern w:val="0"/>
          <w:szCs w:val="21"/>
          <w:highlight w:val="none"/>
          <w:lang w:val="zh-CN"/>
        </w:rPr>
      </w:pPr>
    </w:p>
    <w:p w14:paraId="4BD3CCB9">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2A2C1086">
      <w:pPr>
        <w:rPr>
          <w:rFonts w:ascii="等线" w:hAnsi="等线" w:eastAsia="等线" w:cs="Times New Roman"/>
          <w:highlight w:val="none"/>
        </w:rPr>
      </w:pPr>
    </w:p>
    <w:p w14:paraId="6CEA6E75">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0NTk5YTU4OTQxNjI3YjRmNjhjMTNhODJjYTlkYzA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9D973F0"/>
    <w:rsid w:val="0A4F1A73"/>
    <w:rsid w:val="0A851326"/>
    <w:rsid w:val="0ABF3657"/>
    <w:rsid w:val="0B4A1776"/>
    <w:rsid w:val="0C786503"/>
    <w:rsid w:val="0D1A04C9"/>
    <w:rsid w:val="0E434661"/>
    <w:rsid w:val="0EB227F6"/>
    <w:rsid w:val="0F55482C"/>
    <w:rsid w:val="0F7D2DA5"/>
    <w:rsid w:val="10757130"/>
    <w:rsid w:val="10BE6606"/>
    <w:rsid w:val="112B34AD"/>
    <w:rsid w:val="11DF3E08"/>
    <w:rsid w:val="11FF5827"/>
    <w:rsid w:val="12AD3208"/>
    <w:rsid w:val="12EA5817"/>
    <w:rsid w:val="16004A2C"/>
    <w:rsid w:val="16694FE2"/>
    <w:rsid w:val="169326D4"/>
    <w:rsid w:val="173D2504"/>
    <w:rsid w:val="177A34FB"/>
    <w:rsid w:val="18090C43"/>
    <w:rsid w:val="1820601B"/>
    <w:rsid w:val="18FB5F15"/>
    <w:rsid w:val="1B1E4462"/>
    <w:rsid w:val="1B321622"/>
    <w:rsid w:val="1C8F3C79"/>
    <w:rsid w:val="1C9E2B33"/>
    <w:rsid w:val="1D38159F"/>
    <w:rsid w:val="1D886D0B"/>
    <w:rsid w:val="1E5F1984"/>
    <w:rsid w:val="1ED61CF8"/>
    <w:rsid w:val="1F9C38D3"/>
    <w:rsid w:val="20175E92"/>
    <w:rsid w:val="20767551"/>
    <w:rsid w:val="208714FC"/>
    <w:rsid w:val="21110DC5"/>
    <w:rsid w:val="21380A0A"/>
    <w:rsid w:val="21DB64E2"/>
    <w:rsid w:val="221C4C30"/>
    <w:rsid w:val="22A70B6C"/>
    <w:rsid w:val="231E2B81"/>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B487C16"/>
    <w:rsid w:val="2C403817"/>
    <w:rsid w:val="2C921974"/>
    <w:rsid w:val="2DA35CF6"/>
    <w:rsid w:val="2DBB27E5"/>
    <w:rsid w:val="2DBE14C9"/>
    <w:rsid w:val="2E533769"/>
    <w:rsid w:val="2F107C41"/>
    <w:rsid w:val="2F6A64D8"/>
    <w:rsid w:val="301765BD"/>
    <w:rsid w:val="30616EA9"/>
    <w:rsid w:val="30756A6C"/>
    <w:rsid w:val="313E5C07"/>
    <w:rsid w:val="31A44D82"/>
    <w:rsid w:val="31EC174B"/>
    <w:rsid w:val="32BE120D"/>
    <w:rsid w:val="330C0EF9"/>
    <w:rsid w:val="33506DE6"/>
    <w:rsid w:val="344B5501"/>
    <w:rsid w:val="35A54CED"/>
    <w:rsid w:val="37534CA7"/>
    <w:rsid w:val="37D824F1"/>
    <w:rsid w:val="3A3519D1"/>
    <w:rsid w:val="3A402D8C"/>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4CD522D"/>
    <w:rsid w:val="46A824B9"/>
    <w:rsid w:val="46BB170B"/>
    <w:rsid w:val="47510906"/>
    <w:rsid w:val="47D66741"/>
    <w:rsid w:val="48F56268"/>
    <w:rsid w:val="495D70F7"/>
    <w:rsid w:val="4A2C2A31"/>
    <w:rsid w:val="4A4623A7"/>
    <w:rsid w:val="4A5E5147"/>
    <w:rsid w:val="4B0275FC"/>
    <w:rsid w:val="4B7D5F80"/>
    <w:rsid w:val="4BB70324"/>
    <w:rsid w:val="4BD458ED"/>
    <w:rsid w:val="4BF40741"/>
    <w:rsid w:val="4C1B2B12"/>
    <w:rsid w:val="4C547E73"/>
    <w:rsid w:val="4C5E019B"/>
    <w:rsid w:val="4E724CEA"/>
    <w:rsid w:val="4E993471"/>
    <w:rsid w:val="4F64249F"/>
    <w:rsid w:val="4F6E1200"/>
    <w:rsid w:val="4FEE189E"/>
    <w:rsid w:val="500735A9"/>
    <w:rsid w:val="50973FE8"/>
    <w:rsid w:val="50A1482A"/>
    <w:rsid w:val="50CD4459"/>
    <w:rsid w:val="510A70B7"/>
    <w:rsid w:val="53202F66"/>
    <w:rsid w:val="53F038EA"/>
    <w:rsid w:val="54D55F7A"/>
    <w:rsid w:val="554064E9"/>
    <w:rsid w:val="567F7FA4"/>
    <w:rsid w:val="580757E2"/>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0455DBA"/>
    <w:rsid w:val="609C38F3"/>
    <w:rsid w:val="61A6685E"/>
    <w:rsid w:val="621760F6"/>
    <w:rsid w:val="62246B60"/>
    <w:rsid w:val="644041B0"/>
    <w:rsid w:val="644F1ACD"/>
    <w:rsid w:val="647005D9"/>
    <w:rsid w:val="67FF1998"/>
    <w:rsid w:val="680D1D99"/>
    <w:rsid w:val="69431270"/>
    <w:rsid w:val="698D201C"/>
    <w:rsid w:val="6A1A2066"/>
    <w:rsid w:val="6A7F4F75"/>
    <w:rsid w:val="6ACA16F9"/>
    <w:rsid w:val="6ADF127C"/>
    <w:rsid w:val="6B0F32F3"/>
    <w:rsid w:val="6B16774A"/>
    <w:rsid w:val="6CE77AD2"/>
    <w:rsid w:val="6CE90920"/>
    <w:rsid w:val="6DE14BA3"/>
    <w:rsid w:val="6ECE2681"/>
    <w:rsid w:val="6ED07EFC"/>
    <w:rsid w:val="6EED251B"/>
    <w:rsid w:val="6F9F4605"/>
    <w:rsid w:val="700B5C22"/>
    <w:rsid w:val="709D6190"/>
    <w:rsid w:val="71D51074"/>
    <w:rsid w:val="7228678E"/>
    <w:rsid w:val="72340F9C"/>
    <w:rsid w:val="728D7448"/>
    <w:rsid w:val="72A2709C"/>
    <w:rsid w:val="74EB1DB0"/>
    <w:rsid w:val="75B93A51"/>
    <w:rsid w:val="75C12BF5"/>
    <w:rsid w:val="774152C9"/>
    <w:rsid w:val="77862AF0"/>
    <w:rsid w:val="793070F8"/>
    <w:rsid w:val="79D825C1"/>
    <w:rsid w:val="7B5D131E"/>
    <w:rsid w:val="7DB41B16"/>
    <w:rsid w:val="7DEB79E2"/>
    <w:rsid w:val="7DFC5027"/>
    <w:rsid w:val="7E002D54"/>
    <w:rsid w:val="7E85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25853</Words>
  <Characters>27350</Characters>
  <Lines>220</Lines>
  <Paragraphs>61</Paragraphs>
  <TotalTime>7</TotalTime>
  <ScaleCrop>false</ScaleCrop>
  <LinksUpToDate>false</LinksUpToDate>
  <CharactersWithSpaces>27660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2025-03-13T00:50:35Z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89399758B5554404A8CFE18890AC18F6_13</vt:lpwstr>
  </property>
  <property fmtid="{D5CDD505-2E9C-101B-9397-08002B2CF9AE}" pid="4" name="KSOTemplateDocerSaveRecord">
    <vt:lpwstr>eyJoZGlkIjoiNDUwMTFkMDI3ZjBmZjczM2Q3M2EwOGI5M2VjYzUzMDkiLCJ1c2VySWQiOiIzMTI3MzQzMDgifQ==</vt:lpwstr>
  </property>
</Properties>
</file>