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0765E">
      <w:pPr>
        <w:spacing w:line="360" w:lineRule="auto"/>
        <w:jc w:val="center"/>
        <w:rPr>
          <w:rFonts w:ascii="宋体" w:hAnsi="宋体" w:cs="宋体"/>
          <w:b/>
          <w:color w:val="auto"/>
          <w:sz w:val="24"/>
          <w:highlight w:val="none"/>
        </w:rPr>
      </w:pPr>
    </w:p>
    <w:p w14:paraId="69A339E8">
      <w:pPr>
        <w:spacing w:line="360" w:lineRule="auto"/>
        <w:jc w:val="center"/>
        <w:rPr>
          <w:rFonts w:ascii="宋体" w:hAnsi="宋体" w:cs="宋体"/>
          <w:b/>
          <w:color w:val="auto"/>
          <w:sz w:val="24"/>
          <w:highlight w:val="none"/>
        </w:rPr>
      </w:pPr>
    </w:p>
    <w:p w14:paraId="1736C4F1">
      <w:pPr>
        <w:adjustRightInd/>
        <w:spacing w:line="360" w:lineRule="auto"/>
        <w:jc w:val="center"/>
        <w:rPr>
          <w:rFonts w:ascii="宋体" w:hAnsi="宋体" w:cs="宋体"/>
          <w:b/>
          <w:color w:val="auto"/>
          <w:sz w:val="44"/>
          <w:szCs w:val="44"/>
          <w:highlight w:val="none"/>
        </w:rPr>
      </w:pPr>
    </w:p>
    <w:p w14:paraId="7234E649">
      <w:pPr>
        <w:spacing w:line="360" w:lineRule="auto"/>
        <w:jc w:val="center"/>
        <w:rPr>
          <w:rFonts w:ascii="宋体" w:hAnsi="宋体" w:cs="宋体"/>
          <w:b/>
          <w:color w:val="auto"/>
          <w:sz w:val="44"/>
          <w:szCs w:val="44"/>
          <w:highlight w:val="none"/>
        </w:rPr>
      </w:pPr>
    </w:p>
    <w:p w14:paraId="7FABD30C">
      <w:pPr>
        <w:adjustRightInd/>
        <w:spacing w:line="360" w:lineRule="auto"/>
        <w:jc w:val="center"/>
        <w:rPr>
          <w:rFonts w:hint="eastAsia" w:ascii="宋体" w:hAnsi="宋体" w:eastAsia="宋体" w:cs="宋体"/>
          <w:b/>
          <w:color w:val="auto"/>
          <w:sz w:val="48"/>
          <w:szCs w:val="48"/>
          <w:highlight w:val="none"/>
        </w:rPr>
      </w:pPr>
    </w:p>
    <w:p w14:paraId="0C030C68">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52"/>
          <w:szCs w:val="52"/>
          <w:highlight w:val="none"/>
          <w:lang w:eastAsia="zh-CN"/>
        </w:rPr>
        <w:t>社会热点信息报送服务项目(重新招标)</w:t>
      </w:r>
    </w:p>
    <w:p w14:paraId="23E4685C">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67A98FB1">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4C8AD16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QTCG-GK-2024-289(2)</w:t>
      </w:r>
    </w:p>
    <w:p w14:paraId="23D1D7F0">
      <w:pPr>
        <w:adjustRightInd/>
        <w:spacing w:line="360" w:lineRule="auto"/>
        <w:rPr>
          <w:rFonts w:ascii="宋体" w:hAnsi="宋体" w:cs="宋体"/>
          <w:color w:val="auto"/>
          <w:sz w:val="28"/>
          <w:szCs w:val="20"/>
          <w:highlight w:val="none"/>
        </w:rPr>
      </w:pPr>
    </w:p>
    <w:p w14:paraId="3949FA21">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EE403C6">
      <w:pPr>
        <w:spacing w:line="360" w:lineRule="auto"/>
        <w:jc w:val="center"/>
        <w:rPr>
          <w:rFonts w:ascii="宋体" w:hAnsi="宋体" w:cs="宋体"/>
          <w:b/>
          <w:color w:val="auto"/>
          <w:sz w:val="44"/>
          <w:szCs w:val="44"/>
          <w:highlight w:val="none"/>
        </w:rPr>
      </w:pPr>
    </w:p>
    <w:p w14:paraId="4F950B04">
      <w:pPr>
        <w:spacing w:line="360" w:lineRule="auto"/>
        <w:jc w:val="center"/>
        <w:rPr>
          <w:rFonts w:ascii="宋体" w:hAnsi="宋体" w:cs="宋体"/>
          <w:color w:val="auto"/>
          <w:sz w:val="24"/>
          <w:highlight w:val="none"/>
        </w:rPr>
      </w:pPr>
    </w:p>
    <w:p w14:paraId="1F2A5039">
      <w:pPr>
        <w:spacing w:line="360" w:lineRule="auto"/>
        <w:jc w:val="center"/>
        <w:rPr>
          <w:rFonts w:ascii="宋体" w:hAnsi="宋体" w:cs="宋体"/>
          <w:color w:val="auto"/>
          <w:sz w:val="24"/>
          <w:highlight w:val="none"/>
        </w:rPr>
      </w:pPr>
    </w:p>
    <w:p w14:paraId="74FBC358">
      <w:pPr>
        <w:spacing w:line="360" w:lineRule="auto"/>
        <w:rPr>
          <w:rFonts w:hint="eastAsia" w:ascii="宋体" w:hAnsi="宋体" w:eastAsia="宋体" w:cs="宋体"/>
          <w:color w:val="auto"/>
          <w:sz w:val="30"/>
          <w:szCs w:val="30"/>
          <w:highlight w:val="none"/>
        </w:rPr>
      </w:pPr>
      <w:bookmarkStart w:id="407" w:name="_GoBack"/>
      <w:bookmarkEnd w:id="407"/>
    </w:p>
    <w:p w14:paraId="7556FD5B">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中共杭州市钱塘区委宣传部</w:t>
      </w:r>
    </w:p>
    <w:p w14:paraId="1DF9B38B">
      <w:pPr>
        <w:spacing w:line="360" w:lineRule="auto"/>
        <w:jc w:val="center"/>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lang w:eastAsia="zh-CN"/>
        </w:rPr>
        <w:t>浙江求是招标代理有限公司</w:t>
      </w:r>
    </w:p>
    <w:p w14:paraId="72BBF667">
      <w:pPr>
        <w:snapToGrid w:val="0"/>
        <w:spacing w:line="360" w:lineRule="auto"/>
        <w:jc w:val="center"/>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二〇二</w:t>
      </w:r>
      <w:r>
        <w:rPr>
          <w:rFonts w:hint="eastAsia" w:ascii="宋体" w:hAnsi="宋体" w:cs="宋体"/>
          <w:bCs/>
          <w:color w:val="auto"/>
          <w:sz w:val="30"/>
          <w:szCs w:val="30"/>
          <w:highlight w:val="none"/>
          <w:lang w:val="en-US" w:eastAsia="zh-CN"/>
        </w:rPr>
        <w:t>五</w:t>
      </w:r>
      <w:r>
        <w:rPr>
          <w:rFonts w:hint="eastAsia" w:ascii="宋体" w:hAnsi="宋体" w:eastAsia="宋体" w:cs="宋体"/>
          <w:bCs/>
          <w:color w:val="auto"/>
          <w:sz w:val="30"/>
          <w:szCs w:val="30"/>
          <w:highlight w:val="none"/>
        </w:rPr>
        <w:t>年</w:t>
      </w:r>
      <w:r>
        <w:rPr>
          <w:rFonts w:hint="eastAsia" w:ascii="宋体" w:hAnsi="宋体" w:cs="宋体"/>
          <w:bCs/>
          <w:color w:val="auto"/>
          <w:sz w:val="30"/>
          <w:szCs w:val="30"/>
          <w:highlight w:val="none"/>
          <w:lang w:val="en-US" w:eastAsia="zh-CN"/>
        </w:rPr>
        <w:t>一</w:t>
      </w:r>
      <w:r>
        <w:rPr>
          <w:rFonts w:hint="eastAsia" w:ascii="宋体" w:hAnsi="宋体" w:eastAsia="宋体" w:cs="宋体"/>
          <w:bCs/>
          <w:color w:val="auto"/>
          <w:sz w:val="30"/>
          <w:szCs w:val="30"/>
          <w:highlight w:val="none"/>
        </w:rPr>
        <w:t>月</w:t>
      </w:r>
      <w:r>
        <w:rPr>
          <w:rFonts w:hint="eastAsia" w:ascii="宋体" w:hAnsi="宋体" w:cs="宋体"/>
          <w:bCs/>
          <w:color w:val="auto"/>
          <w:sz w:val="30"/>
          <w:szCs w:val="30"/>
          <w:highlight w:val="none"/>
          <w:lang w:val="en-US" w:eastAsia="zh-CN"/>
        </w:rPr>
        <w:t>八</w:t>
      </w:r>
      <w:r>
        <w:rPr>
          <w:rFonts w:hint="eastAsia" w:ascii="宋体" w:hAnsi="宋体" w:eastAsia="宋体" w:cs="宋体"/>
          <w:bCs/>
          <w:color w:val="auto"/>
          <w:sz w:val="30"/>
          <w:szCs w:val="30"/>
          <w:highlight w:val="none"/>
        </w:rPr>
        <w:t>日</w:t>
      </w:r>
    </w:p>
    <w:p w14:paraId="59C6493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5A25430B">
      <w:pPr>
        <w:pStyle w:val="636"/>
        <w:rPr>
          <w:color w:val="auto"/>
          <w:highlight w:val="none"/>
        </w:rPr>
      </w:pPr>
    </w:p>
    <w:p w14:paraId="6AABD760">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目  录</w:t>
      </w:r>
    </w:p>
    <w:p w14:paraId="0E4E3513">
      <w:pPr>
        <w:spacing w:line="360" w:lineRule="auto"/>
        <w:rPr>
          <w:rFonts w:hint="eastAsia" w:ascii="宋体" w:hAnsi="宋体" w:eastAsia="宋体" w:cs="宋体"/>
          <w:color w:val="auto"/>
          <w:sz w:val="30"/>
          <w:szCs w:val="30"/>
          <w:highlight w:val="none"/>
        </w:rPr>
      </w:pPr>
    </w:p>
    <w:p w14:paraId="718D76C1">
      <w:pPr>
        <w:spacing w:line="360" w:lineRule="auto"/>
        <w:rPr>
          <w:rFonts w:hint="eastAsia" w:ascii="宋体" w:hAnsi="宋体" w:eastAsia="宋体" w:cs="宋体"/>
          <w:color w:val="auto"/>
          <w:sz w:val="30"/>
          <w:szCs w:val="30"/>
          <w:highlight w:val="none"/>
        </w:rPr>
      </w:pPr>
    </w:p>
    <w:p w14:paraId="7FE68A70">
      <w:pPr>
        <w:spacing w:line="360" w:lineRule="auto"/>
        <w:ind w:firstLine="1200" w:firstLineChars="4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第一部分      招标公告</w:t>
      </w:r>
    </w:p>
    <w:p w14:paraId="7DD6CD6D">
      <w:pPr>
        <w:spacing w:line="360" w:lineRule="auto"/>
        <w:ind w:firstLine="1200" w:firstLineChars="4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第二部分      投标人须知</w:t>
      </w:r>
    </w:p>
    <w:p w14:paraId="49EB72BD">
      <w:pPr>
        <w:spacing w:line="360" w:lineRule="auto"/>
        <w:ind w:firstLine="1200" w:firstLineChars="4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第三部分      采购需求</w:t>
      </w:r>
    </w:p>
    <w:p w14:paraId="6FB4EFBB">
      <w:pPr>
        <w:spacing w:line="360" w:lineRule="auto"/>
        <w:ind w:firstLine="1200" w:firstLineChars="4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第四部分      评标办法</w:t>
      </w:r>
    </w:p>
    <w:p w14:paraId="5E22ECC4">
      <w:pPr>
        <w:spacing w:line="360" w:lineRule="auto"/>
        <w:ind w:firstLine="1200" w:firstLineChars="4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第五部分      拟签订的合同文本</w:t>
      </w:r>
    </w:p>
    <w:p w14:paraId="03599409">
      <w:pPr>
        <w:spacing w:line="360" w:lineRule="auto"/>
        <w:ind w:firstLine="1200" w:firstLineChars="4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第六部分      应提交的有关格式范例</w:t>
      </w:r>
    </w:p>
    <w:p w14:paraId="7FDA02A9">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2731BD7F">
      <w:pPr>
        <w:spacing w:line="360" w:lineRule="auto"/>
        <w:ind w:firstLine="549" w:firstLineChars="229"/>
        <w:rPr>
          <w:rFonts w:hint="eastAsia" w:ascii="宋体" w:hAnsi="宋体" w:eastAsia="宋体" w:cs="宋体"/>
          <w:color w:val="auto"/>
          <w:sz w:val="24"/>
          <w:highlight w:val="none"/>
        </w:rPr>
      </w:pPr>
    </w:p>
    <w:p w14:paraId="1C9CCDF8">
      <w:pPr>
        <w:spacing w:line="360" w:lineRule="auto"/>
        <w:ind w:firstLine="549" w:firstLineChars="229"/>
        <w:rPr>
          <w:rFonts w:hint="eastAsia" w:ascii="宋体" w:hAnsi="宋体" w:eastAsia="宋体" w:cs="宋体"/>
          <w:color w:val="auto"/>
          <w:sz w:val="24"/>
          <w:highlight w:val="none"/>
        </w:rPr>
      </w:pPr>
    </w:p>
    <w:p w14:paraId="04C4BA0E">
      <w:pPr>
        <w:spacing w:line="360" w:lineRule="auto"/>
        <w:ind w:firstLine="549" w:firstLineChars="229"/>
        <w:rPr>
          <w:rFonts w:hint="eastAsia" w:ascii="宋体" w:hAnsi="宋体" w:eastAsia="宋体" w:cs="宋体"/>
          <w:color w:val="auto"/>
          <w:sz w:val="24"/>
          <w:highlight w:val="none"/>
        </w:rPr>
      </w:pPr>
    </w:p>
    <w:p w14:paraId="2446A900">
      <w:pPr>
        <w:spacing w:line="360" w:lineRule="auto"/>
        <w:ind w:firstLine="549" w:firstLineChars="229"/>
        <w:rPr>
          <w:rFonts w:hint="eastAsia" w:ascii="宋体" w:hAnsi="宋体" w:eastAsia="宋体" w:cs="宋体"/>
          <w:color w:val="auto"/>
          <w:sz w:val="24"/>
          <w:highlight w:val="none"/>
        </w:rPr>
      </w:pPr>
    </w:p>
    <w:p w14:paraId="08ABEF7C">
      <w:pPr>
        <w:spacing w:line="360" w:lineRule="auto"/>
        <w:ind w:firstLine="549" w:firstLineChars="229"/>
        <w:rPr>
          <w:rFonts w:hint="eastAsia" w:ascii="宋体" w:hAnsi="宋体" w:eastAsia="宋体" w:cs="宋体"/>
          <w:color w:val="auto"/>
          <w:sz w:val="24"/>
          <w:highlight w:val="none"/>
        </w:rPr>
      </w:pPr>
    </w:p>
    <w:p w14:paraId="30881F51">
      <w:pPr>
        <w:spacing w:line="360" w:lineRule="auto"/>
        <w:ind w:firstLine="549" w:firstLineChars="229"/>
        <w:rPr>
          <w:rFonts w:hint="eastAsia" w:ascii="宋体" w:hAnsi="宋体" w:eastAsia="宋体" w:cs="宋体"/>
          <w:color w:val="auto"/>
          <w:sz w:val="24"/>
          <w:highlight w:val="none"/>
        </w:rPr>
      </w:pPr>
    </w:p>
    <w:p w14:paraId="6A4ECA77">
      <w:pPr>
        <w:spacing w:line="360" w:lineRule="auto"/>
        <w:ind w:firstLine="549" w:firstLineChars="229"/>
        <w:rPr>
          <w:rFonts w:hint="eastAsia" w:ascii="宋体" w:hAnsi="宋体" w:eastAsia="宋体" w:cs="宋体"/>
          <w:color w:val="auto"/>
          <w:sz w:val="24"/>
          <w:highlight w:val="none"/>
        </w:rPr>
      </w:pPr>
    </w:p>
    <w:p w14:paraId="4670E2C7">
      <w:pPr>
        <w:spacing w:line="360" w:lineRule="auto"/>
        <w:ind w:firstLine="549" w:firstLineChars="229"/>
        <w:rPr>
          <w:rFonts w:hint="eastAsia" w:ascii="宋体" w:hAnsi="宋体" w:eastAsia="宋体" w:cs="宋体"/>
          <w:color w:val="auto"/>
          <w:sz w:val="24"/>
          <w:highlight w:val="none"/>
        </w:rPr>
      </w:pPr>
    </w:p>
    <w:p w14:paraId="0E69BAB8">
      <w:pPr>
        <w:spacing w:line="360" w:lineRule="auto"/>
        <w:ind w:firstLine="549" w:firstLineChars="229"/>
        <w:rPr>
          <w:rFonts w:hint="eastAsia" w:ascii="宋体" w:hAnsi="宋体" w:eastAsia="宋体" w:cs="宋体"/>
          <w:color w:val="auto"/>
          <w:sz w:val="24"/>
          <w:highlight w:val="none"/>
        </w:rPr>
      </w:pPr>
    </w:p>
    <w:p w14:paraId="79FD2690">
      <w:pPr>
        <w:spacing w:line="360" w:lineRule="auto"/>
        <w:ind w:firstLine="549" w:firstLineChars="229"/>
        <w:rPr>
          <w:rFonts w:hint="eastAsia" w:ascii="宋体" w:hAnsi="宋体" w:eastAsia="宋体" w:cs="宋体"/>
          <w:color w:val="auto"/>
          <w:sz w:val="24"/>
          <w:highlight w:val="none"/>
        </w:rPr>
      </w:pPr>
    </w:p>
    <w:p w14:paraId="15BED8A0">
      <w:pPr>
        <w:spacing w:line="360" w:lineRule="auto"/>
        <w:ind w:firstLine="549" w:firstLineChars="229"/>
        <w:rPr>
          <w:rFonts w:hint="eastAsia" w:ascii="宋体" w:hAnsi="宋体" w:eastAsia="宋体" w:cs="宋体"/>
          <w:color w:val="auto"/>
          <w:sz w:val="24"/>
          <w:highlight w:val="none"/>
        </w:rPr>
      </w:pPr>
    </w:p>
    <w:p w14:paraId="4080A802">
      <w:pPr>
        <w:spacing w:line="360" w:lineRule="auto"/>
        <w:ind w:firstLine="549" w:firstLineChars="229"/>
        <w:rPr>
          <w:rFonts w:hint="eastAsia" w:ascii="宋体" w:hAnsi="宋体" w:eastAsia="宋体" w:cs="宋体"/>
          <w:color w:val="auto"/>
          <w:sz w:val="24"/>
          <w:highlight w:val="none"/>
        </w:rPr>
      </w:pPr>
    </w:p>
    <w:p w14:paraId="2DAF9C9A">
      <w:pPr>
        <w:spacing w:line="360" w:lineRule="auto"/>
        <w:rPr>
          <w:rFonts w:hint="eastAsia" w:ascii="宋体" w:hAnsi="宋体" w:eastAsia="宋体" w:cs="宋体"/>
          <w:color w:val="auto"/>
          <w:sz w:val="24"/>
          <w:highlight w:val="none"/>
        </w:rPr>
      </w:pPr>
    </w:p>
    <w:p w14:paraId="619ABF26">
      <w:pPr>
        <w:keepNext w:val="0"/>
        <w:keepLines w:val="0"/>
        <w:pageBreakBefore w:val="0"/>
        <w:kinsoku/>
        <w:wordWrap/>
        <w:overflowPunct/>
        <w:topLinePunct w:val="0"/>
        <w:autoSpaceDE/>
        <w:autoSpaceDN/>
        <w:bidi w:val="0"/>
        <w:adjustRightInd/>
        <w:spacing w:line="288" w:lineRule="auto"/>
        <w:jc w:val="center"/>
        <w:textAlignment w:val="auto"/>
        <w:outlineLvl w:val="0"/>
        <w:rPr>
          <w:rFonts w:hint="eastAsia" w:ascii="宋体" w:hAnsi="宋体" w:eastAsia="宋体" w:cs="宋体"/>
          <w:b/>
          <w:color w:val="auto"/>
          <w:sz w:val="21"/>
          <w:szCs w:val="21"/>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2"/>
          <w:szCs w:val="32"/>
          <w:highlight w:val="none"/>
        </w:rPr>
        <w:t>第一部分 招标公告</w:t>
      </w:r>
    </w:p>
    <w:p w14:paraId="6A546C8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59F4310E">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社会热点信息报送服务项目(重新招标)</w:t>
      </w:r>
      <w:r>
        <w:rPr>
          <w:rFonts w:hint="eastAsia" w:ascii="宋体" w:hAnsi="宋体" w:eastAsia="宋体" w:cs="宋体"/>
          <w:color w:val="auto"/>
          <w:sz w:val="21"/>
          <w:szCs w:val="21"/>
          <w:highlight w:val="none"/>
        </w:rPr>
        <w:t>招标项目的潜在投标人应在政采云平台（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"https://www.zcygov.cn/）获取（下载）招标文件，并于202%20年%20月%20日%20点%20分00秒" </w:instrText>
      </w:r>
      <w:r>
        <w:rPr>
          <w:rFonts w:hint="eastAsia" w:ascii="宋体" w:hAnsi="宋体" w:eastAsia="宋体" w:cs="宋体"/>
          <w:color w:val="auto"/>
          <w:sz w:val="21"/>
          <w:szCs w:val="21"/>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https://www.zcygov.cn/）获取（下载）招标文件，并于202</w:t>
      </w:r>
      <w:r>
        <w:rPr>
          <w:rStyle w:val="76"/>
          <w:rFonts w:hint="eastAsia" w:ascii="宋体" w:hAnsi="宋体" w:cs="宋体"/>
          <w:snapToGrid/>
          <w:color w:val="auto"/>
          <w:kern w:val="2"/>
          <w:sz w:val="21"/>
          <w:szCs w:val="21"/>
          <w:highlight w:val="none"/>
          <w:lang w:val="en-US" w:eastAsia="zh-CN"/>
        </w:rPr>
        <w:t>5</w:t>
      </w:r>
      <w:r>
        <w:rPr>
          <w:rStyle w:val="76"/>
          <w:rFonts w:hint="eastAsia" w:ascii="宋体" w:hAnsi="宋体" w:eastAsia="宋体" w:cs="宋体"/>
          <w:snapToGrid/>
          <w:color w:val="auto"/>
          <w:kern w:val="2"/>
          <w:sz w:val="21"/>
          <w:szCs w:val="21"/>
          <w:highlight w:val="none"/>
        </w:rPr>
        <w:t>年</w:t>
      </w:r>
      <w:r>
        <w:rPr>
          <w:rStyle w:val="76"/>
          <w:rFonts w:hint="eastAsia" w:ascii="宋体" w:hAnsi="宋体" w:cs="宋体"/>
          <w:snapToGrid/>
          <w:color w:val="auto"/>
          <w:kern w:val="2"/>
          <w:sz w:val="21"/>
          <w:szCs w:val="21"/>
          <w:highlight w:val="none"/>
          <w:lang w:val="en-US" w:eastAsia="zh-CN"/>
        </w:rPr>
        <w:t>2</w:t>
      </w:r>
      <w:r>
        <w:rPr>
          <w:rStyle w:val="76"/>
          <w:rFonts w:hint="eastAsia" w:ascii="宋体" w:hAnsi="宋体" w:eastAsia="宋体" w:cs="宋体"/>
          <w:snapToGrid/>
          <w:color w:val="auto"/>
          <w:kern w:val="2"/>
          <w:sz w:val="21"/>
          <w:szCs w:val="21"/>
          <w:highlight w:val="none"/>
        </w:rPr>
        <w:t>月</w:t>
      </w:r>
      <w:r>
        <w:rPr>
          <w:rStyle w:val="76"/>
          <w:rFonts w:hint="eastAsia" w:ascii="宋体" w:hAnsi="宋体" w:cs="宋体"/>
          <w:snapToGrid/>
          <w:color w:val="auto"/>
          <w:kern w:val="2"/>
          <w:sz w:val="21"/>
          <w:szCs w:val="21"/>
          <w:highlight w:val="none"/>
          <w:lang w:val="en-US" w:eastAsia="zh-CN"/>
        </w:rPr>
        <w:t>10</w:t>
      </w:r>
      <w:r>
        <w:rPr>
          <w:rStyle w:val="76"/>
          <w:rFonts w:hint="eastAsia" w:ascii="宋体" w:hAnsi="宋体" w:eastAsia="宋体" w:cs="宋体"/>
          <w:snapToGrid/>
          <w:color w:val="auto"/>
          <w:kern w:val="2"/>
          <w:sz w:val="21"/>
          <w:szCs w:val="21"/>
          <w:highlight w:val="none"/>
        </w:rPr>
        <w:t>日</w:t>
      </w:r>
      <w:r>
        <w:rPr>
          <w:rStyle w:val="76"/>
          <w:rFonts w:hint="eastAsia" w:ascii="宋体" w:hAnsi="宋体" w:cs="宋体"/>
          <w:snapToGrid/>
          <w:color w:val="auto"/>
          <w:kern w:val="2"/>
          <w:sz w:val="21"/>
          <w:szCs w:val="21"/>
          <w:highlight w:val="none"/>
          <w:lang w:val="en-US" w:eastAsia="zh-CN"/>
        </w:rPr>
        <w:t>09</w:t>
      </w:r>
      <w:r>
        <w:rPr>
          <w:rStyle w:val="76"/>
          <w:rFonts w:hint="eastAsia" w:ascii="宋体" w:hAnsi="宋体" w:eastAsia="宋体" w:cs="宋体"/>
          <w:snapToGrid/>
          <w:color w:val="auto"/>
          <w:kern w:val="2"/>
          <w:sz w:val="21"/>
          <w:szCs w:val="21"/>
          <w:highlight w:val="none"/>
        </w:rPr>
        <w:t>点</w:t>
      </w:r>
      <w:r>
        <w:rPr>
          <w:rStyle w:val="76"/>
          <w:rFonts w:hint="eastAsia" w:ascii="宋体" w:hAnsi="宋体" w:cs="宋体"/>
          <w:snapToGrid/>
          <w:color w:val="auto"/>
          <w:kern w:val="2"/>
          <w:sz w:val="21"/>
          <w:szCs w:val="21"/>
          <w:highlight w:val="none"/>
          <w:lang w:val="en-US" w:eastAsia="zh-CN"/>
        </w:rPr>
        <w:t>30</w:t>
      </w:r>
      <w:r>
        <w:rPr>
          <w:rStyle w:val="76"/>
          <w:rFonts w:hint="eastAsia" w:ascii="宋体" w:hAnsi="宋体" w:eastAsia="宋体" w:cs="宋体"/>
          <w:snapToGrid/>
          <w:color w:val="auto"/>
          <w:kern w:val="2"/>
          <w:sz w:val="21"/>
          <w:szCs w:val="21"/>
          <w:highlight w:val="none"/>
        </w:rPr>
        <w:t>分</w:t>
      </w:r>
      <w:r>
        <w:rPr>
          <w:rStyle w:val="76"/>
          <w:rFonts w:hint="eastAsia" w:ascii="宋体" w:hAnsi="宋体" w:eastAsia="宋体" w:cs="宋体"/>
          <w:bCs/>
          <w:snapToGrid/>
          <w:color w:val="auto"/>
          <w:kern w:val="2"/>
          <w:sz w:val="21"/>
          <w:szCs w:val="21"/>
          <w:highlight w:val="none"/>
        </w:rPr>
        <w:t>00秒</w:t>
      </w:r>
      <w:r>
        <w:rPr>
          <w:rStyle w:val="76"/>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14114A88">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37143670">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cs="宋体"/>
          <w:color w:val="auto"/>
          <w:sz w:val="21"/>
          <w:szCs w:val="21"/>
          <w:highlight w:val="none"/>
          <w:lang w:eastAsia="zh-CN"/>
        </w:rPr>
        <w:t>QTCG-GK-2024-289(2)</w:t>
      </w:r>
    </w:p>
    <w:p w14:paraId="50D5FFB9">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项目名称：</w:t>
      </w:r>
      <w:r>
        <w:rPr>
          <w:rFonts w:hint="eastAsia" w:ascii="宋体" w:hAnsi="宋体" w:cs="宋体"/>
          <w:color w:val="auto"/>
          <w:sz w:val="21"/>
          <w:szCs w:val="21"/>
          <w:highlight w:val="none"/>
          <w:lang w:eastAsia="zh-CN"/>
        </w:rPr>
        <w:t>社会热点信息报送服务项目(重新招标)</w:t>
      </w:r>
    </w:p>
    <w:p w14:paraId="7E7895F9">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预算金额（元）：</w:t>
      </w:r>
      <w:r>
        <w:rPr>
          <w:rFonts w:hint="eastAsia" w:ascii="宋体" w:hAnsi="宋体" w:cs="宋体"/>
          <w:b/>
          <w:color w:val="auto"/>
          <w:sz w:val="21"/>
          <w:szCs w:val="21"/>
          <w:highlight w:val="none"/>
          <w:lang w:val="en-US" w:eastAsia="zh-CN"/>
        </w:rPr>
        <w:t>540000</w:t>
      </w:r>
      <w:r>
        <w:rPr>
          <w:rFonts w:hint="eastAsia" w:ascii="宋体" w:hAnsi="宋体" w:eastAsia="宋体" w:cs="宋体"/>
          <w:color w:val="auto"/>
          <w:sz w:val="21"/>
          <w:szCs w:val="21"/>
          <w:highlight w:val="none"/>
        </w:rPr>
        <w:t xml:space="preserve"> </w:t>
      </w:r>
    </w:p>
    <w:p w14:paraId="4DF96F02">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最高限价（元）：</w:t>
      </w:r>
      <w:r>
        <w:rPr>
          <w:rFonts w:hint="eastAsia" w:ascii="宋体" w:hAnsi="宋体" w:cs="宋体"/>
          <w:b/>
          <w:color w:val="auto"/>
          <w:sz w:val="21"/>
          <w:szCs w:val="21"/>
          <w:highlight w:val="none"/>
          <w:lang w:val="en-US" w:eastAsia="zh-CN"/>
        </w:rPr>
        <w:t>540000</w:t>
      </w:r>
      <w:r>
        <w:rPr>
          <w:rFonts w:hint="eastAsia" w:ascii="宋体" w:hAnsi="宋体" w:eastAsia="宋体" w:cs="宋体"/>
          <w:color w:val="auto"/>
          <w:sz w:val="21"/>
          <w:szCs w:val="21"/>
          <w:highlight w:val="none"/>
        </w:rPr>
        <w:t xml:space="preserve">  </w:t>
      </w:r>
    </w:p>
    <w:p w14:paraId="6633D40B">
      <w:pPr>
        <w:pStyle w:val="7"/>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bCs/>
          <w:snapToGrid/>
          <w:color w:val="auto"/>
          <w:kern w:val="2"/>
          <w:sz w:val="21"/>
          <w:szCs w:val="21"/>
          <w:highlight w:val="none"/>
        </w:rPr>
      </w:pPr>
      <w:r>
        <w:rPr>
          <w:rFonts w:hint="eastAsia" w:ascii="宋体" w:hAnsi="宋体" w:eastAsia="宋体" w:cs="宋体"/>
          <w:b/>
          <w:color w:val="auto"/>
          <w:sz w:val="21"/>
          <w:szCs w:val="21"/>
          <w:highlight w:val="none"/>
        </w:rPr>
        <w:t>采购需求：</w:t>
      </w:r>
      <w:r>
        <w:rPr>
          <w:rFonts w:hint="eastAsia" w:hAnsi="宋体" w:cs="宋体"/>
          <w:bCs/>
          <w:snapToGrid/>
          <w:color w:val="auto"/>
          <w:kern w:val="2"/>
          <w:sz w:val="21"/>
          <w:szCs w:val="21"/>
          <w:highlight w:val="none"/>
          <w:lang w:eastAsia="zh-CN"/>
        </w:rPr>
        <w:t>社会热点信息报送服务项目(重新招标)，</w:t>
      </w:r>
      <w:r>
        <w:rPr>
          <w:rFonts w:hint="eastAsia" w:ascii="宋体" w:hAnsi="宋体" w:eastAsia="宋体" w:cs="宋体"/>
          <w:snapToGrid/>
          <w:color w:val="auto"/>
          <w:kern w:val="2"/>
          <w:sz w:val="21"/>
          <w:szCs w:val="21"/>
          <w:highlight w:val="none"/>
        </w:rPr>
        <w:t>具体以招标文件第三部分采购需求为准，供应商可点击本公告下方“浏览采购文件”查看采购需求。</w:t>
      </w:r>
    </w:p>
    <w:p w14:paraId="45D1A9BC">
      <w:pPr>
        <w:pStyle w:val="130"/>
        <w:keepNext w:val="0"/>
        <w:keepLines w:val="0"/>
        <w:pageBreakBefore w:val="0"/>
        <w:widowControl w:val="0"/>
        <w:kinsoku/>
        <w:wordWrap/>
        <w:overflowPunct/>
        <w:topLinePunct w:val="0"/>
        <w:autoSpaceDE/>
        <w:autoSpaceDN/>
        <w:bidi w:val="0"/>
        <w:adjustRightInd w:val="0"/>
        <w:snapToGrid/>
        <w:spacing w:before="0" w:line="288" w:lineRule="auto"/>
        <w:ind w:firstLine="422"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合同履约期限：</w:t>
      </w:r>
      <w:r>
        <w:rPr>
          <w:rFonts w:hint="eastAsia" w:ascii="宋体" w:hAnsi="宋体" w:cs="宋体"/>
          <w:b/>
          <w:color w:val="auto"/>
          <w:sz w:val="21"/>
          <w:szCs w:val="21"/>
          <w:highlight w:val="none"/>
          <w:lang w:eastAsia="zh-CN"/>
        </w:rPr>
        <w:t>2025年</w:t>
      </w:r>
      <w:r>
        <w:rPr>
          <w:rFonts w:hint="eastAsia" w:ascii="宋体" w:hAnsi="宋体" w:cs="宋体"/>
          <w:b/>
          <w:color w:val="auto"/>
          <w:sz w:val="21"/>
          <w:szCs w:val="21"/>
          <w:highlight w:val="none"/>
          <w:lang w:val="en-US" w:eastAsia="zh-CN"/>
        </w:rPr>
        <w:t>2</w:t>
      </w:r>
      <w:r>
        <w:rPr>
          <w:rFonts w:hint="eastAsia" w:ascii="宋体" w:hAnsi="宋体" w:cs="宋体"/>
          <w:b/>
          <w:color w:val="auto"/>
          <w:sz w:val="21"/>
          <w:szCs w:val="21"/>
          <w:highlight w:val="none"/>
          <w:lang w:eastAsia="zh-CN"/>
        </w:rPr>
        <w:t>月-202</w:t>
      </w:r>
      <w:r>
        <w:rPr>
          <w:rFonts w:hint="eastAsia" w:ascii="宋体" w:hAnsi="宋体" w:cs="宋体"/>
          <w:b/>
          <w:color w:val="auto"/>
          <w:sz w:val="21"/>
          <w:szCs w:val="21"/>
          <w:highlight w:val="none"/>
          <w:lang w:val="en-US" w:eastAsia="zh-CN"/>
        </w:rPr>
        <w:t>6</w:t>
      </w:r>
      <w:r>
        <w:rPr>
          <w:rFonts w:hint="eastAsia" w:ascii="宋体" w:hAnsi="宋体" w:cs="宋体"/>
          <w:b/>
          <w:color w:val="auto"/>
          <w:sz w:val="21"/>
          <w:szCs w:val="21"/>
          <w:highlight w:val="none"/>
          <w:lang w:eastAsia="zh-CN"/>
        </w:rPr>
        <w:t>年2月</w:t>
      </w:r>
    </w:p>
    <w:p w14:paraId="30A43E98">
      <w:pPr>
        <w:pStyle w:val="7"/>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本项目接受联合体投标：</w:t>
      </w:r>
      <w:r>
        <w:rPr>
          <w:rFonts w:hint="eastAsia" w:ascii="宋体" w:hAnsi="宋体" w:eastAsia="宋体" w:cs="宋体"/>
          <w:color w:val="auto"/>
          <w:kern w:val="0"/>
          <w:sz w:val="21"/>
          <w:szCs w:val="21"/>
          <w:highlight w:val="none"/>
        </w:rPr>
        <w:t xml:space="preserve"> </w:t>
      </w:r>
      <w:sdt>
        <w:sdtPr>
          <w:rPr>
            <w:rFonts w:hint="eastAsia" w:ascii="宋体" w:hAnsi="宋体" w:eastAsia="宋体" w:cs="宋体"/>
            <w:color w:val="auto"/>
            <w:kern w:val="0"/>
            <w:sz w:val="21"/>
            <w:szCs w:val="21"/>
            <w:highlight w:val="none"/>
          </w:rPr>
          <w:id w:val="-441836950"/>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b/>
          <w:color w:val="auto"/>
          <w:sz w:val="21"/>
          <w:szCs w:val="21"/>
          <w:highlight w:val="none"/>
        </w:rPr>
        <w:t>是；</w:t>
      </w:r>
      <w:sdt>
        <w:sdtPr>
          <w:rPr>
            <w:rFonts w:hint="eastAsia" w:ascii="宋体" w:hAnsi="宋体" w:eastAsia="宋体" w:cs="宋体"/>
            <w:color w:val="auto"/>
            <w:kern w:val="0"/>
            <w:sz w:val="21"/>
            <w:szCs w:val="21"/>
            <w:highlight w:val="none"/>
          </w:rPr>
          <w:id w:val="-159162419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143C5BDF">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7219D40E">
      <w:pPr>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23828B2">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 xml:space="preserve">    2.</w:t>
      </w:r>
      <w:r>
        <w:rPr>
          <w:rFonts w:hint="eastAsia" w:ascii="宋体" w:hAnsi="宋体" w:eastAsia="宋体" w:cs="宋体"/>
          <w:color w:val="auto"/>
          <w:sz w:val="21"/>
          <w:szCs w:val="21"/>
          <w:highlight w:val="none"/>
        </w:rPr>
        <w:t xml:space="preserve"> </w:t>
      </w:r>
      <w:r>
        <w:rPr>
          <w:rFonts w:hint="eastAsia" w:ascii="宋体" w:hAnsi="宋体" w:eastAsia="宋体" w:cs="宋体"/>
          <w:snapToGrid w:val="0"/>
          <w:color w:val="auto"/>
          <w:kern w:val="28"/>
          <w:sz w:val="21"/>
          <w:szCs w:val="21"/>
          <w:highlight w:val="none"/>
        </w:rPr>
        <w:t>以联合体形式投标的，提供联合协议(本项目不接受联合体投标或者投标人不以联合体形式投标的，则不需要提供) ；</w:t>
      </w:r>
    </w:p>
    <w:p w14:paraId="4EB3ADCF">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3.落实政府采购政策需满足的资格要求：</w:t>
      </w:r>
    </w:p>
    <w:p w14:paraId="4A95C8A9">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sz w:val="21"/>
          <w:szCs w:val="21"/>
          <w:highlight w:val="none"/>
        </w:rPr>
        <w:t>无</w:t>
      </w:r>
      <w:r>
        <w:rPr>
          <w:rFonts w:hint="eastAsia" w:ascii="宋体" w:hAnsi="宋体" w:eastAsia="宋体" w:cs="宋体"/>
          <w:snapToGrid w:val="0"/>
          <w:color w:val="auto"/>
          <w:kern w:val="28"/>
          <w:sz w:val="21"/>
          <w:szCs w:val="21"/>
          <w:highlight w:val="none"/>
        </w:rPr>
        <w:t>（注：不得限制大中型企业与小微企业组成联合体参与投标）；</w:t>
      </w:r>
    </w:p>
    <w:p w14:paraId="78A647E4">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专</w:t>
      </w:r>
      <w:r>
        <w:rPr>
          <w:rFonts w:hint="eastAsia" w:ascii="宋体" w:hAnsi="宋体" w:eastAsia="宋体" w:cs="宋体"/>
          <w:color w:val="auto"/>
          <w:sz w:val="21"/>
          <w:szCs w:val="21"/>
          <w:highlight w:val="none"/>
        </w:rPr>
        <w:t>门面向中小企业</w:t>
      </w:r>
    </w:p>
    <w:p w14:paraId="114DD9AA">
      <w:pPr>
        <w:keepNext w:val="0"/>
        <w:keepLines w:val="0"/>
        <w:pageBreakBefore w:val="0"/>
        <w:kinsoku/>
        <w:wordWrap/>
        <w:overflowPunct/>
        <w:topLinePunct w:val="0"/>
        <w:autoSpaceDE/>
        <w:autoSpaceDN/>
        <w:bidi w:val="0"/>
        <w:spacing w:line="288" w:lineRule="auto"/>
        <w:ind w:firstLine="785" w:firstLineChars="374"/>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33685401"/>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服务全部由符合政策要求的中小企业承接，提供中小企业声明函；</w:t>
      </w:r>
    </w:p>
    <w:p w14:paraId="3C2ADB98">
      <w:pPr>
        <w:keepNext w:val="0"/>
        <w:keepLines w:val="0"/>
        <w:pageBreakBefore w:val="0"/>
        <w:kinsoku/>
        <w:wordWrap/>
        <w:overflowPunct/>
        <w:topLinePunct w:val="0"/>
        <w:autoSpaceDE/>
        <w:autoSpaceDN/>
        <w:bidi w:val="0"/>
        <w:spacing w:line="288" w:lineRule="auto"/>
        <w:ind w:firstLine="785" w:firstLineChars="374"/>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服务全部由符合政策要求的小微企业承接，提供中小企业声明函；</w:t>
      </w:r>
    </w:p>
    <w:p w14:paraId="1ACF4F4B">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要求以联合体形式参加，提供联合协议和中小企业声明函，联合协议中中小企业合同金额应当达到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%，其中小微企业合同金额应当达到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1"/>
          <w:szCs w:val="21"/>
          <w:highlight w:val="none"/>
        </w:rPr>
        <w:t>；</w:t>
      </w:r>
    </w:p>
    <w:p w14:paraId="2304AED6">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要求合同分包，提供分包意向协议和中小企业声明函，分包意向协议中中小企业合同金额应当达到达到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，其中小微企业合同金额应当达到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1"/>
          <w:szCs w:val="21"/>
          <w:highlight w:val="none"/>
        </w:rPr>
        <w:t>；</w:t>
      </w:r>
    </w:p>
    <w:p w14:paraId="0BB64D36">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4.本项目的特定资格要求：无；</w:t>
      </w:r>
    </w:p>
    <w:p w14:paraId="74294004">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EFC5A9">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三、获取招标文件 </w:t>
      </w:r>
    </w:p>
    <w:p w14:paraId="1EE7461C">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，每天上午00:00至12:00 ，下午12:00至23:59（北京时间，线上获取法定节假日均可，线下获取文件法定节假日除外）</w:t>
      </w:r>
    </w:p>
    <w:p w14:paraId="14D2A0C0">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 xml:space="preserve">政采云平台（https://www.zcygov.cn/） </w:t>
      </w:r>
    </w:p>
    <w:p w14:paraId="0D8312CA">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7DCE526D">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14:paraId="470605EC">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14:paraId="53D518E1">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提交投标文件截止时间：</w:t>
      </w:r>
      <w:r>
        <w:rPr>
          <w:rFonts w:hint="eastAsia" w:ascii="宋体" w:hAnsi="宋体" w:eastAsia="宋体" w:cs="宋体"/>
          <w:color w:val="auto"/>
          <w:sz w:val="21"/>
          <w:szCs w:val="21"/>
          <w:highlight w:val="none"/>
          <w:u w:val="single"/>
        </w:rPr>
        <w:t xml:space="preserve"> 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分00秒</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14:paraId="4F47D298">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投标地点（网址）：</w:t>
      </w:r>
      <w:r>
        <w:rPr>
          <w:rFonts w:hint="eastAsia" w:ascii="宋体" w:hAnsi="宋体" w:eastAsia="宋体" w:cs="宋体"/>
          <w:color w:val="auto"/>
          <w:sz w:val="21"/>
          <w:szCs w:val="21"/>
          <w:highlight w:val="none"/>
        </w:rPr>
        <w:t xml:space="preserve">政采云平台（https://www.zcygov.cn/） </w:t>
      </w:r>
    </w:p>
    <w:p w14:paraId="7978D14C">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分00秒</w:t>
      </w:r>
      <w:r>
        <w:rPr>
          <w:rFonts w:hint="eastAsia" w:ascii="宋体" w:hAnsi="宋体" w:eastAsia="宋体" w:cs="宋体"/>
          <w:bCs/>
          <w:color w:val="auto"/>
          <w:sz w:val="21"/>
          <w:szCs w:val="21"/>
          <w:highlight w:val="none"/>
          <w:u w:val="single"/>
        </w:rPr>
        <w:t xml:space="preserve">  </w:t>
      </w:r>
    </w:p>
    <w:p w14:paraId="5002073B">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开标地点（网址）：</w:t>
      </w:r>
      <w:r>
        <w:rPr>
          <w:rFonts w:hint="eastAsia" w:ascii="宋体" w:hAnsi="宋体" w:eastAsia="宋体" w:cs="宋体"/>
          <w:color w:val="auto"/>
          <w:sz w:val="21"/>
          <w:szCs w:val="21"/>
          <w:highlight w:val="none"/>
        </w:rPr>
        <w:t>政采云平台（https://www.zcygov.cn/）</w:t>
      </w:r>
    </w:p>
    <w:p w14:paraId="69118A59">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1AA2CE39">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743212EC">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742F6735">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CE6B8FB">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F46681">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E61CF8">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1E3ACC8">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451415DC">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03CC20ED">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中共杭州市钱塘区委宣传部</w:t>
      </w:r>
      <w:r>
        <w:rPr>
          <w:rFonts w:hint="eastAsia" w:ascii="宋体" w:hAnsi="宋体" w:eastAsia="宋体" w:cs="宋体"/>
          <w:color w:val="auto"/>
          <w:sz w:val="21"/>
          <w:szCs w:val="21"/>
          <w:highlight w:val="none"/>
        </w:rPr>
        <w:t xml:space="preserve"> </w:t>
      </w:r>
    </w:p>
    <w:p w14:paraId="5C19D380">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址：杭州市钱塘区青六北路499号钱塘中心       </w:t>
      </w:r>
    </w:p>
    <w:p w14:paraId="29D63B63">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 /</w:t>
      </w:r>
    </w:p>
    <w:p w14:paraId="73952DE7">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项目联系人（询问）：彭仲莉</w:t>
      </w:r>
    </w:p>
    <w:p w14:paraId="7A1B1251">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项目联系方式（询问）：15869161295  </w:t>
      </w:r>
    </w:p>
    <w:p w14:paraId="51FF3833">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 卢一</w:t>
      </w:r>
    </w:p>
    <w:p w14:paraId="6C051B32">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质疑联系方式：13588881831</w:t>
      </w:r>
    </w:p>
    <w:p w14:paraId="25F40E48">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2.采购代理机构信息            </w:t>
      </w:r>
    </w:p>
    <w:p w14:paraId="7DC95BCB">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浙江求是招标代理有限公司</w:t>
      </w:r>
    </w:p>
    <w:p w14:paraId="1C349A7B">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Times New Roman"/>
          <w:color w:val="auto"/>
          <w:szCs w:val="21"/>
          <w:highlight w:val="none"/>
        </w:rPr>
        <w:t>杭州市西湖区玉古路173号中田大厦21楼</w:t>
      </w:r>
    </w:p>
    <w:p w14:paraId="763D7B08">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14:paraId="7DD3214C">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cs="宋体"/>
          <w:color w:val="auto"/>
          <w:sz w:val="21"/>
          <w:szCs w:val="21"/>
          <w:highlight w:val="none"/>
          <w:lang w:val="en-US" w:eastAsia="zh-CN"/>
        </w:rPr>
        <w:t>李聪、陈培特</w:t>
      </w:r>
      <w:r>
        <w:rPr>
          <w:rFonts w:hint="eastAsia" w:ascii="宋体" w:hAnsi="宋体" w:eastAsia="宋体" w:cs="宋体"/>
          <w:color w:val="auto"/>
          <w:sz w:val="21"/>
          <w:szCs w:val="21"/>
          <w:highlight w:val="none"/>
        </w:rPr>
        <w:t xml:space="preserve"> </w:t>
      </w:r>
    </w:p>
    <w:p w14:paraId="43D337B0">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w:t>
      </w:r>
      <w:r>
        <w:rPr>
          <w:rFonts w:hint="eastAsia" w:ascii="宋体" w:hAnsi="宋体" w:cs="宋体"/>
          <w:color w:val="auto"/>
          <w:sz w:val="21"/>
          <w:szCs w:val="21"/>
          <w:highlight w:val="none"/>
          <w:lang w:val="en-US" w:eastAsia="zh-CN"/>
        </w:rPr>
        <w:t>0571-87666115</w:t>
      </w:r>
    </w:p>
    <w:p w14:paraId="4C29F5C6">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w:t>
      </w:r>
      <w:r>
        <w:rPr>
          <w:rFonts w:hint="eastAsia" w:ascii="宋体" w:hAnsi="宋体" w:cs="宋体"/>
          <w:color w:val="auto"/>
          <w:sz w:val="21"/>
          <w:szCs w:val="21"/>
          <w:highlight w:val="none"/>
          <w:lang w:val="en-US" w:eastAsia="zh-CN"/>
        </w:rPr>
        <w:t>周安琪</w:t>
      </w:r>
      <w:r>
        <w:rPr>
          <w:rFonts w:hint="eastAsia" w:ascii="宋体" w:hAnsi="宋体" w:eastAsia="宋体" w:cs="宋体"/>
          <w:color w:val="auto"/>
          <w:sz w:val="21"/>
          <w:szCs w:val="21"/>
          <w:highlight w:val="none"/>
        </w:rPr>
        <w:t xml:space="preserve"> </w:t>
      </w:r>
    </w:p>
    <w:p w14:paraId="617C5C4C">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r>
        <w:rPr>
          <w:rFonts w:hint="eastAsia" w:ascii="宋体" w:hAnsi="宋体" w:eastAsia="宋体" w:cs="Times New Roman"/>
          <w:color w:val="auto"/>
          <w:szCs w:val="21"/>
          <w:highlight w:val="none"/>
        </w:rPr>
        <w:t>0571-81110356</w:t>
      </w:r>
    </w:p>
    <w:p w14:paraId="73E22DDB">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3.同级政府采购监督管理部门            </w:t>
      </w:r>
    </w:p>
    <w:p w14:paraId="5DDCE645">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称：杭州市钱塘区财政局 /浙江省政府采购行政裁决服务中心（杭州）</w:t>
      </w:r>
    </w:p>
    <w:p w14:paraId="13928994">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Times New Roman"/>
          <w:color w:val="auto"/>
          <w:spacing w:val="-6"/>
          <w:szCs w:val="21"/>
          <w:highlight w:val="none"/>
        </w:rPr>
        <w:t>杭州市上城区清泰街549号城建综合大楼11楼（快递仅限ems或顺丰）</w:t>
      </w:r>
    </w:p>
    <w:p w14:paraId="66AAE5D1">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 /</w:t>
      </w:r>
    </w:p>
    <w:p w14:paraId="77CB80D5">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 ：朱女士、王女士</w:t>
      </w:r>
    </w:p>
    <w:p w14:paraId="1579682F">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w:t>
      </w:r>
      <w:r>
        <w:rPr>
          <w:rFonts w:hint="eastAsia" w:ascii="宋体" w:hAnsi="宋体" w:eastAsia="宋体" w:cs="Times New Roman"/>
          <w:color w:val="auto"/>
          <w:spacing w:val="-6"/>
          <w:szCs w:val="21"/>
          <w:highlight w:val="none"/>
        </w:rPr>
        <w:t>0571-87227671,0571-87800218</w:t>
      </w:r>
      <w:r>
        <w:rPr>
          <w:rFonts w:hint="eastAsia" w:ascii="宋体" w:hAnsi="宋体" w:eastAsia="宋体" w:cs="宋体"/>
          <w:color w:val="auto"/>
          <w:sz w:val="21"/>
          <w:szCs w:val="21"/>
          <w:highlight w:val="none"/>
        </w:rPr>
        <w:t xml:space="preserve">   </w:t>
      </w:r>
    </w:p>
    <w:p w14:paraId="774AD84F">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0A3002B5">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0AB15BC2">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D841BD3">
      <w:pPr>
        <w:adjustRightInd/>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第二部分</w:t>
      </w:r>
      <w:bookmarkEnd w:id="8"/>
      <w:r>
        <w:rPr>
          <w:rFonts w:hint="eastAsia" w:ascii="宋体" w:hAnsi="宋体" w:cs="宋体"/>
          <w:b/>
          <w:color w:val="auto"/>
          <w:sz w:val="32"/>
          <w:szCs w:val="32"/>
          <w:highlight w:val="none"/>
        </w:rPr>
        <w:t xml:space="preserve"> 投标人须知</w:t>
      </w:r>
      <w:bookmarkEnd w:id="9"/>
    </w:p>
    <w:p w14:paraId="042C3E15">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前附表</w:t>
      </w:r>
    </w:p>
    <w:tbl>
      <w:tblPr>
        <w:tblStyle w:val="62"/>
        <w:tblW w:w="9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95"/>
        <w:gridCol w:w="2037"/>
        <w:gridCol w:w="6736"/>
      </w:tblGrid>
      <w:tr w14:paraId="2CAC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95" w:type="dxa"/>
            <w:vAlign w:val="center"/>
          </w:tcPr>
          <w:p w14:paraId="717D6DC3">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37" w:type="dxa"/>
            <w:vAlign w:val="center"/>
          </w:tcPr>
          <w:p w14:paraId="16D59268">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736" w:type="dxa"/>
            <w:vAlign w:val="center"/>
          </w:tcPr>
          <w:p w14:paraId="2CC536EE">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6950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 w:hRule="atLeast"/>
          <w:tblHeader/>
        </w:trPr>
        <w:tc>
          <w:tcPr>
            <w:tcW w:w="695" w:type="dxa"/>
            <w:vAlign w:val="center"/>
          </w:tcPr>
          <w:p w14:paraId="4227F0EF">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3FA95120">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37" w:type="dxa"/>
            <w:vAlign w:val="center"/>
          </w:tcPr>
          <w:p w14:paraId="59538CE0">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p>
        </w:tc>
        <w:tc>
          <w:tcPr>
            <w:tcW w:w="6736" w:type="dxa"/>
            <w:vAlign w:val="center"/>
          </w:tcPr>
          <w:p w14:paraId="450468FB">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服务类。</w:t>
            </w:r>
          </w:p>
        </w:tc>
      </w:tr>
      <w:tr w14:paraId="42DC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5" w:hRule="atLeast"/>
          <w:tblHeader/>
        </w:trPr>
        <w:tc>
          <w:tcPr>
            <w:tcW w:w="695" w:type="dxa"/>
            <w:vAlign w:val="center"/>
          </w:tcPr>
          <w:p w14:paraId="12BD7203">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6A9DF3C3">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37" w:type="dxa"/>
            <w:vAlign w:val="center"/>
          </w:tcPr>
          <w:p w14:paraId="3B411726">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采购标的及其对应的中小企业划分标准所属行业</w:t>
            </w:r>
          </w:p>
        </w:tc>
        <w:tc>
          <w:tcPr>
            <w:tcW w:w="6736" w:type="dxa"/>
            <w:vAlign w:val="center"/>
          </w:tcPr>
          <w:p w14:paraId="5AD97AEA">
            <w:pPr>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（1）标的：</w:t>
            </w:r>
            <w:r>
              <w:rPr>
                <w:rFonts w:hint="eastAsia" w:ascii="宋体" w:hAnsi="宋体" w:cs="宋体"/>
                <w:color w:val="auto"/>
                <w:kern w:val="0"/>
                <w:sz w:val="21"/>
                <w:szCs w:val="21"/>
                <w:highlight w:val="none"/>
                <w:u w:val="single"/>
                <w:lang w:eastAsia="zh-CN"/>
              </w:rPr>
              <w:t>社会热点信息报送服务项目(重新招标)</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rPr>
              <w:t>租赁和商务服务业</w:t>
            </w:r>
            <w:r>
              <w:rPr>
                <w:rFonts w:hint="eastAsia" w:ascii="宋体" w:hAnsi="宋体" w:cs="宋体"/>
                <w:color w:val="auto"/>
                <w:kern w:val="0"/>
                <w:sz w:val="21"/>
                <w:szCs w:val="21"/>
                <w:highlight w:val="none"/>
                <w:lang w:val="en-US" w:eastAsia="zh-CN"/>
              </w:rPr>
              <w:t>行业</w:t>
            </w:r>
            <w:r>
              <w:rPr>
                <w:rFonts w:hint="eastAsia" w:ascii="宋体" w:hAnsi="宋体" w:eastAsia="宋体" w:cs="宋体"/>
                <w:color w:val="auto"/>
                <w:kern w:val="0"/>
                <w:sz w:val="21"/>
                <w:szCs w:val="21"/>
                <w:highlight w:val="none"/>
              </w:rPr>
              <w:t>；</w:t>
            </w:r>
          </w:p>
          <w:p w14:paraId="52FA557F">
            <w:pPr>
              <w:pStyle w:val="5"/>
              <w:pageBreakBefore w:val="0"/>
              <w:widowControl w:val="0"/>
              <w:kinsoku/>
              <w:wordWrap/>
              <w:overflowPunct/>
              <w:topLinePunct w:val="0"/>
              <w:autoSpaceDE/>
              <w:autoSpaceDN/>
              <w:bidi w:val="0"/>
              <w:spacing w:line="288" w:lineRule="auto"/>
              <w:ind w:left="0" w:leftChars="0"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中小企业划型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578E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5" w:hRule="atLeast"/>
          <w:tblHeader/>
        </w:trPr>
        <w:tc>
          <w:tcPr>
            <w:tcW w:w="695" w:type="dxa"/>
            <w:vAlign w:val="center"/>
          </w:tcPr>
          <w:p w14:paraId="1CE3E2F9">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73AF0F7F">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4205BB52">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37" w:type="dxa"/>
            <w:vAlign w:val="center"/>
          </w:tcPr>
          <w:p w14:paraId="242D341B">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736" w:type="dxa"/>
            <w:vAlign w:val="center"/>
          </w:tcPr>
          <w:p w14:paraId="236F866F">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color w:val="auto"/>
                <w:kern w:val="0"/>
                <w:sz w:val="21"/>
                <w:szCs w:val="21"/>
                <w:highlight w:val="none"/>
              </w:rPr>
              <w:t>本项目不允许采购进口产品。</w:t>
            </w:r>
          </w:p>
          <w:p w14:paraId="0055B7E1">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097E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5" w:hRule="atLeast"/>
          <w:tblHeader/>
        </w:trPr>
        <w:tc>
          <w:tcPr>
            <w:tcW w:w="695" w:type="dxa"/>
            <w:vAlign w:val="center"/>
          </w:tcPr>
          <w:p w14:paraId="2C6974B6">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037" w:type="dxa"/>
            <w:vAlign w:val="center"/>
          </w:tcPr>
          <w:p w14:paraId="59102CCA">
            <w:pPr>
              <w:pageBreakBefore w:val="0"/>
              <w:widowControl w:val="0"/>
              <w:kinsoku/>
              <w:wordWrap/>
              <w:overflowPunct/>
              <w:topLinePunct w:val="0"/>
              <w:autoSpaceDE/>
              <w:autoSpaceDN/>
              <w:bidi w:val="0"/>
              <w:snapToGrid w:val="0"/>
              <w:spacing w:line="288" w:lineRule="auto"/>
              <w:ind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736" w:type="dxa"/>
            <w:vAlign w:val="center"/>
          </w:tcPr>
          <w:p w14:paraId="4E0199A9">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工作分包。</w:t>
            </w:r>
          </w:p>
          <w:p w14:paraId="20096F7B">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理由：为保障项目整体性、一致性</w:t>
            </w:r>
            <w:r>
              <w:rPr>
                <w:rFonts w:hint="eastAsia" w:ascii="宋体" w:hAnsi="宋体" w:cs="宋体"/>
                <w:color w:val="auto"/>
                <w:sz w:val="21"/>
                <w:szCs w:val="21"/>
                <w:highlight w:val="none"/>
                <w:lang w:eastAsia="zh-CN"/>
              </w:rPr>
              <w:t>）</w:t>
            </w:r>
          </w:p>
          <w:p w14:paraId="01564F3B">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215E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5" w:hRule="atLeast"/>
          <w:tblHeader/>
        </w:trPr>
        <w:tc>
          <w:tcPr>
            <w:tcW w:w="695" w:type="dxa"/>
            <w:vAlign w:val="center"/>
          </w:tcPr>
          <w:p w14:paraId="13EDB9EB">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0D2989FD">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3D6FB638">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037" w:type="dxa"/>
            <w:vAlign w:val="center"/>
          </w:tcPr>
          <w:p w14:paraId="19CFDB76">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6736" w:type="dxa"/>
            <w:vAlign w:val="center"/>
          </w:tcPr>
          <w:p w14:paraId="0B745507">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42450347">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09A1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95" w:type="dxa"/>
            <w:vAlign w:val="center"/>
          </w:tcPr>
          <w:p w14:paraId="0AF2E06A">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4256FCBB">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57C65125">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245E5D40">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74540B57">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65776259">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2DFA2D39">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4D53A758">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1B2B9B24">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030FC233">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037" w:type="dxa"/>
            <w:vAlign w:val="center"/>
          </w:tcPr>
          <w:p w14:paraId="48940B3E">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736" w:type="dxa"/>
            <w:vAlign w:val="center"/>
          </w:tcPr>
          <w:p w14:paraId="133E1FC3">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13F51C86">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B要求提供，</w:t>
            </w:r>
          </w:p>
          <w:p w14:paraId="561A125A">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03CAB70C">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8E33D79">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0AF2BF1F">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w:t>
            </w:r>
            <w:sdt>
              <w:sdtPr>
                <w:rPr>
                  <w:rFonts w:hint="eastAsia" w:ascii="宋体" w:hAnsi="宋体" w:eastAsia="宋体" w:cs="宋体"/>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否；</w:t>
            </w:r>
            <w:sdt>
              <w:sdtPr>
                <w:rPr>
                  <w:rFonts w:hint="eastAsia" w:ascii="宋体" w:hAnsi="宋体" w:eastAsia="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D2A15B1">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。请投标人在上述时间内提供样品并按规定位置安装完毕。超过截止时间的，采购人或采购代理机构将不予接收，并将清场并封闭样品现场。</w:t>
            </w:r>
          </w:p>
          <w:p w14:paraId="04A058B5">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(6)采购活动结束后，对于未中标人提供的样品，采购人、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将通知未中标人在规定的时间内取回，逾期未取回的，采购人、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不负保管义务；对于中标人提供的样品，采购人将进行保管、封存，并作为履约验收的参考。</w:t>
            </w:r>
          </w:p>
          <w:p w14:paraId="0EC82430">
            <w:pPr>
              <w:pageBreakBefore w:val="0"/>
              <w:widowControl w:val="0"/>
              <w:kinsoku/>
              <w:wordWrap/>
              <w:overflowPunct/>
              <w:topLinePunct w:val="0"/>
              <w:autoSpaceDE/>
              <w:autoSpaceDN/>
              <w:bidi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（7）制作、运输、安装和保管样品所发生的一切费用由投标人自理。</w:t>
            </w:r>
          </w:p>
        </w:tc>
      </w:tr>
      <w:tr w14:paraId="1B2A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95" w:type="dxa"/>
            <w:vAlign w:val="center"/>
          </w:tcPr>
          <w:p w14:paraId="530F4510">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789AE575">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12129937">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45DE4C32">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77D11549">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78217B32">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7ECB83FA">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72F5D875">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419788D1">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037" w:type="dxa"/>
            <w:vAlign w:val="center"/>
          </w:tcPr>
          <w:p w14:paraId="3B3602F3">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736" w:type="dxa"/>
            <w:vAlign w:val="center"/>
          </w:tcPr>
          <w:p w14:paraId="327D7E70">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5E1E8ED0">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p>
          <w:p w14:paraId="7C4F8430">
            <w:pPr>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（1）在评标时安排每个投标人进行方案讲解演示。每个投标人时间不超过</w:t>
            </w:r>
            <w:r>
              <w:rPr>
                <w:rFonts w:hint="eastAsia" w:ascii="宋体" w:hAnsi="宋体" w:eastAsia="宋体" w:cs="宋体"/>
                <w:color w:val="auto"/>
                <w:kern w:val="0"/>
                <w:sz w:val="21"/>
                <w:szCs w:val="21"/>
                <w:highlight w:val="none"/>
                <w:u w:val="single"/>
              </w:rPr>
              <w:t>20</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分钟，讲解次序以投标文件解密时间先后次序为准，讲解演示人员不超过</w:t>
            </w:r>
            <w:r>
              <w:rPr>
                <w:rFonts w:hint="eastAsia" w:ascii="宋体" w:hAnsi="宋体" w:eastAsia="宋体" w:cs="宋体"/>
                <w:color w:val="auto"/>
                <w:kern w:val="0"/>
                <w:sz w:val="21"/>
                <w:szCs w:val="21"/>
                <w:highlight w:val="none"/>
                <w:u w:val="single"/>
              </w:rPr>
              <w:t>3</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人。讲解演示结束后按要求解答评标委员会提问。</w:t>
            </w:r>
          </w:p>
          <w:p w14:paraId="0915ECD0">
            <w:pPr>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（2）方案讲解演示可选择以下其中一种方式：</w:t>
            </w:r>
          </w:p>
          <w:p w14:paraId="61BC43BD">
            <w:pPr>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方式一：政采云平台在线讲解演示。政采云平台在线讲解需投标人根据政采云平台操作要求做好准备工作，提前完善软硬件配置环境。</w:t>
            </w:r>
          </w:p>
          <w:p w14:paraId="539FF5DF">
            <w:pPr>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方式二：交易中心现场讲解演示。现场讲解地点为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1435B02E">
            <w:pPr>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1CE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95" w:type="dxa"/>
            <w:vMerge w:val="restart"/>
            <w:vAlign w:val="center"/>
          </w:tcPr>
          <w:p w14:paraId="497B5AEF">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433D2694">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0B69009C">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037" w:type="dxa"/>
            <w:vMerge w:val="restart"/>
            <w:vAlign w:val="center"/>
          </w:tcPr>
          <w:p w14:paraId="3A0EC2B0">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投标人应当提供的资格、资信证明文件</w:t>
            </w:r>
          </w:p>
        </w:tc>
        <w:tc>
          <w:tcPr>
            <w:tcW w:w="6736" w:type="dxa"/>
            <w:vAlign w:val="center"/>
          </w:tcPr>
          <w:p w14:paraId="51803FB2">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（1）资格证明文件：见招标文件第二部分11.1。</w:t>
            </w:r>
          </w:p>
          <w:p w14:paraId="52D63219">
            <w:pPr>
              <w:pageBreakBefore w:val="0"/>
              <w:widowControl w:val="0"/>
              <w:kinsoku/>
              <w:wordWrap/>
              <w:overflowPunct/>
              <w:topLinePunct w:val="0"/>
              <w:autoSpaceDE/>
              <w:autoSpaceDN/>
              <w:bidi w:val="0"/>
              <w:spacing w:line="288" w:lineRule="auto"/>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投标人未提供有效的资格证明文件的，视为投标人不具备招标文件中规定的资格要求，投标无效。</w:t>
            </w:r>
          </w:p>
        </w:tc>
      </w:tr>
      <w:tr w14:paraId="34A6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95" w:type="dxa"/>
            <w:vMerge w:val="continue"/>
            <w:vAlign w:val="center"/>
          </w:tcPr>
          <w:p w14:paraId="70893AFC">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tc>
        <w:tc>
          <w:tcPr>
            <w:tcW w:w="2037" w:type="dxa"/>
            <w:vMerge w:val="continue"/>
            <w:vAlign w:val="center"/>
          </w:tcPr>
          <w:p w14:paraId="4F9D7336">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b/>
                <w:color w:val="auto"/>
                <w:sz w:val="21"/>
                <w:szCs w:val="21"/>
                <w:highlight w:val="none"/>
              </w:rPr>
            </w:pPr>
          </w:p>
        </w:tc>
        <w:tc>
          <w:tcPr>
            <w:tcW w:w="6736" w:type="dxa"/>
            <w:vAlign w:val="center"/>
          </w:tcPr>
          <w:p w14:paraId="5B226434">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（2）资信证明文件：根据招标文件第四部分评标标准提供。</w:t>
            </w:r>
          </w:p>
        </w:tc>
      </w:tr>
      <w:tr w14:paraId="72D5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5" w:type="dxa"/>
            <w:vAlign w:val="center"/>
          </w:tcPr>
          <w:p w14:paraId="30EF2ADE">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68E6E082">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22A2EBA6">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037" w:type="dxa"/>
            <w:vAlign w:val="center"/>
          </w:tcPr>
          <w:p w14:paraId="40C52904">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6736" w:type="dxa"/>
            <w:vAlign w:val="center"/>
          </w:tcPr>
          <w:p w14:paraId="3E51B054">
            <w:pPr>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416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5" w:type="dxa"/>
            <w:vAlign w:val="center"/>
          </w:tcPr>
          <w:p w14:paraId="30FB7E36">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6AB2ECD8">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2437F748">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40EAE2E8">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0CF5DAAC">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2861B9CE">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037" w:type="dxa"/>
            <w:vAlign w:val="center"/>
          </w:tcPr>
          <w:p w14:paraId="6C3948AC">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6736" w:type="dxa"/>
            <w:vAlign w:val="center"/>
          </w:tcPr>
          <w:p w14:paraId="63EDAA95">
            <w:pPr>
              <w:pageBreakBefore w:val="0"/>
              <w:widowControl w:val="0"/>
              <w:kinsoku/>
              <w:wordWrap/>
              <w:overflowPunct/>
              <w:topLinePunct w:val="0"/>
              <w:autoSpaceDE/>
              <w:autoSpaceDN/>
              <w:bidi w:val="0"/>
              <w:snapToGrid w:val="0"/>
              <w:spacing w:line="288" w:lineRule="auto"/>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zh-CN"/>
              </w:rPr>
              <w:t>投标文件</w:t>
            </w:r>
            <w:r>
              <w:rPr>
                <w:rFonts w:hint="eastAsia" w:ascii="宋体" w:hAnsi="宋体" w:eastAsia="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1"/>
                <w:szCs w:val="21"/>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1"/>
                <w:szCs w:val="21"/>
                <w:highlight w:val="none"/>
                <w:lang w:val="zh-CN"/>
              </w:rPr>
              <w:t>提醒：验收时检测费用由采购人承担，不包含在投标总价中。</w:t>
            </w:r>
            <w:r>
              <w:rPr>
                <w:rFonts w:hint="eastAsia" w:ascii="宋体" w:hAnsi="宋体" w:eastAsia="宋体"/>
                <w:color w:val="auto"/>
                <w:szCs w:val="21"/>
                <w:highlight w:val="none"/>
              </w:rPr>
              <w:t>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6B12EF2E">
            <w:pPr>
              <w:pageBreakBefore w:val="0"/>
              <w:widowControl w:val="0"/>
              <w:kinsoku/>
              <w:wordWrap/>
              <w:overflowPunct/>
              <w:topLinePunct w:val="0"/>
              <w:autoSpaceDE/>
              <w:autoSpaceDN/>
              <w:bidi w:val="0"/>
              <w:snapToGrid w:val="0"/>
              <w:spacing w:line="288" w:lineRule="auto"/>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投标报价出现下列情形的，投标无效：</w:t>
            </w:r>
          </w:p>
          <w:p w14:paraId="7F8E527F">
            <w:pPr>
              <w:pageBreakBefore w:val="0"/>
              <w:widowControl w:val="0"/>
              <w:kinsoku/>
              <w:wordWrap/>
              <w:overflowPunct/>
              <w:topLinePunct w:val="0"/>
              <w:autoSpaceDE/>
              <w:autoSpaceDN/>
              <w:bidi w:val="0"/>
              <w:snapToGrid w:val="0"/>
              <w:spacing w:line="288" w:lineRule="auto"/>
              <w:ind w:firstLine="211" w:firstLineChars="10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投标文件出现不是唯一的、有选择性投标报价的；</w:t>
            </w:r>
          </w:p>
          <w:p w14:paraId="39A69589">
            <w:pPr>
              <w:pageBreakBefore w:val="0"/>
              <w:widowControl w:val="0"/>
              <w:kinsoku/>
              <w:wordWrap/>
              <w:overflowPunct/>
              <w:topLinePunct w:val="0"/>
              <w:autoSpaceDE/>
              <w:autoSpaceDN/>
              <w:bidi w:val="0"/>
              <w:snapToGrid w:val="0"/>
              <w:spacing w:line="288" w:lineRule="auto"/>
              <w:ind w:firstLine="211" w:firstLineChars="1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投标报价超过招标文件中规定的预算金额或者最高限价的;</w:t>
            </w:r>
          </w:p>
          <w:p w14:paraId="736F19E1">
            <w:pPr>
              <w:pageBreakBefore w:val="0"/>
              <w:widowControl w:val="0"/>
              <w:kinsoku/>
              <w:wordWrap/>
              <w:overflowPunct/>
              <w:topLinePunct w:val="0"/>
              <w:autoSpaceDE/>
              <w:autoSpaceDN/>
              <w:bidi w:val="0"/>
              <w:spacing w:line="288" w:lineRule="auto"/>
              <w:ind w:firstLine="211" w:firstLineChars="1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3A3A9CBE">
            <w:pPr>
              <w:pageBreakBefore w:val="0"/>
              <w:widowControl w:val="0"/>
              <w:kinsoku/>
              <w:wordWrap/>
              <w:overflowPunct/>
              <w:topLinePunct w:val="0"/>
              <w:autoSpaceDE/>
              <w:autoSpaceDN/>
              <w:bidi w:val="0"/>
              <w:spacing w:line="288" w:lineRule="auto"/>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投标人对根据修正原则修正后的报价不确认的</w:t>
            </w:r>
            <w:r>
              <w:rPr>
                <w:rFonts w:hint="eastAsia" w:ascii="宋体" w:hAnsi="宋体" w:eastAsia="宋体" w:cs="宋体"/>
                <w:b/>
                <w:color w:val="auto"/>
                <w:sz w:val="21"/>
                <w:szCs w:val="21"/>
                <w:highlight w:val="none"/>
              </w:rPr>
              <w:t>。</w:t>
            </w:r>
          </w:p>
        </w:tc>
      </w:tr>
      <w:tr w14:paraId="67C0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48" w:hRule="atLeast"/>
          <w:tblHeader/>
        </w:trPr>
        <w:tc>
          <w:tcPr>
            <w:tcW w:w="695" w:type="dxa"/>
            <w:vMerge w:val="restart"/>
            <w:vAlign w:val="center"/>
          </w:tcPr>
          <w:p w14:paraId="582E0452">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p w14:paraId="2ADE0E3E">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037" w:type="dxa"/>
            <w:vMerge w:val="restart"/>
            <w:vAlign w:val="center"/>
          </w:tcPr>
          <w:p w14:paraId="47DF4612">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6736" w:type="dxa"/>
            <w:vAlign w:val="center"/>
          </w:tcPr>
          <w:p w14:paraId="00A7A784">
            <w:pPr>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6256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48" w:hRule="atLeast"/>
          <w:tblHeader/>
        </w:trPr>
        <w:tc>
          <w:tcPr>
            <w:tcW w:w="695" w:type="dxa"/>
            <w:vMerge w:val="continue"/>
            <w:vAlign w:val="center"/>
          </w:tcPr>
          <w:p w14:paraId="3CDC4DB1">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tc>
        <w:tc>
          <w:tcPr>
            <w:tcW w:w="2037" w:type="dxa"/>
            <w:vMerge w:val="continue"/>
            <w:vAlign w:val="center"/>
          </w:tcPr>
          <w:p w14:paraId="786A31F4">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b/>
                <w:color w:val="auto"/>
                <w:sz w:val="21"/>
                <w:szCs w:val="21"/>
                <w:highlight w:val="none"/>
              </w:rPr>
            </w:pPr>
          </w:p>
        </w:tc>
        <w:tc>
          <w:tcPr>
            <w:tcW w:w="6736" w:type="dxa"/>
            <w:vAlign w:val="center"/>
          </w:tcPr>
          <w:p w14:paraId="400BBBAA">
            <w:pPr>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FB3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4" w:hRule="atLeast"/>
          <w:tblHeader/>
        </w:trPr>
        <w:tc>
          <w:tcPr>
            <w:tcW w:w="695" w:type="dxa"/>
            <w:vAlign w:val="center"/>
          </w:tcPr>
          <w:p w14:paraId="742C20EA">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037" w:type="dxa"/>
            <w:vAlign w:val="center"/>
          </w:tcPr>
          <w:p w14:paraId="293DA211">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备份投标文件送达地点和签收人员</w:t>
            </w:r>
          </w:p>
        </w:tc>
        <w:tc>
          <w:tcPr>
            <w:tcW w:w="6736" w:type="dxa"/>
            <w:vAlign w:val="center"/>
          </w:tcPr>
          <w:p w14:paraId="6D25A620">
            <w:pPr>
              <w:pStyle w:val="33"/>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备份投标文件送达地点：</w:t>
            </w:r>
            <w:r>
              <w:rPr>
                <w:rFonts w:hint="eastAsia" w:hAnsi="宋体" w:cs="宋体"/>
                <w:color w:val="auto"/>
                <w:highlight w:val="none"/>
                <w:u w:val="single"/>
              </w:rPr>
              <w:t>杭州市西湖区玉古路173号中田大厦21楼H室</w:t>
            </w:r>
            <w:r>
              <w:rPr>
                <w:rFonts w:hint="eastAsia" w:ascii="宋体" w:hAnsi="宋体" w:eastAsia="宋体" w:cs="宋体"/>
                <w:color w:val="auto"/>
                <w:kern w:val="28"/>
                <w:sz w:val="21"/>
                <w:szCs w:val="21"/>
                <w:highlight w:val="none"/>
              </w:rPr>
              <w:t>；备份投标文件签收人员联系电话：</w:t>
            </w:r>
            <w:r>
              <w:rPr>
                <w:rFonts w:hint="eastAsia" w:hAnsi="宋体" w:cs="宋体"/>
                <w:color w:val="auto"/>
                <w:sz w:val="21"/>
                <w:szCs w:val="21"/>
                <w:highlight w:val="none"/>
                <w:u w:val="single"/>
                <w:lang w:val="en-US" w:eastAsia="zh-CN"/>
              </w:rPr>
              <w:t>陈培特</w:t>
            </w:r>
            <w:r>
              <w:rPr>
                <w:rFonts w:hint="eastAsia" w:ascii="宋体" w:hAnsi="宋体" w:eastAsia="宋体" w:cs="宋体"/>
                <w:color w:val="auto"/>
                <w:sz w:val="21"/>
                <w:szCs w:val="21"/>
                <w:highlight w:val="none"/>
                <w:u w:val="single"/>
              </w:rPr>
              <w:t>（0571-87666115）</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不强制或变相强制投标人提交备份投标文件。</w:t>
            </w:r>
          </w:p>
        </w:tc>
      </w:tr>
      <w:tr w14:paraId="517C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95" w:type="dxa"/>
            <w:vMerge w:val="restart"/>
            <w:vAlign w:val="center"/>
          </w:tcPr>
          <w:p w14:paraId="2DC79BA4">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037" w:type="dxa"/>
            <w:vMerge w:val="restart"/>
            <w:vAlign w:val="center"/>
          </w:tcPr>
          <w:p w14:paraId="69B47519">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6736" w:type="dxa"/>
            <w:vAlign w:val="center"/>
          </w:tcPr>
          <w:p w14:paraId="40C0C21A">
            <w:pPr>
              <w:pageBreakBefore w:val="0"/>
              <w:widowControl w:val="0"/>
              <w:kinsoku/>
              <w:wordWrap/>
              <w:overflowPunct/>
              <w:topLinePunct w:val="0"/>
              <w:autoSpaceDE/>
              <w:autoSpaceDN/>
              <w:bidi w:val="0"/>
              <w:spacing w:line="288" w:lineRule="auto"/>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7128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95" w:type="dxa"/>
            <w:vMerge w:val="continue"/>
            <w:vAlign w:val="center"/>
          </w:tcPr>
          <w:p w14:paraId="3816080D">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p>
        </w:tc>
        <w:tc>
          <w:tcPr>
            <w:tcW w:w="2037" w:type="dxa"/>
            <w:vMerge w:val="continue"/>
            <w:vAlign w:val="center"/>
          </w:tcPr>
          <w:p w14:paraId="2D0BB800">
            <w:pPr>
              <w:pageBreakBefore w:val="0"/>
              <w:widowControl w:val="0"/>
              <w:kinsoku/>
              <w:wordWrap/>
              <w:overflowPunct/>
              <w:topLinePunct w:val="0"/>
              <w:autoSpaceDE/>
              <w:autoSpaceDN/>
              <w:bidi w:val="0"/>
              <w:snapToGrid w:val="0"/>
              <w:spacing w:line="288" w:lineRule="auto"/>
              <w:jc w:val="center"/>
              <w:textAlignment w:val="auto"/>
              <w:rPr>
                <w:rFonts w:hint="eastAsia" w:ascii="宋体" w:hAnsi="宋体" w:eastAsia="宋体" w:cs="宋体"/>
                <w:b/>
                <w:color w:val="auto"/>
                <w:sz w:val="21"/>
                <w:szCs w:val="21"/>
                <w:highlight w:val="none"/>
              </w:rPr>
            </w:pPr>
          </w:p>
        </w:tc>
        <w:tc>
          <w:tcPr>
            <w:tcW w:w="6736" w:type="dxa"/>
            <w:vAlign w:val="center"/>
          </w:tcPr>
          <w:p w14:paraId="3C8EC02C">
            <w:pPr>
              <w:pageBreakBefore w:val="0"/>
              <w:widowControl w:val="0"/>
              <w:kinsoku/>
              <w:wordWrap/>
              <w:overflowPunct/>
              <w:topLinePunct w:val="0"/>
              <w:autoSpaceDE/>
              <w:autoSpaceDN/>
              <w:bidi w:val="0"/>
              <w:spacing w:line="288" w:lineRule="auto"/>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snapToGrid w:val="0"/>
                <w:color w:val="auto"/>
                <w:kern w:val="28"/>
                <w:sz w:val="21"/>
                <w:szCs w:val="21"/>
                <w:highlight w:val="none"/>
              </w:rPr>
              <w:t>联合体投标的，联合体各方均需按招标文件第四部分评标标准要求提供资信证明文件，否则视为不符合相关要求。</w:t>
            </w:r>
          </w:p>
          <w:p w14:paraId="3505BE9F">
            <w:pPr>
              <w:pageBreakBefore w:val="0"/>
              <w:widowControl w:val="0"/>
              <w:kinsoku/>
              <w:wordWrap/>
              <w:overflowPunct/>
              <w:topLinePunct w:val="0"/>
              <w:autoSpaceDE/>
              <w:autoSpaceDN/>
              <w:bidi w:val="0"/>
              <w:spacing w:line="288" w:lineRule="auto"/>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46E0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5" w:hRule="atLeast"/>
          <w:tblHeader/>
        </w:trPr>
        <w:tc>
          <w:tcPr>
            <w:tcW w:w="695" w:type="dxa"/>
            <w:vAlign w:val="center"/>
          </w:tcPr>
          <w:p w14:paraId="1433CA2F">
            <w:pPr>
              <w:pageBreakBefore w:val="0"/>
              <w:widowControl w:val="0"/>
              <w:kinsoku/>
              <w:wordWrap/>
              <w:overflowPunct/>
              <w:topLinePunct w:val="0"/>
              <w:autoSpaceDE/>
              <w:autoSpaceDN/>
              <w:bidi w:val="0"/>
              <w:snapToGrid w:val="0"/>
              <w:spacing w:line="288"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2037" w:type="dxa"/>
            <w:vAlign w:val="center"/>
          </w:tcPr>
          <w:p w14:paraId="7951F588">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cs="宋体"/>
                <w:b/>
                <w:bCs/>
                <w:color w:val="auto"/>
                <w:spacing w:val="-6"/>
                <w:sz w:val="21"/>
                <w:szCs w:val="21"/>
                <w:highlight w:val="none"/>
              </w:rPr>
              <w:t>推荐中标候选人数量</w:t>
            </w:r>
          </w:p>
        </w:tc>
        <w:tc>
          <w:tcPr>
            <w:tcW w:w="6736" w:type="dxa"/>
            <w:vAlign w:val="center"/>
          </w:tcPr>
          <w:p w14:paraId="03E79995">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1"/>
                <w:szCs w:val="21"/>
                <w:highlight w:val="none"/>
              </w:rPr>
            </w:pPr>
            <w:r>
              <w:rPr>
                <w:rFonts w:hint="eastAsia" w:ascii="宋体" w:hAnsi="宋体" w:cs="宋体"/>
                <w:color w:val="auto"/>
                <w:spacing w:val="-6"/>
                <w:sz w:val="21"/>
                <w:szCs w:val="21"/>
                <w:highlight w:val="none"/>
              </w:rPr>
              <w:t>推荐中标候选人数量：</w:t>
            </w:r>
            <w:r>
              <w:rPr>
                <w:rFonts w:hint="eastAsia" w:ascii="宋体" w:hAnsi="宋体" w:cs="宋体"/>
                <w:color w:val="auto"/>
                <w:spacing w:val="-6"/>
                <w:sz w:val="21"/>
                <w:szCs w:val="21"/>
                <w:highlight w:val="none"/>
                <w:u w:val="single"/>
              </w:rPr>
              <w:t>1</w:t>
            </w:r>
            <w:r>
              <w:rPr>
                <w:rFonts w:hint="eastAsia" w:ascii="宋体" w:hAnsi="宋体" w:cs="宋体"/>
                <w:color w:val="auto"/>
                <w:spacing w:val="-6"/>
                <w:sz w:val="21"/>
                <w:szCs w:val="21"/>
                <w:highlight w:val="none"/>
              </w:rPr>
              <w:t>名</w:t>
            </w:r>
          </w:p>
        </w:tc>
      </w:tr>
      <w:tr w14:paraId="5FA0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95" w:type="dxa"/>
            <w:vAlign w:val="center"/>
          </w:tcPr>
          <w:p w14:paraId="293DD18D">
            <w:pPr>
              <w:pageBreakBefore w:val="0"/>
              <w:widowControl w:val="0"/>
              <w:kinsoku/>
              <w:wordWrap/>
              <w:overflowPunct/>
              <w:topLinePunct w:val="0"/>
              <w:autoSpaceDE/>
              <w:autoSpaceDN/>
              <w:bidi w:val="0"/>
              <w:snapToGrid w:val="0"/>
              <w:spacing w:line="288"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2037" w:type="dxa"/>
            <w:vAlign w:val="center"/>
          </w:tcPr>
          <w:p w14:paraId="22040AC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招标代理服务费</w:t>
            </w:r>
          </w:p>
        </w:tc>
        <w:tc>
          <w:tcPr>
            <w:tcW w:w="6736" w:type="dxa"/>
            <w:vAlign w:val="center"/>
          </w:tcPr>
          <w:p w14:paraId="6579829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88" w:lineRule="auto"/>
              <w:ind w:left="0" w:right="0"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1.不论投标结果如何，投标人均应自行承担所有与投标有关的全部费用；</w:t>
            </w:r>
          </w:p>
          <w:p w14:paraId="045956F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88" w:lineRule="auto"/>
              <w:ind w:left="0" w:right="0"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2.中标人在中标通知书发出之日起七个工作日内，向采购代理机构交纳代理服务费；</w:t>
            </w:r>
          </w:p>
          <w:p w14:paraId="770499A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88" w:lineRule="auto"/>
              <w:ind w:left="0" w:right="0"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6132E5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88" w:lineRule="auto"/>
              <w:ind w:left="0" w:right="0" w:firstLine="424" w:firstLineChars="202"/>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pacing w:val="-6"/>
                <w:sz w:val="21"/>
                <w:szCs w:val="21"/>
                <w:highlight w:val="none"/>
              </w:rPr>
              <w:t>收费标准（差额累进）：</w:t>
            </w:r>
          </w:p>
          <w:tbl>
            <w:tblPr>
              <w:tblStyle w:val="6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125"/>
              <w:gridCol w:w="3549"/>
            </w:tblGrid>
            <w:tr w14:paraId="37F9BC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0"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2C1F622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中标金额（万元）</w:t>
                  </w:r>
                </w:p>
              </w:tc>
              <w:tc>
                <w:tcPr>
                  <w:tcW w:w="2660"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48836B9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收费标准（费率，%）</w:t>
                  </w:r>
                </w:p>
              </w:tc>
            </w:tr>
            <w:tr w14:paraId="209A1B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957"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56276FE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3361"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36C2D1B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1.5（不足3000元按3000元计）</w:t>
                  </w:r>
                </w:p>
              </w:tc>
            </w:tr>
            <w:tr w14:paraId="095D41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957"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3EB5183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100-500</w:t>
                  </w:r>
                </w:p>
              </w:tc>
              <w:tc>
                <w:tcPr>
                  <w:tcW w:w="3361"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1D8F6E4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0.8</w:t>
                  </w:r>
                </w:p>
              </w:tc>
            </w:tr>
            <w:tr w14:paraId="3F115E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957"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02193C9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500-1000</w:t>
                  </w:r>
                </w:p>
              </w:tc>
              <w:tc>
                <w:tcPr>
                  <w:tcW w:w="3361"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1C71C03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0.45</w:t>
                  </w:r>
                </w:p>
              </w:tc>
            </w:tr>
          </w:tbl>
          <w:p w14:paraId="1B581C9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88" w:lineRule="auto"/>
              <w:ind w:left="0" w:leftChars="0" w:right="0" w:rightChars="0"/>
              <w:textAlignment w:val="auto"/>
              <w:rPr>
                <w:rFonts w:hint="eastAsia" w:ascii="宋体" w:hAnsi="宋体" w:eastAsia="宋体" w:cs="宋体"/>
                <w:color w:val="auto"/>
                <w:kern w:val="0"/>
                <w:sz w:val="21"/>
                <w:szCs w:val="21"/>
                <w:highlight w:val="none"/>
              </w:rPr>
            </w:pPr>
          </w:p>
        </w:tc>
      </w:tr>
      <w:bookmarkEnd w:id="10"/>
    </w:tbl>
    <w:p w14:paraId="67D76892">
      <w:pPr>
        <w:rPr>
          <w:rFonts w:hint="eastAsia"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19F52305">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一、总则</w:t>
      </w:r>
    </w:p>
    <w:p w14:paraId="2CE05831">
      <w:pPr>
        <w:keepNext w:val="0"/>
        <w:keepLines w:val="0"/>
        <w:pageBreakBefore w:val="0"/>
        <w:widowControl w:val="0"/>
        <w:kinsoku/>
        <w:wordWrap/>
        <w:overflowPunct/>
        <w:topLinePunct w:val="0"/>
        <w:autoSpaceDE/>
        <w:autoSpaceDN/>
        <w:bidi w:val="0"/>
        <w:adjustRightInd w:val="0"/>
        <w:snapToGrid w:val="0"/>
        <w:spacing w:line="288" w:lineRule="auto"/>
        <w:ind w:firstLine="316" w:firstLineChars="15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适用范围</w:t>
      </w:r>
    </w:p>
    <w:p w14:paraId="160AFF6D">
      <w:pPr>
        <w:pageBreakBefore w:val="0"/>
        <w:kinsoku/>
        <w:wordWrap/>
        <w:overflowPunct/>
        <w:topLinePunct w:val="0"/>
        <w:bidi w:val="0"/>
        <w:snapToGrid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本招标文件适用于该项目的招标、投标、开标、资格审查及信用信息查询、评标、定标、合同、验收等行为（法律、法规另有规定的，从其规定）。</w:t>
      </w:r>
    </w:p>
    <w:p w14:paraId="0C186B48">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2.定义</w:t>
      </w:r>
    </w:p>
    <w:p w14:paraId="6A21F824">
      <w:pPr>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“采购人”系指招标公告中载明的本项目的采购人。</w:t>
      </w:r>
    </w:p>
    <w:p w14:paraId="406A4CBB">
      <w:pPr>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”系指招标公告中载明的本项目的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6E3A1E83">
      <w:pPr>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“投标人”系指是指响应招标、参加投标竞争的法人、其他组织或者自然人。</w:t>
      </w:r>
    </w:p>
    <w:p w14:paraId="191B1E7C">
      <w:pPr>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“负责人”系指法人企业的法定负责人，或其他组织为法律、行政法规规定代表单位行使职权的主要负责人，或自然人本人。</w:t>
      </w:r>
    </w:p>
    <w:p w14:paraId="43F974BA">
      <w:pPr>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2CD0FC0">
      <w:pPr>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2.6“电子交易平台”</w:t>
      </w:r>
      <w:r>
        <w:rPr>
          <w:rFonts w:hint="eastAsia" w:ascii="宋体" w:hAnsi="宋体" w:eastAsia="宋体" w:cs="宋体"/>
          <w:color w:val="auto"/>
          <w:sz w:val="21"/>
          <w:szCs w:val="21"/>
          <w:highlight w:val="none"/>
          <w:lang w:val="en-US" w:eastAsia="zh-CN"/>
        </w:rPr>
        <w:t>系</w:t>
      </w:r>
      <w:r>
        <w:rPr>
          <w:rFonts w:hint="eastAsia" w:ascii="宋体" w:hAnsi="宋体" w:eastAsia="宋体" w:cs="宋体"/>
          <w:color w:val="auto"/>
          <w:sz w:val="21"/>
          <w:szCs w:val="21"/>
          <w:highlight w:val="none"/>
        </w:rPr>
        <w:t>指本项目政府采购活动所依托的政府采购云平台（https://www.zcygov.cn/）。</w:t>
      </w:r>
    </w:p>
    <w:p w14:paraId="37BF6F48">
      <w:pPr>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 系指实质性要求条款，“</w:t>
      </w:r>
      <w:sdt>
        <w:sdtPr>
          <w:rPr>
            <w:rFonts w:hint="eastAsia" w:ascii="宋体" w:hAnsi="宋体" w:eastAsia="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系指适用本项目的要求，“</w:t>
      </w:r>
      <w:sdt>
        <w:sdtPr>
          <w:rPr>
            <w:rFonts w:hint="eastAsia" w:ascii="宋体" w:hAnsi="宋体" w:eastAsia="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系指不适用本项目的要求。</w:t>
      </w:r>
    </w:p>
    <w:p w14:paraId="1BD2D87C">
      <w:pPr>
        <w:pageBreakBefore w:val="0"/>
        <w:kinsoku/>
        <w:wordWrap/>
        <w:overflowPunct/>
        <w:topLinePunct w:val="0"/>
        <w:bidi w:val="0"/>
        <w:spacing w:line="288" w:lineRule="auto"/>
        <w:ind w:firstLine="211" w:firstLineChars="1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采购项目需要落实的政府采购政策</w:t>
      </w:r>
    </w:p>
    <w:p w14:paraId="341E868D">
      <w:pPr>
        <w:pageBreakBefore w:val="0"/>
        <w:kinsoku/>
        <w:wordWrap/>
        <w:overflowPunct/>
        <w:topLinePunct w:val="0"/>
        <w:bidi w:val="0"/>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不会对其加以限制，仍将按照公平竞争原则实施采购）；</w:t>
      </w:r>
      <w:r>
        <w:rPr>
          <w:rFonts w:hint="eastAsia" w:ascii="宋体" w:hAnsi="宋体" w:eastAsia="宋体" w:cs="宋体"/>
          <w:color w:val="auto"/>
          <w:kern w:val="0"/>
          <w:sz w:val="21"/>
          <w:szCs w:val="21"/>
          <w:highlight w:val="none"/>
        </w:rPr>
        <w:t>优先采购向我国企业转让技术、与我国企业签订消化吸收再创新方案的供应商的进口产品</w:t>
      </w:r>
      <w:r>
        <w:rPr>
          <w:rFonts w:hint="eastAsia" w:ascii="宋体" w:hAnsi="宋体" w:eastAsia="宋体" w:cs="宋体"/>
          <w:color w:val="auto"/>
          <w:sz w:val="21"/>
          <w:szCs w:val="21"/>
          <w:highlight w:val="none"/>
        </w:rPr>
        <w:t>。</w:t>
      </w:r>
    </w:p>
    <w:p w14:paraId="5024189D">
      <w:pPr>
        <w:pageBreakBefore w:val="0"/>
        <w:kinsoku/>
        <w:wordWrap/>
        <w:overflowPunct/>
        <w:topLinePunct w:val="0"/>
        <w:bidi w:val="0"/>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支持绿色发展</w:t>
      </w:r>
    </w:p>
    <w:p w14:paraId="5CE76A1E">
      <w:pPr>
        <w:pageBreakBefore w:val="0"/>
        <w:kinsoku/>
        <w:wordWrap/>
        <w:overflowPunct/>
        <w:topLinePunct w:val="0"/>
        <w:bidi w:val="0"/>
        <w:spacing w:line="288"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4F17B56A">
      <w:pPr>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修缮、装修类项目采购建材的，采购人应将绿色建筑和绿色建材性能、指标等作为实质性条件纳入招标文件和合同。</w:t>
      </w:r>
    </w:p>
    <w:p w14:paraId="50F285EB">
      <w:pPr>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EC440D2">
      <w:pPr>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4AB120D">
      <w:pPr>
        <w:pageBreakBefore w:val="0"/>
        <w:kinsoku/>
        <w:wordWrap/>
        <w:overflowPunct/>
        <w:topLinePunct w:val="0"/>
        <w:bidi w:val="0"/>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3.3支持中小企业发展</w:t>
      </w:r>
    </w:p>
    <w:p w14:paraId="1B54E25E">
      <w:pPr>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CD8DE18">
      <w:pPr>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1D5F29F6">
      <w:pPr>
        <w:pageBreakBefore w:val="0"/>
        <w:widowControl/>
        <w:kinsoku/>
        <w:wordWrap/>
        <w:overflowPunct/>
        <w:topLinePunct w:val="0"/>
        <w:bidi w:val="0"/>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3.3.2</w:t>
      </w:r>
      <w:r>
        <w:rPr>
          <w:rFonts w:hint="eastAsia" w:ascii="宋体" w:hAnsi="宋体" w:eastAsia="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692DA17">
      <w:pPr>
        <w:pageBreakBefore w:val="0"/>
        <w:widowControl/>
        <w:kinsoku/>
        <w:wordWrap/>
        <w:overflowPunct/>
        <w:topLinePunct w:val="0"/>
        <w:bidi w:val="0"/>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3372375E">
      <w:pPr>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5490533">
      <w:pPr>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63AA89B7">
      <w:pPr>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61021E">
      <w:pPr>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CF6069A">
      <w:pPr>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3.3.7中小企业享受扶持政策获得政府采购合同的，小微企业不得将合同分包给大中型企业，中型企业不得将合同分包给大型企业。</w:t>
      </w:r>
    </w:p>
    <w:p w14:paraId="0414AEB6">
      <w:pPr>
        <w:pageBreakBefore w:val="0"/>
        <w:kinsoku/>
        <w:wordWrap/>
        <w:overflowPunct/>
        <w:topLinePunct w:val="0"/>
        <w:bidi w:val="0"/>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bCs/>
          <w:color w:val="auto"/>
          <w:sz w:val="21"/>
          <w:szCs w:val="21"/>
          <w:highlight w:val="none"/>
        </w:rPr>
        <w:t>支持创新发展</w:t>
      </w:r>
    </w:p>
    <w:p w14:paraId="3BF1800E">
      <w:pPr>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 采购人优先采购被认定为首台套产品和“制造精品”的自主创新产品。</w:t>
      </w:r>
    </w:p>
    <w:p w14:paraId="681E4035">
      <w:pPr>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0922477">
      <w:pPr>
        <w:keepNext/>
        <w:keepLines/>
        <w:tabs>
          <w:tab w:val="left" w:pos="432"/>
        </w:tabs>
        <w:adjustRightInd w:val="0"/>
        <w:spacing w:line="288" w:lineRule="auto"/>
        <w:ind w:lef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rPr>
        <w:t xml:space="preserve">3.4.3 </w:t>
      </w:r>
      <w:r>
        <w:rPr>
          <w:rFonts w:hint="eastAsia" w:ascii="宋体" w:hAnsi="宋体" w:eastAsia="宋体" w:cs="宋体"/>
          <w:b w:val="0"/>
          <w:bCs w:val="0"/>
          <w:color w:val="auto"/>
          <w:sz w:val="21"/>
          <w:szCs w:val="21"/>
          <w:highlight w:val="none"/>
          <w:lang w:val="en-US" w:eastAsia="zh-CN"/>
        </w:rPr>
        <w:t>采购人应当贯彻落实知识产权保护相关法律法规，</w:t>
      </w:r>
      <w:r>
        <w:rPr>
          <w:rFonts w:hint="eastAsia" w:ascii="宋体" w:hAnsi="宋体" w:eastAsia="宋体" w:cs="宋体"/>
          <w:b w:val="0"/>
          <w:bCs w:val="0"/>
          <w:color w:val="auto"/>
          <w:sz w:val="21"/>
          <w:szCs w:val="21"/>
          <w:highlight w:val="none"/>
          <w:lang w:val="en-US"/>
        </w:rPr>
        <w:t>应当采购使用正版软件。</w:t>
      </w:r>
    </w:p>
    <w:p w14:paraId="144D777F">
      <w:pPr>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3.5平等对待内外资企业和符合条件的破产重整企业</w:t>
      </w:r>
    </w:p>
    <w:p w14:paraId="3DC0FD60">
      <w:pPr>
        <w:pageBreakBefore w:val="0"/>
        <w:kinsoku/>
        <w:wordWrap/>
        <w:overflowPunct/>
        <w:topLinePunct w:val="0"/>
        <w:bidi w:val="0"/>
        <w:spacing w:line="288" w:lineRule="auto"/>
        <w:ind w:firstLine="210" w:firstLineChars="1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平等对待内外资企业和符合条件的破产重整企业，切实保障企业公平竞争，平等维护企业的合法利益。</w:t>
      </w:r>
      <w:r>
        <w:rPr>
          <w:rFonts w:hint="eastAsia" w:ascii="宋体" w:hAnsi="宋体" w:eastAsia="宋体" w:cs="宋体"/>
          <w:color w:val="auto"/>
          <w:sz w:val="21"/>
          <w:szCs w:val="21"/>
          <w:highlight w:val="none"/>
        </w:rPr>
        <w:cr/>
      </w:r>
      <w:r>
        <w:rPr>
          <w:rFonts w:hint="eastAsia" w:ascii="宋体" w:hAnsi="宋体" w:eastAsia="宋体" w:cs="宋体"/>
          <w:b/>
          <w:color w:val="auto"/>
          <w:sz w:val="21"/>
          <w:szCs w:val="21"/>
          <w:highlight w:val="none"/>
        </w:rPr>
        <w:t>4. 询问、质疑、投诉</w:t>
      </w:r>
      <w:r>
        <w:rPr>
          <w:rFonts w:hint="eastAsia" w:ascii="宋体" w:hAnsi="宋体" w:eastAsia="宋体" w:cs="宋体"/>
          <w:color w:val="auto"/>
          <w:sz w:val="21"/>
          <w:szCs w:val="21"/>
          <w:highlight w:val="none"/>
        </w:rPr>
        <w:t>、补偿救济</w:t>
      </w:r>
    </w:p>
    <w:p w14:paraId="5EE3F548">
      <w:pPr>
        <w:pageBreakBefore w:val="0"/>
        <w:kinsoku/>
        <w:wordWrap/>
        <w:overflowPunct/>
        <w:topLinePunct w:val="0"/>
        <w:autoSpaceDE w:val="0"/>
        <w:autoSpaceDN w:val="0"/>
        <w:bidi w:val="0"/>
        <w:spacing w:line="288"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755F44">
      <w:pPr>
        <w:pageBreakBefore w:val="0"/>
        <w:kinsoku/>
        <w:wordWrap/>
        <w:overflowPunct/>
        <w:topLinePunct w:val="0"/>
        <w:autoSpaceDE w:val="0"/>
        <w:autoSpaceDN w:val="0"/>
        <w:bidi w:val="0"/>
        <w:spacing w:line="288"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4.2供应商询问</w:t>
      </w:r>
    </w:p>
    <w:p w14:paraId="0DDF1393">
      <w:pPr>
        <w:pageBreakBefore w:val="0"/>
        <w:kinsoku/>
        <w:wordWrap/>
        <w:overflowPunct/>
        <w:topLinePunct w:val="0"/>
        <w:autoSpaceDE w:val="0"/>
        <w:autoSpaceDN w:val="0"/>
        <w:bidi w:val="0"/>
        <w:spacing w:line="288"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60594C">
      <w:pPr>
        <w:pageBreakBefore w:val="0"/>
        <w:kinsoku/>
        <w:wordWrap/>
        <w:overflowPunct/>
        <w:topLinePunct w:val="0"/>
        <w:autoSpaceDE w:val="0"/>
        <w:autoSpaceDN w:val="0"/>
        <w:bidi w:val="0"/>
        <w:spacing w:line="288" w:lineRule="auto"/>
        <w:ind w:firstLine="210" w:firstLineChars="1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4.3供应商质疑</w:t>
      </w:r>
    </w:p>
    <w:p w14:paraId="7BBCB417">
      <w:pPr>
        <w:pStyle w:val="33"/>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.1提出质疑的供应商应当是参与所质疑项目采购活动的供应商。潜在供应商已依法获取其可质疑的招标文件的，可以对该文件提出质疑。</w:t>
      </w:r>
    </w:p>
    <w:p w14:paraId="7011A37C">
      <w:pPr>
        <w:pStyle w:val="33"/>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提出质疑，否则，采购人或者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不予受理：</w:t>
      </w:r>
    </w:p>
    <w:p w14:paraId="64A321E4">
      <w:pPr>
        <w:pStyle w:val="7"/>
        <w:pageBreakBefore w:val="0"/>
        <w:kinsoku/>
        <w:wordWrap/>
        <w:overflowPunct/>
        <w:topLinePunct w:val="0"/>
        <w:bidi w:val="0"/>
        <w:spacing w:line="288" w:lineRule="auto"/>
        <w:ind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4.3.2.1对招标文件提出质疑的，质疑期限为供应商获得招标文件之日或者招标文件公告期限届满之日起计算。</w:t>
      </w:r>
    </w:p>
    <w:p w14:paraId="33C1E529">
      <w:pPr>
        <w:pStyle w:val="33"/>
        <w:pageBreakBefore w:val="0"/>
        <w:kinsoku/>
        <w:wordWrap/>
        <w:overflowPunct/>
        <w:topLinePunct w:val="0"/>
        <w:bidi w:val="0"/>
        <w:spacing w:line="288" w:lineRule="auto"/>
        <w:ind w:left="479" w:leftChars="2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4.3.2.2对采购过程提出质疑的，质疑期限为各采购程序环节结束之日起计算。4.3.2.3对采购结果提出质疑的，质疑期限自采购结果公告期限届满之日起计算。</w:t>
      </w:r>
    </w:p>
    <w:p w14:paraId="662A8D37">
      <w:pPr>
        <w:pStyle w:val="33"/>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w:t>
      </w:r>
      <w:r>
        <w:rPr>
          <w:rFonts w:hint="eastAsia" w:ascii="宋体" w:hAnsi="宋体" w:eastAsia="宋体" w:cs="宋体"/>
          <w:color w:val="auto"/>
          <w:sz w:val="21"/>
          <w:szCs w:val="21"/>
          <w:highlight w:val="none"/>
        </w:rPr>
        <w:t>供应商提出质疑应当提交质疑函和必要的证明材料。质疑函应当包括下列内容：</w:t>
      </w:r>
    </w:p>
    <w:p w14:paraId="0D7E640E">
      <w:pPr>
        <w:pStyle w:val="33"/>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4.3.3.1供应商的姓名或者名称、地址、邮编、联系人及联系电话；</w:t>
      </w:r>
    </w:p>
    <w:p w14:paraId="32586664">
      <w:pPr>
        <w:pStyle w:val="33"/>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4.3.3.2质疑项目的名称、编号；</w:t>
      </w:r>
    </w:p>
    <w:p w14:paraId="487AE330">
      <w:pPr>
        <w:pStyle w:val="33"/>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4.3.3.3具体、明确的质疑事项和与质疑事项相关的请求；</w:t>
      </w:r>
    </w:p>
    <w:p w14:paraId="4050FFD5">
      <w:pPr>
        <w:pStyle w:val="33"/>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4.3.3.4事实依据；</w:t>
      </w:r>
    </w:p>
    <w:p w14:paraId="5F72B088">
      <w:pPr>
        <w:pStyle w:val="33"/>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4.3.3.5必要的法律依据；</w:t>
      </w:r>
    </w:p>
    <w:p w14:paraId="644ED5D8">
      <w:pPr>
        <w:pStyle w:val="33"/>
        <w:pageBreakBefore w:val="0"/>
        <w:kinsoku/>
        <w:wordWrap/>
        <w:overflowPunct/>
        <w:topLinePunct w:val="0"/>
        <w:bidi w:val="0"/>
        <w:spacing w:line="288" w:lineRule="auto"/>
        <w:ind w:firstLine="840" w:firstLineChars="4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4.3.3.6提出质疑的日期。</w:t>
      </w:r>
    </w:p>
    <w:p w14:paraId="378723C0">
      <w:pPr>
        <w:pStyle w:val="888"/>
        <w:pageBreakBefore w:val="0"/>
        <w:shd w:val="clear" w:color="auto" w:fill="FFFFFF"/>
        <w:kinsoku/>
        <w:wordWrap/>
        <w:overflowPunct/>
        <w:topLinePunct w:val="0"/>
        <w:bidi w:val="0"/>
        <w:snapToGrid w:val="0"/>
        <w:spacing w:after="240" w:afterAutospacing="0" w:line="288" w:lineRule="auto"/>
        <w:ind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09E98977">
      <w:pPr>
        <w:pStyle w:val="888"/>
        <w:pageBreakBefore w:val="0"/>
        <w:shd w:val="clear" w:color="auto" w:fill="FFFFFF"/>
        <w:kinsoku/>
        <w:wordWrap/>
        <w:overflowPunct/>
        <w:topLinePunct w:val="0"/>
        <w:bidi w:val="0"/>
        <w:snapToGrid w:val="0"/>
        <w:spacing w:after="240" w:afterAutospacing="0" w:line="288" w:lineRule="auto"/>
        <w:ind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质疑函范本及制作说明详见附件2。</w:t>
      </w:r>
    </w:p>
    <w:p w14:paraId="7572DA8A">
      <w:pPr>
        <w:pStyle w:val="888"/>
        <w:pageBreakBefore w:val="0"/>
        <w:shd w:val="clear" w:color="auto" w:fill="FFFFFF"/>
        <w:kinsoku/>
        <w:wordWrap/>
        <w:overflowPunct/>
        <w:topLinePunct w:val="0"/>
        <w:bidi w:val="0"/>
        <w:snapToGrid w:val="0"/>
        <w:spacing w:after="240" w:afterAutospacing="0" w:line="288" w:lineRule="auto"/>
        <w:ind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4.3.4对同一采购程序环节的质疑，供应商须在法定质疑期内一次性提出。</w:t>
      </w:r>
    </w:p>
    <w:p w14:paraId="5403D159">
      <w:pPr>
        <w:pStyle w:val="888"/>
        <w:pageBreakBefore w:val="0"/>
        <w:shd w:val="clear" w:color="auto" w:fill="FFFFFF"/>
        <w:kinsoku/>
        <w:wordWrap/>
        <w:overflowPunct/>
        <w:topLinePunct w:val="0"/>
        <w:bidi w:val="0"/>
        <w:snapToGrid w:val="0"/>
        <w:spacing w:after="240" w:afterAutospacing="0" w:line="288" w:lineRule="auto"/>
        <w:ind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.5采购人或者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在质疑回复后5个工作日内，在浙江政府采购网的“其他公告”栏目公开质疑答复，答复内容应当完整。质疑函作为附件上传。</w:t>
      </w:r>
    </w:p>
    <w:p w14:paraId="19F88B95">
      <w:pPr>
        <w:pStyle w:val="888"/>
        <w:pageBreakBefore w:val="0"/>
        <w:shd w:val="clear" w:color="auto" w:fill="FFFFFF"/>
        <w:kinsoku/>
        <w:wordWrap/>
        <w:overflowPunct/>
        <w:topLinePunct w:val="0"/>
        <w:bidi w:val="0"/>
        <w:snapToGrid w:val="0"/>
        <w:spacing w:after="240" w:afterAutospacing="0" w:line="288" w:lineRule="auto"/>
        <w:ind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.6询问或者质疑事项可能影响采购结果的，采购人应当暂停签订合同，已经签订合同的，应当中止履行合同。</w:t>
      </w:r>
    </w:p>
    <w:p w14:paraId="55DF640F">
      <w:pPr>
        <w:pStyle w:val="888"/>
        <w:pageBreakBefore w:val="0"/>
        <w:shd w:val="clear" w:color="auto" w:fill="FFFFFF"/>
        <w:kinsoku/>
        <w:wordWrap/>
        <w:overflowPunct/>
        <w:topLinePunct w:val="0"/>
        <w:bidi w:val="0"/>
        <w:snapToGrid w:val="0"/>
        <w:spacing w:after="240" w:afterAutospacing="0" w:line="288" w:lineRule="auto"/>
        <w:ind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4.4供应商投诉</w:t>
      </w:r>
    </w:p>
    <w:p w14:paraId="76E233AF">
      <w:pPr>
        <w:pStyle w:val="888"/>
        <w:pageBreakBefore w:val="0"/>
        <w:shd w:val="clear" w:color="auto" w:fill="FFFFFF"/>
        <w:kinsoku/>
        <w:wordWrap/>
        <w:overflowPunct/>
        <w:topLinePunct w:val="0"/>
        <w:bidi w:val="0"/>
        <w:snapToGrid w:val="0"/>
        <w:spacing w:after="240" w:afterAutospacing="0" w:line="288" w:lineRule="auto"/>
        <w:ind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4.4.1质疑供应商对采购人、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的答复不满意或者采购人、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未在规定的时间内作出答复的，可以在答复期满后十五个工作日内向同级政府采购监督管理部门提出投诉。</w:t>
      </w:r>
    </w:p>
    <w:p w14:paraId="7B77D9E6">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288" w:lineRule="auto"/>
        <w:ind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7D38F4FD">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288" w:lineRule="auto"/>
        <w:ind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4.4.3供应商投诉应当有明确的请求和必要的证明材料。</w:t>
      </w:r>
    </w:p>
    <w:p w14:paraId="45443B7F">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288" w:lineRule="auto"/>
        <w:ind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4.4.4以联合体形式参加政府采购活动的，其投诉应当由组成联合体的所有供应商共同提出。</w:t>
      </w:r>
    </w:p>
    <w:p w14:paraId="5F275AC1">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288" w:lineRule="auto"/>
        <w:ind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EF5001B">
      <w:pPr>
        <w:keepNext w:val="0"/>
        <w:keepLines w:val="0"/>
        <w:pageBreakBefore w:val="0"/>
        <w:kinsoku/>
        <w:wordWrap/>
        <w:overflowPunct/>
        <w:topLinePunct w:val="0"/>
        <w:autoSpaceDE/>
        <w:autoSpaceDN/>
        <w:bidi w:val="0"/>
        <w:adjustRightInd w:val="0"/>
        <w:snapToGrid w:val="0"/>
        <w:spacing w:beforeAutospacing="0"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补偿救济</w:t>
      </w:r>
    </w:p>
    <w:p w14:paraId="6FF7551A">
      <w:pPr>
        <w:keepNext w:val="0"/>
        <w:keepLines w:val="0"/>
        <w:pageBreakBefore w:val="0"/>
        <w:kinsoku/>
        <w:wordWrap/>
        <w:overflowPunct/>
        <w:topLinePunct w:val="0"/>
        <w:autoSpaceDE/>
        <w:autoSpaceDN/>
        <w:bidi w:val="0"/>
        <w:adjustRightInd w:val="0"/>
        <w:snapToGrid w:val="0"/>
        <w:spacing w:beforeAutospacing="0"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采购人（行政机关）因政策变化、规划调整而不履行政府采购合同的，供应商可依据《杭州市涉企补偿救济实施办法（试行）》向采购人（行政机关）提起补偿申请。</w:t>
      </w:r>
    </w:p>
    <w:p w14:paraId="1228345F">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288" w:lineRule="auto"/>
        <w:ind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投诉书范本及制作说明详见附件3。</w:t>
      </w:r>
    </w:p>
    <w:p w14:paraId="404405A5">
      <w:pPr>
        <w:pStyle w:val="130"/>
        <w:pageBreakBefore w:val="0"/>
        <w:kinsoku/>
        <w:wordWrap/>
        <w:overflowPunct/>
        <w:topLinePunct w:val="0"/>
        <w:bidi w:val="0"/>
        <w:snapToGrid w:val="0"/>
        <w:spacing w:before="0" w:line="288" w:lineRule="auto"/>
        <w:ind w:firstLine="360"/>
        <w:textAlignment w:val="auto"/>
        <w:rPr>
          <w:rFonts w:hint="eastAsia" w:ascii="宋体" w:hAnsi="宋体" w:eastAsia="宋体" w:cs="宋体"/>
          <w:color w:val="auto"/>
          <w:sz w:val="21"/>
          <w:szCs w:val="21"/>
          <w:highlight w:val="none"/>
        </w:rPr>
      </w:pPr>
    </w:p>
    <w:p w14:paraId="59578B38">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14:paraId="572FE2C4">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6556CE13">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二、招标文件的构成、澄清、修改</w:t>
      </w:r>
    </w:p>
    <w:p w14:paraId="0294B4BA">
      <w:pPr>
        <w:pStyle w:val="33"/>
        <w:pageBreakBefore w:val="0"/>
        <w:kinsoku/>
        <w:wordWrap/>
        <w:overflowPunct/>
        <w:topLinePunct w:val="0"/>
        <w:bidi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5．招标文件的构成</w:t>
      </w:r>
    </w:p>
    <w:p w14:paraId="3D58309A">
      <w:pPr>
        <w:pStyle w:val="33"/>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招标文件包括下列文件及附件：</w:t>
      </w:r>
    </w:p>
    <w:p w14:paraId="7BABBB68">
      <w:pPr>
        <w:pStyle w:val="33"/>
        <w:pageBreakBefore w:val="0"/>
        <w:tabs>
          <w:tab w:val="left" w:pos="840"/>
        </w:tabs>
        <w:kinsoku/>
        <w:wordWrap/>
        <w:overflowPunct/>
        <w:topLinePunct w:val="0"/>
        <w:bidi w:val="0"/>
        <w:spacing w:line="288"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5.1.1招标公告；</w:t>
      </w:r>
    </w:p>
    <w:p w14:paraId="6F20CF99">
      <w:pPr>
        <w:pStyle w:val="33"/>
        <w:pageBreakBefore w:val="0"/>
        <w:tabs>
          <w:tab w:val="left" w:pos="840"/>
        </w:tabs>
        <w:kinsoku/>
        <w:wordWrap/>
        <w:overflowPunct/>
        <w:topLinePunct w:val="0"/>
        <w:bidi w:val="0"/>
        <w:spacing w:line="288"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5.1.2投标人须知；</w:t>
      </w:r>
    </w:p>
    <w:p w14:paraId="625E4D27">
      <w:pPr>
        <w:pStyle w:val="33"/>
        <w:pageBreakBefore w:val="0"/>
        <w:tabs>
          <w:tab w:val="left" w:pos="840"/>
        </w:tabs>
        <w:kinsoku/>
        <w:wordWrap/>
        <w:overflowPunct/>
        <w:topLinePunct w:val="0"/>
        <w:bidi w:val="0"/>
        <w:spacing w:line="288"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5.1.3采购需求；</w:t>
      </w:r>
    </w:p>
    <w:p w14:paraId="57ABC768">
      <w:pPr>
        <w:pStyle w:val="33"/>
        <w:pageBreakBefore w:val="0"/>
        <w:tabs>
          <w:tab w:val="left" w:pos="840"/>
        </w:tabs>
        <w:kinsoku/>
        <w:wordWrap/>
        <w:overflowPunct/>
        <w:topLinePunct w:val="0"/>
        <w:bidi w:val="0"/>
        <w:spacing w:line="288"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5.1.4评标办法；</w:t>
      </w:r>
    </w:p>
    <w:p w14:paraId="457C4BA8">
      <w:pPr>
        <w:pStyle w:val="33"/>
        <w:pageBreakBefore w:val="0"/>
        <w:tabs>
          <w:tab w:val="left" w:pos="840"/>
        </w:tabs>
        <w:kinsoku/>
        <w:wordWrap/>
        <w:overflowPunct/>
        <w:topLinePunct w:val="0"/>
        <w:bidi w:val="0"/>
        <w:spacing w:line="288"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5.1.5拟签订的合同文本；</w:t>
      </w:r>
    </w:p>
    <w:p w14:paraId="3AADA05C">
      <w:pPr>
        <w:pStyle w:val="33"/>
        <w:pageBreakBefore w:val="0"/>
        <w:tabs>
          <w:tab w:val="left" w:pos="840"/>
        </w:tabs>
        <w:kinsoku/>
        <w:wordWrap/>
        <w:overflowPunct/>
        <w:topLinePunct w:val="0"/>
        <w:bidi w:val="0"/>
        <w:spacing w:line="288"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5.1.6应提交的有关格式范例。</w:t>
      </w:r>
    </w:p>
    <w:p w14:paraId="62A1BFC8">
      <w:pPr>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5.2与本项目有关的</w:t>
      </w:r>
      <w:r>
        <w:rPr>
          <w:rFonts w:hint="eastAsia" w:ascii="宋体" w:hAnsi="宋体" w:eastAsia="宋体" w:cs="宋体"/>
          <w:bCs/>
          <w:color w:val="auto"/>
          <w:sz w:val="21"/>
          <w:szCs w:val="21"/>
          <w:highlight w:val="none"/>
        </w:rPr>
        <w:t>澄清或者修改的内容为招标文件的组成部分</w:t>
      </w:r>
      <w:r>
        <w:rPr>
          <w:rFonts w:hint="eastAsia" w:ascii="宋体" w:hAnsi="宋体" w:eastAsia="宋体" w:cs="宋体"/>
          <w:color w:val="auto"/>
          <w:sz w:val="21"/>
          <w:szCs w:val="21"/>
          <w:highlight w:val="none"/>
        </w:rPr>
        <w:t>。</w:t>
      </w:r>
    </w:p>
    <w:p w14:paraId="7E89B9F3">
      <w:pPr>
        <w:pStyle w:val="33"/>
        <w:pageBreakBefore w:val="0"/>
        <w:kinsoku/>
        <w:wordWrap/>
        <w:overflowPunct/>
        <w:topLinePunct w:val="0"/>
        <w:bidi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 招标文件的澄清、修改</w:t>
      </w:r>
    </w:p>
    <w:p w14:paraId="23CD3189">
      <w:pPr>
        <w:pStyle w:val="130"/>
        <w:pageBreakBefore w:val="0"/>
        <w:kinsoku/>
        <w:wordWrap/>
        <w:overflowPunct/>
        <w:topLinePunct w:val="0"/>
        <w:bidi w:val="0"/>
        <w:snapToGrid w:val="0"/>
        <w:spacing w:before="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6.1已获取招标文件的潜在投标人，若有问题需要澄清，应于投标截止时间前，以书面形式向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w:t>
      </w:r>
    </w:p>
    <w:p w14:paraId="5DC451F3">
      <w:pPr>
        <w:pStyle w:val="130"/>
        <w:pageBreakBefore w:val="0"/>
        <w:kinsoku/>
        <w:wordWrap/>
        <w:overflowPunct/>
        <w:topLinePunct w:val="0"/>
        <w:bidi w:val="0"/>
        <w:snapToGrid w:val="0"/>
        <w:spacing w:before="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DB04105">
      <w:pPr>
        <w:pStyle w:val="25"/>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    </w:t>
      </w:r>
    </w:p>
    <w:p w14:paraId="1EA0CFBE">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w:t>
      </w:r>
    </w:p>
    <w:p w14:paraId="2A5CEAC5">
      <w:pPr>
        <w:pStyle w:val="33"/>
        <w:pageBreakBefore w:val="0"/>
        <w:kinsoku/>
        <w:wordWrap/>
        <w:overflowPunct/>
        <w:topLinePunct w:val="0"/>
        <w:bidi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 招标文件的获取</w:t>
      </w:r>
    </w:p>
    <w:p w14:paraId="26E45E70">
      <w:pPr>
        <w:pageBreakBefore w:val="0"/>
        <w:kinsoku/>
        <w:wordWrap/>
        <w:overflowPunct/>
        <w:topLinePunct w:val="0"/>
        <w:bidi w:val="0"/>
        <w:spacing w:line="288" w:lineRule="auto"/>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详见招标公告中获取招标文件的时间期限、地点、方式及招标文件售价。</w:t>
      </w:r>
    </w:p>
    <w:p w14:paraId="5C94373E">
      <w:pPr>
        <w:pStyle w:val="33"/>
        <w:pageBreakBefore w:val="0"/>
        <w:kinsoku/>
        <w:wordWrap/>
        <w:overflowPunct/>
        <w:topLinePunct w:val="0"/>
        <w:bidi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8.开标前答疑会或现场考察</w:t>
      </w:r>
    </w:p>
    <w:p w14:paraId="4BE55BD5">
      <w:pPr>
        <w:pStyle w:val="33"/>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40429947">
      <w:pPr>
        <w:pStyle w:val="33"/>
        <w:pageBreakBefore w:val="0"/>
        <w:kinsoku/>
        <w:wordWrap/>
        <w:overflowPunct/>
        <w:topLinePunct w:val="0"/>
        <w:bidi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8"/>
          <w:sz w:val="21"/>
          <w:szCs w:val="21"/>
          <w:highlight w:val="none"/>
        </w:rPr>
        <w:t>9.投标保证金</w:t>
      </w:r>
    </w:p>
    <w:p w14:paraId="010C91D7">
      <w:pPr>
        <w:pStyle w:val="7"/>
        <w:pageBreakBefore w:val="0"/>
        <w:kinsoku/>
        <w:wordWrap/>
        <w:overflowPunct/>
        <w:topLinePunct w:val="0"/>
        <w:bidi w:val="0"/>
        <w:spacing w:line="288" w:lineRule="auto"/>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14:paraId="340FB162">
      <w:pPr>
        <w:pStyle w:val="33"/>
        <w:pageBreakBefore w:val="0"/>
        <w:kinsoku/>
        <w:wordWrap/>
        <w:overflowPunct/>
        <w:topLinePunct w:val="0"/>
        <w:bidi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 投标文件的语言</w:t>
      </w:r>
    </w:p>
    <w:p w14:paraId="2FC59219">
      <w:pPr>
        <w:pageBreakBefore w:val="0"/>
        <w:kinsoku/>
        <w:wordWrap/>
        <w:overflowPunct/>
        <w:topLinePunct w:val="0"/>
        <w:autoSpaceDE w:val="0"/>
        <w:autoSpaceDN w:val="0"/>
        <w:bidi w:val="0"/>
        <w:spacing w:line="288"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投标文件及投标人与采购有关的来往通知、函件和文件均应使用中文。</w:t>
      </w:r>
    </w:p>
    <w:p w14:paraId="62DA3470">
      <w:pPr>
        <w:pStyle w:val="33"/>
        <w:pageBreakBefore w:val="0"/>
        <w:kinsoku/>
        <w:wordWrap/>
        <w:overflowPunct/>
        <w:topLinePunct w:val="0"/>
        <w:bidi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投标文件的组成</w:t>
      </w:r>
    </w:p>
    <w:p w14:paraId="103E310D">
      <w:pPr>
        <w:pageBreakBefore w:val="0"/>
        <w:kinsoku/>
        <w:wordWrap/>
        <w:overflowPunct/>
        <w:topLinePunct w:val="0"/>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b/>
          <w:color w:val="auto"/>
          <w:sz w:val="21"/>
          <w:szCs w:val="21"/>
          <w:highlight w:val="none"/>
        </w:rPr>
        <w:t>资格文件</w:t>
      </w:r>
      <w:r>
        <w:rPr>
          <w:rFonts w:hint="eastAsia" w:ascii="宋体" w:hAnsi="宋体" w:eastAsia="宋体" w:cs="宋体"/>
          <w:color w:val="auto"/>
          <w:sz w:val="21"/>
          <w:szCs w:val="21"/>
          <w:highlight w:val="none"/>
        </w:rPr>
        <w:t>：</w:t>
      </w:r>
    </w:p>
    <w:p w14:paraId="7D84BE48">
      <w:pPr>
        <w:pageBreakBefore w:val="0"/>
        <w:kinsoku/>
        <w:wordWrap/>
        <w:overflowPunct/>
        <w:topLinePunct w:val="0"/>
        <w:bidi w:val="0"/>
        <w:snapToGrid w:val="0"/>
        <w:spacing w:line="288"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11.1.1符合参加政府采购活动应当具备的一般条件的承诺函</w:t>
      </w:r>
      <w:r>
        <w:rPr>
          <w:rFonts w:hint="eastAsia" w:ascii="宋体" w:hAnsi="宋体" w:eastAsia="宋体" w:cs="宋体"/>
          <w:b/>
          <w:bCs/>
          <w:color w:val="auto"/>
          <w:sz w:val="21"/>
          <w:szCs w:val="21"/>
          <w:highlight w:val="none"/>
        </w:rPr>
        <w:t>（▲联合体投标的、联合体各方均须提供）</w:t>
      </w:r>
      <w:r>
        <w:rPr>
          <w:rFonts w:hint="eastAsia" w:ascii="宋体" w:hAnsi="宋体" w:eastAsia="宋体" w:cs="宋体"/>
          <w:color w:val="auto"/>
          <w:sz w:val="21"/>
          <w:szCs w:val="21"/>
          <w:highlight w:val="none"/>
        </w:rPr>
        <w:t>；</w:t>
      </w:r>
    </w:p>
    <w:p w14:paraId="0E3DABFB">
      <w:pPr>
        <w:pageBreakBefore w:val="0"/>
        <w:kinsoku/>
        <w:wordWrap/>
        <w:overflowPunct/>
        <w:topLinePunct w:val="0"/>
        <w:bidi w:val="0"/>
        <w:snapToGrid w:val="0"/>
        <w:spacing w:line="288"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w:t>
      </w:r>
      <w:r>
        <w:rPr>
          <w:rFonts w:hint="eastAsia" w:ascii="宋体" w:hAnsi="宋体" w:eastAsia="宋体" w:cs="宋体"/>
          <w:snapToGrid w:val="0"/>
          <w:color w:val="auto"/>
          <w:kern w:val="28"/>
          <w:sz w:val="21"/>
          <w:szCs w:val="21"/>
          <w:highlight w:val="none"/>
        </w:rPr>
        <w:t>联合协议（如果有)；</w:t>
      </w:r>
    </w:p>
    <w:p w14:paraId="561F8920">
      <w:pPr>
        <w:pageBreakBefore w:val="0"/>
        <w:kinsoku/>
        <w:wordWrap/>
        <w:overflowPunct/>
        <w:topLinePunct w:val="0"/>
        <w:bidi w:val="0"/>
        <w:snapToGrid w:val="0"/>
        <w:spacing w:line="288"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11.1.3落实政府采购政策需满足的资格要求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2A557E4B">
      <w:pPr>
        <w:pageBreakBefore w:val="0"/>
        <w:kinsoku/>
        <w:wordWrap/>
        <w:overflowPunct/>
        <w:topLinePunct w:val="0"/>
        <w:bidi w:val="0"/>
        <w:snapToGrid w:val="0"/>
        <w:spacing w:line="288"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11.1.4本项目的特定资格要求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11C784E3">
      <w:pPr>
        <w:pageBreakBefore w:val="0"/>
        <w:kinsoku/>
        <w:wordWrap/>
        <w:overflowPunct/>
        <w:topLinePunct w:val="0"/>
        <w:bidi w:val="0"/>
        <w:snapToGrid w:val="0"/>
        <w:spacing w:line="288"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val="zh-CN"/>
        </w:rPr>
        <w:t>文件：</w:t>
      </w:r>
    </w:p>
    <w:p w14:paraId="2C9FA77E">
      <w:pPr>
        <w:pageBreakBefore w:val="0"/>
        <w:kinsoku/>
        <w:wordWrap/>
        <w:overflowPunct/>
        <w:topLinePunct w:val="0"/>
        <w:bidi w:val="0"/>
        <w:snapToGrid w:val="0"/>
        <w:spacing w:line="288"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11.2.1投标函；</w:t>
      </w:r>
      <w:r>
        <w:rPr>
          <w:rFonts w:hint="eastAsia" w:ascii="宋体" w:hAnsi="宋体" w:eastAsia="宋体" w:cs="宋体"/>
          <w:color w:val="auto"/>
          <w:sz w:val="21"/>
          <w:szCs w:val="21"/>
          <w:highlight w:val="none"/>
          <w:lang w:val="zh-CN"/>
        </w:rPr>
        <w:t xml:space="preserve"> </w:t>
      </w:r>
    </w:p>
    <w:p w14:paraId="39905C0B">
      <w:pPr>
        <w:pageBreakBefore w:val="0"/>
        <w:kinsoku/>
        <w:wordWrap/>
        <w:overflowPunct/>
        <w:topLinePunct w:val="0"/>
        <w:bidi w:val="0"/>
        <w:snapToGrid w:val="0"/>
        <w:spacing w:line="288"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11.2.2授权委托书或法定代表人（单位负责人、自然人本人）身份证明；</w:t>
      </w:r>
    </w:p>
    <w:p w14:paraId="49CC9152">
      <w:pPr>
        <w:pageBreakBefore w:val="0"/>
        <w:kinsoku/>
        <w:wordWrap/>
        <w:overflowPunct/>
        <w:topLinePunct w:val="0"/>
        <w:bidi w:val="0"/>
        <w:snapToGrid w:val="0"/>
        <w:spacing w:line="288"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11.2.3分包意向协议</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79DA91D9">
      <w:pPr>
        <w:pageBreakBefore w:val="0"/>
        <w:kinsoku/>
        <w:wordWrap/>
        <w:overflowPunct/>
        <w:topLinePunct w:val="0"/>
        <w:bidi w:val="0"/>
        <w:snapToGrid w:val="0"/>
        <w:spacing w:line="288"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11.2.4符合性审查资料；</w:t>
      </w:r>
    </w:p>
    <w:p w14:paraId="1915EF3A">
      <w:pPr>
        <w:pageBreakBefore w:val="0"/>
        <w:kinsoku/>
        <w:wordWrap/>
        <w:overflowPunct/>
        <w:topLinePunct w:val="0"/>
        <w:bidi w:val="0"/>
        <w:snapToGrid w:val="0"/>
        <w:spacing w:line="288" w:lineRule="auto"/>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11.2.5评标标准相应的商务技术资料；</w:t>
      </w:r>
    </w:p>
    <w:p w14:paraId="4FE4B659">
      <w:pPr>
        <w:pageBreakBefore w:val="0"/>
        <w:kinsoku/>
        <w:wordWrap/>
        <w:overflowPunct/>
        <w:topLinePunct w:val="0"/>
        <w:bidi w:val="0"/>
        <w:snapToGrid w:val="0"/>
        <w:spacing w:line="288" w:lineRule="auto"/>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11.2.6投标标的清单；</w:t>
      </w:r>
    </w:p>
    <w:p w14:paraId="41941547">
      <w:pPr>
        <w:pageBreakBefore w:val="0"/>
        <w:kinsoku/>
        <w:wordWrap/>
        <w:overflowPunct/>
        <w:topLinePunct w:val="0"/>
        <w:bidi w:val="0"/>
        <w:snapToGrid w:val="0"/>
        <w:spacing w:line="288"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11.2.7商务技术偏离表；</w:t>
      </w:r>
    </w:p>
    <w:p w14:paraId="12066948">
      <w:pPr>
        <w:pageBreakBefore w:val="0"/>
        <w:kinsoku/>
        <w:wordWrap/>
        <w:overflowPunct/>
        <w:topLinePunct w:val="0"/>
        <w:bidi w:val="0"/>
        <w:snapToGrid w:val="0"/>
        <w:spacing w:line="288" w:lineRule="auto"/>
        <w:ind w:firstLine="840" w:firstLineChars="4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政府采购供应商廉洁自律承诺书；</w:t>
      </w:r>
    </w:p>
    <w:p w14:paraId="5BB89A14">
      <w:pPr>
        <w:pageBreakBefore w:val="0"/>
        <w:kinsoku/>
        <w:wordWrap/>
        <w:overflowPunct/>
        <w:topLinePunct w:val="0"/>
        <w:bidi w:val="0"/>
        <w:snapToGrid w:val="0"/>
        <w:spacing w:line="288" w:lineRule="auto"/>
        <w:ind w:firstLine="420" w:firstLineChars="200"/>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kern w:val="0"/>
          <w:sz w:val="21"/>
          <w:szCs w:val="21"/>
          <w:highlight w:val="none"/>
          <w:lang w:val="zh-CN"/>
        </w:rPr>
        <w:t>11.</w:t>
      </w:r>
      <w:r>
        <w:rPr>
          <w:rFonts w:hint="eastAsia" w:ascii="宋体" w:hAnsi="宋体" w:eastAsia="宋体" w:cs="宋体"/>
          <w:color w:val="auto"/>
          <w:kern w:val="0"/>
          <w:sz w:val="21"/>
          <w:szCs w:val="21"/>
          <w:highlight w:val="none"/>
        </w:rPr>
        <w:t>3</w:t>
      </w:r>
      <w:r>
        <w:rPr>
          <w:rFonts w:hint="eastAsia" w:ascii="宋体" w:hAnsi="宋体" w:eastAsia="宋体" w:cs="宋体"/>
          <w:b/>
          <w:color w:val="auto"/>
          <w:sz w:val="21"/>
          <w:szCs w:val="21"/>
          <w:highlight w:val="none"/>
        </w:rPr>
        <w:t>报价文件：</w:t>
      </w:r>
      <w:r>
        <w:rPr>
          <w:rFonts w:hint="eastAsia" w:ascii="宋体" w:hAnsi="宋体" w:eastAsia="宋体" w:cs="宋体"/>
          <w:color w:val="auto"/>
          <w:sz w:val="21"/>
          <w:szCs w:val="21"/>
          <w:highlight w:val="none"/>
        </w:rPr>
        <w:t xml:space="preserve"> </w:t>
      </w:r>
    </w:p>
    <w:p w14:paraId="57344BD9">
      <w:pPr>
        <w:pageBreakBefore w:val="0"/>
        <w:kinsoku/>
        <w:wordWrap/>
        <w:overflowPunct/>
        <w:topLinePunct w:val="0"/>
        <w:bidi w:val="0"/>
        <w:snapToGrid w:val="0"/>
        <w:spacing w:line="288"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11.3.1开标一览表（报价表）；</w:t>
      </w:r>
    </w:p>
    <w:p w14:paraId="7F622BDE">
      <w:pPr>
        <w:keepNext/>
        <w:keepLines/>
        <w:tabs>
          <w:tab w:val="left" w:pos="432"/>
        </w:tabs>
        <w:adjustRightInd w:val="0"/>
        <w:spacing w:line="288" w:lineRule="auto"/>
        <w:ind w:left="0" w:firstLine="840" w:firstLineChars="400"/>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rPr>
        <w:t>11.3.</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1"/>
          <w:szCs w:val="21"/>
          <w:highlight w:val="none"/>
          <w:lang w:val="en-US" w:eastAsia="zh-CN"/>
        </w:rPr>
        <w:t>；</w:t>
      </w:r>
    </w:p>
    <w:p w14:paraId="20F3C7E0">
      <w:pPr>
        <w:pageBreakBefore w:val="0"/>
        <w:kinsoku/>
        <w:wordWrap/>
        <w:overflowPunct/>
        <w:topLinePunct w:val="0"/>
        <w:bidi w:val="0"/>
        <w:snapToGrid w:val="0"/>
        <w:spacing w:line="288"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中小企业声明函。</w:t>
      </w:r>
    </w:p>
    <w:p w14:paraId="7E7FA739">
      <w:pPr>
        <w:pageBreakBefore w:val="0"/>
        <w:kinsoku/>
        <w:wordWrap/>
        <w:overflowPunct/>
        <w:topLinePunct w:val="0"/>
        <w:bidi w:val="0"/>
        <w:spacing w:line="288" w:lineRule="auto"/>
        <w:ind w:firstLine="632" w:firstLineChars="3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投标文件含有采购人不能接受的附加条件的，投标无效；</w:t>
      </w:r>
    </w:p>
    <w:p w14:paraId="4EAF91D7">
      <w:pPr>
        <w:pageBreakBefore w:val="0"/>
        <w:kinsoku/>
        <w:wordWrap/>
        <w:overflowPunct/>
        <w:topLinePunct w:val="0"/>
        <w:bidi w:val="0"/>
        <w:spacing w:line="288" w:lineRule="auto"/>
        <w:ind w:firstLine="632" w:firstLineChars="3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投标人提供虚假材料投标的，投标无效。</w:t>
      </w:r>
    </w:p>
    <w:p w14:paraId="1D48D97E">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投标人应对投标文件中材料的真实性、合法性负责。</w:t>
      </w:r>
    </w:p>
    <w:p w14:paraId="71F6A745">
      <w:pPr>
        <w:pStyle w:val="130"/>
        <w:keepNext w:val="0"/>
        <w:keepLines w:val="0"/>
        <w:pageBreakBefore w:val="0"/>
        <w:widowControl w:val="0"/>
        <w:kinsoku/>
        <w:wordWrap/>
        <w:overflowPunct/>
        <w:topLinePunct w:val="0"/>
        <w:autoSpaceDE/>
        <w:autoSpaceDN/>
        <w:bidi w:val="0"/>
        <w:adjustRightInd w:val="0"/>
        <w:snapToGrid w:val="0"/>
        <w:spacing w:before="0" w:line="288" w:lineRule="auto"/>
        <w:ind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b/>
          <w:color w:val="auto"/>
          <w:kern w:val="0"/>
          <w:sz w:val="21"/>
          <w:szCs w:val="21"/>
          <w:highlight w:val="none"/>
          <w:lang w:val="zh-CN"/>
        </w:rPr>
        <w:t xml:space="preserve">. </w:t>
      </w:r>
      <w:r>
        <w:rPr>
          <w:rFonts w:hint="eastAsia" w:ascii="宋体" w:hAnsi="宋体" w:eastAsia="宋体" w:cs="宋体"/>
          <w:b/>
          <w:color w:val="auto"/>
          <w:sz w:val="21"/>
          <w:szCs w:val="21"/>
          <w:highlight w:val="none"/>
        </w:rPr>
        <w:t>投标文件的编制</w:t>
      </w:r>
    </w:p>
    <w:p w14:paraId="0ED9B22A">
      <w:pPr>
        <w:pageBreakBefore w:val="0"/>
        <w:kinsoku/>
        <w:wordWrap/>
        <w:overflowPunct/>
        <w:topLinePunct w:val="0"/>
        <w:bidi w:val="0"/>
        <w:spacing w:line="288"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828EB10">
      <w:pPr>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FDD628E">
      <w:pPr>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5A5ADA7B">
      <w:pPr>
        <w:pageBreakBefore w:val="0"/>
        <w:kinsoku/>
        <w:wordWrap/>
        <w:overflowPunct/>
        <w:topLinePunct w:val="0"/>
        <w:bidi w:val="0"/>
        <w:snapToGrid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13.投标文件的签署、盖章</w:t>
      </w:r>
    </w:p>
    <w:p w14:paraId="0F6ED2BA">
      <w:pPr>
        <w:pStyle w:val="130"/>
        <w:pageBreakBefore w:val="0"/>
        <w:kinsoku/>
        <w:wordWrap/>
        <w:overflowPunct/>
        <w:topLinePunct w:val="0"/>
        <w:bidi w:val="0"/>
        <w:snapToGrid w:val="0"/>
        <w:spacing w:before="0" w:line="288" w:lineRule="auto"/>
        <w:ind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13.1投标文件按照招标文件第六部分格式要求进行签署、盖章。</w:t>
      </w:r>
      <w:r>
        <w:rPr>
          <w:rFonts w:hint="eastAsia" w:ascii="宋体" w:hAnsi="宋体" w:eastAsia="宋体" w:cs="宋体"/>
          <w:b/>
          <w:color w:val="auto"/>
          <w:sz w:val="21"/>
          <w:szCs w:val="21"/>
          <w:highlight w:val="none"/>
        </w:rPr>
        <w:t>▲投标人的投标文件未按照招标文件要求签署、盖章的，其投标无效</w:t>
      </w:r>
      <w:r>
        <w:rPr>
          <w:rFonts w:hint="eastAsia" w:ascii="宋体" w:hAnsi="宋体" w:eastAsia="宋体" w:cs="宋体"/>
          <w:color w:val="auto"/>
          <w:sz w:val="21"/>
          <w:szCs w:val="21"/>
          <w:highlight w:val="none"/>
        </w:rPr>
        <w:t>。</w:t>
      </w:r>
    </w:p>
    <w:p w14:paraId="0537AA9C">
      <w:pPr>
        <w:pStyle w:val="130"/>
        <w:keepNext w:val="0"/>
        <w:keepLines w:val="0"/>
        <w:pageBreakBefore w:val="0"/>
        <w:widowControl w:val="0"/>
        <w:kinsoku/>
        <w:wordWrap/>
        <w:overflowPunct/>
        <w:topLinePunct w:val="0"/>
        <w:autoSpaceDE/>
        <w:autoSpaceDN/>
        <w:bidi w:val="0"/>
        <w:adjustRightInd w:val="0"/>
        <w:snapToGrid w:val="0"/>
        <w:spacing w:before="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48358AEE">
      <w:pPr>
        <w:pStyle w:val="130"/>
        <w:keepNext w:val="0"/>
        <w:keepLines w:val="0"/>
        <w:pageBreakBefore w:val="0"/>
        <w:widowControl w:val="0"/>
        <w:kinsoku/>
        <w:wordWrap/>
        <w:overflowPunct/>
        <w:topLinePunct w:val="0"/>
        <w:autoSpaceDE/>
        <w:autoSpaceDN/>
        <w:bidi w:val="0"/>
        <w:adjustRightInd w:val="0"/>
        <w:snapToGrid w:val="0"/>
        <w:spacing w:before="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13.3招标文件对投标文件签署、盖章的要求适用于电子签名。</w:t>
      </w:r>
    </w:p>
    <w:p w14:paraId="7AEC2D7F">
      <w:pPr>
        <w:pStyle w:val="130"/>
        <w:keepNext w:val="0"/>
        <w:keepLines w:val="0"/>
        <w:pageBreakBefore w:val="0"/>
        <w:widowControl w:val="0"/>
        <w:numPr>
          <w:ilvl w:val="0"/>
          <w:numId w:val="1"/>
        </w:numPr>
        <w:kinsoku/>
        <w:wordWrap/>
        <w:overflowPunct/>
        <w:topLinePunct w:val="0"/>
        <w:autoSpaceDE/>
        <w:autoSpaceDN/>
        <w:bidi w:val="0"/>
        <w:adjustRightInd w:val="0"/>
        <w:spacing w:before="0" w:line="288"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投标文件的提交、补充、修改、撤回</w:t>
      </w:r>
    </w:p>
    <w:p w14:paraId="11C13075">
      <w:pPr>
        <w:pStyle w:val="130"/>
        <w:keepNext w:val="0"/>
        <w:keepLines w:val="0"/>
        <w:pageBreakBefore w:val="0"/>
        <w:widowControl w:val="0"/>
        <w:numPr>
          <w:ilvl w:val="0"/>
          <w:numId w:val="0"/>
        </w:numPr>
        <w:kinsoku/>
        <w:wordWrap/>
        <w:overflowPunct/>
        <w:topLinePunct w:val="0"/>
        <w:autoSpaceDE/>
        <w:autoSpaceDN/>
        <w:bidi w:val="0"/>
        <w:adjustRightInd w:val="0"/>
        <w:spacing w:before="0"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46C00A6">
      <w:pPr>
        <w:pStyle w:val="130"/>
        <w:pageBreakBefore w:val="0"/>
        <w:kinsoku/>
        <w:wordWrap/>
        <w:overflowPunct/>
        <w:topLinePunct w:val="0"/>
        <w:bidi w:val="0"/>
        <w:spacing w:before="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613E7544">
      <w:pPr>
        <w:pStyle w:val="130"/>
        <w:pageBreakBefore w:val="0"/>
        <w:kinsoku/>
        <w:wordWrap/>
        <w:overflowPunct/>
        <w:topLinePunct w:val="0"/>
        <w:bidi w:val="0"/>
        <w:spacing w:before="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可以视情况延长投标文件提交的截止时间。在上述情况下，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与投标人以前在投标截止期方面的全部权利、责任和义务，将适用于延长至新的投标截止期。</w:t>
      </w:r>
    </w:p>
    <w:p w14:paraId="30FFD1EA">
      <w:pPr>
        <w:pStyle w:val="33"/>
        <w:pageBreakBefore w:val="0"/>
        <w:kinsoku/>
        <w:wordWrap/>
        <w:overflowPunct/>
        <w:topLinePunct w:val="0"/>
        <w:bidi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15.备份投标文件</w:t>
      </w:r>
    </w:p>
    <w:p w14:paraId="5CF8A0A3">
      <w:pPr>
        <w:pStyle w:val="33"/>
        <w:pageBreakBefore w:val="0"/>
        <w:kinsoku/>
        <w:wordWrap/>
        <w:overflowPunct/>
        <w:topLinePunct w:val="0"/>
        <w:bidi w:val="0"/>
        <w:spacing w:line="288" w:lineRule="auto"/>
        <w:ind w:firstLine="315" w:firstLineChars="15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1"/>
          <w:szCs w:val="21"/>
          <w:highlight w:val="none"/>
        </w:rPr>
        <w:t>但采购人、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不强制或变相强制投标人提交备份投标文件。</w:t>
      </w:r>
    </w:p>
    <w:p w14:paraId="1745F4B3">
      <w:pPr>
        <w:pStyle w:val="33"/>
        <w:pageBreakBefore w:val="0"/>
        <w:kinsoku/>
        <w:wordWrap/>
        <w:overflowPunct/>
        <w:topLinePunct w:val="0"/>
        <w:bidi w:val="0"/>
        <w:spacing w:line="288"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15.2备份投标文件须在“政采云投标客户端”制作生成，并储存在DVD光盘</w:t>
      </w:r>
      <w:r>
        <w:rPr>
          <w:rFonts w:hint="eastAsia" w:ascii="宋体" w:hAnsi="宋体" w:eastAsia="宋体" w:cs="宋体"/>
          <w:color w:val="auto"/>
          <w:sz w:val="21"/>
          <w:szCs w:val="21"/>
          <w:highlight w:val="none"/>
          <w:lang w:val="en-US" w:eastAsia="zh-CN"/>
        </w:rPr>
        <w:t>等存储介质</w:t>
      </w:r>
      <w:r>
        <w:rPr>
          <w:rFonts w:hint="eastAsia" w:ascii="宋体" w:hAnsi="宋体" w:eastAsia="宋体" w:cs="宋体"/>
          <w:color w:val="auto"/>
          <w:sz w:val="21"/>
          <w:szCs w:val="21"/>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1"/>
          <w:szCs w:val="21"/>
          <w:highlight w:val="none"/>
        </w:rPr>
        <w:t>不符合上述制作、存储、密封规定的备份投标文件将被视为无效或者被拒绝接收。</w:t>
      </w:r>
    </w:p>
    <w:p w14:paraId="7C39E8C8">
      <w:pPr>
        <w:pStyle w:val="33"/>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w:t>
      </w:r>
    </w:p>
    <w:p w14:paraId="6780684E">
      <w:pPr>
        <w:pStyle w:val="33"/>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1"/>
          <w:szCs w:val="21"/>
          <w:highlight w:val="none"/>
        </w:rPr>
        <w:t>招标文件第二部分投标人须知前附表规定的备份投标文件送达地点；</w:t>
      </w:r>
      <w:r>
        <w:rPr>
          <w:rFonts w:hint="eastAsia" w:ascii="宋体" w:hAnsi="宋体" w:eastAsia="宋体" w:cs="宋体"/>
          <w:color w:val="auto"/>
          <w:sz w:val="21"/>
          <w:szCs w:val="21"/>
          <w:highlight w:val="none"/>
        </w:rPr>
        <w:t>送达时间以签收人签收时间为准。</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将拒绝接受逾期送达的备份投标文件。邮寄过程中，电子备份投标文件发生泄露、遗失、损坏或延期送达等情况的，由投标人自行负责。</w:t>
      </w:r>
    </w:p>
    <w:p w14:paraId="050D51E5">
      <w:pPr>
        <w:pStyle w:val="33"/>
        <w:pageBreakBefore w:val="0"/>
        <w:kinsoku/>
        <w:wordWrap/>
        <w:overflowPunct/>
        <w:topLinePunct w:val="0"/>
        <w:bidi w:val="0"/>
        <w:spacing w:line="288" w:lineRule="auto"/>
        <w:ind w:firstLine="420" w:firstLine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15.5投标人仅提交备份投标文件，未在电子交易平台传输递交投标文件的，投标无效。</w:t>
      </w:r>
    </w:p>
    <w:p w14:paraId="7DFF9688">
      <w:pPr>
        <w:pStyle w:val="130"/>
        <w:pageBreakBefore w:val="0"/>
        <w:kinsoku/>
        <w:wordWrap/>
        <w:overflowPunct/>
        <w:topLinePunct w:val="0"/>
        <w:bidi w:val="0"/>
        <w:spacing w:before="0" w:line="288"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16.投标文件的无效处理</w:t>
      </w:r>
    </w:p>
    <w:p w14:paraId="117AECF8">
      <w:pPr>
        <w:pStyle w:val="3"/>
        <w:pageBreakBefore w:val="0"/>
        <w:kinsoku/>
        <w:wordWrap/>
        <w:overflowPunct/>
        <w:topLinePunct w:val="0"/>
        <w:bidi w:val="0"/>
        <w:spacing w:line="288"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有招标文件第四部分4.2规定的情形之一的，投标无效：</w:t>
      </w:r>
    </w:p>
    <w:p w14:paraId="1A75C084">
      <w:pPr>
        <w:pStyle w:val="130"/>
        <w:pageBreakBefore w:val="0"/>
        <w:kinsoku/>
        <w:wordWrap/>
        <w:overflowPunct/>
        <w:topLinePunct w:val="0"/>
        <w:bidi w:val="0"/>
        <w:spacing w:before="0" w:line="288"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17.投标有效期</w:t>
      </w:r>
    </w:p>
    <w:p w14:paraId="1595FE3F">
      <w:pPr>
        <w:pageBreakBefore w:val="0"/>
        <w:kinsoku/>
        <w:wordWrap/>
        <w:overflowPunct/>
        <w:topLinePunct w:val="0"/>
        <w:bidi w:val="0"/>
        <w:spacing w:line="288"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17.1投标有效期为从提交投标文件的截止之日起90天。▲</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14:paraId="262D80DB">
      <w:pPr>
        <w:pStyle w:val="130"/>
        <w:pageBreakBefore w:val="0"/>
        <w:kinsoku/>
        <w:wordWrap/>
        <w:overflowPunct/>
        <w:topLinePunct w:val="0"/>
        <w:bidi w:val="0"/>
        <w:spacing w:before="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17.2投标文件合格投递后，自投标截止日期起，在投标有效期内有效。</w:t>
      </w:r>
    </w:p>
    <w:p w14:paraId="7A10E6D0">
      <w:pPr>
        <w:pStyle w:val="130"/>
        <w:pageBreakBefore w:val="0"/>
        <w:kinsoku/>
        <w:wordWrap/>
        <w:overflowPunct/>
        <w:topLinePunct w:val="0"/>
        <w:bidi w:val="0"/>
        <w:spacing w:before="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17.3在原定投标有效期满之前，如果出现特殊情况，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可以以书面形式通知投标人延长投标有效期。投标人同意延长的，不得要求或被允许修改其投标文件，投标人拒绝延长的，其投标无效。</w:t>
      </w:r>
    </w:p>
    <w:p w14:paraId="0EE573FC">
      <w:pPr>
        <w:pStyle w:val="130"/>
        <w:pageBreakBefore w:val="0"/>
        <w:kinsoku/>
        <w:wordWrap/>
        <w:overflowPunct/>
        <w:topLinePunct w:val="0"/>
        <w:bidi w:val="0"/>
        <w:spacing w:before="0" w:line="288" w:lineRule="auto"/>
        <w:ind w:firstLine="643"/>
        <w:textAlignment w:val="auto"/>
        <w:rPr>
          <w:rFonts w:hint="eastAsia" w:ascii="宋体" w:hAnsi="宋体" w:eastAsia="宋体" w:cs="宋体"/>
          <w:b/>
          <w:color w:val="auto"/>
          <w:sz w:val="21"/>
          <w:szCs w:val="21"/>
          <w:highlight w:val="none"/>
        </w:rPr>
      </w:pPr>
    </w:p>
    <w:p w14:paraId="78AB5BE7">
      <w:pPr>
        <w:pStyle w:val="130"/>
        <w:keepNext w:val="0"/>
        <w:keepLines w:val="0"/>
        <w:pageBreakBefore w:val="0"/>
        <w:widowControl w:val="0"/>
        <w:kinsoku/>
        <w:wordWrap/>
        <w:overflowPunct/>
        <w:topLinePunct w:val="0"/>
        <w:autoSpaceDE/>
        <w:autoSpaceDN/>
        <w:bidi w:val="0"/>
        <w:adjustRightInd w:val="0"/>
        <w:snapToGrid/>
        <w:spacing w:before="0" w:line="288" w:lineRule="auto"/>
        <w:ind w:left="0" w:leftChars="0" w:firstLine="0" w:firstLineChars="0"/>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四、开标、资格审查与信用信息查询</w:t>
      </w:r>
    </w:p>
    <w:p w14:paraId="189F259A">
      <w:pPr>
        <w:pStyle w:val="556"/>
        <w:pageBreakBefore w:val="0"/>
        <w:kinsoku/>
        <w:wordWrap/>
        <w:overflowPunct/>
        <w:topLinePunct w:val="0"/>
        <w:bidi w:val="0"/>
        <w:spacing w:before="0" w:line="288" w:lineRule="auto"/>
        <w:ind w:left="0" w:firstLine="211"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18.开标</w:t>
      </w:r>
      <w:r>
        <w:rPr>
          <w:rFonts w:hint="eastAsia" w:ascii="宋体" w:hAnsi="宋体" w:eastAsia="宋体" w:cs="宋体"/>
          <w:color w:val="auto"/>
          <w:sz w:val="21"/>
          <w:szCs w:val="21"/>
          <w:highlight w:val="none"/>
        </w:rPr>
        <w:t xml:space="preserve"> </w:t>
      </w:r>
    </w:p>
    <w:p w14:paraId="12D6C0B8">
      <w:pPr>
        <w:pStyle w:val="556"/>
        <w:pageBreakBefore w:val="0"/>
        <w:kinsoku/>
        <w:wordWrap/>
        <w:overflowPunct/>
        <w:topLinePunct w:val="0"/>
        <w:bidi w:val="0"/>
        <w:spacing w:before="0" w:line="288" w:lineRule="auto"/>
        <w:ind w:lef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按照招标文件规定的时间通过电子交易平台组织开标，所有投标人均应当准时在线参加。投标人不足3家的，不得开标。</w:t>
      </w:r>
    </w:p>
    <w:p w14:paraId="3141E4D6">
      <w:pPr>
        <w:pStyle w:val="556"/>
        <w:pageBreakBefore w:val="0"/>
        <w:kinsoku/>
        <w:wordWrap/>
        <w:overflowPunct/>
        <w:topLinePunct w:val="0"/>
        <w:bidi w:val="0"/>
        <w:spacing w:before="0" w:line="288" w:lineRule="auto"/>
        <w:ind w:left="0" w:firstLine="210"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18.2开标时，电子交易平台按开标时间自动提取所有投标文件。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依托电子交易平台发起开始解密指令，投标人按照平台提示和招标文件的规定在半小时内完成在线解密。</w:t>
      </w:r>
    </w:p>
    <w:p w14:paraId="7702BF20">
      <w:pPr>
        <w:pStyle w:val="556"/>
        <w:pageBreakBefore w:val="0"/>
        <w:kinsoku/>
        <w:wordWrap/>
        <w:overflowPunct/>
        <w:topLinePunct w:val="0"/>
        <w:bidi w:val="0"/>
        <w:spacing w:before="0" w:line="288" w:lineRule="auto"/>
        <w:ind w:left="0" w:firstLine="210" w:firstLineChars="10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18.3</w:t>
      </w:r>
      <w:r>
        <w:rPr>
          <w:rFonts w:hint="eastAsia" w:ascii="宋体" w:hAnsi="宋体" w:eastAsia="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43B66DBF">
      <w:pPr>
        <w:keepNext w:val="0"/>
        <w:keepLines w:val="0"/>
        <w:pageBreakBefore w:val="0"/>
        <w:widowControl/>
        <w:kinsoku/>
        <w:wordWrap/>
        <w:overflowPunct/>
        <w:topLinePunct w:val="0"/>
        <w:autoSpaceDE/>
        <w:autoSpaceDN/>
        <w:bidi w:val="0"/>
        <w:adjustRightInd w:val="0"/>
        <w:spacing w:beforeAutospacing="0" w:line="288"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19、资格审查</w:t>
      </w:r>
    </w:p>
    <w:p w14:paraId="3EA68E60">
      <w:pPr>
        <w:keepNext w:val="0"/>
        <w:keepLines w:val="0"/>
        <w:pageBreakBefore w:val="0"/>
        <w:kinsoku/>
        <w:wordWrap/>
        <w:overflowPunct/>
        <w:topLinePunct w:val="0"/>
        <w:autoSpaceDE/>
        <w:autoSpaceDN/>
        <w:bidi w:val="0"/>
        <w:adjustRightInd w:val="0"/>
        <w:snapToGrid w:val="0"/>
        <w:spacing w:beforeAutospacing="0"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依据法律法规和招标文件的规定，对投标人的资格进行审查。</w:t>
      </w:r>
    </w:p>
    <w:p w14:paraId="52566F9A">
      <w:pPr>
        <w:pStyle w:val="130"/>
        <w:keepNext w:val="0"/>
        <w:keepLines w:val="0"/>
        <w:pageBreakBefore w:val="0"/>
        <w:kinsoku/>
        <w:wordWrap/>
        <w:overflowPunct/>
        <w:topLinePunct w:val="0"/>
        <w:autoSpaceDE/>
        <w:autoSpaceDN/>
        <w:bidi w:val="0"/>
        <w:adjustRightInd w:val="0"/>
        <w:spacing w:before="0" w:beforeAutospacing="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14:paraId="53F39950">
      <w:pPr>
        <w:pStyle w:val="130"/>
        <w:keepNext w:val="0"/>
        <w:keepLines w:val="0"/>
        <w:pageBreakBefore w:val="0"/>
        <w:kinsoku/>
        <w:wordWrap/>
        <w:overflowPunct/>
        <w:topLinePunct w:val="0"/>
        <w:autoSpaceDE/>
        <w:autoSpaceDN/>
        <w:bidi w:val="0"/>
        <w:adjustRightInd w:val="0"/>
        <w:spacing w:before="0" w:beforeAutospacing="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对未通过资格审查的投标人，采购人或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告知其未通过的原因。</w:t>
      </w:r>
    </w:p>
    <w:p w14:paraId="08F33239">
      <w:pPr>
        <w:pStyle w:val="130"/>
        <w:pageBreakBefore w:val="0"/>
        <w:kinsoku/>
        <w:wordWrap/>
        <w:overflowPunct/>
        <w:topLinePunct w:val="0"/>
        <w:bidi w:val="0"/>
        <w:spacing w:before="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合格投标人不足3家的，不再评标。</w:t>
      </w:r>
    </w:p>
    <w:p w14:paraId="2B3B7CD7">
      <w:pPr>
        <w:pStyle w:val="130"/>
        <w:pageBreakBefore w:val="0"/>
        <w:kinsoku/>
        <w:wordWrap/>
        <w:overflowPunct/>
        <w:topLinePunct w:val="0"/>
        <w:bidi w:val="0"/>
        <w:snapToGrid w:val="0"/>
        <w:spacing w:before="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D3AA5B8">
      <w:pPr>
        <w:pStyle w:val="130"/>
        <w:pageBreakBefore w:val="0"/>
        <w:kinsoku/>
        <w:wordWrap/>
        <w:overflowPunct/>
        <w:topLinePunct w:val="0"/>
        <w:bidi w:val="0"/>
        <w:spacing w:before="0" w:line="288"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20、信用信息查询</w:t>
      </w:r>
    </w:p>
    <w:p w14:paraId="3E7EC9B8">
      <w:pPr>
        <w:pStyle w:val="130"/>
        <w:pageBreakBefore w:val="0"/>
        <w:kinsoku/>
        <w:wordWrap/>
        <w:overflowPunct/>
        <w:topLinePunct w:val="0"/>
        <w:bidi w:val="0"/>
        <w:spacing w:before="0" w:line="288" w:lineRule="auto"/>
        <w:ind w:firstLine="49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20.1信用信息查询渠道及截止时间：</w:t>
      </w:r>
      <w:r>
        <w:rPr>
          <w:rFonts w:hint="eastAsia" w:ascii="宋体" w:hAnsi="宋体" w:eastAsia="宋体" w:cs="宋体"/>
          <w:color w:val="auto"/>
          <w:kern w:val="0"/>
          <w:sz w:val="21"/>
          <w:szCs w:val="21"/>
          <w:highlight w:val="none"/>
          <w:lang w:eastAsia="zh-CN"/>
        </w:rPr>
        <w:t>采购代理机构</w:t>
      </w:r>
      <w:r>
        <w:rPr>
          <w:rFonts w:hint="eastAsia" w:ascii="宋体" w:hAnsi="宋体" w:eastAsia="宋体" w:cs="宋体"/>
          <w:color w:val="auto"/>
          <w:kern w:val="0"/>
          <w:sz w:val="21"/>
          <w:szCs w:val="21"/>
          <w:highlight w:val="none"/>
        </w:rPr>
        <w:t>将在资格审查时通过“信用中国”网站(www.creditchina.gov.cn)、中国政府采购网(www.ccgp.gov.cn)渠道查询投标人接受资格时的信用记录。</w:t>
      </w:r>
    </w:p>
    <w:p w14:paraId="7EDC4470">
      <w:pPr>
        <w:pStyle w:val="130"/>
        <w:pageBreakBefore w:val="0"/>
        <w:kinsoku/>
        <w:wordWrap/>
        <w:overflowPunct/>
        <w:topLinePunct w:val="0"/>
        <w:bidi w:val="0"/>
        <w:spacing w:before="0" w:line="288" w:lineRule="auto"/>
        <w:ind w:firstLine="49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20.2信用信息查询记录和证据留存的具体方式：现场查询的投标人的信用记录、查询结果经确认后将与采购文件一起存档。</w:t>
      </w:r>
    </w:p>
    <w:p w14:paraId="566A940A">
      <w:pPr>
        <w:pStyle w:val="130"/>
        <w:pageBreakBefore w:val="0"/>
        <w:kinsoku/>
        <w:wordWrap/>
        <w:overflowPunct/>
        <w:topLinePunct w:val="0"/>
        <w:bidi w:val="0"/>
        <w:spacing w:before="0" w:line="288" w:lineRule="auto"/>
        <w:ind w:firstLine="49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2C0C9B7E">
      <w:pPr>
        <w:pStyle w:val="130"/>
        <w:pageBreakBefore w:val="0"/>
        <w:kinsoku/>
        <w:wordWrap/>
        <w:overflowPunct/>
        <w:topLinePunct w:val="0"/>
        <w:bidi w:val="0"/>
        <w:spacing w:before="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p w14:paraId="5EFCA649">
      <w:pPr>
        <w:pStyle w:val="130"/>
        <w:pageBreakBefore w:val="0"/>
        <w:kinsoku/>
        <w:wordWrap/>
        <w:overflowPunct/>
        <w:topLinePunct w:val="0"/>
        <w:bidi w:val="0"/>
        <w:spacing w:before="0" w:line="288" w:lineRule="auto"/>
        <w:ind w:firstLine="0" w:firstLineChars="0"/>
        <w:textAlignment w:val="auto"/>
        <w:rPr>
          <w:rFonts w:hint="eastAsia" w:ascii="宋体" w:hAnsi="宋体" w:eastAsia="宋体" w:cs="宋体"/>
          <w:color w:val="auto"/>
          <w:kern w:val="0"/>
          <w:sz w:val="21"/>
          <w:szCs w:val="21"/>
          <w:highlight w:val="none"/>
        </w:rPr>
      </w:pPr>
    </w:p>
    <w:p w14:paraId="4E43BEDD">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34860C3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五、评标</w:t>
      </w:r>
    </w:p>
    <w:p w14:paraId="070A8F5A">
      <w:pPr>
        <w:pageBreakBefore w:val="0"/>
        <w:kinsoku/>
        <w:wordWrap/>
        <w:overflowPunct/>
        <w:topLinePunct w:val="0"/>
        <w:bidi w:val="0"/>
        <w:spacing w:line="288" w:lineRule="auto"/>
        <w:textAlignment w:val="auto"/>
        <w:rPr>
          <w:rFonts w:hint="eastAsia" w:ascii="宋体" w:hAnsi="宋体" w:eastAsia="宋体" w:cs="宋体"/>
          <w:b/>
          <w:color w:val="auto"/>
          <w:sz w:val="21"/>
          <w:szCs w:val="21"/>
          <w:highlight w:val="none"/>
        </w:rPr>
      </w:pPr>
      <w:bookmarkStart w:id="13" w:name="_Toc91899903"/>
      <w:r>
        <w:rPr>
          <w:rFonts w:hint="eastAsia" w:ascii="宋体" w:hAnsi="宋体" w:eastAsia="宋体" w:cs="宋体"/>
          <w:b/>
          <w:color w:val="auto"/>
          <w:sz w:val="21"/>
          <w:szCs w:val="21"/>
          <w:highlight w:val="none"/>
        </w:rPr>
        <w:t>21.</w:t>
      </w:r>
      <w:r>
        <w:rPr>
          <w:rFonts w:hint="eastAsia" w:ascii="宋体" w:hAnsi="宋体" w:eastAsia="宋体" w:cs="宋体"/>
          <w:color w:val="auto"/>
          <w:sz w:val="21"/>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1"/>
          <w:szCs w:val="21"/>
          <w:highlight w:val="none"/>
        </w:rPr>
        <w:t>详见招标文件第四部分评标办法。</w:t>
      </w:r>
    </w:p>
    <w:p w14:paraId="0A784B83">
      <w:pPr>
        <w:pageBreakBefore w:val="0"/>
        <w:kinsoku/>
        <w:wordWrap/>
        <w:overflowPunct/>
        <w:topLinePunct w:val="0"/>
        <w:bidi w:val="0"/>
        <w:spacing w:line="288" w:lineRule="auto"/>
        <w:textAlignment w:val="auto"/>
        <w:rPr>
          <w:rFonts w:hint="eastAsia" w:ascii="宋体" w:hAnsi="宋体" w:eastAsia="宋体" w:cs="宋体"/>
          <w:b/>
          <w:color w:val="auto"/>
          <w:sz w:val="21"/>
          <w:szCs w:val="21"/>
          <w:highlight w:val="none"/>
        </w:rPr>
      </w:pPr>
    </w:p>
    <w:p w14:paraId="0204707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六、定 标</w:t>
      </w:r>
    </w:p>
    <w:p w14:paraId="6EC125CC">
      <w:pPr>
        <w:pStyle w:val="3"/>
        <w:pageBreakBefore w:val="0"/>
        <w:kinsoku/>
        <w:wordWrap/>
        <w:overflowPunct/>
        <w:topLinePunct w:val="0"/>
        <w:bidi w:val="0"/>
        <w:spacing w:line="288" w:lineRule="auto"/>
        <w:ind w:left="479"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 确定中标供应商</w:t>
      </w:r>
    </w:p>
    <w:p w14:paraId="665963A9">
      <w:pPr>
        <w:pStyle w:val="130"/>
        <w:pageBreakBefore w:val="0"/>
        <w:kinsoku/>
        <w:wordWrap/>
        <w:overflowPunct/>
        <w:topLinePunct w:val="0"/>
        <w:bidi w:val="0"/>
        <w:snapToGrid w:val="0"/>
        <w:spacing w:before="0" w:line="288" w:lineRule="auto"/>
        <w:ind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 w:val="21"/>
          <w:szCs w:val="21"/>
          <w:highlight w:val="none"/>
          <w:lang w:val="en-US" w:eastAsia="zh-CN"/>
        </w:rPr>
        <w:t>鼓励</w:t>
      </w:r>
      <w:r>
        <w:rPr>
          <w:rFonts w:hint="eastAsia" w:ascii="宋体" w:hAnsi="宋体" w:eastAsia="宋体" w:cs="宋体"/>
          <w:color w:val="auto"/>
          <w:sz w:val="21"/>
          <w:szCs w:val="21"/>
          <w:highlight w:val="none"/>
        </w:rPr>
        <w:t>在收到评审报告当天</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确定中标或者成交供应商。中标、成交通知书和中标、成交结果公告应当在规定时间内同时发出。</w:t>
      </w:r>
    </w:p>
    <w:p w14:paraId="25804B3E">
      <w:pPr>
        <w:pStyle w:val="130"/>
        <w:pageBreakBefore w:val="0"/>
        <w:kinsoku/>
        <w:wordWrap/>
        <w:overflowPunct/>
        <w:topLinePunct w:val="0"/>
        <w:bidi w:val="0"/>
        <w:snapToGrid w:val="0"/>
        <w:spacing w:before="0" w:line="288"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 中标通知与中标结果公告</w:t>
      </w:r>
    </w:p>
    <w:p w14:paraId="5A82C4BE">
      <w:pPr>
        <w:pageBreakBefore w:val="0"/>
        <w:widowControl/>
        <w:shd w:val="clear" w:color="auto" w:fill="FFFFFF"/>
        <w:kinsoku/>
        <w:wordWrap/>
        <w:overflowPunct/>
        <w:topLinePunct w:val="0"/>
        <w:bidi w:val="0"/>
        <w:spacing w:line="288" w:lineRule="auto"/>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23.1自中标人确定之日起2个工作日内，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通过电子交易平台向中标人发出中标通知书，同时编制发布采购结果公告。</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也可以以纸质形式进行中标通知。</w:t>
      </w:r>
    </w:p>
    <w:p w14:paraId="07A551AE">
      <w:pPr>
        <w:pageBreakBefore w:val="0"/>
        <w:widowControl/>
        <w:shd w:val="clear" w:color="auto" w:fill="FFFFFF"/>
        <w:kinsoku/>
        <w:wordWrap/>
        <w:overflowPunct/>
        <w:topLinePunct w:val="0"/>
        <w:bidi w:val="0"/>
        <w:spacing w:line="288" w:lineRule="auto"/>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23.2中标结果公告内容包括采购人及其委托的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1"/>
          <w:szCs w:val="21"/>
          <w:highlight w:val="none"/>
        </w:rPr>
        <w:t>资格审查情况、评审专家抽取规则、符合性审查情况、</w:t>
      </w:r>
      <w:bookmarkEnd w:id="14"/>
      <w:r>
        <w:rPr>
          <w:rFonts w:hint="eastAsia" w:ascii="宋体" w:hAnsi="宋体" w:eastAsia="宋体" w:cs="宋体"/>
          <w:color w:val="auto"/>
          <w:sz w:val="21"/>
          <w:szCs w:val="21"/>
          <w:highlight w:val="none"/>
        </w:rPr>
        <w:t>未中标情况说明、中标公告期限以及评审专家名单、评分汇总及明细。</w:t>
      </w:r>
    </w:p>
    <w:p w14:paraId="61B88292">
      <w:pPr>
        <w:pageBreakBefore w:val="0"/>
        <w:widowControl/>
        <w:shd w:val="clear" w:color="auto" w:fill="FFFFFF"/>
        <w:kinsoku/>
        <w:wordWrap/>
        <w:overflowPunct/>
        <w:topLinePunct w:val="0"/>
        <w:bidi w:val="0"/>
        <w:spacing w:line="288" w:lineRule="auto"/>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23.3公告期限为1个工作日。</w:t>
      </w:r>
    </w:p>
    <w:p w14:paraId="485A7C77">
      <w:pPr>
        <w:pStyle w:val="130"/>
        <w:pageBreakBefore w:val="0"/>
        <w:kinsoku/>
        <w:wordWrap/>
        <w:overflowPunct/>
        <w:topLinePunct w:val="0"/>
        <w:bidi w:val="0"/>
        <w:adjustRightInd w:val="0"/>
        <w:snapToGrid w:val="0"/>
        <w:spacing w:before="0" w:line="288" w:lineRule="auto"/>
        <w:ind w:firstLine="422" w:firstLineChars="200"/>
        <w:textAlignment w:val="auto"/>
        <w:rPr>
          <w:rStyle w:val="78"/>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 xml:space="preserve">23.4 </w:t>
      </w:r>
      <w:r>
        <w:rPr>
          <w:rFonts w:hint="eastAsia" w:ascii="宋体" w:hAnsi="宋体" w:eastAsia="宋体" w:cs="宋体"/>
          <w:b w:val="0"/>
          <w:bCs/>
          <w:color w:val="auto"/>
          <w:sz w:val="21"/>
          <w:szCs w:val="21"/>
          <w:highlight w:val="none"/>
        </w:rPr>
        <w:t>由于</w:t>
      </w:r>
      <w:r>
        <w:rPr>
          <w:rFonts w:hint="eastAsia" w:ascii="宋体" w:hAnsi="宋体" w:eastAsia="宋体" w:cs="宋体"/>
          <w:bCs/>
          <w:color w:val="auto"/>
          <w:sz w:val="21"/>
          <w:szCs w:val="21"/>
          <w:highlight w:val="none"/>
        </w:rPr>
        <w:t>中标、成交供应商原因导致重新采购的，应当承担支付代理费和专家评审费等费用在内的赔偿责任。</w:t>
      </w:r>
    </w:p>
    <w:p w14:paraId="2138621E">
      <w:pPr>
        <w:pStyle w:val="79"/>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p>
    <w:p w14:paraId="0956364A">
      <w:pPr>
        <w:pageBreakBefore w:val="0"/>
        <w:kinsoku/>
        <w:wordWrap/>
        <w:overflowPunct/>
        <w:topLinePunct w:val="0"/>
        <w:bidi w:val="0"/>
        <w:snapToGrid w:val="0"/>
        <w:spacing w:line="288" w:lineRule="auto"/>
        <w:ind w:left="120" w:leftChars="57" w:firstLine="316" w:firstLineChars="150"/>
        <w:jc w:val="center"/>
        <w:textAlignment w:val="auto"/>
        <w:rPr>
          <w:rFonts w:hint="eastAsia" w:ascii="宋体" w:hAnsi="宋体" w:eastAsia="宋体" w:cs="宋体"/>
          <w:b/>
          <w:color w:val="auto"/>
          <w:sz w:val="21"/>
          <w:szCs w:val="21"/>
          <w:highlight w:val="none"/>
        </w:rPr>
      </w:pPr>
    </w:p>
    <w:p w14:paraId="10734F3C">
      <w:pPr>
        <w:keepNext w:val="0"/>
        <w:keepLines w:val="0"/>
        <w:pageBreakBefore w:val="0"/>
        <w:widowControl w:val="0"/>
        <w:kinsoku/>
        <w:wordWrap/>
        <w:overflowPunct/>
        <w:topLinePunct w:val="0"/>
        <w:autoSpaceDE/>
        <w:autoSpaceDN/>
        <w:bidi w:val="0"/>
        <w:adjustRightInd w:val="0"/>
        <w:snapToGrid w:val="0"/>
        <w:spacing w:line="288" w:lineRule="auto"/>
        <w:ind w:left="120" w:leftChars="57" w:firstLine="316" w:firstLineChars="150"/>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七、合同授予</w:t>
      </w:r>
    </w:p>
    <w:p w14:paraId="2866EECF">
      <w:pPr>
        <w:pStyle w:val="3"/>
        <w:pageBreakBefore w:val="0"/>
        <w:kinsoku/>
        <w:wordWrap/>
        <w:overflowPunct/>
        <w:topLinePunct w:val="0"/>
        <w:bidi w:val="0"/>
        <w:spacing w:line="288" w:lineRule="auto"/>
        <w:ind w:left="479"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24. </w:t>
      </w:r>
      <w:r>
        <w:rPr>
          <w:rFonts w:hint="eastAsia" w:ascii="宋体" w:hAnsi="宋体" w:eastAsia="宋体" w:cs="宋体"/>
          <w:color w:val="auto"/>
          <w:sz w:val="21"/>
          <w:szCs w:val="21"/>
          <w:highlight w:val="none"/>
        </w:rPr>
        <w:t>合同主要条款详见第五部分拟签订的合同文本。</w:t>
      </w:r>
    </w:p>
    <w:p w14:paraId="4597A8BA">
      <w:pPr>
        <w:pStyle w:val="3"/>
        <w:pageBreakBefore w:val="0"/>
        <w:kinsoku/>
        <w:wordWrap/>
        <w:overflowPunct/>
        <w:topLinePunct w:val="0"/>
        <w:bidi w:val="0"/>
        <w:spacing w:line="288" w:lineRule="auto"/>
        <w:ind w:left="479"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 合同的签订</w:t>
      </w:r>
    </w:p>
    <w:p w14:paraId="0105CF71">
      <w:pPr>
        <w:pageBreakBefore w:val="0"/>
        <w:widowControl/>
        <w:shd w:val="clear" w:color="auto" w:fill="FFFFFF"/>
        <w:kinsoku/>
        <w:wordWrap/>
        <w:overflowPunct/>
        <w:topLinePunct w:val="0"/>
        <w:bidi w:val="0"/>
        <w:spacing w:line="288" w:lineRule="auto"/>
        <w:ind w:firstLine="48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25.1</w:t>
      </w:r>
      <w:r>
        <w:rPr>
          <w:rFonts w:hint="eastAsia" w:ascii="宋体" w:hAnsi="宋体" w:eastAsia="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FF63FF3">
      <w:pPr>
        <w:pStyle w:val="130"/>
        <w:pageBreakBefore w:val="0"/>
        <w:kinsoku/>
        <w:wordWrap/>
        <w:overflowPunct/>
        <w:topLinePunct w:val="0"/>
        <w:bidi w:val="0"/>
        <w:snapToGrid w:val="0"/>
        <w:spacing w:before="0" w:line="288"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EF47310">
      <w:pPr>
        <w:pStyle w:val="130"/>
        <w:pageBreakBefore w:val="0"/>
        <w:kinsoku/>
        <w:wordWrap/>
        <w:overflowPunct/>
        <w:topLinePunct w:val="0"/>
        <w:bidi w:val="0"/>
        <w:snapToGrid w:val="0"/>
        <w:spacing w:before="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25.3如签订合同并生效后，供应商无故拒绝或延期，除按照合同条款处理外，列入不良行为记录一次，并给予通报。</w:t>
      </w:r>
    </w:p>
    <w:p w14:paraId="063D1257">
      <w:pPr>
        <w:pStyle w:val="130"/>
        <w:pageBreakBefore w:val="0"/>
        <w:kinsoku/>
        <w:wordWrap/>
        <w:overflowPunct/>
        <w:topLinePunct w:val="0"/>
        <w:bidi w:val="0"/>
        <w:snapToGrid w:val="0"/>
        <w:spacing w:before="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6C9C1C40">
      <w:pPr>
        <w:pStyle w:val="130"/>
        <w:pageBreakBefore w:val="0"/>
        <w:kinsoku/>
        <w:wordWrap/>
        <w:overflowPunct/>
        <w:topLinePunct w:val="0"/>
        <w:bidi w:val="0"/>
        <w:snapToGrid w:val="0"/>
        <w:spacing w:before="0" w:after="12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25.5采购合同由采购人与中标供应商根据招标文件、投标文件等内容通过政府采购电子交易平台在线签订，自动备案。</w:t>
      </w:r>
    </w:p>
    <w:p w14:paraId="336484EC">
      <w:pPr>
        <w:pStyle w:val="3"/>
        <w:pageBreakBefore w:val="0"/>
        <w:kinsoku/>
        <w:wordWrap/>
        <w:overflowPunct/>
        <w:topLinePunct w:val="0"/>
        <w:bidi w:val="0"/>
        <w:spacing w:line="288" w:lineRule="auto"/>
        <w:ind w:left="479"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 履约保证金</w:t>
      </w:r>
    </w:p>
    <w:p w14:paraId="4FA6166C">
      <w:pPr>
        <w:pageBreakBefore w:val="0"/>
        <w:tabs>
          <w:tab w:val="left" w:pos="0"/>
        </w:tabs>
        <w:kinsoku/>
        <w:wordWrap/>
        <w:overflowPunct/>
        <w:topLinePunct w:val="0"/>
        <w:bidi w:val="0"/>
        <w:spacing w:line="288"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1"/>
          <w:szCs w:val="21"/>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58866B6">
      <w:pPr>
        <w:keepNext/>
        <w:keepLines/>
        <w:pageBreakBefore w:val="0"/>
        <w:widowControl w:val="0"/>
        <w:tabs>
          <w:tab w:val="left" w:pos="432"/>
        </w:tabs>
        <w:kinsoku/>
        <w:wordWrap/>
        <w:overflowPunct/>
        <w:topLinePunct w:val="0"/>
        <w:autoSpaceDE/>
        <w:autoSpaceDN/>
        <w:bidi w:val="0"/>
        <w:adjustRightInd/>
        <w:snapToGrid/>
        <w:spacing w:line="288" w:lineRule="auto"/>
        <w:ind w:left="0" w:firstLine="420" w:firstLineChars="200"/>
        <w:textAlignment w:val="auto"/>
        <w:outlineLvl w:val="9"/>
        <w:rPr>
          <w:rFonts w:hint="eastAsia"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C68DC63">
      <w:pPr>
        <w:keepNext/>
        <w:keepLines/>
        <w:pageBreakBefore w:val="0"/>
        <w:widowControl w:val="0"/>
        <w:tabs>
          <w:tab w:val="left" w:pos="432"/>
        </w:tabs>
        <w:kinsoku/>
        <w:wordWrap/>
        <w:overflowPunct/>
        <w:topLinePunct w:val="0"/>
        <w:autoSpaceDE/>
        <w:autoSpaceDN/>
        <w:bidi w:val="0"/>
        <w:adjustRightInd/>
        <w:snapToGrid/>
        <w:spacing w:line="288" w:lineRule="auto"/>
        <w:ind w:left="431" w:hanging="431"/>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rPr>
        <w:t>27.预付款</w:t>
      </w:r>
    </w:p>
    <w:p w14:paraId="3C9CC31E">
      <w:pPr>
        <w:pageBreakBefore w:val="0"/>
        <w:kinsoku/>
        <w:wordWrap/>
        <w:overflowPunct/>
        <w:topLinePunct w:val="0"/>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A004A63">
      <w:pPr>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p>
    <w:p w14:paraId="6F6030E9">
      <w:pPr>
        <w:pageBreakBefore w:val="0"/>
        <w:kinsoku/>
        <w:wordWrap/>
        <w:overflowPunct/>
        <w:topLinePunct w:val="0"/>
        <w:bidi w:val="0"/>
        <w:snapToGrid w:val="0"/>
        <w:spacing w:line="288" w:lineRule="auto"/>
        <w:ind w:firstLine="2203" w:firstLineChars="1045"/>
        <w:textAlignment w:val="auto"/>
        <w:rPr>
          <w:rFonts w:hint="eastAsia" w:ascii="宋体" w:hAnsi="宋体" w:eastAsia="宋体" w:cs="宋体"/>
          <w:b/>
          <w:color w:val="auto"/>
          <w:sz w:val="21"/>
          <w:szCs w:val="21"/>
          <w:highlight w:val="none"/>
        </w:rPr>
      </w:pPr>
    </w:p>
    <w:p w14:paraId="4F22FCF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八、电子交易活动的中止</w:t>
      </w:r>
    </w:p>
    <w:p w14:paraId="39EF6484">
      <w:pPr>
        <w:pStyle w:val="130"/>
        <w:pageBreakBefore w:val="0"/>
        <w:kinsoku/>
        <w:wordWrap/>
        <w:overflowPunct/>
        <w:topLinePunct w:val="0"/>
        <w:bidi w:val="0"/>
        <w:snapToGrid w:val="0"/>
        <w:spacing w:before="0" w:line="288"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28</w:t>
      </w:r>
      <w:r>
        <w:rPr>
          <w:rFonts w:hint="eastAsia" w:ascii="宋体" w:hAnsi="宋体" w:eastAsia="宋体" w:cs="宋体"/>
          <w:b/>
          <w:color w:val="auto"/>
          <w:sz w:val="21"/>
          <w:szCs w:val="21"/>
          <w:highlight w:val="none"/>
        </w:rPr>
        <w:t>. 电子交易活动的中止。</w:t>
      </w: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可中止电子交易活动：</w:t>
      </w:r>
    </w:p>
    <w:p w14:paraId="721B9F19">
      <w:pPr>
        <w:pStyle w:val="130"/>
        <w:pageBreakBefore w:val="0"/>
        <w:kinsoku/>
        <w:wordWrap/>
        <w:overflowPunct/>
        <w:topLinePunct w:val="0"/>
        <w:bidi w:val="0"/>
        <w:snapToGrid w:val="0"/>
        <w:spacing w:before="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28.1电子交易平台发生故障而无法登录访问的； </w:t>
      </w:r>
    </w:p>
    <w:p w14:paraId="239B4E01">
      <w:pPr>
        <w:pStyle w:val="130"/>
        <w:pageBreakBefore w:val="0"/>
        <w:kinsoku/>
        <w:wordWrap/>
        <w:overflowPunct/>
        <w:topLinePunct w:val="0"/>
        <w:bidi w:val="0"/>
        <w:snapToGrid w:val="0"/>
        <w:spacing w:before="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28.2电子交易平台应用或数据库出现错误，不能进行正常操作的；</w:t>
      </w:r>
    </w:p>
    <w:p w14:paraId="4BE1EB56">
      <w:pPr>
        <w:pStyle w:val="130"/>
        <w:pageBreakBefore w:val="0"/>
        <w:kinsoku/>
        <w:wordWrap/>
        <w:overflowPunct/>
        <w:topLinePunct w:val="0"/>
        <w:bidi w:val="0"/>
        <w:snapToGrid w:val="0"/>
        <w:spacing w:before="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28.3电子交易平台发现严重安全漏洞，有潜在泄密危险的；</w:t>
      </w:r>
    </w:p>
    <w:p w14:paraId="1E47BBB4">
      <w:pPr>
        <w:pStyle w:val="130"/>
        <w:pageBreakBefore w:val="0"/>
        <w:kinsoku/>
        <w:wordWrap/>
        <w:overflowPunct/>
        <w:topLinePunct w:val="0"/>
        <w:bidi w:val="0"/>
        <w:snapToGrid w:val="0"/>
        <w:spacing w:before="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28.4病毒发作导致不能进行正常操作的； </w:t>
      </w:r>
    </w:p>
    <w:p w14:paraId="40B16A0D">
      <w:pPr>
        <w:pStyle w:val="130"/>
        <w:pageBreakBefore w:val="0"/>
        <w:kinsoku/>
        <w:wordWrap/>
        <w:overflowPunct/>
        <w:topLinePunct w:val="0"/>
        <w:bidi w:val="0"/>
        <w:snapToGrid w:val="0"/>
        <w:spacing w:before="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28.5其他无法保证电子交易的公平、公正和安全的情况。</w:t>
      </w:r>
    </w:p>
    <w:p w14:paraId="056D1498">
      <w:pPr>
        <w:pStyle w:val="130"/>
        <w:pageBreakBefore w:val="0"/>
        <w:kinsoku/>
        <w:wordWrap/>
        <w:overflowPunct/>
        <w:topLinePunct w:val="0"/>
        <w:bidi w:val="0"/>
        <w:snapToGrid w:val="0"/>
        <w:spacing w:before="0" w:line="288"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3A7EC61">
      <w:pPr>
        <w:pageBreakBefore w:val="0"/>
        <w:tabs>
          <w:tab w:val="left" w:pos="0"/>
        </w:tabs>
        <w:kinsoku/>
        <w:wordWrap/>
        <w:overflowPunct/>
        <w:topLinePunct w:val="0"/>
        <w:bidi w:val="0"/>
        <w:spacing w:line="288" w:lineRule="auto"/>
        <w:ind w:firstLine="480"/>
        <w:textAlignment w:val="auto"/>
        <w:rPr>
          <w:rFonts w:hint="eastAsia" w:ascii="宋体" w:hAnsi="宋体" w:eastAsia="宋体" w:cs="宋体"/>
          <w:color w:val="auto"/>
          <w:sz w:val="21"/>
          <w:szCs w:val="21"/>
          <w:highlight w:val="none"/>
        </w:rPr>
      </w:pPr>
    </w:p>
    <w:p w14:paraId="1CA14D1E">
      <w:pPr>
        <w:keepNext w:val="0"/>
        <w:keepLines w:val="0"/>
        <w:pageBreakBefore w:val="0"/>
        <w:widowControl w:val="0"/>
        <w:kinsoku/>
        <w:wordWrap/>
        <w:overflowPunct/>
        <w:topLinePunct w:val="0"/>
        <w:autoSpaceDE/>
        <w:autoSpaceDN/>
        <w:bidi w:val="0"/>
        <w:adjustRightInd w:val="0"/>
        <w:snapToGrid w:val="0"/>
        <w:spacing w:line="288" w:lineRule="auto"/>
        <w:ind w:left="120" w:leftChars="57" w:firstLine="316" w:firstLineChars="150"/>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九、验收</w:t>
      </w:r>
    </w:p>
    <w:p w14:paraId="25A9B318">
      <w:pPr>
        <w:pStyle w:val="3"/>
        <w:pageBreakBefore w:val="0"/>
        <w:kinsoku/>
        <w:wordWrap/>
        <w:overflowPunct/>
        <w:topLinePunct w:val="0"/>
        <w:bidi w:val="0"/>
        <w:spacing w:line="288"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30.验收</w:t>
      </w:r>
    </w:p>
    <w:p w14:paraId="56265898">
      <w:pPr>
        <w:pageBreakBefore w:val="0"/>
        <w:tabs>
          <w:tab w:val="left" w:pos="0"/>
        </w:tabs>
        <w:kinsoku/>
        <w:wordWrap/>
        <w:overflowPunct/>
        <w:topLinePunct w:val="0"/>
        <w:bidi w:val="0"/>
        <w:spacing w:line="288"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E200A2">
      <w:pPr>
        <w:pageBreakBefore w:val="0"/>
        <w:tabs>
          <w:tab w:val="left" w:pos="0"/>
        </w:tabs>
        <w:kinsoku/>
        <w:wordWrap/>
        <w:overflowPunct/>
        <w:topLinePunct w:val="0"/>
        <w:bidi w:val="0"/>
        <w:spacing w:line="288"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22C8F1A6">
      <w:pPr>
        <w:pageBreakBefore w:val="0"/>
        <w:tabs>
          <w:tab w:val="left" w:pos="0"/>
        </w:tabs>
        <w:kinsoku/>
        <w:wordWrap/>
        <w:overflowPunct/>
        <w:topLinePunct w:val="0"/>
        <w:bidi w:val="0"/>
        <w:spacing w:line="288"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9C962AB">
      <w:pPr>
        <w:pageBreakBefore w:val="0"/>
        <w:tabs>
          <w:tab w:val="left" w:pos="0"/>
        </w:tabs>
        <w:kinsoku/>
        <w:wordWrap/>
        <w:overflowPunct/>
        <w:topLinePunct w:val="0"/>
        <w:bidi w:val="0"/>
        <w:spacing w:line="288"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11E279">
      <w:pPr>
        <w:keepNext/>
        <w:keepLines/>
        <w:pageBreakBefore w:val="0"/>
        <w:widowControl w:val="0"/>
        <w:tabs>
          <w:tab w:val="left" w:pos="432"/>
        </w:tabs>
        <w:kinsoku/>
        <w:wordWrap/>
        <w:overflowPunct/>
        <w:topLinePunct w:val="0"/>
        <w:autoSpaceDE/>
        <w:autoSpaceDN/>
        <w:bidi w:val="0"/>
        <w:adjustRightInd w:val="0"/>
        <w:snapToGrid w:val="0"/>
        <w:spacing w:line="288" w:lineRule="auto"/>
        <w:ind w:left="0" w:firstLine="420" w:firstLineChars="200"/>
        <w:textAlignment w:val="auto"/>
        <w:outlineLvl w:val="9"/>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1"/>
          <w:szCs w:val="21"/>
          <w:highlight w:val="none"/>
          <w:lang w:val="en-US" w:eastAsia="zh-CN"/>
        </w:rPr>
        <w:t>合同管理</w:t>
      </w:r>
      <w:r>
        <w:rPr>
          <w:rFonts w:hint="eastAsia" w:ascii="宋体" w:hAnsi="宋体" w:eastAsia="宋体" w:cs="宋体"/>
          <w:b w:val="0"/>
          <w:bCs w:val="0"/>
          <w:color w:val="auto"/>
          <w:kern w:val="0"/>
          <w:sz w:val="21"/>
          <w:szCs w:val="21"/>
          <w:highlight w:val="none"/>
          <w:lang w:val="en-US"/>
        </w:rPr>
        <w:t>-支付管理。对于供应商提起在线支付申请的，采购</w:t>
      </w:r>
      <w:r>
        <w:rPr>
          <w:rFonts w:hint="eastAsia" w:ascii="宋体" w:hAnsi="宋体" w:eastAsia="宋体" w:cs="宋体"/>
          <w:b w:val="0"/>
          <w:bCs w:val="0"/>
          <w:color w:val="auto"/>
          <w:kern w:val="0"/>
          <w:sz w:val="21"/>
          <w:szCs w:val="21"/>
          <w:highlight w:val="none"/>
          <w:lang w:val="en-US" w:eastAsia="zh-CN"/>
        </w:rPr>
        <w:t>人</w:t>
      </w:r>
      <w:r>
        <w:rPr>
          <w:rFonts w:hint="eastAsia" w:ascii="宋体" w:hAnsi="宋体" w:eastAsia="宋体" w:cs="宋体"/>
          <w:b w:val="0"/>
          <w:bCs w:val="0"/>
          <w:color w:val="auto"/>
          <w:kern w:val="0"/>
          <w:sz w:val="21"/>
          <w:szCs w:val="21"/>
          <w:highlight w:val="none"/>
          <w:lang w:val="en-US"/>
        </w:rPr>
        <w:t>应当</w:t>
      </w:r>
      <w:r>
        <w:rPr>
          <w:rFonts w:hint="eastAsia" w:ascii="宋体" w:hAnsi="宋体" w:eastAsia="宋体" w:cs="宋体"/>
          <w:b w:val="0"/>
          <w:bCs w:val="0"/>
          <w:color w:val="auto"/>
          <w:kern w:val="0"/>
          <w:sz w:val="21"/>
          <w:szCs w:val="21"/>
          <w:highlight w:val="none"/>
          <w:lang w:val="en-US" w:eastAsia="zh-CN"/>
        </w:rPr>
        <w:t>按规定</w:t>
      </w:r>
      <w:r>
        <w:rPr>
          <w:rFonts w:hint="eastAsia" w:ascii="宋体" w:hAnsi="宋体" w:eastAsia="宋体" w:cs="宋体"/>
          <w:b w:val="0"/>
          <w:bCs w:val="0"/>
          <w:color w:val="auto"/>
          <w:kern w:val="0"/>
          <w:sz w:val="21"/>
          <w:szCs w:val="21"/>
          <w:highlight w:val="none"/>
          <w:lang w:val="en-US"/>
        </w:rPr>
        <w:t>做好审核并完成支付。</w:t>
      </w:r>
    </w:p>
    <w:p w14:paraId="40018E2F">
      <w:pPr>
        <w:pStyle w:val="79"/>
        <w:rPr>
          <w:color w:val="auto"/>
          <w:highlight w:val="none"/>
        </w:rPr>
      </w:pPr>
    </w:p>
    <w:bookmarkEnd w:id="13"/>
    <w:p w14:paraId="70702125">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992" w:gutter="0"/>
          <w:cols w:space="720" w:num="1"/>
          <w:titlePg/>
          <w:docGrid w:linePitch="312" w:charSpace="0"/>
        </w:sectPr>
      </w:pPr>
      <w:bookmarkStart w:id="15" w:name="_Hlt75236011"/>
      <w:bookmarkEnd w:id="15"/>
      <w:bookmarkStart w:id="16" w:name="_Hlt68072998"/>
      <w:bookmarkEnd w:id="16"/>
      <w:bookmarkStart w:id="17" w:name="_Hlt68403820"/>
      <w:bookmarkEnd w:id="17"/>
      <w:bookmarkStart w:id="18" w:name="_Hlt74729768"/>
      <w:bookmarkEnd w:id="18"/>
      <w:bookmarkStart w:id="19" w:name="_Hlt75236101"/>
      <w:bookmarkEnd w:id="19"/>
      <w:bookmarkStart w:id="20" w:name="_Hlt68073093"/>
      <w:bookmarkEnd w:id="20"/>
      <w:bookmarkStart w:id="21" w:name="_Hlt68072990"/>
      <w:bookmarkEnd w:id="21"/>
      <w:bookmarkStart w:id="22" w:name="_Hlt75236290"/>
      <w:bookmarkEnd w:id="22"/>
      <w:bookmarkStart w:id="23" w:name="_Hlt68057669"/>
      <w:bookmarkEnd w:id="23"/>
      <w:bookmarkStart w:id="24" w:name="_Hlt74714665"/>
      <w:bookmarkEnd w:id="24"/>
      <w:bookmarkStart w:id="25" w:name="_Hlt74730295"/>
      <w:bookmarkEnd w:id="25"/>
      <w:bookmarkStart w:id="26" w:name="_Hlt74707468"/>
      <w:bookmarkEnd w:id="26"/>
    </w:p>
    <w:bookmarkEnd w:id="11"/>
    <w:bookmarkEnd w:id="12"/>
    <w:p w14:paraId="3AB19616">
      <w:pPr>
        <w:spacing w:line="360" w:lineRule="auto"/>
        <w:jc w:val="center"/>
        <w:outlineLvl w:val="0"/>
        <w:rPr>
          <w:rFonts w:ascii="宋体" w:hAnsi="宋体" w:cs="宋体"/>
          <w:b/>
          <w:color w:val="auto"/>
          <w:sz w:val="32"/>
          <w:szCs w:val="32"/>
          <w:highlight w:val="none"/>
        </w:rPr>
      </w:pPr>
      <w:bookmarkStart w:id="27" w:name="第四部分"/>
      <w:r>
        <w:rPr>
          <w:rFonts w:hint="eastAsia" w:ascii="宋体" w:hAnsi="宋体" w:cs="宋体"/>
          <w:b/>
          <w:color w:val="auto"/>
          <w:sz w:val="32"/>
          <w:szCs w:val="32"/>
          <w:highlight w:val="none"/>
        </w:rPr>
        <w:t>第三部分   采购需求</w:t>
      </w:r>
    </w:p>
    <w:p w14:paraId="1DA4CE93">
      <w:pPr>
        <w:pStyle w:val="5"/>
        <w:tabs>
          <w:tab w:val="left" w:pos="167"/>
        </w:tabs>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一、采购资金的支付方式、时间、条件</w:t>
      </w:r>
    </w:p>
    <w:tbl>
      <w:tblPr>
        <w:tblStyle w:val="6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68"/>
        <w:gridCol w:w="7758"/>
      </w:tblGrid>
      <w:tr w14:paraId="7DA16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70" w:type="pct"/>
            <w:tcBorders>
              <w:top w:val="single" w:color="auto" w:sz="4" w:space="0"/>
              <w:left w:val="single" w:color="auto" w:sz="4" w:space="0"/>
              <w:bottom w:val="single" w:color="auto" w:sz="4" w:space="0"/>
              <w:right w:val="single" w:color="auto" w:sz="4" w:space="0"/>
            </w:tcBorders>
            <w:vAlign w:val="center"/>
          </w:tcPr>
          <w:p w14:paraId="17758165">
            <w:pPr>
              <w:snapToGrid w:val="0"/>
              <w:spacing w:line="288" w:lineRule="auto"/>
              <w:jc w:val="center"/>
              <w:rPr>
                <w:rFonts w:ascii="宋体" w:hAnsi="宋体" w:cs="宋体"/>
                <w:b/>
                <w:color w:val="auto"/>
                <w:spacing w:val="-6"/>
                <w:szCs w:val="21"/>
                <w:highlight w:val="none"/>
              </w:rPr>
            </w:pPr>
            <w:bookmarkStart w:id="28" w:name="_Hlk45005608"/>
            <w:r>
              <w:rPr>
                <w:rFonts w:hint="eastAsia" w:ascii="宋体" w:hAnsi="宋体" w:cs="宋体"/>
                <w:b/>
                <w:color w:val="auto"/>
                <w:spacing w:val="-6"/>
                <w:szCs w:val="21"/>
                <w:highlight w:val="none"/>
              </w:rPr>
              <w:t>▲履约保证金</w:t>
            </w:r>
          </w:p>
        </w:tc>
        <w:tc>
          <w:tcPr>
            <w:tcW w:w="4029" w:type="pct"/>
            <w:tcBorders>
              <w:top w:val="single" w:color="auto" w:sz="4" w:space="0"/>
              <w:left w:val="single" w:color="auto" w:sz="4" w:space="0"/>
              <w:bottom w:val="single" w:color="auto" w:sz="4" w:space="0"/>
              <w:right w:val="single" w:color="auto" w:sz="4" w:space="0"/>
            </w:tcBorders>
            <w:vAlign w:val="center"/>
          </w:tcPr>
          <w:p w14:paraId="4AA3D964">
            <w:pPr>
              <w:snapToGrid w:val="0"/>
              <w:spacing w:line="288" w:lineRule="auto"/>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1.合同签订后一周内，中标人向采购人提交合同总价1%的履约保证金，履约保证金在合同履约期间无违约情形的，项目验收结束后，于一周内退还（不计息）；</w:t>
            </w:r>
          </w:p>
          <w:p w14:paraId="3DD5B6D0">
            <w:pPr>
              <w:snapToGrid w:val="0"/>
              <w:spacing w:line="288" w:lineRule="auto"/>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2.提交方式：支票、汇票、本票或金融机构、担保机构出具的保函等非现金形式。</w:t>
            </w:r>
          </w:p>
        </w:tc>
      </w:tr>
      <w:tr w14:paraId="72755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70" w:type="pct"/>
            <w:tcBorders>
              <w:top w:val="single" w:color="auto" w:sz="4" w:space="0"/>
              <w:left w:val="single" w:color="auto" w:sz="4" w:space="0"/>
              <w:bottom w:val="single" w:color="auto" w:sz="4" w:space="0"/>
              <w:right w:val="single" w:color="auto" w:sz="4" w:space="0"/>
            </w:tcBorders>
            <w:vAlign w:val="center"/>
          </w:tcPr>
          <w:p w14:paraId="2B0B4483">
            <w:pPr>
              <w:snapToGrid w:val="0"/>
              <w:spacing w:line="288" w:lineRule="auto"/>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▲付款方式</w:t>
            </w:r>
          </w:p>
        </w:tc>
        <w:tc>
          <w:tcPr>
            <w:tcW w:w="4029" w:type="pct"/>
            <w:tcBorders>
              <w:top w:val="single" w:color="auto" w:sz="4" w:space="0"/>
              <w:left w:val="single" w:color="auto" w:sz="4" w:space="0"/>
              <w:bottom w:val="single" w:color="auto" w:sz="4" w:space="0"/>
              <w:right w:val="single" w:color="auto" w:sz="4" w:space="0"/>
            </w:tcBorders>
            <w:vAlign w:val="center"/>
          </w:tcPr>
          <w:p w14:paraId="39480792">
            <w:pPr>
              <w:autoSpaceDE w:val="0"/>
              <w:autoSpaceDN w:val="0"/>
              <w:snapToGrid w:val="0"/>
              <w:spacing w:line="288" w:lineRule="auto"/>
              <w:jc w:val="left"/>
              <w:rPr>
                <w:rFonts w:ascii="宋体" w:hAnsi="宋体" w:cs="宋体"/>
                <w:color w:val="auto"/>
                <w:szCs w:val="21"/>
                <w:highlight w:val="none"/>
              </w:rPr>
            </w:pPr>
            <w:r>
              <w:rPr>
                <w:rFonts w:hint="eastAsia" w:ascii="宋体" w:hAnsi="宋体" w:cs="宋体"/>
                <w:color w:val="auto"/>
                <w:spacing w:val="-6"/>
                <w:szCs w:val="21"/>
                <w:highlight w:val="none"/>
              </w:rPr>
              <w:t>合同生效以及具备实施条件后5个工作日内，且中标人已向采购人提交银行、保险公司等金融机构出具的预付款保函的，采购人凭中标人提供的正式发票向中标人支付合同总价的</w:t>
            </w:r>
            <w:r>
              <w:rPr>
                <w:rFonts w:hint="eastAsia" w:ascii="宋体" w:hAnsi="宋体" w:cs="宋体"/>
                <w:color w:val="auto"/>
                <w:spacing w:val="-6"/>
                <w:szCs w:val="21"/>
                <w:highlight w:val="none"/>
                <w:lang w:val="en-US" w:eastAsia="zh-CN"/>
              </w:rPr>
              <w:t>5</w:t>
            </w:r>
            <w:r>
              <w:rPr>
                <w:rFonts w:hint="eastAsia" w:ascii="宋体" w:hAnsi="宋体" w:cs="宋体"/>
                <w:color w:val="auto"/>
                <w:spacing w:val="-6"/>
                <w:szCs w:val="21"/>
                <w:highlight w:val="none"/>
              </w:rPr>
              <w:t>0%；项目验收完毕之后，5个工作日内采购人凭中标人提供的正式发票，采购人向中标人支付合同总价的</w:t>
            </w:r>
            <w:r>
              <w:rPr>
                <w:rFonts w:hint="eastAsia" w:ascii="宋体" w:hAnsi="宋体" w:cs="宋体"/>
                <w:color w:val="auto"/>
                <w:spacing w:val="-6"/>
                <w:szCs w:val="21"/>
                <w:highlight w:val="none"/>
                <w:lang w:val="en-US" w:eastAsia="zh-CN"/>
              </w:rPr>
              <w:t>5</w:t>
            </w:r>
            <w:r>
              <w:rPr>
                <w:rFonts w:hint="eastAsia" w:ascii="宋体" w:hAnsi="宋体" w:cs="宋体"/>
                <w:color w:val="auto"/>
                <w:spacing w:val="-6"/>
                <w:szCs w:val="21"/>
                <w:highlight w:val="none"/>
              </w:rPr>
              <w:t>0%。</w:t>
            </w:r>
          </w:p>
        </w:tc>
      </w:tr>
      <w:bookmarkEnd w:id="28"/>
    </w:tbl>
    <w:p w14:paraId="429E3352">
      <w:pPr>
        <w:spacing w:line="288" w:lineRule="auto"/>
        <w:rPr>
          <w:rFonts w:ascii="宋体" w:hAnsi="宋体" w:cs="宋体"/>
          <w:b/>
          <w:bCs/>
          <w:color w:val="auto"/>
          <w:szCs w:val="21"/>
          <w:highlight w:val="none"/>
        </w:rPr>
      </w:pPr>
    </w:p>
    <w:p w14:paraId="498879A3">
      <w:pPr>
        <w:snapToGrid w:val="0"/>
        <w:spacing w:line="288" w:lineRule="auto"/>
        <w:ind w:left="238" w:hanging="238" w:hangingChars="113"/>
        <w:outlineLvl w:val="1"/>
        <w:rPr>
          <w:rFonts w:ascii="宋体" w:hAnsi="宋体" w:cs="宋体"/>
          <w:b/>
          <w:color w:val="auto"/>
          <w:szCs w:val="21"/>
          <w:highlight w:val="none"/>
        </w:rPr>
      </w:pPr>
      <w:r>
        <w:rPr>
          <w:rFonts w:hint="eastAsia" w:ascii="宋体" w:hAnsi="宋体" w:cs="宋体"/>
          <w:b/>
          <w:color w:val="auto"/>
          <w:szCs w:val="21"/>
          <w:highlight w:val="none"/>
        </w:rPr>
        <w:t>二、服务要求</w:t>
      </w:r>
      <w:r>
        <w:rPr>
          <w:rFonts w:hint="eastAsia" w:ascii="宋体" w:hAnsi="宋体" w:cs="宋体"/>
          <w:b/>
          <w:color w:val="auto"/>
          <w:spacing w:val="-6"/>
          <w:szCs w:val="21"/>
          <w:highlight w:val="none"/>
        </w:rPr>
        <w:t>（技术要求里另有注明的以技术要求为准）</w:t>
      </w:r>
      <w:r>
        <w:rPr>
          <w:rFonts w:hint="eastAsia" w:ascii="宋体" w:hAnsi="宋体" w:cs="宋体"/>
          <w:b/>
          <w:color w:val="auto"/>
          <w:szCs w:val="21"/>
          <w:highlight w:val="none"/>
        </w:rPr>
        <w:t>：</w:t>
      </w:r>
    </w:p>
    <w:tbl>
      <w:tblPr>
        <w:tblStyle w:val="6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62"/>
        <w:gridCol w:w="7766"/>
      </w:tblGrid>
      <w:tr w14:paraId="65F98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96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DF9A9E">
            <w:pPr>
              <w:snapToGrid w:val="0"/>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lang w:val="en-US" w:eastAsia="zh-CN"/>
              </w:rPr>
              <w:t>服务</w:t>
            </w:r>
            <w:r>
              <w:rPr>
                <w:rFonts w:hint="eastAsia" w:ascii="宋体" w:hAnsi="宋体" w:cs="宋体"/>
                <w:b/>
                <w:bCs/>
                <w:color w:val="auto"/>
                <w:szCs w:val="21"/>
                <w:highlight w:val="none"/>
              </w:rPr>
              <w:t>时间</w:t>
            </w:r>
          </w:p>
        </w:tc>
        <w:tc>
          <w:tcPr>
            <w:tcW w:w="403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45F15E">
            <w:pPr>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2025年2月-2026年2月</w:t>
            </w:r>
          </w:p>
        </w:tc>
      </w:tr>
      <w:tr w14:paraId="60839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0D70FA">
            <w:pPr>
              <w:snapToGrid w:val="0"/>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lang w:val="en-US" w:eastAsia="zh-CN"/>
              </w:rPr>
              <w:t>服务</w:t>
            </w:r>
            <w:r>
              <w:rPr>
                <w:rFonts w:hint="eastAsia" w:ascii="宋体" w:hAnsi="宋体" w:cs="宋体"/>
                <w:b/>
                <w:bCs/>
                <w:color w:val="auto"/>
                <w:szCs w:val="21"/>
                <w:highlight w:val="none"/>
              </w:rPr>
              <w:t>地点</w:t>
            </w:r>
          </w:p>
        </w:tc>
        <w:tc>
          <w:tcPr>
            <w:tcW w:w="403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F61F92">
            <w:pPr>
              <w:snapToGrid w:val="0"/>
              <w:spacing w:line="288"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杭州</w:t>
            </w:r>
          </w:p>
        </w:tc>
      </w:tr>
    </w:tbl>
    <w:p w14:paraId="29D2ACE4">
      <w:pPr>
        <w:snapToGrid w:val="0"/>
        <w:spacing w:line="288" w:lineRule="auto"/>
        <w:ind w:firstLine="420" w:firstLineChars="200"/>
        <w:jc w:val="left"/>
        <w:rPr>
          <w:rFonts w:ascii="宋体" w:hAnsi="宋体" w:cs="宋体"/>
          <w:color w:val="auto"/>
          <w:szCs w:val="21"/>
          <w:highlight w:val="none"/>
        </w:rPr>
      </w:pPr>
    </w:p>
    <w:p w14:paraId="0D4D4FA3">
      <w:pPr>
        <w:snapToGrid w:val="0"/>
        <w:spacing w:line="288" w:lineRule="auto"/>
        <w:outlineLvl w:val="1"/>
        <w:rPr>
          <w:rFonts w:ascii="宋体" w:hAnsi="宋体" w:cs="宋体"/>
          <w:b/>
          <w:color w:val="auto"/>
          <w:szCs w:val="21"/>
          <w:highlight w:val="none"/>
        </w:rPr>
      </w:pPr>
      <w:r>
        <w:rPr>
          <w:rFonts w:hint="eastAsia" w:ascii="宋体" w:hAnsi="宋体" w:cs="宋体"/>
          <w:b/>
          <w:color w:val="auto"/>
          <w:szCs w:val="21"/>
          <w:highlight w:val="none"/>
        </w:rPr>
        <w:t>三、技术要求</w:t>
      </w:r>
    </w:p>
    <w:p w14:paraId="459D112A">
      <w:pPr>
        <w:snapToGrid w:val="0"/>
        <w:spacing w:line="288" w:lineRule="auto"/>
        <w:rPr>
          <w:rFonts w:ascii="宋体" w:hAnsi="宋体" w:cs="宋体"/>
          <w:b/>
          <w:bCs/>
          <w:color w:val="auto"/>
          <w:szCs w:val="21"/>
          <w:highlight w:val="none"/>
        </w:rPr>
      </w:pPr>
      <w:r>
        <w:rPr>
          <w:rFonts w:hint="eastAsia" w:ascii="宋体" w:hAnsi="宋体" w:cs="宋体"/>
          <w:b/>
          <w:bCs/>
          <w:color w:val="auto"/>
          <w:szCs w:val="21"/>
          <w:highlight w:val="none"/>
        </w:rPr>
        <w:t>1.需执行的国家相关标准、行业标准、地方标准或者其他标准、规范：</w:t>
      </w:r>
      <w:bookmarkStart w:id="29" w:name="_Hlk94018176"/>
      <w:r>
        <w:rPr>
          <w:rFonts w:hint="eastAsia" w:ascii="宋体" w:hAnsi="宋体" w:cs="宋体"/>
          <w:color w:val="auto"/>
          <w:szCs w:val="21"/>
          <w:highlight w:val="none"/>
        </w:rPr>
        <w:t>如技术要求中未注明需执行的国家相关标准、行业标准、地方标准或者其他标准、规范的，执行最新标准、规范。</w:t>
      </w:r>
      <w:bookmarkEnd w:id="29"/>
    </w:p>
    <w:p w14:paraId="09410A90">
      <w:pPr>
        <w:snapToGrid w:val="0"/>
        <w:spacing w:line="288" w:lineRule="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rPr>
        <w:t>2.需实现的功能或者目标：</w:t>
      </w:r>
      <w:r>
        <w:rPr>
          <w:rFonts w:hint="eastAsia" w:ascii="宋体" w:hAnsi="宋体" w:cs="宋体"/>
          <w:b w:val="0"/>
          <w:bCs w:val="0"/>
          <w:color w:val="auto"/>
          <w:szCs w:val="21"/>
          <w:highlight w:val="none"/>
          <w:lang w:val="en-US" w:eastAsia="zh-CN"/>
        </w:rPr>
        <w:t>保障社会热点信息报送服务</w:t>
      </w:r>
      <w:r>
        <w:rPr>
          <w:rFonts w:hint="eastAsia" w:ascii="宋体" w:hAnsi="宋体" w:eastAsia="宋体" w:cs="宋体"/>
          <w:color w:val="auto"/>
          <w:kern w:val="0"/>
          <w:sz w:val="21"/>
          <w:szCs w:val="21"/>
          <w:highlight w:val="none"/>
          <w:rtl w:val="0"/>
          <w:lang w:val="en-US" w:eastAsia="zh-CN"/>
        </w:rPr>
        <w:t>工作</w:t>
      </w:r>
    </w:p>
    <w:p w14:paraId="2444A292">
      <w:pPr>
        <w:spacing w:line="288" w:lineRule="auto"/>
        <w:rPr>
          <w:rFonts w:hint="eastAsia" w:ascii="宋体" w:hAnsi="宋体" w:eastAsia="宋体" w:cs="宋体"/>
          <w:b/>
          <w:color w:val="auto"/>
          <w:szCs w:val="21"/>
          <w:highlight w:val="none"/>
          <w:lang w:eastAsia="zh-CN"/>
        </w:rPr>
      </w:pPr>
      <w:r>
        <w:rPr>
          <w:rFonts w:hint="eastAsia" w:ascii="宋体" w:hAnsi="宋体" w:cs="宋体"/>
          <w:b/>
          <w:bCs/>
          <w:color w:val="auto"/>
          <w:spacing w:val="-4"/>
          <w:szCs w:val="21"/>
          <w:highlight w:val="none"/>
        </w:rPr>
        <w:t>3.需满足的质量、安全、技术规格、物理特性等要求：</w:t>
      </w:r>
      <w:r>
        <w:rPr>
          <w:rFonts w:hint="eastAsia" w:ascii="宋体" w:hAnsi="宋体" w:cs="宋体"/>
          <w:b/>
          <w:bCs/>
          <w:color w:val="auto"/>
          <w:szCs w:val="21"/>
          <w:highlight w:val="none"/>
        </w:rPr>
        <w:t>（功能或者目标）、质量、安全、技术规格、物理特性等要求</w:t>
      </w:r>
      <w:r>
        <w:rPr>
          <w:rFonts w:hint="eastAsia" w:ascii="宋体" w:hAnsi="宋体" w:cs="宋体"/>
          <w:b/>
          <w:bCs/>
          <w:color w:val="auto"/>
          <w:szCs w:val="21"/>
          <w:highlight w:val="none"/>
          <w:lang w:eastAsia="zh-CN"/>
        </w:rPr>
        <w:t>：</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1679"/>
        <w:gridCol w:w="6799"/>
      </w:tblGrid>
      <w:tr w14:paraId="152B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left w:val="single" w:color="auto" w:sz="4" w:space="0"/>
              <w:bottom w:val="single" w:color="auto" w:sz="4" w:space="0"/>
              <w:right w:val="single" w:color="auto" w:sz="4" w:space="0"/>
            </w:tcBorders>
            <w:noWrap w:val="0"/>
            <w:vAlign w:val="center"/>
          </w:tcPr>
          <w:p w14:paraId="5407C79E">
            <w:pPr>
              <w:pStyle w:val="877"/>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72" w:type="pct"/>
            <w:tcBorders>
              <w:top w:val="single" w:color="auto" w:sz="4" w:space="0"/>
              <w:left w:val="nil"/>
              <w:bottom w:val="single" w:color="auto" w:sz="4" w:space="0"/>
              <w:right w:val="single" w:color="auto" w:sz="4" w:space="0"/>
            </w:tcBorders>
            <w:noWrap w:val="0"/>
            <w:vAlign w:val="center"/>
          </w:tcPr>
          <w:p w14:paraId="1C3BA3BD">
            <w:pPr>
              <w:pStyle w:val="877"/>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3531" w:type="pct"/>
            <w:tcBorders>
              <w:top w:val="single" w:color="auto" w:sz="4" w:space="0"/>
              <w:left w:val="nil"/>
              <w:bottom w:val="single" w:color="auto" w:sz="4" w:space="0"/>
              <w:right w:val="single" w:color="auto" w:sz="4" w:space="0"/>
            </w:tcBorders>
            <w:noWrap w:val="0"/>
            <w:vAlign w:val="center"/>
          </w:tcPr>
          <w:p w14:paraId="5ECB31DE">
            <w:pPr>
              <w:pStyle w:val="877"/>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服务内容</w:t>
            </w:r>
          </w:p>
        </w:tc>
      </w:tr>
      <w:tr w14:paraId="371B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left w:val="single" w:color="auto" w:sz="4" w:space="0"/>
              <w:bottom w:val="single" w:color="auto" w:sz="4" w:space="0"/>
              <w:right w:val="single" w:color="auto" w:sz="4" w:space="0"/>
            </w:tcBorders>
            <w:noWrap w:val="0"/>
            <w:vAlign w:val="center"/>
          </w:tcPr>
          <w:p w14:paraId="3613D18F">
            <w:pPr>
              <w:pStyle w:val="87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72" w:type="pct"/>
            <w:tcBorders>
              <w:top w:val="single" w:color="auto" w:sz="4" w:space="0"/>
              <w:left w:val="nil"/>
              <w:bottom w:val="single" w:color="auto" w:sz="4" w:space="0"/>
              <w:right w:val="single" w:color="auto" w:sz="4" w:space="0"/>
            </w:tcBorders>
            <w:noWrap w:val="0"/>
            <w:vAlign w:val="center"/>
          </w:tcPr>
          <w:p w14:paraId="51090B49">
            <w:pPr>
              <w:pStyle w:val="87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人员安排</w:t>
            </w:r>
          </w:p>
        </w:tc>
        <w:tc>
          <w:tcPr>
            <w:tcW w:w="3531" w:type="pct"/>
            <w:tcBorders>
              <w:top w:val="single" w:color="auto" w:sz="4" w:space="0"/>
              <w:left w:val="nil"/>
              <w:bottom w:val="single" w:color="auto" w:sz="4" w:space="0"/>
              <w:right w:val="single" w:color="auto" w:sz="4" w:space="0"/>
            </w:tcBorders>
            <w:noWrap w:val="0"/>
            <w:vAlign w:val="center"/>
          </w:tcPr>
          <w:p w14:paraId="0C56AAF0">
            <w:pPr>
              <w:pStyle w:val="87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不少于2名资深社会热点分析师负责钱塘区社会热点信息报送中心日常工作。完成日常信息编写；做好区内热点信息选题策划、布置落实、信息整合、统计上报工作；负责报送单位信息编写日常培训指导工作。</w:t>
            </w:r>
          </w:p>
        </w:tc>
      </w:tr>
      <w:tr w14:paraId="720C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left w:val="single" w:color="auto" w:sz="4" w:space="0"/>
              <w:bottom w:val="single" w:color="auto" w:sz="4" w:space="0"/>
              <w:right w:val="single" w:color="auto" w:sz="4" w:space="0"/>
            </w:tcBorders>
            <w:noWrap w:val="0"/>
            <w:vAlign w:val="center"/>
          </w:tcPr>
          <w:p w14:paraId="2667DC5C">
            <w:pPr>
              <w:pStyle w:val="87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72" w:type="pct"/>
            <w:tcBorders>
              <w:top w:val="single" w:color="auto" w:sz="4" w:space="0"/>
              <w:left w:val="nil"/>
              <w:bottom w:val="single" w:color="auto" w:sz="4" w:space="0"/>
              <w:right w:val="single" w:color="auto" w:sz="4" w:space="0"/>
            </w:tcBorders>
            <w:noWrap w:val="0"/>
            <w:vAlign w:val="center"/>
          </w:tcPr>
          <w:p w14:paraId="36EC0277">
            <w:pPr>
              <w:pStyle w:val="87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录用要求</w:t>
            </w:r>
          </w:p>
        </w:tc>
        <w:tc>
          <w:tcPr>
            <w:tcW w:w="3531" w:type="pct"/>
            <w:tcBorders>
              <w:top w:val="single" w:color="auto" w:sz="4" w:space="0"/>
              <w:left w:val="nil"/>
              <w:bottom w:val="single" w:color="auto" w:sz="4" w:space="0"/>
              <w:right w:val="single" w:color="auto" w:sz="4" w:space="0"/>
            </w:tcBorders>
            <w:noWrap w:val="0"/>
            <w:vAlign w:val="center"/>
          </w:tcPr>
          <w:p w14:paraId="73ED49D8">
            <w:pPr>
              <w:pStyle w:val="87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确保每日稿件报送数量达到上级要求篇数的上限，全年独立撰稿完成市宣综采录用不少于300篇；全年收集、修改及报送市宣综采录用不少2000篇。</w:t>
            </w:r>
          </w:p>
        </w:tc>
      </w:tr>
      <w:tr w14:paraId="241C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left w:val="single" w:color="auto" w:sz="4" w:space="0"/>
              <w:bottom w:val="single" w:color="auto" w:sz="4" w:space="0"/>
              <w:right w:val="single" w:color="auto" w:sz="4" w:space="0"/>
            </w:tcBorders>
            <w:noWrap w:val="0"/>
            <w:vAlign w:val="center"/>
          </w:tcPr>
          <w:p w14:paraId="4E8D6BE3">
            <w:pPr>
              <w:pStyle w:val="87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72" w:type="pct"/>
            <w:tcBorders>
              <w:top w:val="single" w:color="auto" w:sz="4" w:space="0"/>
              <w:left w:val="nil"/>
              <w:bottom w:val="single" w:color="auto" w:sz="4" w:space="0"/>
              <w:right w:val="single" w:color="auto" w:sz="4" w:space="0"/>
            </w:tcBorders>
            <w:noWrap w:val="0"/>
            <w:vAlign w:val="center"/>
          </w:tcPr>
          <w:p w14:paraId="27810F14">
            <w:pPr>
              <w:pStyle w:val="87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培训计划</w:t>
            </w:r>
          </w:p>
        </w:tc>
        <w:tc>
          <w:tcPr>
            <w:tcW w:w="3531" w:type="pct"/>
            <w:tcBorders>
              <w:top w:val="single" w:color="auto" w:sz="4" w:space="0"/>
              <w:left w:val="nil"/>
              <w:bottom w:val="single" w:color="auto" w:sz="4" w:space="0"/>
              <w:right w:val="single" w:color="auto" w:sz="4" w:space="0"/>
            </w:tcBorders>
            <w:noWrap w:val="0"/>
            <w:vAlign w:val="center"/>
          </w:tcPr>
          <w:p w14:paraId="7BD487D6">
            <w:pPr>
              <w:pStyle w:val="87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组织不少于2次培训或笔会，包括邀请省市委宣传部、中宣部信息直报点、高校、媒体等单位专家进行专项培训，组织信息员开展专题采写实践，分组指导、点评等。</w:t>
            </w:r>
          </w:p>
        </w:tc>
      </w:tr>
      <w:tr w14:paraId="2ED1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left w:val="single" w:color="auto" w:sz="4" w:space="0"/>
              <w:bottom w:val="single" w:color="auto" w:sz="4" w:space="0"/>
              <w:right w:val="single" w:color="auto" w:sz="4" w:space="0"/>
            </w:tcBorders>
            <w:noWrap w:val="0"/>
            <w:vAlign w:val="center"/>
          </w:tcPr>
          <w:p w14:paraId="14828D77">
            <w:pPr>
              <w:pStyle w:val="87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72" w:type="pct"/>
            <w:tcBorders>
              <w:top w:val="single" w:color="auto" w:sz="4" w:space="0"/>
              <w:left w:val="nil"/>
              <w:bottom w:val="single" w:color="auto" w:sz="4" w:space="0"/>
              <w:right w:val="single" w:color="auto" w:sz="4" w:space="0"/>
            </w:tcBorders>
            <w:noWrap w:val="0"/>
            <w:vAlign w:val="center"/>
          </w:tcPr>
          <w:p w14:paraId="4A1D4705">
            <w:pPr>
              <w:pStyle w:val="877"/>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考核标准</w:t>
            </w:r>
          </w:p>
        </w:tc>
        <w:tc>
          <w:tcPr>
            <w:tcW w:w="3531" w:type="pct"/>
            <w:tcBorders>
              <w:top w:val="single" w:color="auto" w:sz="4" w:space="0"/>
              <w:left w:val="nil"/>
              <w:bottom w:val="single" w:color="auto" w:sz="4" w:space="0"/>
              <w:right w:val="single" w:color="auto" w:sz="4" w:space="0"/>
            </w:tcBorders>
            <w:noWrap w:val="0"/>
            <w:vAlign w:val="center"/>
          </w:tcPr>
          <w:p w14:paraId="649313E0">
            <w:pPr>
              <w:pStyle w:val="87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未完成录用要求的每项扣1万元；未完成培训计划的，每次扣2.5万元。</w:t>
            </w:r>
          </w:p>
        </w:tc>
      </w:tr>
    </w:tbl>
    <w:p w14:paraId="0B40DB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宋体" w:hAnsi="宋体" w:eastAsia="宋体" w:cs="仿宋_GB2312"/>
          <w:color w:val="auto"/>
          <w:sz w:val="24"/>
          <w:highlight w:val="none"/>
          <w:lang w:val="en-US" w:eastAsia="zh-CN"/>
        </w:rPr>
      </w:pPr>
    </w:p>
    <w:p w14:paraId="3FC34881">
      <w:pPr>
        <w:spacing w:line="360" w:lineRule="auto"/>
        <w:ind w:firstLine="181" w:firstLineChars="50"/>
        <w:rPr>
          <w:rFonts w:ascii="宋体" w:hAnsi="宋体" w:cs="宋体"/>
          <w:b/>
          <w:color w:val="auto"/>
          <w:sz w:val="36"/>
          <w:szCs w:val="36"/>
          <w:highlight w:val="none"/>
        </w:rPr>
      </w:pPr>
    </w:p>
    <w:p w14:paraId="55E1CFFE">
      <w:pPr>
        <w:spacing w:line="360" w:lineRule="auto"/>
        <w:rPr>
          <w:rFonts w:ascii="宋体" w:hAnsi="宋体" w:cs="宋体"/>
          <w:color w:val="auto"/>
          <w:sz w:val="24"/>
          <w:highlight w:val="none"/>
        </w:rPr>
      </w:pPr>
    </w:p>
    <w:p w14:paraId="48772C89">
      <w:pPr>
        <w:rPr>
          <w:rFonts w:ascii="宋体" w:hAnsi="宋体" w:cs="宋体"/>
          <w:bCs/>
          <w:color w:val="auto"/>
          <w:sz w:val="24"/>
          <w:highlight w:val="none"/>
        </w:rPr>
      </w:pPr>
      <w:r>
        <w:rPr>
          <w:rFonts w:ascii="宋体" w:hAnsi="宋体" w:cs="宋体"/>
          <w:bCs/>
          <w:color w:val="auto"/>
          <w:sz w:val="24"/>
          <w:highlight w:val="none"/>
        </w:rPr>
        <w:br w:type="page"/>
      </w:r>
    </w:p>
    <w:p w14:paraId="4C8CC545">
      <w:pPr>
        <w:widowControl/>
        <w:ind w:firstLine="720" w:firstLineChars="300"/>
        <w:jc w:val="left"/>
        <w:rPr>
          <w:rFonts w:ascii="宋体" w:hAnsi="宋体" w:cs="宋体"/>
          <w:bCs/>
          <w:color w:val="auto"/>
          <w:sz w:val="24"/>
          <w:highlight w:val="none"/>
        </w:rPr>
      </w:pPr>
    </w:p>
    <w:p w14:paraId="347876F5">
      <w:pPr>
        <w:rPr>
          <w:rFonts w:ascii="宋体" w:hAnsi="宋体" w:cs="宋体"/>
          <w:snapToGrid w:val="0"/>
          <w:color w:val="auto"/>
          <w:kern w:val="0"/>
          <w:sz w:val="24"/>
          <w:highlight w:val="none"/>
        </w:rPr>
      </w:pPr>
    </w:p>
    <w:p w14:paraId="6B4B71FD">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 xml:space="preserve">第四部分   </w:t>
      </w:r>
      <w:bookmarkStart w:id="30" w:name="_Toc184308088"/>
      <w:bookmarkEnd w:id="30"/>
      <w:bookmarkStart w:id="31" w:name="_Toc184312112"/>
      <w:bookmarkEnd w:id="31"/>
      <w:bookmarkStart w:id="32" w:name="_Toc184312125"/>
      <w:bookmarkEnd w:id="32"/>
      <w:bookmarkStart w:id="33" w:name="_Toc184308085"/>
      <w:bookmarkEnd w:id="33"/>
      <w:bookmarkStart w:id="34" w:name="_Toc184314465"/>
      <w:bookmarkEnd w:id="34"/>
      <w:bookmarkStart w:id="35" w:name="_Toc184312106"/>
      <w:bookmarkEnd w:id="35"/>
      <w:bookmarkStart w:id="36" w:name="_Toc184314478"/>
      <w:bookmarkEnd w:id="36"/>
      <w:bookmarkStart w:id="37" w:name="_Toc184308094"/>
      <w:bookmarkEnd w:id="37"/>
      <w:bookmarkStart w:id="38" w:name="_Toc184310287"/>
      <w:bookmarkEnd w:id="38"/>
      <w:bookmarkStart w:id="39" w:name="_Toc184308102"/>
      <w:bookmarkEnd w:id="39"/>
      <w:bookmarkStart w:id="40" w:name="_Toc184313274"/>
      <w:bookmarkEnd w:id="40"/>
      <w:bookmarkStart w:id="41" w:name="_Toc184314420"/>
      <w:bookmarkEnd w:id="41"/>
      <w:bookmarkStart w:id="42" w:name="_Toc184314433"/>
      <w:bookmarkEnd w:id="42"/>
      <w:bookmarkStart w:id="43" w:name="_Toc184308086"/>
      <w:bookmarkEnd w:id="43"/>
      <w:bookmarkStart w:id="44" w:name="_Toc184313264"/>
      <w:bookmarkEnd w:id="44"/>
      <w:bookmarkStart w:id="45" w:name="_Toc184312070"/>
      <w:bookmarkEnd w:id="45"/>
      <w:bookmarkStart w:id="46" w:name="_Toc184314457"/>
      <w:bookmarkEnd w:id="46"/>
      <w:bookmarkStart w:id="47" w:name="_Toc184312086"/>
      <w:bookmarkEnd w:id="47"/>
      <w:bookmarkStart w:id="48" w:name="_Toc184314447"/>
      <w:bookmarkEnd w:id="48"/>
      <w:bookmarkStart w:id="49" w:name="_Toc184312092"/>
      <w:bookmarkEnd w:id="49"/>
      <w:bookmarkStart w:id="50" w:name="_Toc184310322"/>
      <w:bookmarkEnd w:id="50"/>
      <w:bookmarkStart w:id="51" w:name="_Toc184312074"/>
      <w:bookmarkEnd w:id="51"/>
      <w:bookmarkStart w:id="52" w:name="_Toc184313238"/>
      <w:bookmarkEnd w:id="52"/>
      <w:bookmarkStart w:id="53" w:name="_Toc184310317"/>
      <w:bookmarkEnd w:id="53"/>
      <w:bookmarkStart w:id="54" w:name="_Toc184313244"/>
      <w:bookmarkEnd w:id="54"/>
      <w:bookmarkStart w:id="55" w:name="_Toc184310329"/>
      <w:bookmarkEnd w:id="55"/>
      <w:bookmarkStart w:id="56" w:name="_Toc184313249"/>
      <w:bookmarkEnd w:id="56"/>
      <w:bookmarkStart w:id="57" w:name="_Toc184314438"/>
      <w:bookmarkEnd w:id="57"/>
      <w:bookmarkStart w:id="58" w:name="_Toc184308098"/>
      <w:bookmarkEnd w:id="58"/>
      <w:bookmarkStart w:id="59" w:name="_Toc184308064"/>
      <w:bookmarkEnd w:id="59"/>
      <w:bookmarkStart w:id="60" w:name="_Toc184308036"/>
      <w:bookmarkEnd w:id="60"/>
      <w:bookmarkStart w:id="61" w:name="_Toc184308048"/>
      <w:bookmarkEnd w:id="61"/>
      <w:bookmarkStart w:id="62" w:name="_Toc184313259"/>
      <w:bookmarkEnd w:id="62"/>
      <w:bookmarkStart w:id="63" w:name="_Toc184314462"/>
      <w:bookmarkEnd w:id="63"/>
      <w:bookmarkStart w:id="64" w:name="_Toc184308080"/>
      <w:bookmarkEnd w:id="64"/>
      <w:bookmarkStart w:id="65" w:name="_Toc184312079"/>
      <w:bookmarkEnd w:id="65"/>
      <w:bookmarkStart w:id="66" w:name="_Toc184314426"/>
      <w:bookmarkEnd w:id="66"/>
      <w:bookmarkStart w:id="67" w:name="_Toc184308091"/>
      <w:bookmarkEnd w:id="67"/>
      <w:bookmarkStart w:id="68" w:name="_Toc184310333"/>
      <w:bookmarkEnd w:id="68"/>
      <w:bookmarkStart w:id="69" w:name="_Toc184308067"/>
      <w:bookmarkEnd w:id="69"/>
      <w:bookmarkStart w:id="70" w:name="_Toc184308092"/>
      <w:bookmarkEnd w:id="70"/>
      <w:bookmarkStart w:id="71" w:name="_Toc184310301"/>
      <w:bookmarkEnd w:id="71"/>
      <w:bookmarkStart w:id="72" w:name="_Toc184310319"/>
      <w:bookmarkEnd w:id="72"/>
      <w:bookmarkStart w:id="73" w:name="_Toc184310315"/>
      <w:bookmarkEnd w:id="73"/>
      <w:bookmarkStart w:id="74" w:name="_Toc184312077"/>
      <w:bookmarkEnd w:id="74"/>
      <w:bookmarkStart w:id="75" w:name="_Toc184308049"/>
      <w:bookmarkEnd w:id="75"/>
      <w:bookmarkStart w:id="76" w:name="_Toc184312136"/>
      <w:bookmarkEnd w:id="76"/>
      <w:bookmarkStart w:id="77" w:name="_Toc184314468"/>
      <w:bookmarkEnd w:id="77"/>
      <w:bookmarkStart w:id="78" w:name="_Toc184308053"/>
      <w:bookmarkEnd w:id="78"/>
      <w:bookmarkStart w:id="79" w:name="_Toc184310327"/>
      <w:bookmarkEnd w:id="79"/>
      <w:bookmarkStart w:id="80" w:name="_Toc184312087"/>
      <w:bookmarkEnd w:id="80"/>
      <w:bookmarkStart w:id="81" w:name="_Toc184312097"/>
      <w:bookmarkEnd w:id="81"/>
      <w:bookmarkStart w:id="82" w:name="_Toc184314418"/>
      <w:bookmarkEnd w:id="82"/>
      <w:bookmarkStart w:id="83" w:name="_Toc184310302"/>
      <w:bookmarkEnd w:id="83"/>
      <w:bookmarkStart w:id="84" w:name="_Toc184313283"/>
      <w:bookmarkEnd w:id="84"/>
      <w:bookmarkStart w:id="85" w:name="_Toc184310298"/>
      <w:bookmarkEnd w:id="85"/>
      <w:bookmarkStart w:id="86" w:name="_Toc184310311"/>
      <w:bookmarkEnd w:id="86"/>
      <w:bookmarkStart w:id="87" w:name="_Toc184313284"/>
      <w:bookmarkEnd w:id="87"/>
      <w:bookmarkStart w:id="88" w:name="_Toc184312082"/>
      <w:bookmarkEnd w:id="88"/>
      <w:bookmarkStart w:id="89" w:name="_Toc184314416"/>
      <w:bookmarkEnd w:id="89"/>
      <w:bookmarkStart w:id="90" w:name="_Toc184308037"/>
      <w:bookmarkEnd w:id="90"/>
      <w:bookmarkStart w:id="91" w:name="_Toc184312138"/>
      <w:bookmarkEnd w:id="91"/>
      <w:bookmarkStart w:id="92" w:name="_Toc184308052"/>
      <w:bookmarkEnd w:id="92"/>
      <w:bookmarkStart w:id="93" w:name="_Toc184310306"/>
      <w:bookmarkEnd w:id="93"/>
      <w:bookmarkStart w:id="94" w:name="_Toc184310295"/>
      <w:bookmarkEnd w:id="94"/>
      <w:bookmarkStart w:id="95" w:name="_Toc184314452"/>
      <w:bookmarkEnd w:id="95"/>
      <w:bookmarkStart w:id="96" w:name="_Toc184314461"/>
      <w:bookmarkEnd w:id="96"/>
      <w:bookmarkStart w:id="97" w:name="_Toc184308083"/>
      <w:bookmarkEnd w:id="97"/>
      <w:bookmarkStart w:id="98" w:name="_Toc184313271"/>
      <w:bookmarkEnd w:id="98"/>
      <w:bookmarkStart w:id="99" w:name="_Toc184312080"/>
      <w:bookmarkEnd w:id="99"/>
      <w:bookmarkStart w:id="100" w:name="_Toc184313263"/>
      <w:bookmarkEnd w:id="100"/>
      <w:bookmarkStart w:id="101" w:name="_Toc184310332"/>
      <w:bookmarkEnd w:id="101"/>
      <w:bookmarkStart w:id="102" w:name="_Toc184310316"/>
      <w:bookmarkEnd w:id="102"/>
      <w:bookmarkStart w:id="103" w:name="_Toc184312068"/>
      <w:bookmarkEnd w:id="103"/>
      <w:bookmarkStart w:id="104" w:name="_Toc184312121"/>
      <w:bookmarkEnd w:id="104"/>
      <w:bookmarkStart w:id="105" w:name="_Toc184313252"/>
      <w:bookmarkEnd w:id="105"/>
      <w:bookmarkStart w:id="106" w:name="_Toc184313286"/>
      <w:bookmarkEnd w:id="106"/>
      <w:bookmarkStart w:id="107" w:name="_Toc184314440"/>
      <w:bookmarkEnd w:id="107"/>
      <w:bookmarkStart w:id="108" w:name="_Toc184314436"/>
      <w:bookmarkEnd w:id="108"/>
      <w:bookmarkStart w:id="109" w:name="_Toc184313310"/>
      <w:bookmarkEnd w:id="109"/>
      <w:bookmarkStart w:id="110" w:name="_Toc184312095"/>
      <w:bookmarkEnd w:id="110"/>
      <w:bookmarkStart w:id="111" w:name="_Toc184312135"/>
      <w:bookmarkEnd w:id="111"/>
      <w:bookmarkStart w:id="112" w:name="_Toc184312103"/>
      <w:bookmarkEnd w:id="112"/>
      <w:bookmarkStart w:id="113" w:name="_Toc184312134"/>
      <w:bookmarkEnd w:id="113"/>
      <w:bookmarkStart w:id="114" w:name="_Toc184312129"/>
      <w:bookmarkEnd w:id="114"/>
      <w:bookmarkStart w:id="115" w:name="_Toc184313282"/>
      <w:bookmarkEnd w:id="115"/>
      <w:bookmarkStart w:id="116" w:name="_Toc184313292"/>
      <w:bookmarkEnd w:id="116"/>
      <w:bookmarkStart w:id="117" w:name="_Toc184310305"/>
      <w:bookmarkEnd w:id="117"/>
      <w:bookmarkStart w:id="118" w:name="_Toc184313275"/>
      <w:bookmarkEnd w:id="118"/>
      <w:bookmarkStart w:id="119" w:name="_Toc184313295"/>
      <w:bookmarkEnd w:id="119"/>
      <w:bookmarkStart w:id="120" w:name="_Toc184313294"/>
      <w:bookmarkEnd w:id="120"/>
      <w:bookmarkStart w:id="121" w:name="_Toc184314455"/>
      <w:bookmarkEnd w:id="121"/>
      <w:bookmarkStart w:id="122" w:name="_Toc184314423"/>
      <w:bookmarkEnd w:id="122"/>
      <w:bookmarkStart w:id="123" w:name="_Toc184314425"/>
      <w:bookmarkEnd w:id="123"/>
      <w:bookmarkStart w:id="124" w:name="_Toc184314474"/>
      <w:bookmarkEnd w:id="124"/>
      <w:bookmarkStart w:id="125" w:name="_Toc184308046"/>
      <w:bookmarkEnd w:id="125"/>
      <w:bookmarkStart w:id="126" w:name="_Toc184313309"/>
      <w:bookmarkEnd w:id="126"/>
      <w:bookmarkStart w:id="127" w:name="_Toc184310344"/>
      <w:bookmarkEnd w:id="127"/>
      <w:bookmarkStart w:id="128" w:name="_Toc184314480"/>
      <w:bookmarkEnd w:id="128"/>
      <w:bookmarkStart w:id="129" w:name="_Toc184308076"/>
      <w:bookmarkEnd w:id="129"/>
      <w:bookmarkStart w:id="130" w:name="_Toc184308063"/>
      <w:bookmarkEnd w:id="130"/>
      <w:bookmarkStart w:id="131" w:name="_Toc184314456"/>
      <w:bookmarkEnd w:id="131"/>
      <w:bookmarkStart w:id="132" w:name="_Toc184310308"/>
      <w:bookmarkEnd w:id="132"/>
      <w:bookmarkStart w:id="133" w:name="_Toc184308061"/>
      <w:bookmarkEnd w:id="133"/>
      <w:bookmarkStart w:id="134" w:name="_Toc184313296"/>
      <w:bookmarkEnd w:id="134"/>
      <w:bookmarkStart w:id="135" w:name="_Toc184310326"/>
      <w:bookmarkEnd w:id="135"/>
      <w:bookmarkStart w:id="136" w:name="_Toc184314411"/>
      <w:bookmarkEnd w:id="136"/>
      <w:bookmarkStart w:id="137" w:name="_Toc184312075"/>
      <w:bookmarkEnd w:id="137"/>
      <w:bookmarkStart w:id="138" w:name="_Toc184314469"/>
      <w:bookmarkEnd w:id="138"/>
      <w:bookmarkStart w:id="139" w:name="_Toc184310337"/>
      <w:bookmarkEnd w:id="139"/>
      <w:bookmarkStart w:id="140" w:name="_Toc184314410"/>
      <w:bookmarkEnd w:id="140"/>
      <w:bookmarkStart w:id="141" w:name="_Toc184308084"/>
      <w:bookmarkEnd w:id="141"/>
      <w:bookmarkStart w:id="142" w:name="_Toc184313305"/>
      <w:bookmarkEnd w:id="142"/>
      <w:bookmarkStart w:id="143" w:name="_Toc184308058"/>
      <w:bookmarkEnd w:id="143"/>
      <w:bookmarkStart w:id="144" w:name="_Toc184308099"/>
      <w:bookmarkEnd w:id="144"/>
      <w:bookmarkStart w:id="145" w:name="_Toc184314472"/>
      <w:bookmarkEnd w:id="145"/>
      <w:bookmarkStart w:id="146" w:name="_Toc184313258"/>
      <w:bookmarkEnd w:id="146"/>
      <w:bookmarkStart w:id="147" w:name="_Toc184314449"/>
      <w:bookmarkEnd w:id="147"/>
      <w:bookmarkStart w:id="148" w:name="_Toc184314413"/>
      <w:bookmarkEnd w:id="148"/>
      <w:bookmarkStart w:id="149" w:name="_Toc184310275"/>
      <w:bookmarkEnd w:id="149"/>
      <w:bookmarkStart w:id="150" w:name="_Toc184310281"/>
      <w:bookmarkEnd w:id="150"/>
      <w:bookmarkStart w:id="151" w:name="_Toc184314421"/>
      <w:bookmarkEnd w:id="151"/>
      <w:bookmarkStart w:id="152" w:name="_Toc184308072"/>
      <w:bookmarkEnd w:id="152"/>
      <w:bookmarkStart w:id="153" w:name="_Toc184308038"/>
      <w:bookmarkEnd w:id="153"/>
      <w:bookmarkStart w:id="154" w:name="_Toc184310338"/>
      <w:bookmarkEnd w:id="154"/>
      <w:bookmarkStart w:id="155" w:name="_Toc184312117"/>
      <w:bookmarkEnd w:id="155"/>
      <w:bookmarkStart w:id="156" w:name="_Toc184313247"/>
      <w:bookmarkEnd w:id="156"/>
      <w:bookmarkStart w:id="157" w:name="_Toc184312096"/>
      <w:bookmarkEnd w:id="157"/>
      <w:bookmarkStart w:id="158" w:name="_Toc184314442"/>
      <w:bookmarkEnd w:id="158"/>
      <w:bookmarkStart w:id="159" w:name="_Toc184313261"/>
      <w:bookmarkEnd w:id="159"/>
      <w:bookmarkStart w:id="160" w:name="_Toc184313243"/>
      <w:bookmarkEnd w:id="160"/>
      <w:bookmarkStart w:id="161" w:name="_Toc184308066"/>
      <w:bookmarkEnd w:id="161"/>
      <w:bookmarkStart w:id="162" w:name="_Toc184310273"/>
      <w:bookmarkEnd w:id="162"/>
      <w:bookmarkStart w:id="163" w:name="_Toc184310307"/>
      <w:bookmarkEnd w:id="163"/>
      <w:bookmarkStart w:id="164" w:name="_Toc184308045"/>
      <w:bookmarkEnd w:id="164"/>
      <w:bookmarkStart w:id="165" w:name="_Toc184312108"/>
      <w:bookmarkEnd w:id="165"/>
      <w:bookmarkStart w:id="166" w:name="_Toc184312118"/>
      <w:bookmarkEnd w:id="166"/>
      <w:bookmarkStart w:id="167" w:name="_Toc184310282"/>
      <w:bookmarkEnd w:id="167"/>
      <w:bookmarkStart w:id="168" w:name="_Toc184314467"/>
      <w:bookmarkEnd w:id="168"/>
      <w:bookmarkStart w:id="169" w:name="_Toc184310336"/>
      <w:bookmarkEnd w:id="169"/>
      <w:bookmarkStart w:id="170" w:name="_Toc184308107"/>
      <w:bookmarkEnd w:id="170"/>
      <w:bookmarkStart w:id="171" w:name="_Toc184313302"/>
      <w:bookmarkEnd w:id="171"/>
      <w:bookmarkStart w:id="172" w:name="_Toc184312120"/>
      <w:bookmarkEnd w:id="172"/>
      <w:bookmarkStart w:id="173" w:name="_Toc184312109"/>
      <w:bookmarkEnd w:id="173"/>
      <w:bookmarkStart w:id="174" w:name="_Toc184313260"/>
      <w:bookmarkEnd w:id="174"/>
      <w:bookmarkStart w:id="175" w:name="_Toc184312098"/>
      <w:bookmarkEnd w:id="175"/>
      <w:bookmarkStart w:id="176" w:name="_Toc184313267"/>
      <w:bookmarkEnd w:id="176"/>
      <w:bookmarkStart w:id="177" w:name="_Toc184313248"/>
      <w:bookmarkEnd w:id="177"/>
      <w:bookmarkStart w:id="178" w:name="_Toc184313288"/>
      <w:bookmarkEnd w:id="178"/>
      <w:bookmarkStart w:id="179" w:name="_Toc184310274"/>
      <w:bookmarkEnd w:id="179"/>
      <w:bookmarkStart w:id="180" w:name="_Toc184313298"/>
      <w:bookmarkEnd w:id="180"/>
      <w:bookmarkStart w:id="181" w:name="_Toc184313257"/>
      <w:bookmarkEnd w:id="181"/>
      <w:bookmarkStart w:id="182" w:name="_Toc184310289"/>
      <w:bookmarkEnd w:id="182"/>
      <w:bookmarkStart w:id="183" w:name="_Toc184312133"/>
      <w:bookmarkEnd w:id="183"/>
      <w:bookmarkStart w:id="184" w:name="_Toc184313285"/>
      <w:bookmarkEnd w:id="184"/>
      <w:bookmarkStart w:id="185" w:name="_Toc184310294"/>
      <w:bookmarkEnd w:id="185"/>
      <w:bookmarkStart w:id="186" w:name="_Toc184308069"/>
      <w:bookmarkEnd w:id="186"/>
      <w:bookmarkStart w:id="187" w:name="_Toc184308105"/>
      <w:bookmarkEnd w:id="187"/>
      <w:bookmarkStart w:id="188" w:name="_Toc184314466"/>
      <w:bookmarkEnd w:id="188"/>
      <w:bookmarkStart w:id="189" w:name="_Toc184313272"/>
      <w:bookmarkEnd w:id="189"/>
      <w:bookmarkStart w:id="190" w:name="_Toc184310309"/>
      <w:bookmarkEnd w:id="190"/>
      <w:bookmarkStart w:id="191" w:name="_Toc184312078"/>
      <w:bookmarkEnd w:id="191"/>
      <w:bookmarkStart w:id="192" w:name="_Toc184308074"/>
      <w:bookmarkEnd w:id="192"/>
      <w:bookmarkStart w:id="193" w:name="_Toc184310283"/>
      <w:bookmarkEnd w:id="193"/>
      <w:bookmarkStart w:id="194" w:name="_Toc184312100"/>
      <w:bookmarkEnd w:id="194"/>
      <w:bookmarkStart w:id="195" w:name="_Toc184312084"/>
      <w:bookmarkEnd w:id="195"/>
      <w:bookmarkStart w:id="196" w:name="_Toc184308108"/>
      <w:bookmarkEnd w:id="196"/>
      <w:bookmarkStart w:id="197" w:name="_Toc184312072"/>
      <w:bookmarkEnd w:id="197"/>
      <w:bookmarkStart w:id="198" w:name="_Toc184312105"/>
      <w:bookmarkEnd w:id="198"/>
      <w:bookmarkStart w:id="199" w:name="_Toc184313253"/>
      <w:bookmarkEnd w:id="199"/>
      <w:bookmarkStart w:id="200" w:name="_Toc184314428"/>
      <w:bookmarkEnd w:id="200"/>
      <w:bookmarkStart w:id="201" w:name="_Toc184314481"/>
      <w:bookmarkEnd w:id="201"/>
      <w:bookmarkStart w:id="202" w:name="_Toc184308054"/>
      <w:bookmarkEnd w:id="202"/>
      <w:bookmarkStart w:id="203" w:name="_Toc184310299"/>
      <w:bookmarkEnd w:id="203"/>
      <w:bookmarkStart w:id="204" w:name="_Toc184314470"/>
      <w:bookmarkEnd w:id="204"/>
      <w:bookmarkStart w:id="205" w:name="_Toc184312137"/>
      <w:bookmarkEnd w:id="205"/>
      <w:bookmarkStart w:id="206" w:name="_Toc184308059"/>
      <w:bookmarkEnd w:id="206"/>
      <w:bookmarkStart w:id="207" w:name="_Toc184312069"/>
      <w:bookmarkEnd w:id="207"/>
      <w:bookmarkStart w:id="208" w:name="_Toc184312083"/>
      <w:bookmarkEnd w:id="208"/>
      <w:bookmarkStart w:id="209" w:name="_Toc184314460"/>
      <w:bookmarkEnd w:id="209"/>
      <w:bookmarkStart w:id="210" w:name="_Toc184312101"/>
      <w:bookmarkEnd w:id="210"/>
      <w:bookmarkStart w:id="211" w:name="_Toc184312094"/>
      <w:bookmarkEnd w:id="211"/>
      <w:bookmarkStart w:id="212" w:name="_Toc184313279"/>
      <w:bookmarkEnd w:id="212"/>
      <w:bookmarkStart w:id="213" w:name="_Toc184310288"/>
      <w:bookmarkEnd w:id="213"/>
      <w:bookmarkStart w:id="214" w:name="_Toc184314422"/>
      <w:bookmarkEnd w:id="214"/>
      <w:bookmarkStart w:id="215" w:name="_Toc184313242"/>
      <w:bookmarkEnd w:id="215"/>
      <w:bookmarkStart w:id="216" w:name="_Toc184308078"/>
      <w:bookmarkEnd w:id="216"/>
      <w:bookmarkStart w:id="217" w:name="_Toc184313276"/>
      <w:bookmarkEnd w:id="217"/>
      <w:bookmarkStart w:id="218" w:name="_Toc184308051"/>
      <w:bookmarkEnd w:id="218"/>
      <w:bookmarkStart w:id="219" w:name="_Toc184308079"/>
      <w:bookmarkEnd w:id="219"/>
      <w:bookmarkStart w:id="220" w:name="_Toc184314419"/>
      <w:bookmarkEnd w:id="220"/>
      <w:bookmarkStart w:id="221" w:name="_Toc184310323"/>
      <w:bookmarkEnd w:id="221"/>
      <w:bookmarkStart w:id="222" w:name="_Toc184313287"/>
      <w:bookmarkEnd w:id="222"/>
      <w:bookmarkStart w:id="223" w:name="_Toc184310331"/>
      <w:bookmarkEnd w:id="223"/>
      <w:bookmarkStart w:id="224" w:name="_Toc184313246"/>
      <w:bookmarkEnd w:id="224"/>
      <w:bookmarkStart w:id="225" w:name="_Toc184310296"/>
      <w:bookmarkEnd w:id="225"/>
      <w:bookmarkStart w:id="226" w:name="_Toc184313293"/>
      <w:bookmarkEnd w:id="226"/>
      <w:bookmarkStart w:id="227" w:name="_Toc184312110"/>
      <w:bookmarkEnd w:id="227"/>
      <w:bookmarkStart w:id="228" w:name="_Toc184310335"/>
      <w:bookmarkEnd w:id="228"/>
      <w:bookmarkStart w:id="229" w:name="_Toc184314477"/>
      <w:bookmarkEnd w:id="229"/>
      <w:bookmarkStart w:id="230" w:name="_Toc184308040"/>
      <w:bookmarkEnd w:id="230"/>
      <w:bookmarkStart w:id="231" w:name="_Toc184308062"/>
      <w:bookmarkEnd w:id="231"/>
      <w:bookmarkStart w:id="232" w:name="_Toc184314476"/>
      <w:bookmarkEnd w:id="232"/>
      <w:bookmarkStart w:id="233" w:name="_Toc184313273"/>
      <w:bookmarkEnd w:id="233"/>
      <w:bookmarkStart w:id="234" w:name="_Toc184314453"/>
      <w:bookmarkEnd w:id="234"/>
      <w:bookmarkStart w:id="235" w:name="_Toc184308093"/>
      <w:bookmarkEnd w:id="235"/>
      <w:bookmarkStart w:id="236" w:name="_Toc184312071"/>
      <w:bookmarkEnd w:id="236"/>
      <w:bookmarkStart w:id="237" w:name="_Toc184310340"/>
      <w:bookmarkEnd w:id="237"/>
      <w:bookmarkStart w:id="238" w:name="_Toc184310278"/>
      <w:bookmarkEnd w:id="238"/>
      <w:bookmarkStart w:id="239" w:name="_Toc184313262"/>
      <w:bookmarkEnd w:id="239"/>
      <w:bookmarkStart w:id="240" w:name="_Toc184308089"/>
      <w:bookmarkEnd w:id="240"/>
      <w:bookmarkStart w:id="241" w:name="_Toc184314432"/>
      <w:bookmarkEnd w:id="241"/>
      <w:bookmarkStart w:id="242" w:name="_Toc184314459"/>
      <w:bookmarkEnd w:id="242"/>
      <w:bookmarkStart w:id="243" w:name="_Toc184314439"/>
      <w:bookmarkEnd w:id="243"/>
      <w:bookmarkStart w:id="244" w:name="_Toc184314435"/>
      <w:bookmarkEnd w:id="244"/>
      <w:bookmarkStart w:id="245" w:name="_Toc184310310"/>
      <w:bookmarkEnd w:id="245"/>
      <w:bookmarkStart w:id="246" w:name="_Toc184313269"/>
      <w:bookmarkEnd w:id="246"/>
      <w:bookmarkStart w:id="247" w:name="_Toc184312081"/>
      <w:bookmarkEnd w:id="247"/>
      <w:bookmarkStart w:id="248" w:name="_Toc184312126"/>
      <w:bookmarkEnd w:id="248"/>
      <w:bookmarkStart w:id="249" w:name="_Toc184313256"/>
      <w:bookmarkEnd w:id="249"/>
      <w:bookmarkStart w:id="250" w:name="_Toc184314430"/>
      <w:bookmarkEnd w:id="250"/>
      <w:bookmarkStart w:id="251" w:name="_Toc184314445"/>
      <w:bookmarkEnd w:id="251"/>
      <w:bookmarkStart w:id="252" w:name="_Toc184310325"/>
      <w:bookmarkEnd w:id="252"/>
      <w:bookmarkStart w:id="253" w:name="_Toc184312128"/>
      <w:bookmarkEnd w:id="253"/>
      <w:bookmarkStart w:id="254" w:name="_Toc184314434"/>
      <w:bookmarkEnd w:id="254"/>
      <w:bookmarkStart w:id="255" w:name="_Toc184314464"/>
      <w:bookmarkEnd w:id="255"/>
      <w:bookmarkStart w:id="256" w:name="_Toc184308090"/>
      <w:bookmarkEnd w:id="256"/>
      <w:bookmarkStart w:id="257" w:name="_Toc184313307"/>
      <w:bookmarkEnd w:id="257"/>
      <w:bookmarkStart w:id="258" w:name="_Toc184310280"/>
      <w:bookmarkEnd w:id="258"/>
      <w:bookmarkStart w:id="259" w:name="_Toc184314424"/>
      <w:bookmarkEnd w:id="259"/>
      <w:bookmarkStart w:id="260" w:name="_Toc184314482"/>
      <w:bookmarkEnd w:id="260"/>
      <w:bookmarkStart w:id="261" w:name="_Toc184314446"/>
      <w:bookmarkEnd w:id="261"/>
      <w:bookmarkStart w:id="262" w:name="_Toc184308087"/>
      <w:bookmarkEnd w:id="262"/>
      <w:bookmarkStart w:id="263" w:name="_Toc184313306"/>
      <w:bookmarkEnd w:id="263"/>
      <w:bookmarkStart w:id="264" w:name="_Toc184308057"/>
      <w:bookmarkEnd w:id="264"/>
      <w:bookmarkStart w:id="265" w:name="_Toc184312076"/>
      <w:bookmarkEnd w:id="265"/>
      <w:bookmarkStart w:id="266" w:name="_Toc184312113"/>
      <w:bookmarkEnd w:id="266"/>
      <w:bookmarkStart w:id="267" w:name="_Toc184310285"/>
      <w:bookmarkEnd w:id="267"/>
      <w:bookmarkStart w:id="268" w:name="_Toc184310321"/>
      <w:bookmarkEnd w:id="268"/>
      <w:bookmarkStart w:id="269" w:name="_Toc184310324"/>
      <w:bookmarkEnd w:id="269"/>
      <w:bookmarkStart w:id="270" w:name="_Toc184314429"/>
      <w:bookmarkEnd w:id="270"/>
      <w:bookmarkStart w:id="271" w:name="_Toc184314451"/>
      <w:bookmarkEnd w:id="271"/>
      <w:bookmarkStart w:id="272" w:name="_Toc184313277"/>
      <w:bookmarkEnd w:id="272"/>
      <w:bookmarkStart w:id="273" w:name="_Toc184308075"/>
      <w:bookmarkEnd w:id="273"/>
      <w:bookmarkStart w:id="274" w:name="_Toc184312089"/>
      <w:bookmarkEnd w:id="274"/>
      <w:bookmarkStart w:id="275" w:name="_Toc184308104"/>
      <w:bookmarkEnd w:id="275"/>
      <w:bookmarkStart w:id="276" w:name="_Toc184308106"/>
      <w:bookmarkEnd w:id="276"/>
      <w:bookmarkStart w:id="277" w:name="_Toc184308042"/>
      <w:bookmarkEnd w:id="277"/>
      <w:bookmarkStart w:id="278" w:name="_Toc184308103"/>
      <w:bookmarkEnd w:id="278"/>
      <w:bookmarkStart w:id="279" w:name="_Toc184310277"/>
      <w:bookmarkEnd w:id="279"/>
      <w:bookmarkStart w:id="280" w:name="_Toc184310291"/>
      <w:bookmarkEnd w:id="280"/>
      <w:bookmarkStart w:id="281" w:name="_Toc184314412"/>
      <w:bookmarkEnd w:id="281"/>
      <w:bookmarkStart w:id="282" w:name="_Toc184312090"/>
      <w:bookmarkEnd w:id="282"/>
      <w:bookmarkStart w:id="283" w:name="_Toc184310330"/>
      <w:bookmarkEnd w:id="283"/>
      <w:bookmarkStart w:id="284" w:name="_Toc184313270"/>
      <w:bookmarkEnd w:id="284"/>
      <w:bookmarkStart w:id="285" w:name="_Toc184314463"/>
      <w:bookmarkEnd w:id="285"/>
      <w:bookmarkStart w:id="286" w:name="_Toc184312119"/>
      <w:bookmarkEnd w:id="286"/>
      <w:bookmarkStart w:id="287" w:name="_Toc184308081"/>
      <w:bookmarkEnd w:id="287"/>
      <w:bookmarkStart w:id="288" w:name="_Toc184314414"/>
      <w:bookmarkEnd w:id="288"/>
      <w:bookmarkStart w:id="289" w:name="_Toc184314475"/>
      <w:bookmarkEnd w:id="289"/>
      <w:bookmarkStart w:id="290" w:name="_Toc184308041"/>
      <w:bookmarkEnd w:id="290"/>
      <w:bookmarkStart w:id="291" w:name="_Toc184313251"/>
      <w:bookmarkEnd w:id="291"/>
      <w:bookmarkStart w:id="292" w:name="_Toc184308100"/>
      <w:bookmarkEnd w:id="292"/>
      <w:bookmarkStart w:id="293" w:name="_Toc184312104"/>
      <w:bookmarkEnd w:id="293"/>
      <w:bookmarkStart w:id="294" w:name="_Toc184313303"/>
      <w:bookmarkEnd w:id="294"/>
      <w:bookmarkStart w:id="295" w:name="_Toc184308047"/>
      <w:bookmarkEnd w:id="295"/>
      <w:bookmarkStart w:id="296" w:name="_Toc184310314"/>
      <w:bookmarkEnd w:id="296"/>
      <w:bookmarkStart w:id="297" w:name="_Toc184310334"/>
      <w:bookmarkEnd w:id="297"/>
      <w:bookmarkStart w:id="298" w:name="_Toc184310286"/>
      <w:bookmarkEnd w:id="298"/>
      <w:bookmarkStart w:id="299" w:name="_Toc184308070"/>
      <w:bookmarkEnd w:id="299"/>
      <w:bookmarkStart w:id="300" w:name="_Toc184314417"/>
      <w:bookmarkEnd w:id="300"/>
      <w:bookmarkStart w:id="301" w:name="_Toc184313304"/>
      <w:bookmarkEnd w:id="301"/>
      <w:bookmarkStart w:id="302" w:name="_Toc184312130"/>
      <w:bookmarkEnd w:id="302"/>
      <w:bookmarkStart w:id="303" w:name="_Toc184310272"/>
      <w:bookmarkEnd w:id="303"/>
      <w:bookmarkStart w:id="304" w:name="_Toc184310313"/>
      <w:bookmarkEnd w:id="304"/>
      <w:bookmarkStart w:id="305" w:name="_Toc184312131"/>
      <w:bookmarkEnd w:id="305"/>
      <w:bookmarkStart w:id="306" w:name="_Toc184308043"/>
      <w:bookmarkEnd w:id="306"/>
      <w:bookmarkStart w:id="307" w:name="_Toc184314431"/>
      <w:bookmarkEnd w:id="307"/>
      <w:bookmarkStart w:id="308" w:name="_Toc184314479"/>
      <w:bookmarkEnd w:id="308"/>
      <w:bookmarkStart w:id="309" w:name="_Toc184310284"/>
      <w:bookmarkEnd w:id="309"/>
      <w:bookmarkStart w:id="310" w:name="_Toc184313281"/>
      <w:bookmarkEnd w:id="310"/>
      <w:bookmarkStart w:id="311" w:name="_Toc184312088"/>
      <w:bookmarkEnd w:id="311"/>
      <w:bookmarkStart w:id="312" w:name="_Toc184314427"/>
      <w:bookmarkEnd w:id="312"/>
      <w:bookmarkStart w:id="313" w:name="_Toc184312139"/>
      <w:bookmarkEnd w:id="313"/>
      <w:bookmarkStart w:id="314" w:name="_Toc184313301"/>
      <w:bookmarkEnd w:id="314"/>
      <w:bookmarkStart w:id="315" w:name="_Toc184312091"/>
      <w:bookmarkEnd w:id="315"/>
      <w:bookmarkStart w:id="316" w:name="_Toc184312124"/>
      <w:bookmarkEnd w:id="316"/>
      <w:bookmarkStart w:id="317" w:name="_Toc184313297"/>
      <w:bookmarkEnd w:id="317"/>
      <w:bookmarkStart w:id="318" w:name="_Toc184313278"/>
      <w:bookmarkEnd w:id="318"/>
      <w:bookmarkStart w:id="319" w:name="_Toc184313250"/>
      <w:bookmarkEnd w:id="319"/>
      <w:bookmarkStart w:id="320" w:name="_Toc184310318"/>
      <w:bookmarkEnd w:id="320"/>
      <w:bookmarkStart w:id="321" w:name="_Toc184310320"/>
      <w:bookmarkEnd w:id="321"/>
      <w:bookmarkStart w:id="322" w:name="_Toc184313299"/>
      <w:bookmarkEnd w:id="322"/>
      <w:bookmarkStart w:id="323" w:name="_Toc184310312"/>
      <w:bookmarkEnd w:id="323"/>
      <w:bookmarkStart w:id="324" w:name="_Toc184312099"/>
      <w:bookmarkEnd w:id="324"/>
      <w:bookmarkStart w:id="325" w:name="_Toc184314444"/>
      <w:bookmarkEnd w:id="325"/>
      <w:bookmarkStart w:id="326" w:name="_Toc184308101"/>
      <w:bookmarkEnd w:id="326"/>
      <w:bookmarkStart w:id="327" w:name="_Toc184314415"/>
      <w:bookmarkEnd w:id="327"/>
      <w:bookmarkStart w:id="328" w:name="_Toc184312132"/>
      <w:bookmarkEnd w:id="328"/>
      <w:bookmarkStart w:id="329" w:name="_Toc184308082"/>
      <w:bookmarkEnd w:id="329"/>
      <w:bookmarkStart w:id="330" w:name="_Toc184314471"/>
      <w:bookmarkEnd w:id="330"/>
      <w:bookmarkStart w:id="331" w:name="_Toc184310343"/>
      <w:bookmarkEnd w:id="331"/>
      <w:bookmarkStart w:id="332" w:name="_Toc184313241"/>
      <w:bookmarkEnd w:id="332"/>
      <w:bookmarkStart w:id="333" w:name="_Toc184310300"/>
      <w:bookmarkEnd w:id="333"/>
      <w:bookmarkStart w:id="334" w:name="_Toc184313300"/>
      <w:bookmarkEnd w:id="334"/>
      <w:bookmarkStart w:id="335" w:name="_Toc184308044"/>
      <w:bookmarkEnd w:id="335"/>
      <w:bookmarkStart w:id="336" w:name="_Toc184308071"/>
      <w:bookmarkEnd w:id="336"/>
      <w:bookmarkStart w:id="337" w:name="_Toc184312107"/>
      <w:bookmarkEnd w:id="337"/>
      <w:bookmarkStart w:id="338" w:name="_Toc184313280"/>
      <w:bookmarkEnd w:id="338"/>
      <w:bookmarkStart w:id="339" w:name="_Toc184308065"/>
      <w:bookmarkEnd w:id="339"/>
      <w:bookmarkStart w:id="340" w:name="_Toc184310339"/>
      <w:bookmarkEnd w:id="340"/>
      <w:bookmarkStart w:id="341" w:name="_Toc184310276"/>
      <w:bookmarkEnd w:id="341"/>
      <w:bookmarkStart w:id="342" w:name="_Toc184310328"/>
      <w:bookmarkEnd w:id="342"/>
      <w:bookmarkStart w:id="343" w:name="_Toc184310297"/>
      <w:bookmarkEnd w:id="343"/>
      <w:bookmarkStart w:id="344" w:name="_Toc184310342"/>
      <w:bookmarkEnd w:id="344"/>
      <w:bookmarkStart w:id="345" w:name="_Toc184312123"/>
      <w:bookmarkEnd w:id="345"/>
      <w:bookmarkStart w:id="346" w:name="_Toc184312122"/>
      <w:bookmarkEnd w:id="346"/>
      <w:bookmarkStart w:id="347" w:name="_Toc184312115"/>
      <w:bookmarkEnd w:id="347"/>
      <w:bookmarkStart w:id="348" w:name="_Toc184312116"/>
      <w:bookmarkEnd w:id="348"/>
      <w:bookmarkStart w:id="349" w:name="_Toc184308077"/>
      <w:bookmarkEnd w:id="349"/>
      <w:bookmarkStart w:id="350" w:name="_Toc184312114"/>
      <w:bookmarkEnd w:id="350"/>
      <w:bookmarkStart w:id="351" w:name="_Toc184308095"/>
      <w:bookmarkEnd w:id="351"/>
      <w:bookmarkStart w:id="352" w:name="_Toc184312085"/>
      <w:bookmarkEnd w:id="352"/>
      <w:bookmarkStart w:id="353" w:name="_Toc184314450"/>
      <w:bookmarkEnd w:id="353"/>
      <w:bookmarkStart w:id="354" w:name="_Toc184313289"/>
      <w:bookmarkEnd w:id="354"/>
      <w:bookmarkStart w:id="355" w:name="_Toc184308055"/>
      <w:bookmarkEnd w:id="355"/>
      <w:bookmarkStart w:id="356" w:name="_Toc184308050"/>
      <w:bookmarkEnd w:id="356"/>
      <w:bookmarkStart w:id="357" w:name="_Toc184312102"/>
      <w:bookmarkEnd w:id="357"/>
      <w:bookmarkStart w:id="358" w:name="_Toc184313265"/>
      <w:bookmarkEnd w:id="358"/>
      <w:bookmarkStart w:id="359" w:name="_Toc184313266"/>
      <w:bookmarkEnd w:id="359"/>
      <w:bookmarkStart w:id="360" w:name="_Toc184312093"/>
      <w:bookmarkEnd w:id="360"/>
      <w:bookmarkStart w:id="361" w:name="_Toc184313255"/>
      <w:bookmarkEnd w:id="361"/>
      <w:bookmarkStart w:id="362" w:name="_Toc184314443"/>
      <w:bookmarkEnd w:id="362"/>
      <w:bookmarkStart w:id="363" w:name="_Toc184313268"/>
      <w:bookmarkEnd w:id="363"/>
      <w:bookmarkStart w:id="364" w:name="_Toc184308096"/>
      <w:bookmarkEnd w:id="364"/>
      <w:bookmarkStart w:id="365" w:name="_Toc184308039"/>
      <w:bookmarkEnd w:id="365"/>
      <w:bookmarkStart w:id="366" w:name="_Toc184314454"/>
      <w:bookmarkEnd w:id="366"/>
      <w:bookmarkStart w:id="367" w:name="_Toc184310304"/>
      <w:bookmarkEnd w:id="367"/>
      <w:bookmarkStart w:id="368" w:name="_Toc184314473"/>
      <w:bookmarkEnd w:id="368"/>
      <w:bookmarkStart w:id="369" w:name="_Toc184313308"/>
      <w:bookmarkEnd w:id="369"/>
      <w:bookmarkStart w:id="370" w:name="_Toc184314441"/>
      <w:bookmarkEnd w:id="370"/>
      <w:bookmarkStart w:id="371" w:name="_Toc184310293"/>
      <w:bookmarkEnd w:id="371"/>
      <w:bookmarkStart w:id="372" w:name="_Toc184308097"/>
      <w:bookmarkEnd w:id="372"/>
      <w:bookmarkStart w:id="373" w:name="_Toc184312067"/>
      <w:bookmarkEnd w:id="373"/>
      <w:bookmarkStart w:id="374" w:name="_Toc184310341"/>
      <w:bookmarkEnd w:id="374"/>
      <w:bookmarkStart w:id="375" w:name="_Toc184312111"/>
      <w:bookmarkEnd w:id="375"/>
      <w:bookmarkStart w:id="376" w:name="_Toc184313254"/>
      <w:bookmarkEnd w:id="376"/>
      <w:bookmarkStart w:id="377" w:name="_Toc184310290"/>
      <w:bookmarkEnd w:id="377"/>
      <w:bookmarkStart w:id="378" w:name="_Toc184308060"/>
      <w:bookmarkEnd w:id="378"/>
      <w:bookmarkStart w:id="379" w:name="_Toc184310303"/>
      <w:bookmarkEnd w:id="379"/>
      <w:bookmarkStart w:id="380" w:name="_Toc184312127"/>
      <w:bookmarkEnd w:id="380"/>
      <w:bookmarkStart w:id="381" w:name="_Toc184313239"/>
      <w:bookmarkEnd w:id="381"/>
      <w:bookmarkStart w:id="382" w:name="_Toc184313290"/>
      <w:bookmarkEnd w:id="382"/>
      <w:bookmarkStart w:id="383" w:name="_Toc184313245"/>
      <w:bookmarkEnd w:id="383"/>
      <w:bookmarkStart w:id="384" w:name="_Toc184312073"/>
      <w:bookmarkEnd w:id="384"/>
      <w:bookmarkStart w:id="385" w:name="_Toc184310292"/>
      <w:bookmarkEnd w:id="385"/>
      <w:bookmarkStart w:id="386" w:name="_Toc184314448"/>
      <w:bookmarkEnd w:id="386"/>
      <w:bookmarkStart w:id="387" w:name="_Toc184313291"/>
      <w:bookmarkEnd w:id="387"/>
      <w:bookmarkStart w:id="388" w:name="_Toc184314458"/>
      <w:bookmarkEnd w:id="388"/>
      <w:bookmarkStart w:id="389" w:name="_Toc184308068"/>
      <w:bookmarkEnd w:id="389"/>
      <w:bookmarkStart w:id="390" w:name="_Toc184308056"/>
      <w:bookmarkEnd w:id="390"/>
      <w:bookmarkStart w:id="391" w:name="_Toc184310279"/>
      <w:bookmarkEnd w:id="391"/>
      <w:bookmarkStart w:id="392" w:name="_Toc184314437"/>
      <w:bookmarkEnd w:id="392"/>
      <w:bookmarkStart w:id="393" w:name="_Toc184308073"/>
      <w:bookmarkEnd w:id="393"/>
      <w:bookmarkStart w:id="394" w:name="_Toc184313240"/>
      <w:bookmarkEnd w:id="394"/>
      <w:r>
        <w:rPr>
          <w:rFonts w:hint="eastAsia" w:ascii="宋体" w:hAnsi="宋体" w:cs="宋体"/>
          <w:b/>
          <w:color w:val="auto"/>
          <w:sz w:val="32"/>
          <w:szCs w:val="32"/>
          <w:highlight w:val="none"/>
        </w:rPr>
        <w:t>评标办法</w:t>
      </w:r>
    </w:p>
    <w:p w14:paraId="08ACAFE5">
      <w:pPr>
        <w:pageBreakBefore w:val="0"/>
        <w:kinsoku/>
        <w:wordWrap/>
        <w:overflowPunct/>
        <w:topLinePunct w:val="0"/>
        <w:autoSpaceDE/>
        <w:autoSpaceDN/>
        <w:bidi w:val="0"/>
        <w:snapToGrid w:val="0"/>
        <w:spacing w:line="288"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评标办法前附表</w:t>
      </w:r>
    </w:p>
    <w:tbl>
      <w:tblPr>
        <w:tblStyle w:val="63"/>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5283"/>
        <w:gridCol w:w="788"/>
        <w:gridCol w:w="1000"/>
        <w:gridCol w:w="1406"/>
      </w:tblGrid>
      <w:tr w14:paraId="70D8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4A182E08">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283" w:type="dxa"/>
            <w:vAlign w:val="center"/>
          </w:tcPr>
          <w:p w14:paraId="49DCC33B">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评标标准</w:t>
            </w:r>
          </w:p>
        </w:tc>
        <w:tc>
          <w:tcPr>
            <w:tcW w:w="788" w:type="dxa"/>
            <w:vAlign w:val="center"/>
          </w:tcPr>
          <w:p w14:paraId="44997989">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00" w:type="dxa"/>
            <w:vAlign w:val="center"/>
          </w:tcPr>
          <w:p w14:paraId="691955B5">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Cs/>
                <w:color w:val="auto"/>
                <w:sz w:val="21"/>
                <w:szCs w:val="21"/>
                <w:highlight w:val="none"/>
              </w:rPr>
              <w:t>主观分/客观分属性</w:t>
            </w:r>
          </w:p>
        </w:tc>
        <w:tc>
          <w:tcPr>
            <w:tcW w:w="1406" w:type="dxa"/>
          </w:tcPr>
          <w:p w14:paraId="58A1BDB8">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bCs/>
                <w:color w:val="auto"/>
                <w:sz w:val="21"/>
                <w:szCs w:val="21"/>
                <w:highlight w:val="none"/>
              </w:rPr>
              <w:t>投标文件中评标标准相应的商务技术资料目录*</w:t>
            </w:r>
          </w:p>
        </w:tc>
      </w:tr>
      <w:tr w14:paraId="383F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gridSpan w:val="5"/>
            <w:vAlign w:val="center"/>
          </w:tcPr>
          <w:p w14:paraId="042235CE">
            <w:pPr>
              <w:snapToGrid w:val="0"/>
              <w:spacing w:line="288" w:lineRule="auto"/>
              <w:rPr>
                <w:rFonts w:cs="仿宋_GB2312" w:asciiTheme="minorEastAsia" w:hAnsiTheme="minorEastAsia" w:eastAsiaTheme="minorEastAsia"/>
                <w:color w:val="auto"/>
                <w:sz w:val="21"/>
                <w:szCs w:val="21"/>
                <w:highlight w:val="none"/>
              </w:rPr>
            </w:pPr>
            <w:r>
              <w:rPr>
                <w:rFonts w:hint="eastAsia" w:ascii="宋体" w:hAnsi="宋体" w:cs="仿宋_GB2312"/>
                <w:b/>
                <w:bCs/>
                <w:color w:val="auto"/>
                <w:szCs w:val="21"/>
                <w:highlight w:val="none"/>
              </w:rPr>
              <w:t>商务分（</w:t>
            </w:r>
            <w:r>
              <w:rPr>
                <w:rFonts w:hint="eastAsia" w:ascii="宋体" w:hAnsi="宋体" w:cs="仿宋_GB2312"/>
                <w:b/>
                <w:bCs/>
                <w:color w:val="auto"/>
                <w:szCs w:val="21"/>
                <w:highlight w:val="none"/>
                <w:lang w:val="en-US" w:eastAsia="zh-CN"/>
              </w:rPr>
              <w:t>1</w:t>
            </w:r>
            <w:r>
              <w:rPr>
                <w:rFonts w:hint="eastAsia" w:ascii="宋体" w:hAnsi="宋体" w:cs="仿宋_GB2312"/>
                <w:b/>
                <w:bCs/>
                <w:color w:val="auto"/>
                <w:szCs w:val="21"/>
                <w:highlight w:val="none"/>
              </w:rPr>
              <w:t>分）</w:t>
            </w:r>
          </w:p>
        </w:tc>
      </w:tr>
      <w:tr w14:paraId="01CB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429CD695">
            <w:pPr>
              <w:snapToGrid w:val="0"/>
              <w:spacing w:line="288" w:lineRule="auto"/>
              <w:jc w:val="center"/>
              <w:rPr>
                <w:rFonts w:cs="仿宋_GB2312" w:asciiTheme="minorEastAsia" w:hAnsiTheme="minorEastAsia" w:eastAsiaTheme="minorEastAsia"/>
                <w:b/>
                <w:bCs/>
                <w:color w:val="auto"/>
                <w:sz w:val="21"/>
                <w:szCs w:val="21"/>
                <w:highlight w:val="none"/>
              </w:rPr>
            </w:pPr>
            <w:r>
              <w:rPr>
                <w:rFonts w:ascii="宋体" w:hAnsi="宋体" w:cs="仿宋_GB2312"/>
                <w:b/>
                <w:bCs/>
                <w:color w:val="auto"/>
                <w:szCs w:val="21"/>
                <w:highlight w:val="none"/>
              </w:rPr>
              <w:t>1</w:t>
            </w:r>
          </w:p>
        </w:tc>
        <w:tc>
          <w:tcPr>
            <w:tcW w:w="5283" w:type="dxa"/>
            <w:vAlign w:val="center"/>
          </w:tcPr>
          <w:p w14:paraId="57806211">
            <w:pPr>
              <w:snapToGrid w:val="0"/>
              <w:spacing w:line="288" w:lineRule="auto"/>
              <w:jc w:val="left"/>
              <w:outlineLvl w:val="0"/>
              <w:rPr>
                <w:rFonts w:hint="eastAsia" w:ascii="宋体" w:hAnsi="宋体" w:cs="仿宋_GB2312"/>
                <w:b/>
                <w:bCs/>
                <w:color w:val="auto"/>
                <w:szCs w:val="21"/>
                <w:highlight w:val="none"/>
              </w:rPr>
            </w:pPr>
            <w:r>
              <w:rPr>
                <w:rFonts w:hint="eastAsia" w:ascii="宋体" w:hAnsi="宋体" w:cs="仿宋_GB2312"/>
                <w:b/>
                <w:bCs/>
                <w:color w:val="auto"/>
                <w:szCs w:val="21"/>
                <w:highlight w:val="none"/>
              </w:rPr>
              <w:t>业绩</w:t>
            </w:r>
          </w:p>
          <w:p w14:paraId="358EB228">
            <w:pPr>
              <w:snapToGrid w:val="0"/>
              <w:spacing w:line="288" w:lineRule="auto"/>
              <w:jc w:val="left"/>
              <w:rPr>
                <w:rFonts w:cs="仿宋_GB2312" w:asciiTheme="minorEastAsia" w:hAnsiTheme="minorEastAsia" w:eastAsiaTheme="minorEastAsia"/>
                <w:color w:val="auto"/>
                <w:sz w:val="21"/>
                <w:szCs w:val="21"/>
                <w:highlight w:val="none"/>
              </w:rPr>
            </w:pPr>
            <w:r>
              <w:rPr>
                <w:rFonts w:ascii="宋体" w:hAnsi="宋体" w:cs="仿宋_GB2312"/>
                <w:color w:val="auto"/>
                <w:szCs w:val="21"/>
                <w:highlight w:val="none"/>
              </w:rPr>
              <w:t>投标人自202</w:t>
            </w:r>
            <w:r>
              <w:rPr>
                <w:rFonts w:hint="eastAsia" w:ascii="宋体" w:hAnsi="宋体" w:cs="仿宋_GB2312"/>
                <w:color w:val="auto"/>
                <w:szCs w:val="21"/>
                <w:highlight w:val="none"/>
              </w:rPr>
              <w:t>1</w:t>
            </w:r>
            <w:r>
              <w:rPr>
                <w:rFonts w:ascii="宋体" w:hAnsi="宋体" w:cs="仿宋_GB2312"/>
                <w:color w:val="auto"/>
                <w:szCs w:val="21"/>
                <w:highlight w:val="none"/>
              </w:rPr>
              <w:t>年1月1日以来（以合同签订时间为准）同类合同业绩（以提供的合同扫描件为准）：每提供1份合同业绩得0.5分，最高得</w:t>
            </w:r>
            <w:r>
              <w:rPr>
                <w:rFonts w:hint="eastAsia" w:ascii="宋体" w:hAnsi="宋体" w:cs="仿宋_GB2312"/>
                <w:color w:val="auto"/>
                <w:szCs w:val="21"/>
                <w:highlight w:val="none"/>
                <w:lang w:val="en-US" w:eastAsia="zh-CN"/>
              </w:rPr>
              <w:t>1</w:t>
            </w:r>
            <w:r>
              <w:rPr>
                <w:rFonts w:ascii="宋体" w:hAnsi="宋体" w:cs="仿宋_GB2312"/>
                <w:color w:val="auto"/>
                <w:szCs w:val="21"/>
                <w:highlight w:val="none"/>
              </w:rPr>
              <w:t>分。</w:t>
            </w:r>
          </w:p>
        </w:tc>
        <w:tc>
          <w:tcPr>
            <w:tcW w:w="788" w:type="dxa"/>
            <w:vAlign w:val="center"/>
          </w:tcPr>
          <w:p w14:paraId="214B86A0">
            <w:pPr>
              <w:snapToGrid w:val="0"/>
              <w:spacing w:line="288" w:lineRule="auto"/>
              <w:jc w:val="center"/>
              <w:rPr>
                <w:rFonts w:hint="eastAsia" w:cs="仿宋_GB2312" w:asciiTheme="minorEastAsia" w:hAnsiTheme="minorEastAsia" w:eastAsiaTheme="minorEastAsia"/>
                <w:color w:val="auto"/>
                <w:sz w:val="21"/>
                <w:szCs w:val="21"/>
                <w:highlight w:val="none"/>
                <w:lang w:eastAsia="zh-CN"/>
              </w:rPr>
            </w:pPr>
            <w:r>
              <w:rPr>
                <w:rFonts w:hint="eastAsia" w:ascii="宋体" w:hAnsi="宋体" w:cs="仿宋_GB2312" w:eastAsiaTheme="minorEastAsia"/>
                <w:color w:val="auto"/>
                <w:szCs w:val="21"/>
                <w:highlight w:val="none"/>
                <w:lang w:val="en-US" w:eastAsia="zh-CN"/>
              </w:rPr>
              <w:t>1</w:t>
            </w:r>
          </w:p>
        </w:tc>
        <w:tc>
          <w:tcPr>
            <w:tcW w:w="1000" w:type="dxa"/>
            <w:vAlign w:val="center"/>
          </w:tcPr>
          <w:p w14:paraId="758CCB22">
            <w:pPr>
              <w:snapToGrid w:val="0"/>
              <w:spacing w:line="288" w:lineRule="auto"/>
              <w:jc w:val="center"/>
              <w:rPr>
                <w:rFonts w:cs="仿宋_GB2312" w:asciiTheme="minorEastAsia" w:hAnsiTheme="minorEastAsia" w:eastAsiaTheme="minorEastAsia"/>
                <w:color w:val="auto"/>
                <w:sz w:val="21"/>
                <w:szCs w:val="21"/>
                <w:highlight w:val="none"/>
              </w:rPr>
            </w:pPr>
            <w:r>
              <w:rPr>
                <w:rFonts w:hint="eastAsia" w:ascii="宋体" w:hAnsi="宋体" w:cs="仿宋_GB2312"/>
                <w:bCs/>
                <w:color w:val="auto"/>
                <w:szCs w:val="21"/>
                <w:highlight w:val="none"/>
              </w:rPr>
              <w:t>客观分</w:t>
            </w:r>
          </w:p>
        </w:tc>
        <w:tc>
          <w:tcPr>
            <w:tcW w:w="1406" w:type="dxa"/>
            <w:vAlign w:val="center"/>
          </w:tcPr>
          <w:p w14:paraId="74ED9A11">
            <w:pPr>
              <w:snapToGrid w:val="0"/>
              <w:spacing w:line="288" w:lineRule="auto"/>
              <w:jc w:val="center"/>
              <w:rPr>
                <w:color w:val="auto"/>
                <w:highlight w:val="none"/>
              </w:rPr>
            </w:pPr>
          </w:p>
        </w:tc>
      </w:tr>
      <w:tr w14:paraId="1F69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gridSpan w:val="5"/>
            <w:vAlign w:val="center"/>
          </w:tcPr>
          <w:p w14:paraId="319E82CF">
            <w:pPr>
              <w:pageBreakBefore w:val="0"/>
              <w:kinsoku/>
              <w:wordWrap/>
              <w:overflowPunct/>
              <w:topLinePunct w:val="0"/>
              <w:autoSpaceDE/>
              <w:autoSpaceDN/>
              <w:bidi w:val="0"/>
              <w:snapToGrid w:val="0"/>
              <w:spacing w:line="288" w:lineRule="auto"/>
              <w:jc w:val="both"/>
              <w:textAlignment w:val="auto"/>
              <w:rPr>
                <w:rFonts w:hint="default" w:cs="仿宋_GB2312" w:asciiTheme="minorEastAsia" w:hAnsiTheme="minorEastAsia" w:eastAsiaTheme="minorEastAsia"/>
                <w:b/>
                <w:bCs/>
                <w:color w:val="auto"/>
                <w:sz w:val="21"/>
                <w:szCs w:val="21"/>
                <w:highlight w:val="none"/>
                <w:lang w:val="en-US" w:eastAsia="zh-CN"/>
              </w:rPr>
            </w:pPr>
            <w:r>
              <w:rPr>
                <w:rFonts w:hint="eastAsia" w:ascii="宋体" w:hAnsi="宋体" w:eastAsia="宋体" w:cs="仿宋_GB2312"/>
                <w:b/>
                <w:bCs/>
                <w:color w:val="auto"/>
                <w:szCs w:val="21"/>
                <w:highlight w:val="none"/>
                <w:lang w:val="en-US" w:eastAsia="zh-CN"/>
              </w:rPr>
              <w:t>技术分（8</w:t>
            </w:r>
            <w:r>
              <w:rPr>
                <w:rFonts w:hint="eastAsia" w:ascii="宋体" w:hAnsi="宋体" w:cs="仿宋_GB2312"/>
                <w:b/>
                <w:bCs/>
                <w:color w:val="auto"/>
                <w:szCs w:val="21"/>
                <w:highlight w:val="none"/>
                <w:lang w:val="en-US" w:eastAsia="zh-CN"/>
              </w:rPr>
              <w:t>9</w:t>
            </w:r>
            <w:r>
              <w:rPr>
                <w:rFonts w:hint="eastAsia" w:ascii="宋体" w:hAnsi="宋体" w:eastAsia="宋体" w:cs="仿宋_GB2312"/>
                <w:b/>
                <w:bCs/>
                <w:color w:val="auto"/>
                <w:szCs w:val="21"/>
                <w:highlight w:val="none"/>
                <w:lang w:val="en-US" w:eastAsia="zh-CN"/>
              </w:rPr>
              <w:t>分）</w:t>
            </w:r>
          </w:p>
        </w:tc>
      </w:tr>
      <w:tr w14:paraId="56E0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70ADB932">
            <w:pPr>
              <w:pageBreakBefore w:val="0"/>
              <w:kinsoku/>
              <w:wordWrap/>
              <w:overflowPunct/>
              <w:topLinePunct w:val="0"/>
              <w:autoSpaceDE/>
              <w:autoSpaceDN/>
              <w:bidi w:val="0"/>
              <w:snapToGrid w:val="0"/>
              <w:spacing w:line="288" w:lineRule="auto"/>
              <w:jc w:val="center"/>
              <w:textAlignment w:val="auto"/>
              <w:rPr>
                <w:rFonts w:hint="eastAsia" w:cs="仿宋_GB2312" w:asciiTheme="minorEastAsia" w:hAnsiTheme="minorEastAsia" w:eastAsiaTheme="minorEastAsia"/>
                <w:b/>
                <w:bCs/>
                <w:color w:val="auto"/>
                <w:sz w:val="21"/>
                <w:szCs w:val="21"/>
                <w:highlight w:val="none"/>
                <w:lang w:val="en-US" w:eastAsia="zh-CN"/>
              </w:rPr>
            </w:pPr>
            <w:r>
              <w:rPr>
                <w:rFonts w:hint="eastAsia" w:cs="仿宋_GB2312" w:asciiTheme="minorEastAsia" w:hAnsiTheme="minorEastAsia" w:eastAsiaTheme="minorEastAsia"/>
                <w:b/>
                <w:bCs/>
                <w:color w:val="auto"/>
                <w:sz w:val="21"/>
                <w:szCs w:val="21"/>
                <w:highlight w:val="none"/>
                <w:lang w:val="en-US" w:eastAsia="zh-CN"/>
              </w:rPr>
              <w:t>2</w:t>
            </w:r>
          </w:p>
        </w:tc>
        <w:tc>
          <w:tcPr>
            <w:tcW w:w="5283" w:type="dxa"/>
          </w:tcPr>
          <w:p w14:paraId="22E72D81">
            <w:pPr>
              <w:pageBreakBefore w:val="0"/>
              <w:kinsoku/>
              <w:wordWrap/>
              <w:overflowPunct/>
              <w:topLinePunct w:val="0"/>
              <w:autoSpaceDE/>
              <w:autoSpaceDN/>
              <w:bidi w:val="0"/>
              <w:snapToGrid w:val="0"/>
              <w:spacing w:line="288" w:lineRule="auto"/>
              <w:jc w:val="both"/>
              <w:textAlignment w:val="auto"/>
              <w:rPr>
                <w:rFonts w:hint="eastAsia" w:cs="仿宋_GB2312" w:asciiTheme="minorEastAsia" w:hAnsiTheme="minorEastAsia" w:eastAsiaTheme="minorEastAsia"/>
                <w:b/>
                <w:bCs/>
                <w:color w:val="auto"/>
                <w:sz w:val="21"/>
                <w:szCs w:val="21"/>
                <w:highlight w:val="none"/>
              </w:rPr>
            </w:pPr>
            <w:r>
              <w:rPr>
                <w:rFonts w:hint="eastAsia" w:cs="仿宋_GB2312" w:asciiTheme="minorEastAsia" w:hAnsiTheme="minorEastAsia" w:eastAsiaTheme="minorEastAsia"/>
                <w:b/>
                <w:bCs/>
                <w:color w:val="auto"/>
                <w:sz w:val="21"/>
                <w:szCs w:val="21"/>
                <w:highlight w:val="none"/>
              </w:rPr>
              <w:t>对本项目背景和建设目标的了解：</w:t>
            </w:r>
          </w:p>
          <w:p w14:paraId="48B86981">
            <w:pPr>
              <w:pageBreakBefore w:val="0"/>
              <w:kinsoku/>
              <w:wordWrap/>
              <w:overflowPunct/>
              <w:topLinePunct w:val="0"/>
              <w:autoSpaceDE/>
              <w:autoSpaceDN/>
              <w:bidi w:val="0"/>
              <w:snapToGrid w:val="0"/>
              <w:spacing w:line="288" w:lineRule="auto"/>
              <w:jc w:val="both"/>
              <w:textAlignment w:val="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投标人</w:t>
            </w:r>
            <w:r>
              <w:rPr>
                <w:rFonts w:hint="eastAsia" w:cs="仿宋_GB2312" w:asciiTheme="minorEastAsia" w:hAnsiTheme="minorEastAsia" w:eastAsiaTheme="minorEastAsia"/>
                <w:color w:val="auto"/>
                <w:sz w:val="21"/>
                <w:szCs w:val="21"/>
                <w:highlight w:val="none"/>
              </w:rPr>
              <w:t>对项目背景、政策、业务需求理解综合全面</w:t>
            </w:r>
            <w:r>
              <w:rPr>
                <w:rFonts w:hint="eastAsia" w:cs="仿宋_GB2312" w:asciiTheme="minorEastAsia" w:hAnsiTheme="minorEastAsia" w:eastAsiaTheme="minorEastAsia"/>
                <w:color w:val="auto"/>
                <w:sz w:val="21"/>
                <w:szCs w:val="21"/>
                <w:highlight w:val="none"/>
                <w:lang w:eastAsia="zh-CN"/>
              </w:rPr>
              <w:t>。</w:t>
            </w:r>
            <w:r>
              <w:rPr>
                <w:rFonts w:hint="eastAsia" w:cs="仿宋_GB2312" w:asciiTheme="minorEastAsia" w:hAnsiTheme="minorEastAsia" w:eastAsiaTheme="minorEastAsia"/>
                <w:color w:val="auto"/>
                <w:sz w:val="21"/>
                <w:szCs w:val="21"/>
                <w:highlight w:val="none"/>
                <w:lang w:val="en-US" w:eastAsia="zh-CN"/>
              </w:rPr>
              <w:t>要求内容完整详细、</w:t>
            </w:r>
            <w:r>
              <w:rPr>
                <w:rFonts w:hint="eastAsia" w:cs="仿宋_GB2312" w:asciiTheme="minorEastAsia" w:hAnsiTheme="minorEastAsia" w:eastAsiaTheme="minorEastAsia"/>
                <w:color w:val="auto"/>
                <w:sz w:val="21"/>
                <w:szCs w:val="21"/>
                <w:highlight w:val="none"/>
              </w:rPr>
              <w:t>能体现项目建设的必要性要求等内容。</w:t>
            </w:r>
          </w:p>
          <w:p w14:paraId="2514B86C">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对项目理解深入透彻，思路清晰</w:t>
            </w:r>
            <w:r>
              <w:rPr>
                <w:rFonts w:ascii="宋体" w:hAnsi="宋体" w:eastAsia="宋体" w:cs="仿宋_GB2312"/>
                <w:color w:val="auto"/>
                <w:szCs w:val="21"/>
                <w:highlight w:val="none"/>
              </w:rPr>
              <w:t>,阐述内容主次分明，方案可操作性、可行性强的得5分；</w:t>
            </w:r>
          </w:p>
          <w:p w14:paraId="52CB8097">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对项目理解较深入，思路较清晰</w:t>
            </w:r>
            <w:r>
              <w:rPr>
                <w:rFonts w:ascii="宋体" w:hAnsi="宋体" w:eastAsia="宋体" w:cs="仿宋_GB2312"/>
                <w:color w:val="auto"/>
                <w:szCs w:val="21"/>
                <w:highlight w:val="none"/>
              </w:rPr>
              <w:t>,阐述内容主次分明，方案可操作性、可行性较强的得4分；</w:t>
            </w:r>
          </w:p>
          <w:p w14:paraId="5B66C444">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对项目理解基本准确，服务方案整体框架基本清晰</w:t>
            </w:r>
            <w:r>
              <w:rPr>
                <w:rFonts w:ascii="宋体" w:hAnsi="宋体" w:eastAsia="宋体" w:cs="仿宋_GB2312"/>
                <w:color w:val="auto"/>
                <w:szCs w:val="21"/>
                <w:highlight w:val="none"/>
              </w:rPr>
              <w:t>,阐述内容主次分明，方案可操作性、可行性一般的得3分；</w:t>
            </w:r>
          </w:p>
          <w:p w14:paraId="0D12BA73">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对项目理解基本准确，服务方案整体框架基本清晰</w:t>
            </w:r>
            <w:r>
              <w:rPr>
                <w:rFonts w:ascii="宋体" w:hAnsi="宋体" w:eastAsia="宋体" w:cs="仿宋_GB2312"/>
                <w:color w:val="auto"/>
                <w:szCs w:val="21"/>
                <w:highlight w:val="none"/>
              </w:rPr>
              <w:t>,阐述内容主次不分明，方案可操作性、可行性差的得2分；</w:t>
            </w:r>
          </w:p>
          <w:p w14:paraId="63534E04">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对项目理解不准确，服务方案整体框架不够清晰</w:t>
            </w:r>
            <w:r>
              <w:rPr>
                <w:rFonts w:ascii="宋体" w:hAnsi="宋体" w:eastAsia="宋体" w:cs="仿宋_GB2312"/>
                <w:color w:val="auto"/>
                <w:szCs w:val="21"/>
                <w:highlight w:val="none"/>
              </w:rPr>
              <w:t>,阐述内容主次不明，方案可操作性、可行性差的得1分；</w:t>
            </w:r>
          </w:p>
          <w:p w14:paraId="3884AC5F">
            <w:pPr>
              <w:pageBreakBefore w:val="0"/>
              <w:kinsoku/>
              <w:wordWrap/>
              <w:overflowPunct/>
              <w:topLinePunct w:val="0"/>
              <w:autoSpaceDE/>
              <w:autoSpaceDN/>
              <w:bidi w:val="0"/>
              <w:snapToGrid w:val="0"/>
              <w:spacing w:line="288" w:lineRule="auto"/>
              <w:jc w:val="both"/>
              <w:textAlignment w:val="auto"/>
              <w:rPr>
                <w:rFonts w:cs="仿宋_GB2312" w:asciiTheme="minorEastAsia" w:hAnsiTheme="minorEastAsia" w:eastAsiaTheme="minorEastAsia"/>
                <w:color w:val="auto"/>
                <w:sz w:val="21"/>
                <w:szCs w:val="21"/>
                <w:highlight w:val="none"/>
              </w:rPr>
            </w:pPr>
            <w:r>
              <w:rPr>
                <w:rFonts w:hint="eastAsia" w:ascii="宋体" w:hAnsi="宋体" w:eastAsia="宋体" w:cs="仿宋_GB2312"/>
                <w:color w:val="auto"/>
                <w:szCs w:val="21"/>
                <w:highlight w:val="none"/>
              </w:rPr>
              <w:t>未提供相关说明的得</w:t>
            </w:r>
            <w:r>
              <w:rPr>
                <w:rFonts w:ascii="宋体" w:hAnsi="宋体" w:eastAsia="宋体" w:cs="仿宋_GB2312"/>
                <w:color w:val="auto"/>
                <w:szCs w:val="21"/>
                <w:highlight w:val="none"/>
              </w:rPr>
              <w:t>0分。</w:t>
            </w:r>
          </w:p>
        </w:tc>
        <w:tc>
          <w:tcPr>
            <w:tcW w:w="788" w:type="dxa"/>
            <w:vAlign w:val="center"/>
          </w:tcPr>
          <w:p w14:paraId="55BAB263">
            <w:pPr>
              <w:pageBreakBefore w:val="0"/>
              <w:kinsoku/>
              <w:wordWrap/>
              <w:overflowPunct/>
              <w:topLinePunct w:val="0"/>
              <w:autoSpaceDE/>
              <w:autoSpaceDN/>
              <w:bidi w:val="0"/>
              <w:snapToGrid w:val="0"/>
              <w:spacing w:line="288" w:lineRule="auto"/>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5</w:t>
            </w:r>
          </w:p>
        </w:tc>
        <w:tc>
          <w:tcPr>
            <w:tcW w:w="1000" w:type="dxa"/>
            <w:vAlign w:val="center"/>
          </w:tcPr>
          <w:p w14:paraId="0A2948E4">
            <w:pPr>
              <w:pageBreakBefore w:val="0"/>
              <w:kinsoku/>
              <w:wordWrap/>
              <w:overflowPunct/>
              <w:topLinePunct w:val="0"/>
              <w:autoSpaceDE/>
              <w:autoSpaceDN/>
              <w:bidi w:val="0"/>
              <w:snapToGrid w:val="0"/>
              <w:spacing w:line="288" w:lineRule="auto"/>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主观分</w:t>
            </w:r>
          </w:p>
        </w:tc>
        <w:tc>
          <w:tcPr>
            <w:tcW w:w="1406" w:type="dxa"/>
            <w:vAlign w:val="center"/>
          </w:tcPr>
          <w:p w14:paraId="0483A789">
            <w:pPr>
              <w:pageBreakBefore w:val="0"/>
              <w:kinsoku/>
              <w:wordWrap/>
              <w:overflowPunct/>
              <w:topLinePunct w:val="0"/>
              <w:autoSpaceDE/>
              <w:autoSpaceDN/>
              <w:bidi w:val="0"/>
              <w:snapToGrid w:val="0"/>
              <w:spacing w:line="288" w:lineRule="auto"/>
              <w:jc w:val="center"/>
              <w:textAlignment w:val="auto"/>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服务方案</w:t>
            </w:r>
          </w:p>
        </w:tc>
      </w:tr>
      <w:tr w14:paraId="09F0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68C7E8CB">
            <w:pPr>
              <w:pageBreakBefore w:val="0"/>
              <w:kinsoku/>
              <w:wordWrap/>
              <w:overflowPunct/>
              <w:topLinePunct w:val="0"/>
              <w:autoSpaceDE/>
              <w:autoSpaceDN/>
              <w:bidi w:val="0"/>
              <w:snapToGrid w:val="0"/>
              <w:spacing w:line="288" w:lineRule="auto"/>
              <w:jc w:val="center"/>
              <w:textAlignment w:val="auto"/>
              <w:rPr>
                <w:rFonts w:hint="eastAsia" w:cs="仿宋_GB2312" w:asciiTheme="minorEastAsia" w:hAnsiTheme="minorEastAsia" w:eastAsiaTheme="minorEastAsia"/>
                <w:b/>
                <w:bCs/>
                <w:color w:val="auto"/>
                <w:sz w:val="21"/>
                <w:szCs w:val="21"/>
                <w:highlight w:val="none"/>
                <w:lang w:val="en-US" w:eastAsia="zh-CN"/>
              </w:rPr>
            </w:pPr>
            <w:r>
              <w:rPr>
                <w:rFonts w:hint="eastAsia" w:cs="仿宋_GB2312" w:asciiTheme="minorEastAsia" w:hAnsiTheme="minorEastAsia" w:eastAsiaTheme="minorEastAsia"/>
                <w:b/>
                <w:bCs/>
                <w:color w:val="auto"/>
                <w:sz w:val="21"/>
                <w:szCs w:val="21"/>
                <w:highlight w:val="none"/>
                <w:lang w:val="en-US" w:eastAsia="zh-CN"/>
              </w:rPr>
              <w:t>3</w:t>
            </w:r>
          </w:p>
        </w:tc>
        <w:tc>
          <w:tcPr>
            <w:tcW w:w="5283" w:type="dxa"/>
          </w:tcPr>
          <w:p w14:paraId="7A592C3A">
            <w:pPr>
              <w:adjustRightInd w:val="0"/>
              <w:snapToGrid w:val="0"/>
              <w:spacing w:line="288"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提供区内热点信息选题策划方案，其合理性、宣传重点把握及符合采购需求情况</w:t>
            </w:r>
            <w:r>
              <w:rPr>
                <w:rFonts w:hint="eastAsia" w:ascii="宋体" w:hAnsi="宋体" w:cs="宋体"/>
                <w:b/>
                <w:bCs/>
                <w:color w:val="auto"/>
                <w:szCs w:val="21"/>
                <w:highlight w:val="none"/>
                <w:lang w:val="en-US" w:eastAsia="zh-CN"/>
              </w:rPr>
              <w:t>：</w:t>
            </w:r>
          </w:p>
          <w:p w14:paraId="4128BF2E">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深入透彻，思路清晰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宣传重点</w:t>
            </w:r>
            <w:r>
              <w:rPr>
                <w:rFonts w:ascii="宋体" w:hAnsi="宋体" w:eastAsia="宋体" w:cs="仿宋_GB2312"/>
                <w:color w:val="auto"/>
                <w:szCs w:val="21"/>
                <w:highlight w:val="none"/>
              </w:rPr>
              <w:t>阐述内容主次分明，方案可操作性、可行性强的得5分；</w:t>
            </w:r>
          </w:p>
          <w:p w14:paraId="5129B292">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较深入，思路较清晰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宣传重点</w:t>
            </w:r>
            <w:r>
              <w:rPr>
                <w:rFonts w:ascii="宋体" w:hAnsi="宋体" w:eastAsia="宋体" w:cs="仿宋_GB2312"/>
                <w:color w:val="auto"/>
                <w:szCs w:val="21"/>
                <w:highlight w:val="none"/>
              </w:rPr>
              <w:t>阐述内容主次分明，方案可操作性、可行性较强的得4分；</w:t>
            </w:r>
          </w:p>
          <w:p w14:paraId="06498A31">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基本准确，服务方案整体框架基本清晰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宣传重点</w:t>
            </w:r>
            <w:r>
              <w:rPr>
                <w:rFonts w:ascii="宋体" w:hAnsi="宋体" w:eastAsia="宋体" w:cs="仿宋_GB2312"/>
                <w:color w:val="auto"/>
                <w:szCs w:val="21"/>
                <w:highlight w:val="none"/>
              </w:rPr>
              <w:t>阐述内容主次分明，方案可操作性、可行性一般的得3分；</w:t>
            </w:r>
          </w:p>
          <w:p w14:paraId="5ACEA6F0">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基本准确，服务方案整体框架基本清晰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宣传重点</w:t>
            </w:r>
            <w:r>
              <w:rPr>
                <w:rFonts w:ascii="宋体" w:hAnsi="宋体" w:eastAsia="宋体" w:cs="仿宋_GB2312"/>
                <w:color w:val="auto"/>
                <w:szCs w:val="21"/>
                <w:highlight w:val="none"/>
              </w:rPr>
              <w:t>阐述内容主次不分明，方案可操作性、可行性差的得2分；</w:t>
            </w:r>
          </w:p>
          <w:p w14:paraId="31006D42">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不准确，服务方案整体框架不够清晰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宣传重点</w:t>
            </w:r>
            <w:r>
              <w:rPr>
                <w:rFonts w:ascii="宋体" w:hAnsi="宋体" w:eastAsia="宋体" w:cs="仿宋_GB2312"/>
                <w:color w:val="auto"/>
                <w:szCs w:val="21"/>
                <w:highlight w:val="none"/>
              </w:rPr>
              <w:t>阐述内容主次不明，方案可操作性、可行性差的得1分；</w:t>
            </w:r>
          </w:p>
          <w:p w14:paraId="396A292F">
            <w:pPr>
              <w:pageBreakBefore w:val="0"/>
              <w:kinsoku/>
              <w:wordWrap/>
              <w:overflowPunct/>
              <w:topLinePunct w:val="0"/>
              <w:autoSpaceDE/>
              <w:autoSpaceDN/>
              <w:bidi w:val="0"/>
              <w:snapToGrid w:val="0"/>
              <w:spacing w:line="288" w:lineRule="auto"/>
              <w:jc w:val="both"/>
              <w:textAlignment w:val="auto"/>
              <w:rPr>
                <w:rFonts w:hint="default" w:eastAsiaTheme="minorEastAsia"/>
                <w:color w:val="auto"/>
                <w:highlight w:val="none"/>
                <w:lang w:val="en-US" w:eastAsia="zh-CN"/>
              </w:rPr>
            </w:pPr>
            <w:r>
              <w:rPr>
                <w:rFonts w:hint="eastAsia" w:ascii="宋体" w:hAnsi="宋体" w:eastAsia="宋体" w:cs="仿宋_GB2312"/>
                <w:color w:val="auto"/>
                <w:szCs w:val="21"/>
                <w:highlight w:val="none"/>
              </w:rPr>
              <w:t>未提供相关说明的得</w:t>
            </w:r>
            <w:r>
              <w:rPr>
                <w:rFonts w:ascii="宋体" w:hAnsi="宋体" w:eastAsia="宋体" w:cs="仿宋_GB2312"/>
                <w:color w:val="auto"/>
                <w:szCs w:val="21"/>
                <w:highlight w:val="none"/>
              </w:rPr>
              <w:t>0分。</w:t>
            </w:r>
          </w:p>
        </w:tc>
        <w:tc>
          <w:tcPr>
            <w:tcW w:w="788" w:type="dxa"/>
            <w:vAlign w:val="center"/>
          </w:tcPr>
          <w:p w14:paraId="1A1E6883">
            <w:pPr>
              <w:pageBreakBefore w:val="0"/>
              <w:kinsoku/>
              <w:wordWrap/>
              <w:overflowPunct/>
              <w:topLinePunct w:val="0"/>
              <w:autoSpaceDE/>
              <w:autoSpaceDN/>
              <w:bidi w:val="0"/>
              <w:snapToGrid w:val="0"/>
              <w:spacing w:line="288" w:lineRule="auto"/>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5</w:t>
            </w:r>
          </w:p>
        </w:tc>
        <w:tc>
          <w:tcPr>
            <w:tcW w:w="1000" w:type="dxa"/>
            <w:vAlign w:val="center"/>
          </w:tcPr>
          <w:p w14:paraId="6FF4A3A5">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ascii="宋体" w:hAnsi="宋体" w:cs="仿宋_GB2312"/>
                <w:bCs/>
                <w:color w:val="auto"/>
                <w:szCs w:val="21"/>
                <w:highlight w:val="none"/>
                <w:lang w:val="en-US" w:eastAsia="zh-CN"/>
              </w:rPr>
              <w:t>主</w:t>
            </w:r>
            <w:r>
              <w:rPr>
                <w:rFonts w:hint="eastAsia" w:ascii="宋体" w:hAnsi="宋体" w:cs="仿宋_GB2312"/>
                <w:bCs/>
                <w:color w:val="auto"/>
                <w:szCs w:val="21"/>
                <w:highlight w:val="none"/>
              </w:rPr>
              <w:t>观分</w:t>
            </w:r>
          </w:p>
        </w:tc>
        <w:tc>
          <w:tcPr>
            <w:tcW w:w="1406" w:type="dxa"/>
            <w:vAlign w:val="center"/>
          </w:tcPr>
          <w:p w14:paraId="5DB6FF9D">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服务方案</w:t>
            </w:r>
          </w:p>
        </w:tc>
      </w:tr>
      <w:tr w14:paraId="301F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1D2B1A22">
            <w:pPr>
              <w:pageBreakBefore w:val="0"/>
              <w:kinsoku/>
              <w:wordWrap/>
              <w:overflowPunct/>
              <w:topLinePunct w:val="0"/>
              <w:autoSpaceDE/>
              <w:autoSpaceDN/>
              <w:bidi w:val="0"/>
              <w:snapToGrid w:val="0"/>
              <w:spacing w:line="288" w:lineRule="auto"/>
              <w:jc w:val="center"/>
              <w:textAlignment w:val="auto"/>
              <w:rPr>
                <w:rFonts w:hint="default" w:cs="仿宋_GB2312" w:asciiTheme="minorEastAsia" w:hAnsiTheme="minorEastAsia" w:eastAsiaTheme="minorEastAsia"/>
                <w:b/>
                <w:bCs/>
                <w:color w:val="auto"/>
                <w:sz w:val="21"/>
                <w:szCs w:val="21"/>
                <w:highlight w:val="none"/>
                <w:lang w:val="en-US" w:eastAsia="zh-CN"/>
              </w:rPr>
            </w:pPr>
            <w:r>
              <w:rPr>
                <w:rFonts w:hint="eastAsia" w:cs="仿宋_GB2312" w:asciiTheme="minorEastAsia" w:hAnsiTheme="minorEastAsia" w:eastAsiaTheme="minorEastAsia"/>
                <w:b/>
                <w:bCs/>
                <w:color w:val="auto"/>
                <w:sz w:val="21"/>
                <w:szCs w:val="21"/>
                <w:highlight w:val="none"/>
                <w:lang w:val="en-US" w:eastAsia="zh-CN"/>
              </w:rPr>
              <w:t>4</w:t>
            </w:r>
          </w:p>
        </w:tc>
        <w:tc>
          <w:tcPr>
            <w:tcW w:w="5283" w:type="dxa"/>
          </w:tcPr>
          <w:p w14:paraId="3F11E855">
            <w:pPr>
              <w:adjustRightInd w:val="0"/>
              <w:snapToGrid w:val="0"/>
              <w:spacing w:line="288" w:lineRule="auto"/>
              <w:rPr>
                <w:rFonts w:hint="eastAsia" w:cs="仿宋_GB2312" w:asciiTheme="minorEastAsia" w:hAnsiTheme="minorEastAsia" w:eastAsiaTheme="minorEastAsia"/>
                <w:b/>
                <w:bCs/>
                <w:color w:val="auto"/>
                <w:sz w:val="21"/>
                <w:szCs w:val="21"/>
                <w:highlight w:val="none"/>
                <w:rtl w:val="0"/>
                <w:lang w:val="en-US" w:eastAsia="zh-CN"/>
              </w:rPr>
            </w:pPr>
            <w:r>
              <w:rPr>
                <w:rFonts w:hint="eastAsia" w:cs="仿宋_GB2312" w:asciiTheme="minorEastAsia" w:hAnsiTheme="minorEastAsia" w:eastAsiaTheme="minorEastAsia"/>
                <w:b/>
                <w:bCs/>
                <w:color w:val="auto"/>
                <w:sz w:val="21"/>
                <w:szCs w:val="21"/>
                <w:highlight w:val="none"/>
                <w:rtl w:val="0"/>
                <w:lang w:val="en-US" w:eastAsia="zh-CN"/>
              </w:rPr>
              <w:t>提供区内热点信息布置落实方案，其合理性、宣传重点把握及符合采购需求情况，满足采购人的专业需求：</w:t>
            </w:r>
          </w:p>
          <w:p w14:paraId="469D5F1E">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深入透彻，思路清晰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w:t>
            </w:r>
            <w:r>
              <w:rPr>
                <w:rFonts w:ascii="宋体" w:hAnsi="宋体" w:eastAsia="宋体" w:cs="仿宋_GB2312"/>
                <w:color w:val="auto"/>
                <w:szCs w:val="21"/>
                <w:highlight w:val="none"/>
              </w:rPr>
              <w:t>阐述内容主次分明，方案可操作性、可行性强的得5分；</w:t>
            </w:r>
          </w:p>
          <w:p w14:paraId="7ECCD635">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较深入，思路较清晰</w:t>
            </w:r>
            <w:r>
              <w:rPr>
                <w:rFonts w:ascii="宋体" w:hAnsi="宋体" w:eastAsia="宋体" w:cs="仿宋_GB2312"/>
                <w:color w:val="auto"/>
                <w:szCs w:val="21"/>
                <w:highlight w:val="none"/>
              </w:rPr>
              <w:t>,阐述内容主次分明，方案可操作性、可行性较强的得4分；</w:t>
            </w:r>
          </w:p>
          <w:p w14:paraId="7FC22B4E">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基本准确，服务方案整体框架基本清晰</w:t>
            </w:r>
            <w:r>
              <w:rPr>
                <w:rFonts w:ascii="宋体" w:hAnsi="宋体" w:eastAsia="宋体" w:cs="仿宋_GB2312"/>
                <w:color w:val="auto"/>
                <w:szCs w:val="21"/>
                <w:highlight w:val="none"/>
              </w:rPr>
              <w:t>,阐述内容主次分明，方案可操作性、可行性一般的得3分；</w:t>
            </w:r>
          </w:p>
          <w:p w14:paraId="5269A6D9">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基本准确，服务方案整体框架基本清晰</w:t>
            </w:r>
            <w:r>
              <w:rPr>
                <w:rFonts w:ascii="宋体" w:hAnsi="宋体" w:eastAsia="宋体" w:cs="仿宋_GB2312"/>
                <w:color w:val="auto"/>
                <w:szCs w:val="21"/>
                <w:highlight w:val="none"/>
              </w:rPr>
              <w:t>,阐述内容主次不分明，方案可操作性、可行性差的得2分；</w:t>
            </w:r>
          </w:p>
          <w:p w14:paraId="3B7CDF55">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不准确，服务方案整体框架不够清晰</w:t>
            </w:r>
            <w:r>
              <w:rPr>
                <w:rFonts w:ascii="宋体" w:hAnsi="宋体" w:eastAsia="宋体" w:cs="仿宋_GB2312"/>
                <w:color w:val="auto"/>
                <w:szCs w:val="21"/>
                <w:highlight w:val="none"/>
              </w:rPr>
              <w:t>,阐述内容主次不明，方案可操作性、可行性差的得1分；</w:t>
            </w:r>
          </w:p>
          <w:p w14:paraId="7082C3D7">
            <w:pPr>
              <w:pageBreakBefore w:val="0"/>
              <w:kinsoku/>
              <w:wordWrap/>
              <w:overflowPunct/>
              <w:topLinePunct w:val="0"/>
              <w:autoSpaceDE/>
              <w:autoSpaceDN/>
              <w:bidi w:val="0"/>
              <w:snapToGrid w:val="0"/>
              <w:spacing w:line="288" w:lineRule="auto"/>
              <w:jc w:val="both"/>
              <w:textAlignment w:val="auto"/>
              <w:rPr>
                <w:rFonts w:hint="default" w:eastAsiaTheme="minorEastAsia"/>
                <w:color w:val="auto"/>
                <w:highlight w:val="none"/>
                <w:lang w:val="en-US" w:eastAsia="zh-CN"/>
              </w:rPr>
            </w:pPr>
            <w:r>
              <w:rPr>
                <w:rFonts w:hint="eastAsia" w:ascii="宋体" w:hAnsi="宋体" w:eastAsia="宋体" w:cs="仿宋_GB2312"/>
                <w:color w:val="auto"/>
                <w:szCs w:val="21"/>
                <w:highlight w:val="none"/>
              </w:rPr>
              <w:t>未提供相关说明的得</w:t>
            </w:r>
            <w:r>
              <w:rPr>
                <w:rFonts w:ascii="宋体" w:hAnsi="宋体" w:eastAsia="宋体" w:cs="仿宋_GB2312"/>
                <w:color w:val="auto"/>
                <w:szCs w:val="21"/>
                <w:highlight w:val="none"/>
              </w:rPr>
              <w:t>0分。</w:t>
            </w:r>
          </w:p>
        </w:tc>
        <w:tc>
          <w:tcPr>
            <w:tcW w:w="788" w:type="dxa"/>
            <w:vAlign w:val="center"/>
          </w:tcPr>
          <w:p w14:paraId="1EE68DA1">
            <w:pPr>
              <w:pageBreakBefore w:val="0"/>
              <w:kinsoku/>
              <w:wordWrap/>
              <w:overflowPunct/>
              <w:topLinePunct w:val="0"/>
              <w:autoSpaceDE/>
              <w:autoSpaceDN/>
              <w:bidi w:val="0"/>
              <w:snapToGrid w:val="0"/>
              <w:spacing w:line="288" w:lineRule="auto"/>
              <w:jc w:val="center"/>
              <w:textAlignment w:val="auto"/>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5</w:t>
            </w:r>
          </w:p>
        </w:tc>
        <w:tc>
          <w:tcPr>
            <w:tcW w:w="1000" w:type="dxa"/>
            <w:vAlign w:val="center"/>
          </w:tcPr>
          <w:p w14:paraId="6FED8853">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ascii="宋体" w:hAnsi="宋体" w:cs="仿宋_GB2312"/>
                <w:bCs/>
                <w:color w:val="auto"/>
                <w:szCs w:val="21"/>
                <w:highlight w:val="none"/>
                <w:lang w:val="en-US" w:eastAsia="zh-CN"/>
              </w:rPr>
              <w:t>主</w:t>
            </w:r>
            <w:r>
              <w:rPr>
                <w:rFonts w:hint="eastAsia" w:ascii="宋体" w:hAnsi="宋体" w:cs="仿宋_GB2312"/>
                <w:bCs/>
                <w:color w:val="auto"/>
                <w:szCs w:val="21"/>
                <w:highlight w:val="none"/>
              </w:rPr>
              <w:t>观分</w:t>
            </w:r>
          </w:p>
        </w:tc>
        <w:tc>
          <w:tcPr>
            <w:tcW w:w="1406" w:type="dxa"/>
            <w:vAlign w:val="center"/>
          </w:tcPr>
          <w:p w14:paraId="58B12188">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服务方案</w:t>
            </w:r>
          </w:p>
        </w:tc>
      </w:tr>
      <w:tr w14:paraId="3A4C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669EE8FC">
            <w:pPr>
              <w:pageBreakBefore w:val="0"/>
              <w:kinsoku/>
              <w:wordWrap/>
              <w:overflowPunct/>
              <w:topLinePunct w:val="0"/>
              <w:autoSpaceDE/>
              <w:autoSpaceDN/>
              <w:bidi w:val="0"/>
              <w:snapToGrid w:val="0"/>
              <w:spacing w:line="288" w:lineRule="auto"/>
              <w:jc w:val="center"/>
              <w:textAlignment w:val="auto"/>
              <w:rPr>
                <w:rFonts w:hint="default" w:cs="仿宋_GB2312" w:asciiTheme="minorEastAsia" w:hAnsiTheme="minorEastAsia" w:eastAsiaTheme="minorEastAsia"/>
                <w:b/>
                <w:bCs/>
                <w:color w:val="auto"/>
                <w:sz w:val="21"/>
                <w:szCs w:val="21"/>
                <w:highlight w:val="none"/>
                <w:lang w:val="en-US" w:eastAsia="zh-CN"/>
              </w:rPr>
            </w:pPr>
            <w:r>
              <w:rPr>
                <w:rFonts w:hint="eastAsia" w:cs="仿宋_GB2312" w:asciiTheme="minorEastAsia" w:hAnsiTheme="minorEastAsia" w:eastAsiaTheme="minorEastAsia"/>
                <w:b/>
                <w:bCs/>
                <w:color w:val="auto"/>
                <w:sz w:val="21"/>
                <w:szCs w:val="21"/>
                <w:highlight w:val="none"/>
                <w:lang w:val="en-US" w:eastAsia="zh-CN"/>
              </w:rPr>
              <w:t>5</w:t>
            </w:r>
          </w:p>
        </w:tc>
        <w:tc>
          <w:tcPr>
            <w:tcW w:w="5283" w:type="dxa"/>
          </w:tcPr>
          <w:p w14:paraId="77D80998">
            <w:pPr>
              <w:numPr>
                <w:ilvl w:val="0"/>
                <w:numId w:val="0"/>
              </w:numPr>
              <w:adjustRightInd w:val="0"/>
              <w:snapToGrid w:val="0"/>
              <w:spacing w:line="288" w:lineRule="auto"/>
              <w:rPr>
                <w:rFonts w:hint="eastAsia" w:cs="仿宋_GB2312" w:asciiTheme="minorEastAsia" w:hAnsiTheme="minorEastAsia" w:eastAsiaTheme="minorEastAsia"/>
                <w:b/>
                <w:bCs/>
                <w:color w:val="auto"/>
                <w:sz w:val="21"/>
                <w:szCs w:val="21"/>
                <w:highlight w:val="none"/>
                <w:lang w:val="en-US" w:eastAsia="zh-CN"/>
              </w:rPr>
            </w:pPr>
            <w:r>
              <w:rPr>
                <w:rFonts w:hint="eastAsia" w:cs="仿宋_GB2312" w:asciiTheme="minorEastAsia" w:hAnsiTheme="minorEastAsia" w:eastAsiaTheme="minorEastAsia"/>
                <w:b/>
                <w:bCs/>
                <w:color w:val="auto"/>
                <w:sz w:val="21"/>
                <w:szCs w:val="21"/>
                <w:highlight w:val="none"/>
                <w:rtl w:val="0"/>
                <w:lang w:val="en-US" w:eastAsia="zh-CN"/>
              </w:rPr>
              <w:t>提供区内热点信息整合方案，全面、针对采购需求及实际特点、有利于采购</w:t>
            </w:r>
            <w:r>
              <w:rPr>
                <w:rFonts w:hint="eastAsia" w:cs="仿宋_GB2312" w:asciiTheme="minorEastAsia" w:hAnsiTheme="minorEastAsia" w:eastAsiaTheme="minorEastAsia"/>
                <w:b/>
                <w:bCs/>
                <w:color w:val="auto"/>
                <w:sz w:val="21"/>
                <w:szCs w:val="21"/>
                <w:highlight w:val="none"/>
                <w:lang w:val="en-US" w:eastAsia="zh-CN"/>
              </w:rPr>
              <w:t>标的实现及合同履约：</w:t>
            </w:r>
          </w:p>
          <w:p w14:paraId="2EB2366E">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深入透彻，思路清晰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w:t>
            </w:r>
            <w:r>
              <w:rPr>
                <w:rFonts w:ascii="宋体" w:hAnsi="宋体" w:eastAsia="宋体" w:cs="仿宋_GB2312"/>
                <w:color w:val="auto"/>
                <w:szCs w:val="21"/>
                <w:highlight w:val="none"/>
              </w:rPr>
              <w:t>阐述内容主次分明，方案可操作性、可行性强的得5分；</w:t>
            </w:r>
          </w:p>
          <w:p w14:paraId="2EF93D31">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较深入，思路较清晰</w:t>
            </w:r>
            <w:r>
              <w:rPr>
                <w:rFonts w:ascii="宋体" w:hAnsi="宋体" w:eastAsia="宋体" w:cs="仿宋_GB2312"/>
                <w:color w:val="auto"/>
                <w:szCs w:val="21"/>
                <w:highlight w:val="none"/>
              </w:rPr>
              <w:t>,阐述内容主次分明，方案可操作性、可行性较强的得4分；</w:t>
            </w:r>
          </w:p>
          <w:p w14:paraId="4AE56B10">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基本准确，服务方案整体框架基本清晰</w:t>
            </w:r>
            <w:r>
              <w:rPr>
                <w:rFonts w:ascii="宋体" w:hAnsi="宋体" w:eastAsia="宋体" w:cs="仿宋_GB2312"/>
                <w:color w:val="auto"/>
                <w:szCs w:val="21"/>
                <w:highlight w:val="none"/>
              </w:rPr>
              <w:t>,阐述内容主次分明，方案可操作性、可行性一般的得3分；</w:t>
            </w:r>
          </w:p>
          <w:p w14:paraId="018D5294">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基本准确，服务方案整体框架基本清晰</w:t>
            </w:r>
            <w:r>
              <w:rPr>
                <w:rFonts w:ascii="宋体" w:hAnsi="宋体" w:eastAsia="宋体" w:cs="仿宋_GB2312"/>
                <w:color w:val="auto"/>
                <w:szCs w:val="21"/>
                <w:highlight w:val="none"/>
              </w:rPr>
              <w:t>,阐述内容主次不分明，方案可操作性、可行性差的得2分；</w:t>
            </w:r>
          </w:p>
          <w:p w14:paraId="08EB3C73">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不准确，服务方案整体框架不够清晰</w:t>
            </w:r>
            <w:r>
              <w:rPr>
                <w:rFonts w:ascii="宋体" w:hAnsi="宋体" w:eastAsia="宋体" w:cs="仿宋_GB2312"/>
                <w:color w:val="auto"/>
                <w:szCs w:val="21"/>
                <w:highlight w:val="none"/>
              </w:rPr>
              <w:t>,阐述内容主次不明，方案可操作性、可行性差的得1分；</w:t>
            </w:r>
          </w:p>
          <w:p w14:paraId="6D7E98B6">
            <w:pPr>
              <w:pageBreakBefore w:val="0"/>
              <w:kinsoku/>
              <w:wordWrap/>
              <w:overflowPunct/>
              <w:topLinePunct w:val="0"/>
              <w:autoSpaceDE/>
              <w:autoSpaceDN/>
              <w:bidi w:val="0"/>
              <w:snapToGrid w:val="0"/>
              <w:spacing w:line="288" w:lineRule="auto"/>
              <w:jc w:val="both"/>
              <w:textAlignment w:val="auto"/>
              <w:rPr>
                <w:rFonts w:hint="default" w:eastAsiaTheme="minorEastAsia"/>
                <w:color w:val="auto"/>
                <w:highlight w:val="none"/>
                <w:lang w:val="en-US" w:eastAsia="zh-CN"/>
              </w:rPr>
            </w:pPr>
            <w:r>
              <w:rPr>
                <w:rFonts w:hint="eastAsia" w:ascii="宋体" w:hAnsi="宋体" w:eastAsia="宋体" w:cs="仿宋_GB2312"/>
                <w:color w:val="auto"/>
                <w:szCs w:val="21"/>
                <w:highlight w:val="none"/>
              </w:rPr>
              <w:t>未提供相关说明的得</w:t>
            </w:r>
            <w:r>
              <w:rPr>
                <w:rFonts w:ascii="宋体" w:hAnsi="宋体" w:eastAsia="宋体" w:cs="仿宋_GB2312"/>
                <w:color w:val="auto"/>
                <w:szCs w:val="21"/>
                <w:highlight w:val="none"/>
              </w:rPr>
              <w:t>0分。</w:t>
            </w:r>
          </w:p>
        </w:tc>
        <w:tc>
          <w:tcPr>
            <w:tcW w:w="788" w:type="dxa"/>
            <w:vAlign w:val="center"/>
          </w:tcPr>
          <w:p w14:paraId="04465256">
            <w:pPr>
              <w:pageBreakBefore w:val="0"/>
              <w:kinsoku/>
              <w:wordWrap/>
              <w:overflowPunct/>
              <w:topLinePunct w:val="0"/>
              <w:autoSpaceDE/>
              <w:autoSpaceDN/>
              <w:bidi w:val="0"/>
              <w:snapToGrid w:val="0"/>
              <w:spacing w:line="288" w:lineRule="auto"/>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5</w:t>
            </w:r>
          </w:p>
        </w:tc>
        <w:tc>
          <w:tcPr>
            <w:tcW w:w="1000" w:type="dxa"/>
            <w:vAlign w:val="center"/>
          </w:tcPr>
          <w:p w14:paraId="7858F773">
            <w:pPr>
              <w:pageBreakBefore w:val="0"/>
              <w:kinsoku/>
              <w:wordWrap/>
              <w:overflowPunct/>
              <w:topLinePunct w:val="0"/>
              <w:autoSpaceDE/>
              <w:autoSpaceDN/>
              <w:bidi w:val="0"/>
              <w:snapToGrid w:val="0"/>
              <w:spacing w:line="288" w:lineRule="auto"/>
              <w:jc w:val="center"/>
              <w:textAlignment w:val="auto"/>
              <w:rPr>
                <w:rFonts w:hint="eastAsia" w:ascii="宋体" w:hAnsi="宋体" w:cs="仿宋_GB2312"/>
                <w:bCs/>
                <w:color w:val="auto"/>
                <w:szCs w:val="21"/>
                <w:highlight w:val="none"/>
                <w:lang w:val="en-US" w:eastAsia="zh-CN"/>
              </w:rPr>
            </w:pPr>
            <w:r>
              <w:rPr>
                <w:rFonts w:hint="eastAsia" w:ascii="宋体" w:hAnsi="宋体" w:cs="仿宋_GB2312"/>
                <w:bCs/>
                <w:color w:val="auto"/>
                <w:szCs w:val="21"/>
                <w:highlight w:val="none"/>
                <w:lang w:val="en-US" w:eastAsia="zh-CN"/>
              </w:rPr>
              <w:t>主</w:t>
            </w:r>
            <w:r>
              <w:rPr>
                <w:rFonts w:hint="eastAsia" w:ascii="宋体" w:hAnsi="宋体" w:cs="仿宋_GB2312"/>
                <w:bCs/>
                <w:color w:val="auto"/>
                <w:szCs w:val="21"/>
                <w:highlight w:val="none"/>
              </w:rPr>
              <w:t>观分</w:t>
            </w:r>
          </w:p>
        </w:tc>
        <w:tc>
          <w:tcPr>
            <w:tcW w:w="1406" w:type="dxa"/>
            <w:vAlign w:val="center"/>
          </w:tcPr>
          <w:p w14:paraId="4059ACA8">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服务方案</w:t>
            </w:r>
          </w:p>
        </w:tc>
      </w:tr>
      <w:tr w14:paraId="3C49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350F7E1C">
            <w:pPr>
              <w:pageBreakBefore w:val="0"/>
              <w:kinsoku/>
              <w:wordWrap/>
              <w:overflowPunct/>
              <w:topLinePunct w:val="0"/>
              <w:autoSpaceDE/>
              <w:autoSpaceDN/>
              <w:bidi w:val="0"/>
              <w:snapToGrid w:val="0"/>
              <w:spacing w:line="288" w:lineRule="auto"/>
              <w:jc w:val="center"/>
              <w:textAlignment w:val="auto"/>
              <w:rPr>
                <w:rFonts w:hint="default" w:cs="仿宋_GB2312" w:asciiTheme="minorEastAsia" w:hAnsiTheme="minorEastAsia" w:eastAsiaTheme="minorEastAsia"/>
                <w:b/>
                <w:bCs/>
                <w:color w:val="auto"/>
                <w:sz w:val="21"/>
                <w:szCs w:val="21"/>
                <w:highlight w:val="none"/>
                <w:lang w:val="en-US" w:eastAsia="zh-CN"/>
              </w:rPr>
            </w:pPr>
            <w:r>
              <w:rPr>
                <w:rFonts w:hint="eastAsia" w:cs="仿宋_GB2312" w:asciiTheme="minorEastAsia" w:hAnsiTheme="minorEastAsia" w:eastAsiaTheme="minorEastAsia"/>
                <w:b/>
                <w:bCs/>
                <w:color w:val="auto"/>
                <w:sz w:val="21"/>
                <w:szCs w:val="21"/>
                <w:highlight w:val="none"/>
                <w:lang w:val="en-US" w:eastAsia="zh-CN"/>
              </w:rPr>
              <w:t>6</w:t>
            </w:r>
          </w:p>
        </w:tc>
        <w:tc>
          <w:tcPr>
            <w:tcW w:w="5283" w:type="dxa"/>
          </w:tcPr>
          <w:p w14:paraId="7F45D94B">
            <w:pPr>
              <w:numPr>
                <w:ilvl w:val="0"/>
                <w:numId w:val="0"/>
              </w:numPr>
              <w:adjustRightInd w:val="0"/>
              <w:snapToGrid w:val="0"/>
              <w:spacing w:line="288" w:lineRule="auto"/>
              <w:rPr>
                <w:rFonts w:hint="eastAsia" w:cs="仿宋_GB2312" w:asciiTheme="minorEastAsia" w:hAnsiTheme="minorEastAsia" w:eastAsiaTheme="minorEastAsia"/>
                <w:b/>
                <w:bCs/>
                <w:color w:val="auto"/>
                <w:sz w:val="21"/>
                <w:szCs w:val="21"/>
                <w:highlight w:val="none"/>
                <w:lang w:val="en-US" w:eastAsia="zh-CN"/>
              </w:rPr>
            </w:pPr>
            <w:r>
              <w:rPr>
                <w:rFonts w:hint="eastAsia" w:cs="仿宋_GB2312" w:asciiTheme="minorEastAsia" w:hAnsiTheme="minorEastAsia" w:eastAsiaTheme="minorEastAsia"/>
                <w:b/>
                <w:bCs/>
                <w:color w:val="auto"/>
                <w:sz w:val="21"/>
                <w:szCs w:val="21"/>
                <w:highlight w:val="none"/>
                <w:rtl w:val="0"/>
                <w:lang w:val="en-US" w:eastAsia="zh-CN"/>
              </w:rPr>
              <w:t>提供区内热点信息统计上报工作方案，全面、针对采购需求及实际特点、有利于采购</w:t>
            </w:r>
            <w:r>
              <w:rPr>
                <w:rFonts w:hint="eastAsia" w:cs="仿宋_GB2312" w:asciiTheme="minorEastAsia" w:hAnsiTheme="minorEastAsia" w:eastAsiaTheme="minorEastAsia"/>
                <w:b/>
                <w:bCs/>
                <w:color w:val="auto"/>
                <w:sz w:val="21"/>
                <w:szCs w:val="21"/>
                <w:highlight w:val="none"/>
                <w:lang w:val="en-US" w:eastAsia="zh-CN"/>
              </w:rPr>
              <w:t>标的实现及合同履约：</w:t>
            </w:r>
          </w:p>
          <w:p w14:paraId="4F1DBEDE">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深入透彻，思路清晰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w:t>
            </w:r>
            <w:r>
              <w:rPr>
                <w:rFonts w:ascii="宋体" w:hAnsi="宋体" w:eastAsia="宋体" w:cs="仿宋_GB2312"/>
                <w:color w:val="auto"/>
                <w:szCs w:val="21"/>
                <w:highlight w:val="none"/>
              </w:rPr>
              <w:t>阐述内容主次分明，方案可操作性、可行性强的得5分；</w:t>
            </w:r>
          </w:p>
          <w:p w14:paraId="3549AC20">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较深入，思路较清晰</w:t>
            </w:r>
            <w:r>
              <w:rPr>
                <w:rFonts w:ascii="宋体" w:hAnsi="宋体" w:eastAsia="宋体" w:cs="仿宋_GB2312"/>
                <w:color w:val="auto"/>
                <w:szCs w:val="21"/>
                <w:highlight w:val="none"/>
              </w:rPr>
              <w:t>,阐述内容主次分明，方案可操作性、可行性较强的得4分；</w:t>
            </w:r>
          </w:p>
          <w:p w14:paraId="25DD9733">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基本准确，服务方案整体框架基本清晰</w:t>
            </w:r>
            <w:r>
              <w:rPr>
                <w:rFonts w:ascii="宋体" w:hAnsi="宋体" w:eastAsia="宋体" w:cs="仿宋_GB2312"/>
                <w:color w:val="auto"/>
                <w:szCs w:val="21"/>
                <w:highlight w:val="none"/>
              </w:rPr>
              <w:t>,阐述内容主次分明，方案可操作性、可行性一般的得3分；</w:t>
            </w:r>
          </w:p>
          <w:p w14:paraId="10EC91C2">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基本准确，服务方案整体框架基本清晰</w:t>
            </w:r>
            <w:r>
              <w:rPr>
                <w:rFonts w:ascii="宋体" w:hAnsi="宋体" w:eastAsia="宋体" w:cs="仿宋_GB2312"/>
                <w:color w:val="auto"/>
                <w:szCs w:val="21"/>
                <w:highlight w:val="none"/>
              </w:rPr>
              <w:t>,阐述内容主次不分明，方案可操作性、可行性差的得2分；</w:t>
            </w:r>
          </w:p>
          <w:p w14:paraId="004CE986">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不准确，服务方案整体框架不够清晰</w:t>
            </w:r>
            <w:r>
              <w:rPr>
                <w:rFonts w:ascii="宋体" w:hAnsi="宋体" w:eastAsia="宋体" w:cs="仿宋_GB2312"/>
                <w:color w:val="auto"/>
                <w:szCs w:val="21"/>
                <w:highlight w:val="none"/>
              </w:rPr>
              <w:t>,阐述内容主次不明，方案可操作性、可行性差的得1分；</w:t>
            </w:r>
          </w:p>
          <w:p w14:paraId="591603F8">
            <w:pPr>
              <w:pageBreakBefore w:val="0"/>
              <w:kinsoku/>
              <w:wordWrap/>
              <w:overflowPunct/>
              <w:topLinePunct w:val="0"/>
              <w:autoSpaceDE/>
              <w:autoSpaceDN/>
              <w:bidi w:val="0"/>
              <w:snapToGrid w:val="0"/>
              <w:spacing w:line="288" w:lineRule="auto"/>
              <w:jc w:val="both"/>
              <w:textAlignment w:val="auto"/>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未提供相关说明的得</w:t>
            </w:r>
            <w:r>
              <w:rPr>
                <w:rFonts w:ascii="宋体" w:hAnsi="宋体" w:eastAsia="宋体" w:cs="仿宋_GB2312"/>
                <w:color w:val="auto"/>
                <w:szCs w:val="21"/>
                <w:highlight w:val="none"/>
              </w:rPr>
              <w:t>0分。</w:t>
            </w:r>
          </w:p>
        </w:tc>
        <w:tc>
          <w:tcPr>
            <w:tcW w:w="788" w:type="dxa"/>
            <w:vAlign w:val="center"/>
          </w:tcPr>
          <w:p w14:paraId="4B257F74">
            <w:pPr>
              <w:pageBreakBefore w:val="0"/>
              <w:kinsoku/>
              <w:wordWrap/>
              <w:overflowPunct/>
              <w:topLinePunct w:val="0"/>
              <w:autoSpaceDE/>
              <w:autoSpaceDN/>
              <w:bidi w:val="0"/>
              <w:snapToGrid w:val="0"/>
              <w:spacing w:line="288" w:lineRule="auto"/>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5</w:t>
            </w:r>
          </w:p>
        </w:tc>
        <w:tc>
          <w:tcPr>
            <w:tcW w:w="1000" w:type="dxa"/>
            <w:vAlign w:val="center"/>
          </w:tcPr>
          <w:p w14:paraId="383EBBCA">
            <w:pPr>
              <w:pageBreakBefore w:val="0"/>
              <w:kinsoku/>
              <w:wordWrap/>
              <w:overflowPunct/>
              <w:topLinePunct w:val="0"/>
              <w:autoSpaceDE/>
              <w:autoSpaceDN/>
              <w:bidi w:val="0"/>
              <w:snapToGrid w:val="0"/>
              <w:spacing w:line="288" w:lineRule="auto"/>
              <w:jc w:val="center"/>
              <w:textAlignment w:val="auto"/>
              <w:rPr>
                <w:rFonts w:hint="eastAsia" w:ascii="宋体" w:hAnsi="宋体" w:cs="仿宋_GB2312"/>
                <w:bCs/>
                <w:color w:val="auto"/>
                <w:szCs w:val="21"/>
                <w:highlight w:val="none"/>
                <w:lang w:val="en-US" w:eastAsia="zh-CN"/>
              </w:rPr>
            </w:pPr>
            <w:r>
              <w:rPr>
                <w:rFonts w:hint="eastAsia" w:ascii="宋体" w:hAnsi="宋体" w:cs="仿宋_GB2312"/>
                <w:bCs/>
                <w:color w:val="auto"/>
                <w:szCs w:val="21"/>
                <w:highlight w:val="none"/>
                <w:lang w:val="en-US" w:eastAsia="zh-CN"/>
              </w:rPr>
              <w:t>主</w:t>
            </w:r>
            <w:r>
              <w:rPr>
                <w:rFonts w:hint="eastAsia" w:ascii="宋体" w:hAnsi="宋体" w:cs="仿宋_GB2312"/>
                <w:bCs/>
                <w:color w:val="auto"/>
                <w:szCs w:val="21"/>
                <w:highlight w:val="none"/>
              </w:rPr>
              <w:t>观分</w:t>
            </w:r>
          </w:p>
        </w:tc>
        <w:tc>
          <w:tcPr>
            <w:tcW w:w="1406" w:type="dxa"/>
            <w:vAlign w:val="center"/>
          </w:tcPr>
          <w:p w14:paraId="2BFA7484">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服务方案</w:t>
            </w:r>
          </w:p>
        </w:tc>
      </w:tr>
      <w:tr w14:paraId="36E5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1" w:type="dxa"/>
            <w:vAlign w:val="center"/>
          </w:tcPr>
          <w:p w14:paraId="7CE71555">
            <w:pPr>
              <w:pageBreakBefore w:val="0"/>
              <w:kinsoku/>
              <w:wordWrap/>
              <w:overflowPunct/>
              <w:topLinePunct w:val="0"/>
              <w:autoSpaceDE/>
              <w:autoSpaceDN/>
              <w:bidi w:val="0"/>
              <w:snapToGrid w:val="0"/>
              <w:spacing w:line="288" w:lineRule="auto"/>
              <w:jc w:val="center"/>
              <w:textAlignment w:val="auto"/>
              <w:rPr>
                <w:rFonts w:hint="default" w:cs="仿宋_GB2312" w:asciiTheme="minorEastAsia" w:hAnsiTheme="minorEastAsia" w:eastAsiaTheme="minorEastAsia"/>
                <w:b/>
                <w:bCs/>
                <w:color w:val="auto"/>
                <w:sz w:val="21"/>
                <w:szCs w:val="21"/>
                <w:highlight w:val="none"/>
                <w:lang w:val="en-US" w:eastAsia="zh-CN"/>
              </w:rPr>
            </w:pPr>
            <w:r>
              <w:rPr>
                <w:rFonts w:hint="eastAsia" w:cs="仿宋_GB2312" w:asciiTheme="minorEastAsia" w:hAnsiTheme="minorEastAsia" w:eastAsiaTheme="minorEastAsia"/>
                <w:b/>
                <w:bCs/>
                <w:color w:val="auto"/>
                <w:sz w:val="21"/>
                <w:szCs w:val="21"/>
                <w:highlight w:val="none"/>
                <w:lang w:val="en-US" w:eastAsia="zh-CN"/>
              </w:rPr>
              <w:t>7</w:t>
            </w:r>
          </w:p>
        </w:tc>
        <w:tc>
          <w:tcPr>
            <w:tcW w:w="5283" w:type="dxa"/>
          </w:tcPr>
          <w:p w14:paraId="4DCE98D0">
            <w:pPr>
              <w:adjustRightInd w:val="0"/>
              <w:snapToGrid w:val="0"/>
              <w:spacing w:line="288"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提供报送单位信息编写日常培训指导工作方案，其合理性、宣传重点把握及符合采购需求情况，</w:t>
            </w:r>
            <w:r>
              <w:rPr>
                <w:rFonts w:hint="eastAsia" w:ascii="宋体" w:hAnsi="宋体" w:eastAsia="宋体" w:cs="宋体"/>
                <w:b/>
                <w:bCs/>
                <w:color w:val="auto"/>
                <w:sz w:val="21"/>
                <w:szCs w:val="21"/>
                <w:highlight w:val="none"/>
                <w:lang w:val="en-US" w:eastAsia="zh-CN"/>
              </w:rPr>
              <w:t>满足采购人的专业需求</w:t>
            </w:r>
            <w:r>
              <w:rPr>
                <w:rFonts w:hint="eastAsia" w:ascii="宋体" w:hAnsi="宋体" w:cs="宋体"/>
                <w:b/>
                <w:bCs/>
                <w:color w:val="auto"/>
                <w:szCs w:val="21"/>
                <w:highlight w:val="none"/>
                <w:lang w:val="en-US" w:eastAsia="zh-CN"/>
              </w:rPr>
              <w:t>：</w:t>
            </w:r>
          </w:p>
          <w:p w14:paraId="41D10B7C">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深入透彻，思路清晰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w:t>
            </w:r>
            <w:r>
              <w:rPr>
                <w:rFonts w:ascii="宋体" w:hAnsi="宋体" w:eastAsia="宋体" w:cs="仿宋_GB2312"/>
                <w:color w:val="auto"/>
                <w:szCs w:val="21"/>
                <w:highlight w:val="none"/>
              </w:rPr>
              <w:t>阐述内容主次分明，方案可操作性、可行性强的得5分；</w:t>
            </w:r>
          </w:p>
          <w:p w14:paraId="2112D2B5">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较深入，思路较清晰</w:t>
            </w:r>
            <w:r>
              <w:rPr>
                <w:rFonts w:ascii="宋体" w:hAnsi="宋体" w:eastAsia="宋体" w:cs="仿宋_GB2312"/>
                <w:color w:val="auto"/>
                <w:szCs w:val="21"/>
                <w:highlight w:val="none"/>
              </w:rPr>
              <w:t>,阐述内容主次分明，方案可操作性、可行性较强的得4分；</w:t>
            </w:r>
          </w:p>
          <w:p w14:paraId="149A144C">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基本准确，服务方案整体框架基本清晰</w:t>
            </w:r>
            <w:r>
              <w:rPr>
                <w:rFonts w:ascii="宋体" w:hAnsi="宋体" w:eastAsia="宋体" w:cs="仿宋_GB2312"/>
                <w:color w:val="auto"/>
                <w:szCs w:val="21"/>
                <w:highlight w:val="none"/>
              </w:rPr>
              <w:t>,阐述内容主次分明，方案可操作性、可行性一般的得3分；</w:t>
            </w:r>
          </w:p>
          <w:p w14:paraId="24E65599">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基本准确，服务方案整体框架基本清晰</w:t>
            </w:r>
            <w:r>
              <w:rPr>
                <w:rFonts w:ascii="宋体" w:hAnsi="宋体" w:eastAsia="宋体" w:cs="仿宋_GB2312"/>
                <w:color w:val="auto"/>
                <w:szCs w:val="21"/>
                <w:highlight w:val="none"/>
              </w:rPr>
              <w:t>,阐述内容主次不分明，方案可操作性、可行性差的得2分；</w:t>
            </w:r>
          </w:p>
          <w:p w14:paraId="18576F24">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不准确，服务方案整体框架不够清晰</w:t>
            </w:r>
            <w:r>
              <w:rPr>
                <w:rFonts w:ascii="宋体" w:hAnsi="宋体" w:eastAsia="宋体" w:cs="仿宋_GB2312"/>
                <w:color w:val="auto"/>
                <w:szCs w:val="21"/>
                <w:highlight w:val="none"/>
              </w:rPr>
              <w:t>,阐述内容主次不明，方案可操作性、可行性差的得1分；</w:t>
            </w:r>
          </w:p>
          <w:p w14:paraId="24D82578">
            <w:pPr>
              <w:pageBreakBefore w:val="0"/>
              <w:kinsoku/>
              <w:wordWrap/>
              <w:overflowPunct/>
              <w:topLinePunct w:val="0"/>
              <w:autoSpaceDE/>
              <w:autoSpaceDN/>
              <w:bidi w:val="0"/>
              <w:snapToGrid w:val="0"/>
              <w:spacing w:line="288" w:lineRule="auto"/>
              <w:jc w:val="both"/>
              <w:textAlignment w:val="auto"/>
              <w:rPr>
                <w:rFonts w:cs="仿宋_GB2312" w:asciiTheme="minorEastAsia" w:hAnsiTheme="minorEastAsia" w:eastAsiaTheme="minorEastAsia"/>
                <w:b/>
                <w:bCs/>
                <w:color w:val="auto"/>
                <w:sz w:val="21"/>
                <w:szCs w:val="21"/>
                <w:highlight w:val="none"/>
              </w:rPr>
            </w:pPr>
            <w:r>
              <w:rPr>
                <w:rFonts w:hint="eastAsia" w:ascii="宋体" w:hAnsi="宋体" w:eastAsia="宋体" w:cs="仿宋_GB2312"/>
                <w:color w:val="auto"/>
                <w:szCs w:val="21"/>
                <w:highlight w:val="none"/>
              </w:rPr>
              <w:t>未提供相关说明的得</w:t>
            </w:r>
            <w:r>
              <w:rPr>
                <w:rFonts w:ascii="宋体" w:hAnsi="宋体" w:eastAsia="宋体" w:cs="仿宋_GB2312"/>
                <w:color w:val="auto"/>
                <w:szCs w:val="21"/>
                <w:highlight w:val="none"/>
              </w:rPr>
              <w:t>0分。</w:t>
            </w:r>
          </w:p>
        </w:tc>
        <w:tc>
          <w:tcPr>
            <w:tcW w:w="788" w:type="dxa"/>
            <w:vAlign w:val="center"/>
          </w:tcPr>
          <w:p w14:paraId="03695E7F">
            <w:pPr>
              <w:pageBreakBefore w:val="0"/>
              <w:kinsoku/>
              <w:wordWrap/>
              <w:overflowPunct/>
              <w:topLinePunct w:val="0"/>
              <w:autoSpaceDE/>
              <w:autoSpaceDN/>
              <w:bidi w:val="0"/>
              <w:snapToGrid w:val="0"/>
              <w:spacing w:line="288" w:lineRule="auto"/>
              <w:jc w:val="center"/>
              <w:textAlignment w:val="auto"/>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5</w:t>
            </w:r>
          </w:p>
        </w:tc>
        <w:tc>
          <w:tcPr>
            <w:tcW w:w="1000" w:type="dxa"/>
            <w:vAlign w:val="center"/>
          </w:tcPr>
          <w:p w14:paraId="4A319583">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ascii="宋体" w:hAnsi="宋体" w:cs="仿宋_GB2312"/>
                <w:bCs/>
                <w:color w:val="auto"/>
                <w:szCs w:val="21"/>
                <w:highlight w:val="none"/>
                <w:lang w:val="en-US" w:eastAsia="zh-CN"/>
              </w:rPr>
              <w:t>主</w:t>
            </w:r>
            <w:r>
              <w:rPr>
                <w:rFonts w:hint="eastAsia" w:ascii="宋体" w:hAnsi="宋体" w:cs="仿宋_GB2312"/>
                <w:bCs/>
                <w:color w:val="auto"/>
                <w:szCs w:val="21"/>
                <w:highlight w:val="none"/>
              </w:rPr>
              <w:t>观分</w:t>
            </w:r>
          </w:p>
        </w:tc>
        <w:tc>
          <w:tcPr>
            <w:tcW w:w="1406" w:type="dxa"/>
            <w:vAlign w:val="center"/>
          </w:tcPr>
          <w:p w14:paraId="47C336D4">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服务方案</w:t>
            </w:r>
          </w:p>
        </w:tc>
      </w:tr>
      <w:tr w14:paraId="5653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248C108F">
            <w:pPr>
              <w:pageBreakBefore w:val="0"/>
              <w:kinsoku/>
              <w:wordWrap/>
              <w:overflowPunct/>
              <w:topLinePunct w:val="0"/>
              <w:autoSpaceDE/>
              <w:autoSpaceDN/>
              <w:bidi w:val="0"/>
              <w:snapToGrid w:val="0"/>
              <w:spacing w:line="288" w:lineRule="auto"/>
              <w:jc w:val="center"/>
              <w:textAlignment w:val="auto"/>
              <w:rPr>
                <w:rFonts w:hint="default" w:cs="仿宋_GB2312" w:asciiTheme="minorEastAsia" w:hAnsiTheme="minorEastAsia" w:eastAsiaTheme="minorEastAsia"/>
                <w:b/>
                <w:bCs/>
                <w:color w:val="auto"/>
                <w:sz w:val="21"/>
                <w:szCs w:val="21"/>
                <w:highlight w:val="none"/>
                <w:lang w:val="en-US" w:eastAsia="zh-CN"/>
              </w:rPr>
            </w:pPr>
            <w:r>
              <w:rPr>
                <w:rFonts w:hint="eastAsia" w:cs="仿宋_GB2312" w:asciiTheme="minorEastAsia" w:hAnsiTheme="minorEastAsia" w:eastAsiaTheme="minorEastAsia"/>
                <w:b/>
                <w:bCs/>
                <w:color w:val="auto"/>
                <w:sz w:val="21"/>
                <w:szCs w:val="21"/>
                <w:highlight w:val="none"/>
                <w:lang w:val="en-US" w:eastAsia="zh-CN"/>
              </w:rPr>
              <w:t>8</w:t>
            </w:r>
          </w:p>
        </w:tc>
        <w:tc>
          <w:tcPr>
            <w:tcW w:w="5283" w:type="dxa"/>
          </w:tcPr>
          <w:p w14:paraId="59C98989">
            <w:pPr>
              <w:adjustRightInd w:val="0"/>
              <w:snapToGrid w:val="0"/>
              <w:spacing w:line="288"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提供全年独立撰稿完成市宣综采录用不少于300篇</w:t>
            </w:r>
            <w:r>
              <w:rPr>
                <w:rFonts w:hint="eastAsia" w:ascii="宋体" w:hAnsi="宋体" w:cs="宋体"/>
                <w:b/>
                <w:bCs/>
                <w:color w:val="auto"/>
                <w:szCs w:val="21"/>
                <w:highlight w:val="none"/>
                <w:lang w:val="en-US" w:eastAsia="zh-CN"/>
              </w:rPr>
              <w:t>、</w:t>
            </w:r>
            <w:r>
              <w:rPr>
                <w:rFonts w:hint="eastAsia" w:ascii="宋体" w:hAnsi="宋体" w:eastAsia="宋体" w:cs="宋体"/>
                <w:b/>
                <w:bCs/>
                <w:color w:val="auto"/>
                <w:szCs w:val="21"/>
                <w:highlight w:val="none"/>
                <w:lang w:val="en-US" w:eastAsia="zh-CN"/>
              </w:rPr>
              <w:t>全年收集、修改及报送市宣综采录用不少2000篇</w:t>
            </w:r>
            <w:r>
              <w:rPr>
                <w:rFonts w:hint="eastAsia" w:ascii="宋体" w:hAnsi="宋体" w:cs="宋体"/>
                <w:b/>
                <w:bCs/>
                <w:color w:val="auto"/>
                <w:szCs w:val="21"/>
                <w:highlight w:val="none"/>
                <w:lang w:val="en-US" w:eastAsia="zh-CN"/>
              </w:rPr>
              <w:t>的保障</w:t>
            </w:r>
            <w:r>
              <w:rPr>
                <w:rFonts w:hint="eastAsia" w:ascii="宋体" w:hAnsi="宋体" w:eastAsia="宋体" w:cs="宋体"/>
                <w:b/>
                <w:bCs/>
                <w:color w:val="auto"/>
                <w:szCs w:val="21"/>
                <w:highlight w:val="none"/>
                <w:lang w:val="en-US" w:eastAsia="zh-CN"/>
              </w:rPr>
              <w:t>方案，其合理性、宣传重点把握及符合采购需求情况，满足采购人的专业需求</w:t>
            </w:r>
            <w:r>
              <w:rPr>
                <w:rFonts w:hint="eastAsia" w:ascii="宋体" w:hAnsi="宋体" w:cs="宋体"/>
                <w:b/>
                <w:bCs/>
                <w:color w:val="auto"/>
                <w:szCs w:val="21"/>
                <w:highlight w:val="none"/>
                <w:lang w:val="en-US" w:eastAsia="zh-CN"/>
              </w:rPr>
              <w:t>：</w:t>
            </w:r>
          </w:p>
          <w:p w14:paraId="3AE10EBD">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深入透彻，思路清晰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宣传重点</w:t>
            </w:r>
            <w:r>
              <w:rPr>
                <w:rFonts w:ascii="宋体" w:hAnsi="宋体" w:eastAsia="宋体" w:cs="仿宋_GB2312"/>
                <w:color w:val="auto"/>
                <w:szCs w:val="21"/>
                <w:highlight w:val="none"/>
              </w:rPr>
              <w:t>阐述内容主次分明，方案可操作性、可行性强的得5分；</w:t>
            </w:r>
          </w:p>
          <w:p w14:paraId="5277B548">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较深入，思路较清晰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宣传重点</w:t>
            </w:r>
            <w:r>
              <w:rPr>
                <w:rFonts w:ascii="宋体" w:hAnsi="宋体" w:eastAsia="宋体" w:cs="仿宋_GB2312"/>
                <w:color w:val="auto"/>
                <w:szCs w:val="21"/>
                <w:highlight w:val="none"/>
              </w:rPr>
              <w:t>阐述内容主次分明，方案可操作性、可行性较强的得4分；</w:t>
            </w:r>
          </w:p>
          <w:p w14:paraId="70BBCBE9">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基本准确，服务方案整体框架基本清晰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宣传重点</w:t>
            </w:r>
            <w:r>
              <w:rPr>
                <w:rFonts w:ascii="宋体" w:hAnsi="宋体" w:eastAsia="宋体" w:cs="仿宋_GB2312"/>
                <w:color w:val="auto"/>
                <w:szCs w:val="21"/>
                <w:highlight w:val="none"/>
              </w:rPr>
              <w:t>阐述内容主次分明，方案可操作性、可行性一般的得3分；</w:t>
            </w:r>
          </w:p>
          <w:p w14:paraId="1F4ED6BD">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基本准确，服务方案整体框架基本清晰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宣传重点</w:t>
            </w:r>
            <w:r>
              <w:rPr>
                <w:rFonts w:ascii="宋体" w:hAnsi="宋体" w:eastAsia="宋体" w:cs="仿宋_GB2312"/>
                <w:color w:val="auto"/>
                <w:szCs w:val="21"/>
                <w:highlight w:val="none"/>
              </w:rPr>
              <w:t>阐述内容主次不分明，方案可操作性、可行性差的得2分；</w:t>
            </w:r>
          </w:p>
          <w:p w14:paraId="7F055EDD">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不准确，服务方案整体框架不够清晰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宣传重点</w:t>
            </w:r>
            <w:r>
              <w:rPr>
                <w:rFonts w:ascii="宋体" w:hAnsi="宋体" w:eastAsia="宋体" w:cs="仿宋_GB2312"/>
                <w:color w:val="auto"/>
                <w:szCs w:val="21"/>
                <w:highlight w:val="none"/>
              </w:rPr>
              <w:t>阐述内容主次不明，方案可操作性、可行性差的得1分；</w:t>
            </w:r>
          </w:p>
          <w:p w14:paraId="3C140FE9">
            <w:pPr>
              <w:adjustRightInd w:val="0"/>
              <w:snapToGrid w:val="0"/>
              <w:spacing w:line="288" w:lineRule="auto"/>
              <w:rPr>
                <w:rFonts w:hint="default"/>
                <w:color w:val="auto"/>
                <w:highlight w:val="none"/>
                <w:lang w:val="en-US" w:eastAsia="zh-CN"/>
              </w:rPr>
            </w:pPr>
            <w:r>
              <w:rPr>
                <w:rFonts w:hint="eastAsia" w:ascii="宋体" w:hAnsi="宋体" w:eastAsia="宋体" w:cs="仿宋_GB2312"/>
                <w:color w:val="auto"/>
                <w:szCs w:val="21"/>
                <w:highlight w:val="none"/>
              </w:rPr>
              <w:t>未提供相关说明的得</w:t>
            </w:r>
            <w:r>
              <w:rPr>
                <w:rFonts w:ascii="宋体" w:hAnsi="宋体" w:eastAsia="宋体" w:cs="仿宋_GB2312"/>
                <w:color w:val="auto"/>
                <w:szCs w:val="21"/>
                <w:highlight w:val="none"/>
              </w:rPr>
              <w:t>0分。</w:t>
            </w:r>
          </w:p>
        </w:tc>
        <w:tc>
          <w:tcPr>
            <w:tcW w:w="788" w:type="dxa"/>
            <w:vAlign w:val="center"/>
          </w:tcPr>
          <w:p w14:paraId="21946AA2">
            <w:pPr>
              <w:pageBreakBefore w:val="0"/>
              <w:kinsoku/>
              <w:wordWrap/>
              <w:overflowPunct/>
              <w:topLinePunct w:val="0"/>
              <w:autoSpaceDE/>
              <w:autoSpaceDN/>
              <w:bidi w:val="0"/>
              <w:snapToGrid w:val="0"/>
              <w:spacing w:line="288" w:lineRule="auto"/>
              <w:jc w:val="center"/>
              <w:textAlignment w:val="auto"/>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5</w:t>
            </w:r>
          </w:p>
        </w:tc>
        <w:tc>
          <w:tcPr>
            <w:tcW w:w="1000" w:type="dxa"/>
            <w:vAlign w:val="center"/>
          </w:tcPr>
          <w:p w14:paraId="20CE639D">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ascii="宋体" w:hAnsi="宋体" w:cs="仿宋_GB2312"/>
                <w:bCs/>
                <w:color w:val="auto"/>
                <w:szCs w:val="21"/>
                <w:highlight w:val="none"/>
                <w:lang w:val="en-US" w:eastAsia="zh-CN"/>
              </w:rPr>
              <w:t>主</w:t>
            </w:r>
            <w:r>
              <w:rPr>
                <w:rFonts w:hint="eastAsia" w:ascii="宋体" w:hAnsi="宋体" w:cs="仿宋_GB2312"/>
                <w:bCs/>
                <w:color w:val="auto"/>
                <w:szCs w:val="21"/>
                <w:highlight w:val="none"/>
              </w:rPr>
              <w:t>观分</w:t>
            </w:r>
          </w:p>
        </w:tc>
        <w:tc>
          <w:tcPr>
            <w:tcW w:w="1406" w:type="dxa"/>
            <w:vAlign w:val="center"/>
          </w:tcPr>
          <w:p w14:paraId="4F29D401">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服务方案</w:t>
            </w:r>
          </w:p>
        </w:tc>
      </w:tr>
      <w:tr w14:paraId="6F19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110FE579">
            <w:pPr>
              <w:pageBreakBefore w:val="0"/>
              <w:kinsoku/>
              <w:wordWrap/>
              <w:overflowPunct/>
              <w:topLinePunct w:val="0"/>
              <w:autoSpaceDE/>
              <w:autoSpaceDN/>
              <w:bidi w:val="0"/>
              <w:snapToGrid w:val="0"/>
              <w:spacing w:line="288" w:lineRule="auto"/>
              <w:jc w:val="center"/>
              <w:textAlignment w:val="auto"/>
              <w:rPr>
                <w:rFonts w:hint="default" w:cs="仿宋_GB2312" w:asciiTheme="minorEastAsia" w:hAnsiTheme="minorEastAsia" w:eastAsiaTheme="minorEastAsia"/>
                <w:b/>
                <w:bCs/>
                <w:color w:val="auto"/>
                <w:sz w:val="21"/>
                <w:szCs w:val="21"/>
                <w:highlight w:val="none"/>
                <w:lang w:val="en-US" w:eastAsia="zh-CN"/>
              </w:rPr>
            </w:pPr>
            <w:r>
              <w:rPr>
                <w:rFonts w:hint="eastAsia" w:cs="仿宋_GB2312" w:asciiTheme="minorEastAsia" w:hAnsiTheme="minorEastAsia" w:eastAsiaTheme="minorEastAsia"/>
                <w:b/>
                <w:bCs/>
                <w:color w:val="auto"/>
                <w:sz w:val="21"/>
                <w:szCs w:val="21"/>
                <w:highlight w:val="none"/>
                <w:lang w:val="en-US" w:eastAsia="zh-CN"/>
              </w:rPr>
              <w:t>9</w:t>
            </w:r>
          </w:p>
        </w:tc>
        <w:tc>
          <w:tcPr>
            <w:tcW w:w="5283" w:type="dxa"/>
            <w:vAlign w:val="top"/>
          </w:tcPr>
          <w:p w14:paraId="51B742A3">
            <w:pPr>
              <w:adjustRightInd w:val="0"/>
              <w:snapToGrid w:val="0"/>
              <w:spacing w:line="288"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提供针对专项培训方案，其合理性、宣传重点把握及符合采购需求情况，满足采购人的专业需求</w:t>
            </w:r>
            <w:r>
              <w:rPr>
                <w:rFonts w:hint="eastAsia" w:ascii="宋体" w:hAnsi="宋体" w:cs="宋体"/>
                <w:b/>
                <w:bCs/>
                <w:color w:val="auto"/>
                <w:szCs w:val="21"/>
                <w:highlight w:val="none"/>
                <w:lang w:val="en-US" w:eastAsia="zh-CN"/>
              </w:rPr>
              <w:t>：</w:t>
            </w:r>
          </w:p>
          <w:p w14:paraId="16841039">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深入透彻，思路清晰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宣传重点</w:t>
            </w:r>
            <w:r>
              <w:rPr>
                <w:rFonts w:ascii="宋体" w:hAnsi="宋体" w:eastAsia="宋体" w:cs="仿宋_GB2312"/>
                <w:color w:val="auto"/>
                <w:szCs w:val="21"/>
                <w:highlight w:val="none"/>
              </w:rPr>
              <w:t>阐述内容主次分明，方案可操作性、可行性强的得5分；</w:t>
            </w:r>
          </w:p>
          <w:p w14:paraId="53BE3916">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较深入，思路较清晰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宣传重点</w:t>
            </w:r>
            <w:r>
              <w:rPr>
                <w:rFonts w:ascii="宋体" w:hAnsi="宋体" w:eastAsia="宋体" w:cs="仿宋_GB2312"/>
                <w:color w:val="auto"/>
                <w:szCs w:val="21"/>
                <w:highlight w:val="none"/>
              </w:rPr>
              <w:t>阐述内容主次分明，方案可操作性、可行性较强的得4分；</w:t>
            </w:r>
          </w:p>
          <w:p w14:paraId="01061F20">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基本准确，服务方案整体框架基本清晰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宣传重点</w:t>
            </w:r>
            <w:r>
              <w:rPr>
                <w:rFonts w:ascii="宋体" w:hAnsi="宋体" w:eastAsia="宋体" w:cs="仿宋_GB2312"/>
                <w:color w:val="auto"/>
                <w:szCs w:val="21"/>
                <w:highlight w:val="none"/>
              </w:rPr>
              <w:t>阐述内容主次分明，方案可操作性、可行性一般的得3分；</w:t>
            </w:r>
          </w:p>
          <w:p w14:paraId="21A20D08">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基本准确，服务方案整体框架基本清晰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宣传重点</w:t>
            </w:r>
            <w:r>
              <w:rPr>
                <w:rFonts w:ascii="宋体" w:hAnsi="宋体" w:eastAsia="宋体" w:cs="仿宋_GB2312"/>
                <w:color w:val="auto"/>
                <w:szCs w:val="21"/>
                <w:highlight w:val="none"/>
              </w:rPr>
              <w:t>阐述内容主次不分明，方案可操作性、可行性差的得2分；</w:t>
            </w:r>
          </w:p>
          <w:p w14:paraId="4A237511">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不准确，服务方案整体框架不够清晰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宣传重点</w:t>
            </w:r>
            <w:r>
              <w:rPr>
                <w:rFonts w:ascii="宋体" w:hAnsi="宋体" w:eastAsia="宋体" w:cs="仿宋_GB2312"/>
                <w:color w:val="auto"/>
                <w:szCs w:val="21"/>
                <w:highlight w:val="none"/>
              </w:rPr>
              <w:t>阐述内容主次不明，方案可操作性、可行性差的得1分；</w:t>
            </w:r>
          </w:p>
          <w:p w14:paraId="013CB671">
            <w:pPr>
              <w:adjustRightInd w:val="0"/>
              <w:snapToGrid w:val="0"/>
              <w:spacing w:line="288" w:lineRule="auto"/>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未提供相关说明的得</w:t>
            </w:r>
            <w:r>
              <w:rPr>
                <w:rFonts w:ascii="宋体" w:hAnsi="宋体" w:eastAsia="宋体" w:cs="仿宋_GB2312"/>
                <w:color w:val="auto"/>
                <w:szCs w:val="21"/>
                <w:highlight w:val="none"/>
              </w:rPr>
              <w:t>0分。</w:t>
            </w:r>
          </w:p>
        </w:tc>
        <w:tc>
          <w:tcPr>
            <w:tcW w:w="788" w:type="dxa"/>
            <w:vAlign w:val="center"/>
          </w:tcPr>
          <w:p w14:paraId="38B062FE">
            <w:pPr>
              <w:pageBreakBefore w:val="0"/>
              <w:kinsoku/>
              <w:wordWrap/>
              <w:overflowPunct/>
              <w:topLinePunct w:val="0"/>
              <w:autoSpaceDE/>
              <w:autoSpaceDN/>
              <w:bidi w:val="0"/>
              <w:snapToGrid w:val="0"/>
              <w:spacing w:line="288" w:lineRule="auto"/>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5</w:t>
            </w:r>
          </w:p>
        </w:tc>
        <w:tc>
          <w:tcPr>
            <w:tcW w:w="1000" w:type="dxa"/>
            <w:vAlign w:val="center"/>
          </w:tcPr>
          <w:p w14:paraId="6F5CE336">
            <w:pPr>
              <w:pageBreakBefore w:val="0"/>
              <w:kinsoku/>
              <w:wordWrap/>
              <w:overflowPunct/>
              <w:topLinePunct w:val="0"/>
              <w:autoSpaceDE/>
              <w:autoSpaceDN/>
              <w:bidi w:val="0"/>
              <w:snapToGrid w:val="0"/>
              <w:spacing w:line="288" w:lineRule="auto"/>
              <w:jc w:val="center"/>
              <w:textAlignment w:val="auto"/>
              <w:rPr>
                <w:rFonts w:hint="eastAsia" w:ascii="宋体" w:hAnsi="宋体" w:cs="仿宋_GB2312"/>
                <w:bCs/>
                <w:color w:val="auto"/>
                <w:szCs w:val="21"/>
                <w:highlight w:val="none"/>
                <w:lang w:val="en-US" w:eastAsia="zh-CN"/>
              </w:rPr>
            </w:pPr>
            <w:r>
              <w:rPr>
                <w:rFonts w:hint="eastAsia" w:ascii="宋体" w:hAnsi="宋体" w:cs="仿宋_GB2312"/>
                <w:bCs/>
                <w:color w:val="auto"/>
                <w:szCs w:val="21"/>
                <w:highlight w:val="none"/>
                <w:lang w:val="en-US" w:eastAsia="zh-CN"/>
              </w:rPr>
              <w:t>主</w:t>
            </w:r>
            <w:r>
              <w:rPr>
                <w:rFonts w:hint="eastAsia" w:ascii="宋体" w:hAnsi="宋体" w:cs="仿宋_GB2312"/>
                <w:bCs/>
                <w:color w:val="auto"/>
                <w:szCs w:val="21"/>
                <w:highlight w:val="none"/>
              </w:rPr>
              <w:t>观分</w:t>
            </w:r>
          </w:p>
        </w:tc>
        <w:tc>
          <w:tcPr>
            <w:tcW w:w="1406" w:type="dxa"/>
            <w:vAlign w:val="center"/>
          </w:tcPr>
          <w:p w14:paraId="4C089A11">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服务方案</w:t>
            </w:r>
          </w:p>
        </w:tc>
      </w:tr>
      <w:tr w14:paraId="3919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7448A5F6">
            <w:pPr>
              <w:pageBreakBefore w:val="0"/>
              <w:kinsoku/>
              <w:wordWrap/>
              <w:overflowPunct/>
              <w:topLinePunct w:val="0"/>
              <w:autoSpaceDE/>
              <w:autoSpaceDN/>
              <w:bidi w:val="0"/>
              <w:snapToGrid w:val="0"/>
              <w:spacing w:line="288" w:lineRule="auto"/>
              <w:jc w:val="center"/>
              <w:textAlignment w:val="auto"/>
              <w:rPr>
                <w:rFonts w:hint="default" w:cs="仿宋_GB2312" w:asciiTheme="minorEastAsia" w:hAnsiTheme="minorEastAsia" w:eastAsiaTheme="minorEastAsia"/>
                <w:b/>
                <w:bCs/>
                <w:color w:val="auto"/>
                <w:sz w:val="21"/>
                <w:szCs w:val="21"/>
                <w:highlight w:val="none"/>
                <w:lang w:val="en-US" w:eastAsia="zh-CN"/>
              </w:rPr>
            </w:pPr>
            <w:r>
              <w:rPr>
                <w:rFonts w:hint="eastAsia" w:cs="仿宋_GB2312" w:asciiTheme="minorEastAsia" w:hAnsiTheme="minorEastAsia" w:eastAsiaTheme="minorEastAsia"/>
                <w:b/>
                <w:bCs/>
                <w:color w:val="auto"/>
                <w:sz w:val="21"/>
                <w:szCs w:val="21"/>
                <w:highlight w:val="none"/>
                <w:lang w:val="en-US" w:eastAsia="zh-CN"/>
              </w:rPr>
              <w:t>10</w:t>
            </w:r>
          </w:p>
        </w:tc>
        <w:tc>
          <w:tcPr>
            <w:tcW w:w="5283" w:type="dxa"/>
            <w:vAlign w:val="top"/>
          </w:tcPr>
          <w:p w14:paraId="4D28C48B">
            <w:pPr>
              <w:adjustRightInd w:val="0"/>
              <w:snapToGrid w:val="0"/>
              <w:spacing w:line="288"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提供组织信息员开展专题采写实践方案，其合理性、宣传重点把握及符合采购需求情况，满足采购人的专业需求</w:t>
            </w:r>
            <w:r>
              <w:rPr>
                <w:rFonts w:hint="eastAsia" w:ascii="宋体" w:hAnsi="宋体" w:cs="宋体"/>
                <w:b/>
                <w:bCs/>
                <w:color w:val="auto"/>
                <w:szCs w:val="21"/>
                <w:highlight w:val="none"/>
                <w:lang w:val="en-US" w:eastAsia="zh-CN"/>
              </w:rPr>
              <w:t>：</w:t>
            </w:r>
          </w:p>
          <w:p w14:paraId="0ABCC77A">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深入透彻，思路清晰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宣传重点</w:t>
            </w:r>
            <w:r>
              <w:rPr>
                <w:rFonts w:ascii="宋体" w:hAnsi="宋体" w:eastAsia="宋体" w:cs="仿宋_GB2312"/>
                <w:color w:val="auto"/>
                <w:szCs w:val="21"/>
                <w:highlight w:val="none"/>
              </w:rPr>
              <w:t>阐述内容主次分明，方案可操作性、可行性强的得</w:t>
            </w:r>
            <w:r>
              <w:rPr>
                <w:rFonts w:hint="eastAsia" w:ascii="宋体" w:hAnsi="宋体" w:cs="仿宋_GB2312"/>
                <w:color w:val="auto"/>
                <w:szCs w:val="21"/>
                <w:highlight w:val="none"/>
                <w:lang w:val="en-US" w:eastAsia="zh-CN"/>
              </w:rPr>
              <w:t>4</w:t>
            </w:r>
            <w:r>
              <w:rPr>
                <w:rFonts w:ascii="宋体" w:hAnsi="宋体" w:eastAsia="宋体" w:cs="仿宋_GB2312"/>
                <w:color w:val="auto"/>
                <w:szCs w:val="21"/>
                <w:highlight w:val="none"/>
              </w:rPr>
              <w:t>分；</w:t>
            </w:r>
          </w:p>
          <w:p w14:paraId="665A607A">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基本准确，服务方案整体框架基本清晰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宣传重点</w:t>
            </w:r>
            <w:r>
              <w:rPr>
                <w:rFonts w:ascii="宋体" w:hAnsi="宋体" w:eastAsia="宋体" w:cs="仿宋_GB2312"/>
                <w:color w:val="auto"/>
                <w:szCs w:val="21"/>
                <w:highlight w:val="none"/>
              </w:rPr>
              <w:t>阐述内容主次分明，方案可操作性、可行性一般的得3分；</w:t>
            </w:r>
          </w:p>
          <w:p w14:paraId="1A339CC6">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基本准确，服务方案整体框架基本清晰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宣传重点</w:t>
            </w:r>
            <w:r>
              <w:rPr>
                <w:rFonts w:ascii="宋体" w:hAnsi="宋体" w:eastAsia="宋体" w:cs="仿宋_GB2312"/>
                <w:color w:val="auto"/>
                <w:szCs w:val="21"/>
                <w:highlight w:val="none"/>
              </w:rPr>
              <w:t>阐述内容主次不分明，方案可操作性、可行性差的得2分；</w:t>
            </w:r>
          </w:p>
          <w:p w14:paraId="68CBFE6F">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不准确，服务方案整体框架不够清晰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宣传重点</w:t>
            </w:r>
            <w:r>
              <w:rPr>
                <w:rFonts w:ascii="宋体" w:hAnsi="宋体" w:eastAsia="宋体" w:cs="仿宋_GB2312"/>
                <w:color w:val="auto"/>
                <w:szCs w:val="21"/>
                <w:highlight w:val="none"/>
              </w:rPr>
              <w:t>阐述内容主次不明，方案可操作性、可行性差的得1分；</w:t>
            </w:r>
          </w:p>
          <w:p w14:paraId="49CA7667">
            <w:pPr>
              <w:adjustRightInd w:val="0"/>
              <w:snapToGrid w:val="0"/>
              <w:spacing w:line="288" w:lineRule="auto"/>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未提供相关说明的得</w:t>
            </w:r>
            <w:r>
              <w:rPr>
                <w:rFonts w:ascii="宋体" w:hAnsi="宋体" w:eastAsia="宋体" w:cs="仿宋_GB2312"/>
                <w:color w:val="auto"/>
                <w:szCs w:val="21"/>
                <w:highlight w:val="none"/>
              </w:rPr>
              <w:t>0分。</w:t>
            </w:r>
          </w:p>
        </w:tc>
        <w:tc>
          <w:tcPr>
            <w:tcW w:w="788" w:type="dxa"/>
            <w:vAlign w:val="center"/>
          </w:tcPr>
          <w:p w14:paraId="214541DB">
            <w:pPr>
              <w:pageBreakBefore w:val="0"/>
              <w:kinsoku/>
              <w:wordWrap/>
              <w:overflowPunct/>
              <w:topLinePunct w:val="0"/>
              <w:autoSpaceDE/>
              <w:autoSpaceDN/>
              <w:bidi w:val="0"/>
              <w:snapToGrid w:val="0"/>
              <w:spacing w:line="288" w:lineRule="auto"/>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4</w:t>
            </w:r>
          </w:p>
        </w:tc>
        <w:tc>
          <w:tcPr>
            <w:tcW w:w="1000" w:type="dxa"/>
            <w:vAlign w:val="center"/>
          </w:tcPr>
          <w:p w14:paraId="2C1A7B10">
            <w:pPr>
              <w:pageBreakBefore w:val="0"/>
              <w:kinsoku/>
              <w:wordWrap/>
              <w:overflowPunct/>
              <w:topLinePunct w:val="0"/>
              <w:autoSpaceDE/>
              <w:autoSpaceDN/>
              <w:bidi w:val="0"/>
              <w:snapToGrid w:val="0"/>
              <w:spacing w:line="288" w:lineRule="auto"/>
              <w:jc w:val="center"/>
              <w:textAlignment w:val="auto"/>
              <w:rPr>
                <w:rFonts w:hint="eastAsia" w:ascii="宋体" w:hAnsi="宋体" w:cs="仿宋_GB2312"/>
                <w:bCs/>
                <w:color w:val="auto"/>
                <w:szCs w:val="21"/>
                <w:highlight w:val="none"/>
                <w:lang w:val="en-US" w:eastAsia="zh-CN"/>
              </w:rPr>
            </w:pPr>
            <w:r>
              <w:rPr>
                <w:rFonts w:hint="eastAsia" w:ascii="宋体" w:hAnsi="宋体" w:cs="仿宋_GB2312"/>
                <w:bCs/>
                <w:color w:val="auto"/>
                <w:szCs w:val="21"/>
                <w:highlight w:val="none"/>
                <w:lang w:val="en-US" w:eastAsia="zh-CN"/>
              </w:rPr>
              <w:t>主</w:t>
            </w:r>
            <w:r>
              <w:rPr>
                <w:rFonts w:hint="eastAsia" w:ascii="宋体" w:hAnsi="宋体" w:cs="仿宋_GB2312"/>
                <w:bCs/>
                <w:color w:val="auto"/>
                <w:szCs w:val="21"/>
                <w:highlight w:val="none"/>
              </w:rPr>
              <w:t>观分</w:t>
            </w:r>
          </w:p>
        </w:tc>
        <w:tc>
          <w:tcPr>
            <w:tcW w:w="1406" w:type="dxa"/>
            <w:vAlign w:val="center"/>
          </w:tcPr>
          <w:p w14:paraId="1C260978">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服务方案</w:t>
            </w:r>
          </w:p>
        </w:tc>
      </w:tr>
      <w:tr w14:paraId="3897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34317D4F">
            <w:pPr>
              <w:pageBreakBefore w:val="0"/>
              <w:kinsoku/>
              <w:wordWrap/>
              <w:overflowPunct/>
              <w:topLinePunct w:val="0"/>
              <w:autoSpaceDE/>
              <w:autoSpaceDN/>
              <w:bidi w:val="0"/>
              <w:snapToGrid w:val="0"/>
              <w:spacing w:line="288" w:lineRule="auto"/>
              <w:jc w:val="center"/>
              <w:textAlignment w:val="auto"/>
              <w:rPr>
                <w:rFonts w:hint="default" w:cs="仿宋_GB2312" w:asciiTheme="minorEastAsia" w:hAnsiTheme="minorEastAsia" w:eastAsiaTheme="minorEastAsia"/>
                <w:b/>
                <w:bCs/>
                <w:color w:val="auto"/>
                <w:sz w:val="21"/>
                <w:szCs w:val="21"/>
                <w:highlight w:val="none"/>
                <w:lang w:val="en-US" w:eastAsia="zh-CN"/>
              </w:rPr>
            </w:pPr>
            <w:r>
              <w:rPr>
                <w:rFonts w:hint="eastAsia" w:cs="仿宋_GB2312" w:asciiTheme="minorEastAsia" w:hAnsiTheme="minorEastAsia" w:eastAsiaTheme="minorEastAsia"/>
                <w:b/>
                <w:bCs/>
                <w:color w:val="auto"/>
                <w:sz w:val="21"/>
                <w:szCs w:val="21"/>
                <w:highlight w:val="none"/>
                <w:lang w:val="en-US" w:eastAsia="zh-CN"/>
              </w:rPr>
              <w:t>11</w:t>
            </w:r>
          </w:p>
        </w:tc>
        <w:tc>
          <w:tcPr>
            <w:tcW w:w="5283" w:type="dxa"/>
            <w:vAlign w:val="top"/>
          </w:tcPr>
          <w:p w14:paraId="5B5541CE">
            <w:pPr>
              <w:adjustRightInd w:val="0"/>
              <w:snapToGrid w:val="0"/>
              <w:spacing w:line="288"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提供组织信息员开展分组指导、点评方案，其合理性、宣传重点把握及符合采购需求情况，满足采购人的专业需求</w:t>
            </w:r>
            <w:r>
              <w:rPr>
                <w:rFonts w:hint="eastAsia" w:ascii="宋体" w:hAnsi="宋体" w:cs="宋体"/>
                <w:b/>
                <w:bCs/>
                <w:color w:val="auto"/>
                <w:szCs w:val="21"/>
                <w:highlight w:val="none"/>
                <w:lang w:val="en-US" w:eastAsia="zh-CN"/>
              </w:rPr>
              <w:t>：</w:t>
            </w:r>
          </w:p>
          <w:p w14:paraId="6823F82B">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深入透彻，思路清晰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宣传重点</w:t>
            </w:r>
            <w:r>
              <w:rPr>
                <w:rFonts w:ascii="宋体" w:hAnsi="宋体" w:eastAsia="宋体" w:cs="仿宋_GB2312"/>
                <w:color w:val="auto"/>
                <w:szCs w:val="21"/>
                <w:highlight w:val="none"/>
              </w:rPr>
              <w:t>阐述内容主次分明，方案可操作性、可行性强的得</w:t>
            </w:r>
            <w:r>
              <w:rPr>
                <w:rFonts w:hint="eastAsia" w:ascii="宋体" w:hAnsi="宋体" w:cs="仿宋_GB2312"/>
                <w:color w:val="auto"/>
                <w:szCs w:val="21"/>
                <w:highlight w:val="none"/>
                <w:lang w:val="en-US" w:eastAsia="zh-CN"/>
              </w:rPr>
              <w:t>4</w:t>
            </w:r>
            <w:r>
              <w:rPr>
                <w:rFonts w:ascii="宋体" w:hAnsi="宋体" w:eastAsia="宋体" w:cs="仿宋_GB2312"/>
                <w:color w:val="auto"/>
                <w:szCs w:val="21"/>
                <w:highlight w:val="none"/>
              </w:rPr>
              <w:t>分；</w:t>
            </w:r>
          </w:p>
          <w:p w14:paraId="25A13041">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基本准确，服务方案整体框架基本清晰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宣传重点</w:t>
            </w:r>
            <w:r>
              <w:rPr>
                <w:rFonts w:ascii="宋体" w:hAnsi="宋体" w:eastAsia="宋体" w:cs="仿宋_GB2312"/>
                <w:color w:val="auto"/>
                <w:szCs w:val="21"/>
                <w:highlight w:val="none"/>
              </w:rPr>
              <w:t>阐述内容主次分明，方案可操作性、可行性一般的得3分；</w:t>
            </w:r>
          </w:p>
          <w:p w14:paraId="2B94EB20">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基本准确，服务方案整体框架基本清晰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宣传重点</w:t>
            </w:r>
            <w:r>
              <w:rPr>
                <w:rFonts w:ascii="宋体" w:hAnsi="宋体" w:eastAsia="宋体" w:cs="仿宋_GB2312"/>
                <w:color w:val="auto"/>
                <w:szCs w:val="21"/>
                <w:highlight w:val="none"/>
              </w:rPr>
              <w:t>阐述内容主次不分明，方案可操作性、可行性差的得2分；</w:t>
            </w:r>
          </w:p>
          <w:p w14:paraId="7ABA59D7">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方案理解</w:t>
            </w:r>
            <w:r>
              <w:rPr>
                <w:rFonts w:hint="eastAsia" w:ascii="宋体" w:hAnsi="宋体" w:eastAsia="宋体" w:cs="仿宋_GB2312"/>
                <w:color w:val="auto"/>
                <w:szCs w:val="21"/>
                <w:highlight w:val="none"/>
              </w:rPr>
              <w:t>不准确，服务方案整体框架不够清晰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宣传重点</w:t>
            </w:r>
            <w:r>
              <w:rPr>
                <w:rFonts w:ascii="宋体" w:hAnsi="宋体" w:eastAsia="宋体" w:cs="仿宋_GB2312"/>
                <w:color w:val="auto"/>
                <w:szCs w:val="21"/>
                <w:highlight w:val="none"/>
              </w:rPr>
              <w:t>阐述内容主次不明，方案可操作性、可行性差的得1分；</w:t>
            </w:r>
          </w:p>
          <w:p w14:paraId="7ED73F85">
            <w:pPr>
              <w:adjustRightInd w:val="0"/>
              <w:snapToGrid w:val="0"/>
              <w:spacing w:line="288" w:lineRule="auto"/>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未提供相关说明的得</w:t>
            </w:r>
            <w:r>
              <w:rPr>
                <w:rFonts w:ascii="宋体" w:hAnsi="宋体" w:eastAsia="宋体" w:cs="仿宋_GB2312"/>
                <w:color w:val="auto"/>
                <w:szCs w:val="21"/>
                <w:highlight w:val="none"/>
              </w:rPr>
              <w:t>0分。</w:t>
            </w:r>
          </w:p>
        </w:tc>
        <w:tc>
          <w:tcPr>
            <w:tcW w:w="788" w:type="dxa"/>
            <w:vAlign w:val="center"/>
          </w:tcPr>
          <w:p w14:paraId="0049DBEC">
            <w:pPr>
              <w:pageBreakBefore w:val="0"/>
              <w:kinsoku/>
              <w:wordWrap/>
              <w:overflowPunct/>
              <w:topLinePunct w:val="0"/>
              <w:autoSpaceDE/>
              <w:autoSpaceDN/>
              <w:bidi w:val="0"/>
              <w:snapToGrid w:val="0"/>
              <w:spacing w:line="288" w:lineRule="auto"/>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4</w:t>
            </w:r>
          </w:p>
        </w:tc>
        <w:tc>
          <w:tcPr>
            <w:tcW w:w="1000" w:type="dxa"/>
            <w:vAlign w:val="center"/>
          </w:tcPr>
          <w:p w14:paraId="31930196">
            <w:pPr>
              <w:pageBreakBefore w:val="0"/>
              <w:kinsoku/>
              <w:wordWrap/>
              <w:overflowPunct/>
              <w:topLinePunct w:val="0"/>
              <w:autoSpaceDE/>
              <w:autoSpaceDN/>
              <w:bidi w:val="0"/>
              <w:snapToGrid w:val="0"/>
              <w:spacing w:line="288" w:lineRule="auto"/>
              <w:jc w:val="center"/>
              <w:textAlignment w:val="auto"/>
              <w:rPr>
                <w:rFonts w:hint="eastAsia" w:ascii="宋体" w:hAnsi="宋体" w:cs="仿宋_GB2312"/>
                <w:bCs/>
                <w:color w:val="auto"/>
                <w:szCs w:val="21"/>
                <w:highlight w:val="none"/>
                <w:lang w:val="en-US" w:eastAsia="zh-CN"/>
              </w:rPr>
            </w:pPr>
            <w:r>
              <w:rPr>
                <w:rFonts w:hint="eastAsia" w:ascii="宋体" w:hAnsi="宋体" w:cs="仿宋_GB2312"/>
                <w:bCs/>
                <w:color w:val="auto"/>
                <w:szCs w:val="21"/>
                <w:highlight w:val="none"/>
                <w:lang w:val="en-US" w:eastAsia="zh-CN"/>
              </w:rPr>
              <w:t>主</w:t>
            </w:r>
            <w:r>
              <w:rPr>
                <w:rFonts w:hint="eastAsia" w:ascii="宋体" w:hAnsi="宋体" w:cs="仿宋_GB2312"/>
                <w:bCs/>
                <w:color w:val="auto"/>
                <w:szCs w:val="21"/>
                <w:highlight w:val="none"/>
              </w:rPr>
              <w:t>观分</w:t>
            </w:r>
          </w:p>
        </w:tc>
        <w:tc>
          <w:tcPr>
            <w:tcW w:w="1406" w:type="dxa"/>
            <w:vAlign w:val="center"/>
          </w:tcPr>
          <w:p w14:paraId="7F203EC4">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服务方案</w:t>
            </w:r>
          </w:p>
        </w:tc>
      </w:tr>
      <w:tr w14:paraId="23E4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0CF0FAB8">
            <w:pPr>
              <w:pageBreakBefore w:val="0"/>
              <w:kinsoku/>
              <w:wordWrap/>
              <w:overflowPunct/>
              <w:topLinePunct w:val="0"/>
              <w:autoSpaceDE/>
              <w:autoSpaceDN/>
              <w:bidi w:val="0"/>
              <w:snapToGrid w:val="0"/>
              <w:spacing w:line="288" w:lineRule="auto"/>
              <w:jc w:val="center"/>
              <w:textAlignment w:val="auto"/>
              <w:rPr>
                <w:rFonts w:hint="default" w:cs="仿宋_GB2312" w:asciiTheme="minorEastAsia" w:hAnsiTheme="minorEastAsia" w:eastAsiaTheme="minorEastAsia"/>
                <w:b/>
                <w:bCs/>
                <w:color w:val="auto"/>
                <w:sz w:val="21"/>
                <w:szCs w:val="21"/>
                <w:highlight w:val="none"/>
                <w:lang w:val="en-US" w:eastAsia="zh-CN"/>
              </w:rPr>
            </w:pPr>
            <w:r>
              <w:rPr>
                <w:rFonts w:hint="eastAsia" w:cs="仿宋_GB2312" w:asciiTheme="minorEastAsia" w:hAnsiTheme="minorEastAsia" w:eastAsiaTheme="minorEastAsia"/>
                <w:b/>
                <w:bCs/>
                <w:color w:val="auto"/>
                <w:sz w:val="21"/>
                <w:szCs w:val="21"/>
                <w:highlight w:val="none"/>
                <w:lang w:val="en-US" w:eastAsia="zh-CN"/>
              </w:rPr>
              <w:t>12</w:t>
            </w:r>
          </w:p>
        </w:tc>
        <w:tc>
          <w:tcPr>
            <w:tcW w:w="5283" w:type="dxa"/>
            <w:vAlign w:val="center"/>
          </w:tcPr>
          <w:p w14:paraId="3D644F9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进度计划详细高效、实施流程清晰明确情况及合理性，要求保证项目顺利完成</w:t>
            </w:r>
            <w:r>
              <w:rPr>
                <w:rFonts w:hint="eastAsia" w:ascii="宋体" w:hAnsi="宋体" w:cs="宋体"/>
                <w:b/>
                <w:bCs/>
                <w:color w:val="auto"/>
                <w:sz w:val="21"/>
                <w:szCs w:val="21"/>
                <w:highlight w:val="none"/>
                <w:lang w:val="en-US" w:eastAsia="zh-CN"/>
              </w:rPr>
              <w:t>：</w:t>
            </w:r>
          </w:p>
          <w:p w14:paraId="486F4AA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计划内容完整、明确，整体安排科学合理，时间规划节点明确，可行性强的得5分；</w:t>
            </w:r>
          </w:p>
          <w:p w14:paraId="2B1AE73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计划内容较完整、明确，整体安排基本科学合理，时间规划节点基本明确，可行性较强的得4分；</w:t>
            </w:r>
          </w:p>
          <w:p w14:paraId="2B9C7BD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计划内容基本完整、明确，整体安排科学合理性一般，时间规划节点基本明确，可行性一般的得3分；</w:t>
            </w:r>
          </w:p>
          <w:p w14:paraId="207A31A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计划内容完整、明确性一般，整体安排科学合理一般，时间规划节点不太明确，可行性较差的得2分；</w:t>
            </w:r>
          </w:p>
          <w:p w14:paraId="20638FC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计划内容缺失，整体安排欠妥，时间规划节点模糊混乱，不具有可行性的得1分；</w:t>
            </w:r>
          </w:p>
          <w:p w14:paraId="09FCAED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cs="仿宋_GB2312" w:asciiTheme="minorEastAsia" w:hAnsiTheme="minorEastAsia" w:eastAsiaTheme="minorEastAsia"/>
                <w:color w:val="auto"/>
                <w:sz w:val="21"/>
                <w:szCs w:val="21"/>
                <w:highlight w:val="none"/>
              </w:rPr>
            </w:pPr>
            <w:r>
              <w:rPr>
                <w:rFonts w:hint="eastAsia" w:ascii="宋体" w:hAnsi="宋体" w:eastAsia="宋体" w:cs="宋体"/>
                <w:color w:val="auto"/>
                <w:szCs w:val="21"/>
                <w:highlight w:val="none"/>
              </w:rPr>
              <w:t>未提供相关说明的得0分。</w:t>
            </w:r>
          </w:p>
        </w:tc>
        <w:tc>
          <w:tcPr>
            <w:tcW w:w="788" w:type="dxa"/>
            <w:vAlign w:val="center"/>
          </w:tcPr>
          <w:p w14:paraId="38A4C1BA">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5</w:t>
            </w:r>
          </w:p>
        </w:tc>
        <w:tc>
          <w:tcPr>
            <w:tcW w:w="1000" w:type="dxa"/>
            <w:vAlign w:val="center"/>
          </w:tcPr>
          <w:p w14:paraId="3E99358E">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ascii="宋体" w:hAnsi="宋体" w:cs="仿宋_GB2312"/>
                <w:bCs/>
                <w:color w:val="auto"/>
                <w:szCs w:val="21"/>
                <w:highlight w:val="none"/>
                <w:lang w:val="en-US" w:eastAsia="zh-CN"/>
              </w:rPr>
              <w:t>主</w:t>
            </w:r>
            <w:r>
              <w:rPr>
                <w:rFonts w:hint="eastAsia" w:ascii="宋体" w:hAnsi="宋体" w:cs="仿宋_GB2312"/>
                <w:bCs/>
                <w:color w:val="auto"/>
                <w:szCs w:val="21"/>
                <w:highlight w:val="none"/>
              </w:rPr>
              <w:t>观分</w:t>
            </w:r>
          </w:p>
        </w:tc>
        <w:tc>
          <w:tcPr>
            <w:tcW w:w="1406" w:type="dxa"/>
            <w:vAlign w:val="center"/>
          </w:tcPr>
          <w:p w14:paraId="78BAABFE">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服务方案</w:t>
            </w:r>
          </w:p>
        </w:tc>
      </w:tr>
      <w:tr w14:paraId="5BA7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1FC59B80">
            <w:pPr>
              <w:pageBreakBefore w:val="0"/>
              <w:kinsoku/>
              <w:wordWrap/>
              <w:overflowPunct/>
              <w:topLinePunct w:val="0"/>
              <w:autoSpaceDE/>
              <w:autoSpaceDN/>
              <w:bidi w:val="0"/>
              <w:snapToGrid w:val="0"/>
              <w:spacing w:line="288" w:lineRule="auto"/>
              <w:jc w:val="center"/>
              <w:textAlignment w:val="auto"/>
              <w:rPr>
                <w:rFonts w:hint="default" w:cs="仿宋_GB2312" w:asciiTheme="minorEastAsia" w:hAnsiTheme="minorEastAsia" w:eastAsiaTheme="minorEastAsia"/>
                <w:b/>
                <w:bCs/>
                <w:color w:val="auto"/>
                <w:sz w:val="21"/>
                <w:szCs w:val="21"/>
                <w:highlight w:val="none"/>
                <w:lang w:val="en-US" w:eastAsia="zh-CN"/>
              </w:rPr>
            </w:pPr>
            <w:r>
              <w:rPr>
                <w:rFonts w:hint="eastAsia" w:cs="仿宋_GB2312" w:asciiTheme="minorEastAsia" w:hAnsiTheme="minorEastAsia" w:eastAsiaTheme="minorEastAsia"/>
                <w:b/>
                <w:bCs/>
                <w:color w:val="auto"/>
                <w:sz w:val="21"/>
                <w:szCs w:val="21"/>
                <w:highlight w:val="none"/>
                <w:lang w:val="en-US" w:eastAsia="zh-CN"/>
              </w:rPr>
              <w:t>13</w:t>
            </w:r>
          </w:p>
        </w:tc>
        <w:tc>
          <w:tcPr>
            <w:tcW w:w="5283" w:type="dxa"/>
            <w:vAlign w:val="center"/>
          </w:tcPr>
          <w:p w14:paraId="1AFC2CD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投标人</w:t>
            </w:r>
            <w:r>
              <w:rPr>
                <w:rFonts w:hint="eastAsia" w:ascii="宋体" w:hAnsi="宋体" w:eastAsia="宋体" w:cs="宋体"/>
                <w:b/>
                <w:bCs/>
                <w:color w:val="auto"/>
                <w:sz w:val="21"/>
                <w:szCs w:val="21"/>
                <w:highlight w:val="none"/>
                <w:lang w:val="en-US" w:eastAsia="zh-CN"/>
              </w:rPr>
              <w:t>遇突发事件时应急响应时间及对突发事件的应急预案。风险保障方案完善，具备针对性情况且可最大限度控制和减少意外情况发生</w:t>
            </w:r>
            <w:r>
              <w:rPr>
                <w:rFonts w:hint="eastAsia" w:ascii="宋体" w:hAnsi="宋体" w:cs="宋体"/>
                <w:b/>
                <w:bCs/>
                <w:color w:val="auto"/>
                <w:sz w:val="21"/>
                <w:szCs w:val="21"/>
                <w:highlight w:val="none"/>
                <w:lang w:val="en-US" w:eastAsia="zh-CN"/>
              </w:rPr>
              <w:t>：</w:t>
            </w:r>
          </w:p>
          <w:p w14:paraId="598744CE">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应急预案的罗列分析</w:t>
            </w:r>
            <w:r>
              <w:rPr>
                <w:rFonts w:hint="eastAsia" w:ascii="宋体" w:hAnsi="宋体" w:eastAsia="宋体" w:cs="仿宋_GB2312"/>
                <w:color w:val="auto"/>
                <w:szCs w:val="21"/>
                <w:highlight w:val="none"/>
              </w:rPr>
              <w:t>深入透彻，思路清晰</w:t>
            </w:r>
            <w:r>
              <w:rPr>
                <w:rFonts w:ascii="宋体" w:hAnsi="宋体" w:eastAsia="宋体" w:cs="仿宋_GB2312"/>
                <w:color w:val="auto"/>
                <w:szCs w:val="21"/>
                <w:highlight w:val="none"/>
              </w:rPr>
              <w:t>,阐述内容主次分明</w:t>
            </w:r>
            <w:r>
              <w:rPr>
                <w:rFonts w:hint="eastAsia" w:ascii="宋体" w:hAnsi="宋体" w:eastAsia="宋体" w:cs="仿宋_GB2312"/>
                <w:color w:val="auto"/>
                <w:szCs w:val="21"/>
                <w:highlight w:val="none"/>
                <w:lang w:val="en-US" w:eastAsia="zh-CN"/>
              </w:rPr>
              <w:t>全面</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解决</w:t>
            </w:r>
            <w:r>
              <w:rPr>
                <w:rFonts w:ascii="宋体" w:hAnsi="宋体" w:eastAsia="宋体" w:cs="仿宋_GB2312"/>
                <w:color w:val="auto"/>
                <w:szCs w:val="21"/>
                <w:highlight w:val="none"/>
              </w:rPr>
              <w:t>方案</w:t>
            </w:r>
            <w:r>
              <w:rPr>
                <w:rFonts w:hint="eastAsia" w:ascii="宋体" w:hAnsi="宋体" w:eastAsia="宋体" w:cs="仿宋_GB2312"/>
                <w:color w:val="auto"/>
                <w:szCs w:val="21"/>
                <w:highlight w:val="none"/>
                <w:lang w:val="en-US" w:eastAsia="zh-CN"/>
              </w:rPr>
              <w:t>全面性、合理性</w:t>
            </w:r>
            <w:r>
              <w:rPr>
                <w:rFonts w:ascii="宋体" w:hAnsi="宋体" w:eastAsia="宋体" w:cs="仿宋_GB2312"/>
                <w:color w:val="auto"/>
                <w:szCs w:val="21"/>
                <w:highlight w:val="none"/>
              </w:rPr>
              <w:t>强的得5分；</w:t>
            </w:r>
          </w:p>
          <w:p w14:paraId="361536C1">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应急预案的罗列分析</w:t>
            </w:r>
            <w:r>
              <w:rPr>
                <w:rFonts w:hint="eastAsia" w:ascii="宋体" w:hAnsi="宋体" w:eastAsia="宋体" w:cs="仿宋_GB2312"/>
                <w:color w:val="auto"/>
                <w:szCs w:val="21"/>
                <w:highlight w:val="none"/>
              </w:rPr>
              <w:t>较深入，思路较清晰</w:t>
            </w:r>
            <w:r>
              <w:rPr>
                <w:rFonts w:ascii="宋体" w:hAnsi="宋体" w:eastAsia="宋体" w:cs="仿宋_GB2312"/>
                <w:color w:val="auto"/>
                <w:szCs w:val="21"/>
                <w:highlight w:val="none"/>
              </w:rPr>
              <w:t>,阐述内容主次分明，</w:t>
            </w:r>
            <w:r>
              <w:rPr>
                <w:rFonts w:hint="eastAsia" w:ascii="宋体" w:hAnsi="宋体" w:eastAsia="宋体" w:cs="仿宋_GB2312"/>
                <w:color w:val="auto"/>
                <w:szCs w:val="21"/>
                <w:highlight w:val="none"/>
                <w:lang w:val="en-US" w:eastAsia="zh-CN"/>
              </w:rPr>
              <w:t>解决</w:t>
            </w:r>
            <w:r>
              <w:rPr>
                <w:rFonts w:ascii="宋体" w:hAnsi="宋体" w:eastAsia="宋体" w:cs="仿宋_GB2312"/>
                <w:color w:val="auto"/>
                <w:szCs w:val="21"/>
                <w:highlight w:val="none"/>
              </w:rPr>
              <w:t>方案</w:t>
            </w:r>
            <w:r>
              <w:rPr>
                <w:rFonts w:hint="eastAsia" w:ascii="宋体" w:hAnsi="宋体" w:eastAsia="宋体" w:cs="仿宋_GB2312"/>
                <w:color w:val="auto"/>
                <w:szCs w:val="21"/>
                <w:highlight w:val="none"/>
                <w:lang w:val="en-US" w:eastAsia="zh-CN"/>
              </w:rPr>
              <w:t>全面性、合理性</w:t>
            </w:r>
            <w:r>
              <w:rPr>
                <w:rFonts w:ascii="宋体" w:hAnsi="宋体" w:eastAsia="宋体" w:cs="仿宋_GB2312"/>
                <w:color w:val="auto"/>
                <w:szCs w:val="21"/>
                <w:highlight w:val="none"/>
              </w:rPr>
              <w:t>较强的得4分；</w:t>
            </w:r>
          </w:p>
          <w:p w14:paraId="6FC28060">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应急预案的罗列分析</w:t>
            </w:r>
            <w:r>
              <w:rPr>
                <w:rFonts w:hint="eastAsia" w:ascii="宋体" w:hAnsi="宋体" w:eastAsia="宋体" w:cs="仿宋_GB2312"/>
                <w:color w:val="auto"/>
                <w:szCs w:val="21"/>
                <w:highlight w:val="none"/>
              </w:rPr>
              <w:t>基本准确，服务方案整体框架基本清晰</w:t>
            </w:r>
            <w:r>
              <w:rPr>
                <w:rFonts w:ascii="宋体" w:hAnsi="宋体" w:eastAsia="宋体" w:cs="仿宋_GB2312"/>
                <w:color w:val="auto"/>
                <w:szCs w:val="21"/>
                <w:highlight w:val="none"/>
              </w:rPr>
              <w:t>,阐述内容主次分明，</w:t>
            </w:r>
            <w:r>
              <w:rPr>
                <w:rFonts w:hint="eastAsia" w:ascii="宋体" w:hAnsi="宋体" w:eastAsia="宋体" w:cs="仿宋_GB2312"/>
                <w:color w:val="auto"/>
                <w:szCs w:val="21"/>
                <w:highlight w:val="none"/>
                <w:lang w:val="en-US" w:eastAsia="zh-CN"/>
              </w:rPr>
              <w:t>解决</w:t>
            </w:r>
            <w:r>
              <w:rPr>
                <w:rFonts w:ascii="宋体" w:hAnsi="宋体" w:eastAsia="宋体" w:cs="仿宋_GB2312"/>
                <w:color w:val="auto"/>
                <w:szCs w:val="21"/>
                <w:highlight w:val="none"/>
              </w:rPr>
              <w:t>方案</w:t>
            </w:r>
            <w:r>
              <w:rPr>
                <w:rFonts w:hint="eastAsia" w:ascii="宋体" w:hAnsi="宋体" w:eastAsia="宋体" w:cs="仿宋_GB2312"/>
                <w:color w:val="auto"/>
                <w:szCs w:val="21"/>
                <w:highlight w:val="none"/>
                <w:lang w:val="en-US" w:eastAsia="zh-CN"/>
              </w:rPr>
              <w:t>全面性、合理性</w:t>
            </w:r>
            <w:r>
              <w:rPr>
                <w:rFonts w:ascii="宋体" w:hAnsi="宋体" w:eastAsia="宋体" w:cs="仿宋_GB2312"/>
                <w:color w:val="auto"/>
                <w:szCs w:val="21"/>
                <w:highlight w:val="none"/>
              </w:rPr>
              <w:t>一般的得3分；</w:t>
            </w:r>
          </w:p>
          <w:p w14:paraId="3E28B8A8">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应急预案的罗列分析</w:t>
            </w:r>
            <w:r>
              <w:rPr>
                <w:rFonts w:hint="eastAsia" w:ascii="宋体" w:hAnsi="宋体" w:eastAsia="宋体" w:cs="仿宋_GB2312"/>
                <w:color w:val="auto"/>
                <w:szCs w:val="21"/>
                <w:highlight w:val="none"/>
              </w:rPr>
              <w:t>基本准确，服务方案整体框架基本清晰</w:t>
            </w:r>
            <w:r>
              <w:rPr>
                <w:rFonts w:ascii="宋体" w:hAnsi="宋体" w:eastAsia="宋体" w:cs="仿宋_GB2312"/>
                <w:color w:val="auto"/>
                <w:szCs w:val="21"/>
                <w:highlight w:val="none"/>
              </w:rPr>
              <w:t>,阐述内容主次不分明，</w:t>
            </w:r>
            <w:r>
              <w:rPr>
                <w:rFonts w:hint="eastAsia" w:ascii="宋体" w:hAnsi="宋体" w:eastAsia="宋体" w:cs="仿宋_GB2312"/>
                <w:color w:val="auto"/>
                <w:szCs w:val="21"/>
                <w:highlight w:val="none"/>
                <w:lang w:val="en-US" w:eastAsia="zh-CN"/>
              </w:rPr>
              <w:t>解决</w:t>
            </w:r>
            <w:r>
              <w:rPr>
                <w:rFonts w:ascii="宋体" w:hAnsi="宋体" w:eastAsia="宋体" w:cs="仿宋_GB2312"/>
                <w:color w:val="auto"/>
                <w:szCs w:val="21"/>
                <w:highlight w:val="none"/>
              </w:rPr>
              <w:t>方案</w:t>
            </w:r>
            <w:r>
              <w:rPr>
                <w:rFonts w:hint="eastAsia" w:ascii="宋体" w:hAnsi="宋体" w:eastAsia="宋体" w:cs="仿宋_GB2312"/>
                <w:color w:val="auto"/>
                <w:szCs w:val="21"/>
                <w:highlight w:val="none"/>
                <w:lang w:val="en-US" w:eastAsia="zh-CN"/>
              </w:rPr>
              <w:t>全面性、合理性</w:t>
            </w:r>
            <w:r>
              <w:rPr>
                <w:rFonts w:ascii="宋体" w:hAnsi="宋体" w:eastAsia="宋体" w:cs="仿宋_GB2312"/>
                <w:color w:val="auto"/>
                <w:szCs w:val="21"/>
                <w:highlight w:val="none"/>
              </w:rPr>
              <w:t>差的得2分；</w:t>
            </w:r>
          </w:p>
          <w:p w14:paraId="752A61F9">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应急预案的罗列分析</w:t>
            </w:r>
            <w:r>
              <w:rPr>
                <w:rFonts w:hint="eastAsia" w:ascii="宋体" w:hAnsi="宋体" w:eastAsia="宋体" w:cs="仿宋_GB2312"/>
                <w:color w:val="auto"/>
                <w:szCs w:val="21"/>
                <w:highlight w:val="none"/>
              </w:rPr>
              <w:t>不准确，服务方案整体框架不够清晰</w:t>
            </w:r>
            <w:r>
              <w:rPr>
                <w:rFonts w:ascii="宋体" w:hAnsi="宋体" w:eastAsia="宋体" w:cs="仿宋_GB2312"/>
                <w:color w:val="auto"/>
                <w:szCs w:val="21"/>
                <w:highlight w:val="none"/>
              </w:rPr>
              <w:t>,阐述内容主次不明，</w:t>
            </w:r>
            <w:r>
              <w:rPr>
                <w:rFonts w:hint="eastAsia" w:ascii="宋体" w:hAnsi="宋体" w:eastAsia="宋体" w:cs="仿宋_GB2312"/>
                <w:color w:val="auto"/>
                <w:szCs w:val="21"/>
                <w:highlight w:val="none"/>
                <w:lang w:val="en-US" w:eastAsia="zh-CN"/>
              </w:rPr>
              <w:t>解决</w:t>
            </w:r>
            <w:r>
              <w:rPr>
                <w:rFonts w:ascii="宋体" w:hAnsi="宋体" w:eastAsia="宋体" w:cs="仿宋_GB2312"/>
                <w:color w:val="auto"/>
                <w:szCs w:val="21"/>
                <w:highlight w:val="none"/>
              </w:rPr>
              <w:t>方案</w:t>
            </w:r>
            <w:r>
              <w:rPr>
                <w:rFonts w:hint="eastAsia" w:ascii="宋体" w:hAnsi="宋体" w:eastAsia="宋体" w:cs="仿宋_GB2312"/>
                <w:color w:val="auto"/>
                <w:szCs w:val="21"/>
                <w:highlight w:val="none"/>
                <w:lang w:val="en-US" w:eastAsia="zh-CN"/>
              </w:rPr>
              <w:t>全面性、合理性</w:t>
            </w:r>
            <w:r>
              <w:rPr>
                <w:rFonts w:ascii="宋体" w:hAnsi="宋体" w:eastAsia="宋体" w:cs="仿宋_GB2312"/>
                <w:color w:val="auto"/>
                <w:szCs w:val="21"/>
                <w:highlight w:val="none"/>
              </w:rPr>
              <w:t>差的得1分；</w:t>
            </w:r>
          </w:p>
          <w:p w14:paraId="0E47FDF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cs="仿宋_GB2312" w:asciiTheme="minorEastAsia" w:hAnsiTheme="minorEastAsia" w:eastAsiaTheme="minorEastAsia"/>
                <w:color w:val="auto"/>
                <w:sz w:val="21"/>
                <w:szCs w:val="21"/>
                <w:highlight w:val="none"/>
              </w:rPr>
            </w:pPr>
            <w:r>
              <w:rPr>
                <w:rFonts w:hint="eastAsia" w:ascii="宋体" w:hAnsi="宋体" w:eastAsia="宋体" w:cs="仿宋_GB2312"/>
                <w:color w:val="auto"/>
                <w:szCs w:val="21"/>
                <w:highlight w:val="none"/>
              </w:rPr>
              <w:t>未提供相关说明的得</w:t>
            </w:r>
            <w:r>
              <w:rPr>
                <w:rFonts w:ascii="宋体" w:hAnsi="宋体" w:eastAsia="宋体" w:cs="仿宋_GB2312"/>
                <w:color w:val="auto"/>
                <w:szCs w:val="21"/>
                <w:highlight w:val="none"/>
              </w:rPr>
              <w:t>0分。</w:t>
            </w:r>
          </w:p>
        </w:tc>
        <w:tc>
          <w:tcPr>
            <w:tcW w:w="788" w:type="dxa"/>
            <w:vAlign w:val="center"/>
          </w:tcPr>
          <w:p w14:paraId="53CC2220">
            <w:pPr>
              <w:pageBreakBefore w:val="0"/>
              <w:kinsoku/>
              <w:wordWrap/>
              <w:overflowPunct/>
              <w:topLinePunct w:val="0"/>
              <w:autoSpaceDE/>
              <w:autoSpaceDN/>
              <w:bidi w:val="0"/>
              <w:snapToGrid w:val="0"/>
              <w:spacing w:line="288" w:lineRule="auto"/>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5</w:t>
            </w:r>
          </w:p>
        </w:tc>
        <w:tc>
          <w:tcPr>
            <w:tcW w:w="1000" w:type="dxa"/>
            <w:vAlign w:val="center"/>
          </w:tcPr>
          <w:p w14:paraId="027E6640">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ascii="宋体" w:hAnsi="宋体" w:cs="仿宋_GB2312"/>
                <w:bCs/>
                <w:color w:val="auto"/>
                <w:szCs w:val="21"/>
                <w:highlight w:val="none"/>
                <w:lang w:val="en-US" w:eastAsia="zh-CN"/>
              </w:rPr>
              <w:t>主</w:t>
            </w:r>
            <w:r>
              <w:rPr>
                <w:rFonts w:hint="eastAsia" w:ascii="宋体" w:hAnsi="宋体" w:cs="仿宋_GB2312"/>
                <w:bCs/>
                <w:color w:val="auto"/>
                <w:szCs w:val="21"/>
                <w:highlight w:val="none"/>
              </w:rPr>
              <w:t>观分</w:t>
            </w:r>
          </w:p>
        </w:tc>
        <w:tc>
          <w:tcPr>
            <w:tcW w:w="1406" w:type="dxa"/>
            <w:vAlign w:val="center"/>
          </w:tcPr>
          <w:p w14:paraId="610BA2DC">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服务方案</w:t>
            </w:r>
          </w:p>
        </w:tc>
      </w:tr>
      <w:tr w14:paraId="27C0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4E930D2C">
            <w:pPr>
              <w:pageBreakBefore w:val="0"/>
              <w:kinsoku/>
              <w:wordWrap/>
              <w:overflowPunct/>
              <w:topLinePunct w:val="0"/>
              <w:autoSpaceDE/>
              <w:autoSpaceDN/>
              <w:bidi w:val="0"/>
              <w:snapToGrid w:val="0"/>
              <w:spacing w:line="288" w:lineRule="auto"/>
              <w:jc w:val="center"/>
              <w:textAlignment w:val="auto"/>
              <w:rPr>
                <w:rFonts w:hint="default" w:cs="仿宋_GB2312" w:asciiTheme="minorEastAsia" w:hAnsiTheme="minorEastAsia" w:eastAsiaTheme="minorEastAsia"/>
                <w:b/>
                <w:bCs/>
                <w:color w:val="auto"/>
                <w:sz w:val="21"/>
                <w:szCs w:val="21"/>
                <w:highlight w:val="none"/>
                <w:lang w:val="en-US" w:eastAsia="zh-CN"/>
              </w:rPr>
            </w:pPr>
            <w:r>
              <w:rPr>
                <w:rFonts w:hint="eastAsia" w:cs="仿宋_GB2312" w:asciiTheme="minorEastAsia" w:hAnsiTheme="minorEastAsia" w:eastAsiaTheme="minorEastAsia"/>
                <w:b/>
                <w:bCs/>
                <w:color w:val="auto"/>
                <w:sz w:val="21"/>
                <w:szCs w:val="21"/>
                <w:highlight w:val="none"/>
                <w:lang w:val="en-US" w:eastAsia="zh-CN"/>
              </w:rPr>
              <w:t>14</w:t>
            </w:r>
          </w:p>
        </w:tc>
        <w:tc>
          <w:tcPr>
            <w:tcW w:w="5283" w:type="dxa"/>
          </w:tcPr>
          <w:p w14:paraId="46717802">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投标人对本项目建设的重难点分析并提出相应解决措施。分析的全面性、合理性，解决措施具有针对性，满足采购需求情况</w:t>
            </w:r>
            <w:r>
              <w:rPr>
                <w:rFonts w:hint="eastAsia" w:ascii="宋体" w:hAnsi="宋体" w:cs="宋体"/>
                <w:b/>
                <w:bCs/>
                <w:color w:val="auto"/>
                <w:sz w:val="21"/>
                <w:szCs w:val="21"/>
                <w:highlight w:val="none"/>
                <w:lang w:val="en-US" w:eastAsia="zh-CN"/>
              </w:rPr>
              <w:t>：</w:t>
            </w:r>
          </w:p>
          <w:p w14:paraId="30CF4CE6">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项目重难点分析</w:t>
            </w:r>
            <w:r>
              <w:rPr>
                <w:rFonts w:hint="eastAsia" w:ascii="宋体" w:hAnsi="宋体" w:eastAsia="宋体" w:cs="仿宋_GB2312"/>
                <w:color w:val="auto"/>
                <w:szCs w:val="21"/>
                <w:highlight w:val="none"/>
              </w:rPr>
              <w:t>深入透彻，思路清晰</w:t>
            </w:r>
            <w:r>
              <w:rPr>
                <w:rFonts w:ascii="宋体" w:hAnsi="宋体" w:eastAsia="宋体" w:cs="仿宋_GB2312"/>
                <w:color w:val="auto"/>
                <w:szCs w:val="21"/>
                <w:highlight w:val="none"/>
              </w:rPr>
              <w:t>,阐述内容主次分明</w:t>
            </w:r>
            <w:r>
              <w:rPr>
                <w:rFonts w:hint="eastAsia" w:ascii="宋体" w:hAnsi="宋体" w:eastAsia="宋体" w:cs="仿宋_GB2312"/>
                <w:color w:val="auto"/>
                <w:szCs w:val="21"/>
                <w:highlight w:val="none"/>
                <w:lang w:val="en-US" w:eastAsia="zh-CN"/>
              </w:rPr>
              <w:t>全面</w:t>
            </w:r>
            <w:r>
              <w:rPr>
                <w:rFonts w:ascii="宋体" w:hAnsi="宋体" w:eastAsia="宋体" w:cs="仿宋_GB2312"/>
                <w:color w:val="auto"/>
                <w:szCs w:val="21"/>
                <w:highlight w:val="none"/>
              </w:rPr>
              <w:t>，方案</w:t>
            </w:r>
            <w:r>
              <w:rPr>
                <w:rFonts w:hint="eastAsia" w:ascii="宋体" w:hAnsi="宋体" w:eastAsia="宋体" w:cs="仿宋_GB2312"/>
                <w:color w:val="auto"/>
                <w:szCs w:val="21"/>
                <w:highlight w:val="none"/>
                <w:lang w:val="en-US" w:eastAsia="zh-CN"/>
              </w:rPr>
              <w:t>全面性、合理性</w:t>
            </w:r>
            <w:r>
              <w:rPr>
                <w:rFonts w:ascii="宋体" w:hAnsi="宋体" w:eastAsia="宋体" w:cs="仿宋_GB2312"/>
                <w:color w:val="auto"/>
                <w:szCs w:val="21"/>
                <w:highlight w:val="none"/>
              </w:rPr>
              <w:t>强的得</w:t>
            </w:r>
            <w:r>
              <w:rPr>
                <w:rFonts w:hint="eastAsia" w:ascii="宋体" w:hAnsi="宋体" w:cs="仿宋_GB2312"/>
                <w:color w:val="auto"/>
                <w:szCs w:val="21"/>
                <w:highlight w:val="none"/>
                <w:lang w:val="en-US" w:eastAsia="zh-CN"/>
              </w:rPr>
              <w:t>4</w:t>
            </w:r>
            <w:r>
              <w:rPr>
                <w:rFonts w:ascii="宋体" w:hAnsi="宋体" w:eastAsia="宋体" w:cs="仿宋_GB2312"/>
                <w:color w:val="auto"/>
                <w:szCs w:val="21"/>
                <w:highlight w:val="none"/>
              </w:rPr>
              <w:t>分；</w:t>
            </w:r>
          </w:p>
          <w:p w14:paraId="0AE07D98">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项目重难点分析</w:t>
            </w:r>
            <w:r>
              <w:rPr>
                <w:rFonts w:hint="eastAsia" w:ascii="宋体" w:hAnsi="宋体" w:eastAsia="宋体" w:cs="仿宋_GB2312"/>
                <w:color w:val="auto"/>
                <w:szCs w:val="21"/>
                <w:highlight w:val="none"/>
              </w:rPr>
              <w:t>基本准确，服务方案整体框架基本清晰</w:t>
            </w:r>
            <w:r>
              <w:rPr>
                <w:rFonts w:ascii="宋体" w:hAnsi="宋体" w:eastAsia="宋体" w:cs="仿宋_GB2312"/>
                <w:color w:val="auto"/>
                <w:szCs w:val="21"/>
                <w:highlight w:val="none"/>
              </w:rPr>
              <w:t>,阐述内容主次分明，方案</w:t>
            </w:r>
            <w:r>
              <w:rPr>
                <w:rFonts w:hint="eastAsia" w:ascii="宋体" w:hAnsi="宋体" w:eastAsia="宋体" w:cs="仿宋_GB2312"/>
                <w:color w:val="auto"/>
                <w:szCs w:val="21"/>
                <w:highlight w:val="none"/>
                <w:lang w:val="en-US" w:eastAsia="zh-CN"/>
              </w:rPr>
              <w:t>全面性、合理性</w:t>
            </w:r>
            <w:r>
              <w:rPr>
                <w:rFonts w:ascii="宋体" w:hAnsi="宋体" w:eastAsia="宋体" w:cs="仿宋_GB2312"/>
                <w:color w:val="auto"/>
                <w:szCs w:val="21"/>
                <w:highlight w:val="none"/>
              </w:rPr>
              <w:t>一般的得3分；</w:t>
            </w:r>
          </w:p>
          <w:p w14:paraId="714FE36F">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项目重难点分析</w:t>
            </w:r>
            <w:r>
              <w:rPr>
                <w:rFonts w:hint="eastAsia" w:ascii="宋体" w:hAnsi="宋体" w:eastAsia="宋体" w:cs="仿宋_GB2312"/>
                <w:color w:val="auto"/>
                <w:szCs w:val="21"/>
                <w:highlight w:val="none"/>
              </w:rPr>
              <w:t>基本准确，服务方案整体框架基本清晰</w:t>
            </w:r>
            <w:r>
              <w:rPr>
                <w:rFonts w:ascii="宋体" w:hAnsi="宋体" w:eastAsia="宋体" w:cs="仿宋_GB2312"/>
                <w:color w:val="auto"/>
                <w:szCs w:val="21"/>
                <w:highlight w:val="none"/>
              </w:rPr>
              <w:t>,阐述内容主次不分明，方案</w:t>
            </w:r>
            <w:r>
              <w:rPr>
                <w:rFonts w:hint="eastAsia" w:ascii="宋体" w:hAnsi="宋体" w:eastAsia="宋体" w:cs="仿宋_GB2312"/>
                <w:color w:val="auto"/>
                <w:szCs w:val="21"/>
                <w:highlight w:val="none"/>
                <w:lang w:val="en-US" w:eastAsia="zh-CN"/>
              </w:rPr>
              <w:t>全面性、合理性</w:t>
            </w:r>
            <w:r>
              <w:rPr>
                <w:rFonts w:ascii="宋体" w:hAnsi="宋体" w:eastAsia="宋体" w:cs="仿宋_GB2312"/>
                <w:color w:val="auto"/>
                <w:szCs w:val="21"/>
                <w:highlight w:val="none"/>
              </w:rPr>
              <w:t>差的得2分；</w:t>
            </w:r>
          </w:p>
          <w:p w14:paraId="342B9B18">
            <w:pPr>
              <w:snapToGrid w:val="0"/>
              <w:spacing w:line="288" w:lineRule="auto"/>
              <w:outlineLvl w:val="0"/>
              <w:rPr>
                <w:rFonts w:ascii="宋体" w:hAnsi="宋体" w:eastAsia="宋体" w:cs="仿宋_GB2312"/>
                <w:color w:val="auto"/>
                <w:szCs w:val="21"/>
                <w:highlight w:val="none"/>
              </w:rPr>
            </w:pPr>
            <w:r>
              <w:rPr>
                <w:rFonts w:hint="eastAsia" w:ascii="宋体" w:hAnsi="宋体" w:eastAsia="宋体" w:cs="仿宋_GB2312"/>
                <w:color w:val="auto"/>
                <w:szCs w:val="21"/>
                <w:highlight w:val="none"/>
              </w:rPr>
              <w:t>对</w:t>
            </w:r>
            <w:r>
              <w:rPr>
                <w:rFonts w:hint="eastAsia" w:ascii="宋体" w:hAnsi="宋体" w:eastAsia="宋体" w:cs="仿宋_GB2312"/>
                <w:color w:val="auto"/>
                <w:szCs w:val="21"/>
                <w:highlight w:val="none"/>
                <w:lang w:val="en-US" w:eastAsia="zh-CN"/>
              </w:rPr>
              <w:t>项目重难点分析</w:t>
            </w:r>
            <w:r>
              <w:rPr>
                <w:rFonts w:hint="eastAsia" w:ascii="宋体" w:hAnsi="宋体" w:eastAsia="宋体" w:cs="仿宋_GB2312"/>
                <w:color w:val="auto"/>
                <w:szCs w:val="21"/>
                <w:highlight w:val="none"/>
              </w:rPr>
              <w:t>不准确，服务方案整体框架不够清晰</w:t>
            </w:r>
            <w:r>
              <w:rPr>
                <w:rFonts w:ascii="宋体" w:hAnsi="宋体" w:eastAsia="宋体" w:cs="仿宋_GB2312"/>
                <w:color w:val="auto"/>
                <w:szCs w:val="21"/>
                <w:highlight w:val="none"/>
              </w:rPr>
              <w:t>,阐述内容主次不明，方案</w:t>
            </w:r>
            <w:r>
              <w:rPr>
                <w:rFonts w:hint="eastAsia" w:ascii="宋体" w:hAnsi="宋体" w:eastAsia="宋体" w:cs="仿宋_GB2312"/>
                <w:color w:val="auto"/>
                <w:szCs w:val="21"/>
                <w:highlight w:val="none"/>
                <w:lang w:val="en-US" w:eastAsia="zh-CN"/>
              </w:rPr>
              <w:t>全面性、合理性</w:t>
            </w:r>
            <w:r>
              <w:rPr>
                <w:rFonts w:ascii="宋体" w:hAnsi="宋体" w:eastAsia="宋体" w:cs="仿宋_GB2312"/>
                <w:color w:val="auto"/>
                <w:szCs w:val="21"/>
                <w:highlight w:val="none"/>
              </w:rPr>
              <w:t>差的得1分；</w:t>
            </w:r>
          </w:p>
          <w:p w14:paraId="34F1643C">
            <w:pPr>
              <w:numPr>
                <w:ilvl w:val="0"/>
                <w:numId w:val="0"/>
              </w:numPr>
              <w:adjustRightInd w:val="0"/>
              <w:snapToGrid w:val="0"/>
              <w:spacing w:line="288" w:lineRule="auto"/>
              <w:rPr>
                <w:rFonts w:cs="仿宋_GB2312" w:asciiTheme="minorEastAsia" w:hAnsiTheme="minorEastAsia" w:eastAsiaTheme="minorEastAsia"/>
                <w:color w:val="auto"/>
                <w:sz w:val="21"/>
                <w:szCs w:val="21"/>
                <w:highlight w:val="none"/>
              </w:rPr>
            </w:pPr>
            <w:r>
              <w:rPr>
                <w:rFonts w:hint="eastAsia" w:ascii="宋体" w:hAnsi="宋体" w:eastAsia="宋体" w:cs="仿宋_GB2312"/>
                <w:color w:val="auto"/>
                <w:szCs w:val="21"/>
                <w:highlight w:val="none"/>
              </w:rPr>
              <w:t>未提供相关说明的得</w:t>
            </w:r>
            <w:r>
              <w:rPr>
                <w:rFonts w:ascii="宋体" w:hAnsi="宋体" w:eastAsia="宋体" w:cs="仿宋_GB2312"/>
                <w:color w:val="auto"/>
                <w:szCs w:val="21"/>
                <w:highlight w:val="none"/>
              </w:rPr>
              <w:t>0分。</w:t>
            </w:r>
          </w:p>
        </w:tc>
        <w:tc>
          <w:tcPr>
            <w:tcW w:w="788" w:type="dxa"/>
            <w:vAlign w:val="center"/>
          </w:tcPr>
          <w:p w14:paraId="3F0768D3">
            <w:pPr>
              <w:pageBreakBefore w:val="0"/>
              <w:kinsoku/>
              <w:wordWrap/>
              <w:overflowPunct/>
              <w:topLinePunct w:val="0"/>
              <w:autoSpaceDE/>
              <w:autoSpaceDN/>
              <w:bidi w:val="0"/>
              <w:snapToGrid w:val="0"/>
              <w:spacing w:line="288" w:lineRule="auto"/>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4</w:t>
            </w:r>
          </w:p>
        </w:tc>
        <w:tc>
          <w:tcPr>
            <w:tcW w:w="1000" w:type="dxa"/>
            <w:vAlign w:val="center"/>
          </w:tcPr>
          <w:p w14:paraId="5C18BBF3">
            <w:pPr>
              <w:pageBreakBefore w:val="0"/>
              <w:kinsoku/>
              <w:wordWrap/>
              <w:overflowPunct/>
              <w:topLinePunct w:val="0"/>
              <w:autoSpaceDE/>
              <w:autoSpaceDN/>
              <w:bidi w:val="0"/>
              <w:snapToGrid w:val="0"/>
              <w:spacing w:line="288" w:lineRule="auto"/>
              <w:jc w:val="center"/>
              <w:textAlignment w:val="auto"/>
              <w:rPr>
                <w:rFonts w:hint="eastAsia" w:ascii="宋体" w:hAnsi="宋体" w:cs="仿宋_GB2312"/>
                <w:bCs/>
                <w:color w:val="auto"/>
                <w:szCs w:val="21"/>
                <w:highlight w:val="none"/>
                <w:lang w:val="en-US" w:eastAsia="zh-CN"/>
              </w:rPr>
            </w:pPr>
            <w:r>
              <w:rPr>
                <w:rFonts w:hint="eastAsia" w:ascii="宋体" w:hAnsi="宋体" w:cs="仿宋_GB2312"/>
                <w:bCs/>
                <w:color w:val="auto"/>
                <w:szCs w:val="21"/>
                <w:highlight w:val="none"/>
                <w:lang w:val="en-US" w:eastAsia="zh-CN"/>
              </w:rPr>
              <w:t>主</w:t>
            </w:r>
            <w:r>
              <w:rPr>
                <w:rFonts w:hint="eastAsia" w:ascii="宋体" w:hAnsi="宋体" w:cs="仿宋_GB2312"/>
                <w:bCs/>
                <w:color w:val="auto"/>
                <w:szCs w:val="21"/>
                <w:highlight w:val="none"/>
              </w:rPr>
              <w:t>观分</w:t>
            </w:r>
          </w:p>
        </w:tc>
        <w:tc>
          <w:tcPr>
            <w:tcW w:w="1406" w:type="dxa"/>
            <w:vAlign w:val="center"/>
          </w:tcPr>
          <w:p w14:paraId="01CCBEBB">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服务方案</w:t>
            </w:r>
          </w:p>
        </w:tc>
      </w:tr>
      <w:tr w14:paraId="3CFB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61AE3A50">
            <w:pPr>
              <w:pageBreakBefore w:val="0"/>
              <w:kinsoku/>
              <w:wordWrap/>
              <w:overflowPunct/>
              <w:topLinePunct w:val="0"/>
              <w:autoSpaceDE/>
              <w:autoSpaceDN/>
              <w:bidi w:val="0"/>
              <w:snapToGrid w:val="0"/>
              <w:spacing w:line="288" w:lineRule="auto"/>
              <w:jc w:val="center"/>
              <w:textAlignment w:val="auto"/>
              <w:rPr>
                <w:rFonts w:hint="default" w:cs="仿宋_GB2312" w:asciiTheme="minorEastAsia" w:hAnsiTheme="minorEastAsia" w:eastAsiaTheme="minorEastAsia"/>
                <w:b/>
                <w:bCs/>
                <w:color w:val="auto"/>
                <w:sz w:val="21"/>
                <w:szCs w:val="21"/>
                <w:highlight w:val="none"/>
                <w:lang w:val="en-US" w:eastAsia="zh-CN"/>
              </w:rPr>
            </w:pPr>
            <w:r>
              <w:rPr>
                <w:rFonts w:hint="eastAsia" w:cs="仿宋_GB2312" w:asciiTheme="minorEastAsia" w:hAnsiTheme="minorEastAsia" w:eastAsiaTheme="minorEastAsia"/>
                <w:b/>
                <w:bCs/>
                <w:color w:val="auto"/>
                <w:sz w:val="21"/>
                <w:szCs w:val="21"/>
                <w:highlight w:val="none"/>
                <w:lang w:val="en-US" w:eastAsia="zh-CN"/>
              </w:rPr>
              <w:t>15</w:t>
            </w:r>
          </w:p>
        </w:tc>
        <w:tc>
          <w:tcPr>
            <w:tcW w:w="5283" w:type="dxa"/>
            <w:vAlign w:val="center"/>
          </w:tcPr>
          <w:p w14:paraId="0DCB8262">
            <w:pPr>
              <w:snapToGrid w:val="0"/>
              <w:spacing w:line="288" w:lineRule="auto"/>
              <w:outlineLvl w:val="0"/>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lang w:val="en-US" w:eastAsia="zh-CN"/>
              </w:rPr>
              <w:t>拟派项目负责人具有社会热点信息采集报送经验的，得3分（提供业主证明或署名报告）</w:t>
            </w:r>
          </w:p>
        </w:tc>
        <w:tc>
          <w:tcPr>
            <w:tcW w:w="788" w:type="dxa"/>
            <w:vAlign w:val="center"/>
          </w:tcPr>
          <w:p w14:paraId="3BC65B9C">
            <w:pPr>
              <w:pageBreakBefore w:val="0"/>
              <w:kinsoku/>
              <w:wordWrap/>
              <w:overflowPunct/>
              <w:topLinePunct w:val="0"/>
              <w:autoSpaceDE/>
              <w:autoSpaceDN/>
              <w:bidi w:val="0"/>
              <w:snapToGrid w:val="0"/>
              <w:spacing w:line="288" w:lineRule="auto"/>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3</w:t>
            </w:r>
          </w:p>
        </w:tc>
        <w:tc>
          <w:tcPr>
            <w:tcW w:w="1000" w:type="dxa"/>
            <w:vAlign w:val="center"/>
          </w:tcPr>
          <w:p w14:paraId="6B0C1624">
            <w:pPr>
              <w:pageBreakBefore w:val="0"/>
              <w:kinsoku/>
              <w:wordWrap/>
              <w:overflowPunct/>
              <w:topLinePunct w:val="0"/>
              <w:autoSpaceDE/>
              <w:autoSpaceDN/>
              <w:bidi w:val="0"/>
              <w:snapToGrid w:val="0"/>
              <w:spacing w:line="288" w:lineRule="auto"/>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客观分</w:t>
            </w:r>
          </w:p>
        </w:tc>
        <w:tc>
          <w:tcPr>
            <w:tcW w:w="1406" w:type="dxa"/>
            <w:vAlign w:val="center"/>
          </w:tcPr>
          <w:p w14:paraId="4EE35F06">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团队成员</w:t>
            </w:r>
          </w:p>
        </w:tc>
      </w:tr>
      <w:tr w14:paraId="3EB4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3820F916">
            <w:pPr>
              <w:pageBreakBefore w:val="0"/>
              <w:kinsoku/>
              <w:wordWrap/>
              <w:overflowPunct/>
              <w:topLinePunct w:val="0"/>
              <w:autoSpaceDE/>
              <w:autoSpaceDN/>
              <w:bidi w:val="0"/>
              <w:snapToGrid w:val="0"/>
              <w:spacing w:line="288" w:lineRule="auto"/>
              <w:jc w:val="center"/>
              <w:textAlignment w:val="auto"/>
              <w:rPr>
                <w:rFonts w:hint="default" w:cs="仿宋_GB2312" w:asciiTheme="minorEastAsia" w:hAnsiTheme="minorEastAsia" w:eastAsiaTheme="minorEastAsia"/>
                <w:b/>
                <w:bCs/>
                <w:color w:val="auto"/>
                <w:sz w:val="21"/>
                <w:szCs w:val="21"/>
                <w:highlight w:val="none"/>
                <w:lang w:val="en-US" w:eastAsia="zh-CN"/>
              </w:rPr>
            </w:pPr>
            <w:r>
              <w:rPr>
                <w:rFonts w:hint="eastAsia" w:cs="仿宋_GB2312" w:asciiTheme="minorEastAsia" w:hAnsiTheme="minorEastAsia" w:eastAsiaTheme="minorEastAsia"/>
                <w:b/>
                <w:bCs/>
                <w:color w:val="auto"/>
                <w:sz w:val="21"/>
                <w:szCs w:val="21"/>
                <w:highlight w:val="none"/>
                <w:lang w:val="en-US" w:eastAsia="zh-CN"/>
              </w:rPr>
              <w:t>16</w:t>
            </w:r>
          </w:p>
        </w:tc>
        <w:tc>
          <w:tcPr>
            <w:tcW w:w="5283" w:type="dxa"/>
            <w:vAlign w:val="center"/>
          </w:tcPr>
          <w:p w14:paraId="1EEADB8B">
            <w:pPr>
              <w:snapToGrid w:val="0"/>
              <w:spacing w:line="288" w:lineRule="auto"/>
              <w:outlineLvl w:val="0"/>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lang w:val="en-US" w:eastAsia="zh-CN"/>
              </w:rPr>
              <w:t>项目团队成员</w:t>
            </w:r>
            <w:r>
              <w:rPr>
                <w:rFonts w:hint="default" w:ascii="宋体" w:hAnsi="宋体" w:eastAsia="宋体" w:cs="仿宋_GB2312"/>
                <w:color w:val="auto"/>
                <w:szCs w:val="21"/>
                <w:highlight w:val="none"/>
                <w:lang w:val="en-US" w:eastAsia="zh-CN"/>
              </w:rPr>
              <w:t>具有“新闻采编资格”</w:t>
            </w:r>
            <w:r>
              <w:rPr>
                <w:rFonts w:hint="eastAsia" w:ascii="宋体" w:hAnsi="宋体" w:eastAsia="宋体" w:cs="仿宋_GB2312"/>
                <w:color w:val="auto"/>
                <w:szCs w:val="21"/>
                <w:highlight w:val="none"/>
                <w:lang w:val="en-US" w:eastAsia="zh-CN"/>
              </w:rPr>
              <w:t>的</w:t>
            </w:r>
            <w:r>
              <w:rPr>
                <w:rFonts w:hint="eastAsia" w:ascii="宋体" w:hAnsi="宋体" w:cs="仿宋_GB2312"/>
                <w:color w:val="auto"/>
                <w:szCs w:val="21"/>
                <w:highlight w:val="none"/>
                <w:lang w:val="en-US" w:eastAsia="zh-CN"/>
              </w:rPr>
              <w:t>，每个</w:t>
            </w:r>
            <w:r>
              <w:rPr>
                <w:rFonts w:hint="eastAsia" w:ascii="宋体" w:hAnsi="宋体" w:eastAsia="宋体" w:cs="仿宋_GB2312"/>
                <w:color w:val="auto"/>
                <w:szCs w:val="21"/>
                <w:highlight w:val="none"/>
                <w:lang w:val="en-US" w:eastAsia="zh-CN"/>
              </w:rPr>
              <w:t>得</w:t>
            </w:r>
            <w:r>
              <w:rPr>
                <w:rFonts w:hint="eastAsia" w:ascii="宋体" w:hAnsi="宋体" w:cs="仿宋_GB2312"/>
                <w:color w:val="auto"/>
                <w:szCs w:val="21"/>
                <w:highlight w:val="none"/>
                <w:lang w:val="en-US" w:eastAsia="zh-CN"/>
              </w:rPr>
              <w:t>2</w:t>
            </w:r>
            <w:r>
              <w:rPr>
                <w:rFonts w:hint="eastAsia" w:ascii="宋体" w:hAnsi="宋体" w:eastAsia="宋体" w:cs="仿宋_GB2312"/>
                <w:color w:val="auto"/>
                <w:szCs w:val="21"/>
                <w:highlight w:val="none"/>
                <w:lang w:val="en-US" w:eastAsia="zh-CN"/>
              </w:rPr>
              <w:t>分，</w:t>
            </w:r>
            <w:r>
              <w:rPr>
                <w:rFonts w:hint="eastAsia" w:ascii="宋体" w:hAnsi="宋体" w:cs="仿宋_GB2312"/>
                <w:color w:val="auto"/>
                <w:szCs w:val="21"/>
                <w:highlight w:val="none"/>
                <w:lang w:val="en-US" w:eastAsia="zh-CN"/>
              </w:rPr>
              <w:t>最高得8分</w:t>
            </w:r>
            <w:r>
              <w:rPr>
                <w:rFonts w:hint="eastAsia" w:ascii="宋体" w:hAnsi="宋体" w:eastAsia="宋体" w:cs="仿宋_GB2312"/>
                <w:color w:val="auto"/>
                <w:szCs w:val="21"/>
                <w:highlight w:val="none"/>
                <w:lang w:val="en-US" w:eastAsia="zh-CN"/>
              </w:rPr>
              <w:t>。</w:t>
            </w:r>
            <w:r>
              <w:rPr>
                <w:rFonts w:hint="default" w:ascii="宋体" w:hAnsi="宋体" w:eastAsia="宋体" w:cs="仿宋_GB2312"/>
                <w:color w:val="auto"/>
                <w:szCs w:val="21"/>
                <w:highlight w:val="none"/>
                <w:lang w:val="en-US" w:eastAsia="zh-CN"/>
              </w:rPr>
              <w:t>提供证明材料复印件</w:t>
            </w:r>
            <w:r>
              <w:rPr>
                <w:rFonts w:hint="eastAsia" w:ascii="宋体" w:hAnsi="宋体" w:eastAsia="宋体" w:cs="仿宋_GB2312"/>
                <w:color w:val="auto"/>
                <w:szCs w:val="21"/>
                <w:highlight w:val="none"/>
                <w:lang w:val="en-US" w:eastAsia="zh-CN"/>
              </w:rPr>
              <w:t>。</w:t>
            </w:r>
          </w:p>
        </w:tc>
        <w:tc>
          <w:tcPr>
            <w:tcW w:w="788" w:type="dxa"/>
            <w:vAlign w:val="center"/>
          </w:tcPr>
          <w:p w14:paraId="0FE7499A">
            <w:pPr>
              <w:pageBreakBefore w:val="0"/>
              <w:kinsoku/>
              <w:wordWrap/>
              <w:overflowPunct/>
              <w:topLinePunct w:val="0"/>
              <w:autoSpaceDE/>
              <w:autoSpaceDN/>
              <w:bidi w:val="0"/>
              <w:snapToGrid w:val="0"/>
              <w:spacing w:line="288" w:lineRule="auto"/>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8</w:t>
            </w:r>
          </w:p>
        </w:tc>
        <w:tc>
          <w:tcPr>
            <w:tcW w:w="1000" w:type="dxa"/>
            <w:vAlign w:val="center"/>
          </w:tcPr>
          <w:p w14:paraId="589E291C">
            <w:pPr>
              <w:pageBreakBefore w:val="0"/>
              <w:kinsoku/>
              <w:wordWrap/>
              <w:overflowPunct/>
              <w:topLinePunct w:val="0"/>
              <w:autoSpaceDE/>
              <w:autoSpaceDN/>
              <w:bidi w:val="0"/>
              <w:snapToGrid w:val="0"/>
              <w:spacing w:line="288" w:lineRule="auto"/>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客观分</w:t>
            </w:r>
          </w:p>
        </w:tc>
        <w:tc>
          <w:tcPr>
            <w:tcW w:w="1406" w:type="dxa"/>
            <w:vAlign w:val="center"/>
          </w:tcPr>
          <w:p w14:paraId="0DC56E46">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团队成员</w:t>
            </w:r>
          </w:p>
        </w:tc>
      </w:tr>
      <w:tr w14:paraId="506A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0A9439B2">
            <w:pPr>
              <w:pageBreakBefore w:val="0"/>
              <w:kinsoku/>
              <w:wordWrap/>
              <w:overflowPunct/>
              <w:topLinePunct w:val="0"/>
              <w:autoSpaceDE/>
              <w:autoSpaceDN/>
              <w:bidi w:val="0"/>
              <w:snapToGrid w:val="0"/>
              <w:spacing w:line="288" w:lineRule="auto"/>
              <w:jc w:val="center"/>
              <w:textAlignment w:val="auto"/>
              <w:rPr>
                <w:rFonts w:hint="default" w:cs="仿宋_GB2312" w:asciiTheme="minorEastAsia" w:hAnsiTheme="minorEastAsia" w:eastAsiaTheme="minorEastAsia"/>
                <w:b/>
                <w:bCs/>
                <w:color w:val="auto"/>
                <w:sz w:val="21"/>
                <w:szCs w:val="21"/>
                <w:highlight w:val="none"/>
                <w:lang w:val="en-US" w:eastAsia="zh-CN"/>
              </w:rPr>
            </w:pPr>
            <w:r>
              <w:rPr>
                <w:rFonts w:hint="eastAsia" w:cs="仿宋_GB2312" w:asciiTheme="minorEastAsia" w:hAnsiTheme="minorEastAsia" w:eastAsiaTheme="minorEastAsia"/>
                <w:b/>
                <w:bCs/>
                <w:color w:val="auto"/>
                <w:sz w:val="21"/>
                <w:szCs w:val="21"/>
                <w:highlight w:val="none"/>
                <w:lang w:val="en-US" w:eastAsia="zh-CN"/>
              </w:rPr>
              <w:t>17</w:t>
            </w:r>
          </w:p>
        </w:tc>
        <w:tc>
          <w:tcPr>
            <w:tcW w:w="5283" w:type="dxa"/>
            <w:vAlign w:val="center"/>
          </w:tcPr>
          <w:p w14:paraId="3C66D45D">
            <w:pPr>
              <w:snapToGrid w:val="0"/>
              <w:spacing w:line="288" w:lineRule="auto"/>
              <w:outlineLvl w:val="0"/>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lang w:val="en-US" w:eastAsia="zh-CN"/>
              </w:rPr>
              <w:t>项目团队成员（项目负责人除外）中具有舆情分析类报告撰写经验的，每人得1分，最高得5分（提供业主证明或署名报告，同一人不重复计分）</w:t>
            </w:r>
          </w:p>
        </w:tc>
        <w:tc>
          <w:tcPr>
            <w:tcW w:w="788" w:type="dxa"/>
            <w:vAlign w:val="center"/>
          </w:tcPr>
          <w:p w14:paraId="5735AB2A">
            <w:pPr>
              <w:pageBreakBefore w:val="0"/>
              <w:kinsoku/>
              <w:wordWrap/>
              <w:overflowPunct/>
              <w:topLinePunct w:val="0"/>
              <w:autoSpaceDE/>
              <w:autoSpaceDN/>
              <w:bidi w:val="0"/>
              <w:snapToGrid w:val="0"/>
              <w:spacing w:line="288" w:lineRule="auto"/>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5</w:t>
            </w:r>
          </w:p>
        </w:tc>
        <w:tc>
          <w:tcPr>
            <w:tcW w:w="1000" w:type="dxa"/>
            <w:vAlign w:val="center"/>
          </w:tcPr>
          <w:p w14:paraId="7EC4C2C9">
            <w:pPr>
              <w:pageBreakBefore w:val="0"/>
              <w:kinsoku/>
              <w:wordWrap/>
              <w:overflowPunct/>
              <w:topLinePunct w:val="0"/>
              <w:autoSpaceDE/>
              <w:autoSpaceDN/>
              <w:bidi w:val="0"/>
              <w:snapToGrid w:val="0"/>
              <w:spacing w:line="288" w:lineRule="auto"/>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客观分</w:t>
            </w:r>
          </w:p>
        </w:tc>
        <w:tc>
          <w:tcPr>
            <w:tcW w:w="1406" w:type="dxa"/>
            <w:vAlign w:val="center"/>
          </w:tcPr>
          <w:p w14:paraId="0338A84B">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团队成员</w:t>
            </w:r>
          </w:p>
        </w:tc>
      </w:tr>
      <w:tr w14:paraId="63EB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34C20270">
            <w:pPr>
              <w:pageBreakBefore w:val="0"/>
              <w:kinsoku/>
              <w:wordWrap/>
              <w:overflowPunct/>
              <w:topLinePunct w:val="0"/>
              <w:autoSpaceDE/>
              <w:autoSpaceDN/>
              <w:bidi w:val="0"/>
              <w:snapToGrid w:val="0"/>
              <w:spacing w:line="288" w:lineRule="auto"/>
              <w:jc w:val="center"/>
              <w:textAlignment w:val="auto"/>
              <w:rPr>
                <w:rFonts w:hint="default" w:cs="仿宋_GB2312" w:asciiTheme="minorEastAsia" w:hAnsiTheme="minorEastAsia" w:eastAsiaTheme="minorEastAsia"/>
                <w:b/>
                <w:bCs/>
                <w:color w:val="auto"/>
                <w:sz w:val="21"/>
                <w:szCs w:val="21"/>
                <w:highlight w:val="none"/>
                <w:lang w:val="en-US" w:eastAsia="zh-CN"/>
              </w:rPr>
            </w:pPr>
            <w:r>
              <w:rPr>
                <w:rFonts w:hint="eastAsia" w:cs="仿宋_GB2312" w:asciiTheme="minorEastAsia" w:hAnsiTheme="minorEastAsia" w:eastAsiaTheme="minorEastAsia"/>
                <w:b/>
                <w:bCs/>
                <w:color w:val="auto"/>
                <w:sz w:val="21"/>
                <w:szCs w:val="21"/>
                <w:highlight w:val="none"/>
                <w:lang w:val="en-US" w:eastAsia="zh-CN"/>
              </w:rPr>
              <w:t>18</w:t>
            </w:r>
          </w:p>
        </w:tc>
        <w:tc>
          <w:tcPr>
            <w:tcW w:w="5283" w:type="dxa"/>
            <w:vAlign w:val="center"/>
          </w:tcPr>
          <w:p w14:paraId="2132A3E2">
            <w:pPr>
              <w:snapToGrid w:val="0"/>
              <w:spacing w:line="288" w:lineRule="auto"/>
              <w:outlineLvl w:val="0"/>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lang w:val="en-US" w:eastAsia="zh-CN"/>
              </w:rPr>
              <w:t>拟投入本项目的服务团队人员中具有高级或以上职称（新闻类专业）的得3分，否则不得分。</w:t>
            </w:r>
            <w:r>
              <w:rPr>
                <w:rFonts w:hint="eastAsia" w:ascii="宋体" w:hAnsi="宋体" w:eastAsia="宋体" w:cs="仿宋_GB2312"/>
                <w:color w:val="auto"/>
                <w:szCs w:val="21"/>
                <w:highlight w:val="none"/>
                <w:lang w:eastAsia="zh-CN"/>
              </w:rPr>
              <w:t>（提供证书复印件）</w:t>
            </w:r>
          </w:p>
        </w:tc>
        <w:tc>
          <w:tcPr>
            <w:tcW w:w="788" w:type="dxa"/>
            <w:vAlign w:val="center"/>
          </w:tcPr>
          <w:p w14:paraId="0E744EE2">
            <w:pPr>
              <w:pageBreakBefore w:val="0"/>
              <w:kinsoku/>
              <w:wordWrap/>
              <w:overflowPunct/>
              <w:topLinePunct w:val="0"/>
              <w:autoSpaceDE/>
              <w:autoSpaceDN/>
              <w:bidi w:val="0"/>
              <w:snapToGrid w:val="0"/>
              <w:spacing w:line="288" w:lineRule="auto"/>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3</w:t>
            </w:r>
          </w:p>
        </w:tc>
        <w:tc>
          <w:tcPr>
            <w:tcW w:w="1000" w:type="dxa"/>
            <w:vAlign w:val="center"/>
          </w:tcPr>
          <w:p w14:paraId="09181D9D">
            <w:pPr>
              <w:pageBreakBefore w:val="0"/>
              <w:kinsoku/>
              <w:wordWrap/>
              <w:overflowPunct/>
              <w:topLinePunct w:val="0"/>
              <w:autoSpaceDE/>
              <w:autoSpaceDN/>
              <w:bidi w:val="0"/>
              <w:snapToGrid w:val="0"/>
              <w:spacing w:line="288" w:lineRule="auto"/>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客观分</w:t>
            </w:r>
          </w:p>
        </w:tc>
        <w:tc>
          <w:tcPr>
            <w:tcW w:w="1406" w:type="dxa"/>
            <w:vAlign w:val="center"/>
          </w:tcPr>
          <w:p w14:paraId="59C00147">
            <w:pPr>
              <w:pageBreakBefore w:val="0"/>
              <w:kinsoku/>
              <w:wordWrap/>
              <w:overflowPunct/>
              <w:topLinePunct w:val="0"/>
              <w:autoSpaceDE/>
              <w:autoSpaceDN/>
              <w:bidi w:val="0"/>
              <w:snapToGrid w:val="0"/>
              <w:spacing w:line="288" w:lineRule="auto"/>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团队成员</w:t>
            </w:r>
          </w:p>
        </w:tc>
      </w:tr>
      <w:tr w14:paraId="2087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565706EF">
            <w:pPr>
              <w:pageBreakBefore w:val="0"/>
              <w:kinsoku/>
              <w:wordWrap/>
              <w:overflowPunct/>
              <w:topLinePunct w:val="0"/>
              <w:autoSpaceDE/>
              <w:autoSpaceDN/>
              <w:bidi w:val="0"/>
              <w:snapToGrid w:val="0"/>
              <w:spacing w:line="288" w:lineRule="auto"/>
              <w:jc w:val="center"/>
              <w:textAlignment w:val="auto"/>
              <w:rPr>
                <w:rFonts w:hint="default" w:cs="仿宋_GB2312" w:asciiTheme="minorEastAsia" w:hAnsiTheme="minorEastAsia" w:eastAsiaTheme="minorEastAsia"/>
                <w:b/>
                <w:bCs/>
                <w:color w:val="auto"/>
                <w:sz w:val="21"/>
                <w:szCs w:val="21"/>
                <w:highlight w:val="none"/>
                <w:lang w:val="en-US" w:eastAsia="zh-CN"/>
              </w:rPr>
            </w:pPr>
            <w:r>
              <w:rPr>
                <w:rFonts w:hint="eastAsia" w:cs="仿宋_GB2312" w:asciiTheme="minorEastAsia" w:hAnsiTheme="minorEastAsia" w:eastAsiaTheme="minorEastAsia"/>
                <w:b/>
                <w:bCs/>
                <w:color w:val="auto"/>
                <w:sz w:val="21"/>
                <w:szCs w:val="21"/>
                <w:highlight w:val="none"/>
                <w:lang w:val="en-US" w:eastAsia="zh-CN"/>
              </w:rPr>
              <w:t>19</w:t>
            </w:r>
          </w:p>
        </w:tc>
        <w:tc>
          <w:tcPr>
            <w:tcW w:w="5283" w:type="dxa"/>
            <w:vAlign w:val="center"/>
          </w:tcPr>
          <w:p w14:paraId="188FDDF2">
            <w:pPr>
              <w:snapToGrid w:val="0"/>
              <w:spacing w:line="288" w:lineRule="auto"/>
              <w:outlineLvl w:val="0"/>
              <w:rPr>
                <w:rFonts w:hint="eastAsia"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val="en-US" w:eastAsia="zh-CN"/>
              </w:rPr>
              <w:t>拟投入本项目的服务团队人员中获得过省级新闻奖的，每个得2分，最高得8分。(提供证书复印件)</w:t>
            </w:r>
          </w:p>
        </w:tc>
        <w:tc>
          <w:tcPr>
            <w:tcW w:w="788" w:type="dxa"/>
            <w:vAlign w:val="center"/>
          </w:tcPr>
          <w:p w14:paraId="54C58891">
            <w:pPr>
              <w:pageBreakBefore w:val="0"/>
              <w:kinsoku/>
              <w:wordWrap/>
              <w:overflowPunct/>
              <w:topLinePunct w:val="0"/>
              <w:autoSpaceDE/>
              <w:autoSpaceDN/>
              <w:bidi w:val="0"/>
              <w:snapToGrid w:val="0"/>
              <w:spacing w:line="288" w:lineRule="auto"/>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8</w:t>
            </w:r>
          </w:p>
        </w:tc>
        <w:tc>
          <w:tcPr>
            <w:tcW w:w="1000" w:type="dxa"/>
            <w:vAlign w:val="center"/>
          </w:tcPr>
          <w:p w14:paraId="28AFA8D3">
            <w:pPr>
              <w:pageBreakBefore w:val="0"/>
              <w:kinsoku/>
              <w:wordWrap/>
              <w:overflowPunct/>
              <w:topLinePunct w:val="0"/>
              <w:autoSpaceDE/>
              <w:autoSpaceDN/>
              <w:bidi w:val="0"/>
              <w:snapToGrid w:val="0"/>
              <w:spacing w:line="288" w:lineRule="auto"/>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客观分</w:t>
            </w:r>
          </w:p>
        </w:tc>
        <w:tc>
          <w:tcPr>
            <w:tcW w:w="1406" w:type="dxa"/>
            <w:vAlign w:val="center"/>
          </w:tcPr>
          <w:p w14:paraId="66D6EA35">
            <w:pPr>
              <w:pageBreakBefore w:val="0"/>
              <w:kinsoku/>
              <w:wordWrap/>
              <w:overflowPunct/>
              <w:topLinePunct w:val="0"/>
              <w:autoSpaceDE/>
              <w:autoSpaceDN/>
              <w:bidi w:val="0"/>
              <w:snapToGrid w:val="0"/>
              <w:spacing w:line="288" w:lineRule="auto"/>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团队成员</w:t>
            </w:r>
          </w:p>
        </w:tc>
      </w:tr>
      <w:tr w14:paraId="1713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gridSpan w:val="5"/>
            <w:vAlign w:val="center"/>
          </w:tcPr>
          <w:p w14:paraId="50E3C6F5">
            <w:pPr>
              <w:pageBreakBefore w:val="0"/>
              <w:kinsoku/>
              <w:wordWrap/>
              <w:overflowPunct/>
              <w:topLinePunct w:val="0"/>
              <w:autoSpaceDE/>
              <w:autoSpaceDN/>
              <w:bidi w:val="0"/>
              <w:snapToGrid w:val="0"/>
              <w:spacing w:line="288" w:lineRule="auto"/>
              <w:jc w:val="both"/>
              <w:textAlignment w:val="auto"/>
              <w:rPr>
                <w:rFonts w:hint="default" w:cs="仿宋_GB2312" w:asciiTheme="minorEastAsia" w:hAnsiTheme="minorEastAsia" w:eastAsiaTheme="minorEastAsia"/>
                <w:b/>
                <w:bCs/>
                <w:color w:val="auto"/>
                <w:sz w:val="21"/>
                <w:szCs w:val="21"/>
                <w:highlight w:val="none"/>
                <w:lang w:val="en-US" w:eastAsia="zh-CN"/>
              </w:rPr>
            </w:pPr>
            <w:r>
              <w:rPr>
                <w:rFonts w:hint="eastAsia" w:ascii="宋体" w:hAnsi="宋体" w:eastAsia="宋体" w:cs="仿宋_GB2312"/>
                <w:b/>
                <w:bCs/>
                <w:color w:val="auto"/>
                <w:szCs w:val="21"/>
                <w:highlight w:val="none"/>
                <w:lang w:val="en-US" w:eastAsia="zh-CN"/>
              </w:rPr>
              <w:t>报价分（10分）</w:t>
            </w:r>
          </w:p>
        </w:tc>
      </w:tr>
      <w:tr w14:paraId="5B72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5" w:hRule="atLeast"/>
        </w:trPr>
        <w:tc>
          <w:tcPr>
            <w:tcW w:w="991" w:type="dxa"/>
            <w:vAlign w:val="center"/>
          </w:tcPr>
          <w:p w14:paraId="496C909A">
            <w:pPr>
              <w:pageBreakBefore w:val="0"/>
              <w:kinsoku/>
              <w:wordWrap/>
              <w:overflowPunct/>
              <w:topLinePunct w:val="0"/>
              <w:autoSpaceDE/>
              <w:autoSpaceDN/>
              <w:bidi w:val="0"/>
              <w:snapToGrid w:val="0"/>
              <w:spacing w:line="288" w:lineRule="auto"/>
              <w:jc w:val="center"/>
              <w:textAlignment w:val="auto"/>
              <w:rPr>
                <w:rFonts w:hint="default" w:cs="仿宋_GB2312" w:asciiTheme="minorEastAsia" w:hAnsiTheme="minorEastAsia" w:eastAsiaTheme="minorEastAsia"/>
                <w:b/>
                <w:bCs/>
                <w:color w:val="auto"/>
                <w:sz w:val="21"/>
                <w:szCs w:val="21"/>
                <w:highlight w:val="none"/>
                <w:lang w:val="en-US" w:eastAsia="zh-CN"/>
              </w:rPr>
            </w:pPr>
            <w:r>
              <w:rPr>
                <w:rFonts w:hint="eastAsia" w:cs="仿宋_GB2312" w:asciiTheme="minorEastAsia" w:hAnsiTheme="minorEastAsia" w:eastAsiaTheme="minorEastAsia"/>
                <w:b/>
                <w:bCs/>
                <w:color w:val="auto"/>
                <w:sz w:val="21"/>
                <w:szCs w:val="21"/>
                <w:highlight w:val="none"/>
                <w:lang w:val="en-US" w:eastAsia="zh-CN"/>
              </w:rPr>
              <w:t>20</w:t>
            </w:r>
          </w:p>
        </w:tc>
        <w:tc>
          <w:tcPr>
            <w:tcW w:w="5283" w:type="dxa"/>
          </w:tcPr>
          <w:p w14:paraId="270CA303">
            <w:pPr>
              <w:pageBreakBefore w:val="0"/>
              <w:kinsoku/>
              <w:wordWrap/>
              <w:overflowPunct/>
              <w:topLinePunct w:val="0"/>
              <w:autoSpaceDE/>
              <w:autoSpaceDN/>
              <w:bidi w:val="0"/>
              <w:spacing w:line="288" w:lineRule="auto"/>
              <w:textAlignment w:val="auto"/>
              <w:outlineLvl w:val="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有效投标报价的最低价作为评标基准价，其最低报价为满分；按［投标报价得分</w:t>
            </w:r>
            <w:r>
              <w:rPr>
                <w:rFonts w:cs="仿宋_GB2312" w:asciiTheme="minorEastAsia" w:hAnsiTheme="minorEastAsia" w:eastAsiaTheme="minorEastAsia"/>
                <w:color w:val="auto"/>
                <w:sz w:val="21"/>
                <w:szCs w:val="21"/>
                <w:highlight w:val="none"/>
              </w:rPr>
              <w:t>=（评标基准价/投标报价）*</w:t>
            </w:r>
            <w:r>
              <w:rPr>
                <w:rFonts w:hint="eastAsia" w:cs="仿宋_GB2312" w:asciiTheme="minorEastAsia" w:hAnsiTheme="minorEastAsia" w:eastAsiaTheme="minorEastAsia"/>
                <w:color w:val="auto"/>
                <w:sz w:val="21"/>
                <w:szCs w:val="21"/>
                <w:highlight w:val="none"/>
                <w:lang w:val="en-US" w:eastAsia="zh-CN"/>
              </w:rPr>
              <w:t>10</w:t>
            </w:r>
            <w:r>
              <w:rPr>
                <w:rFonts w:cs="仿宋_GB2312" w:asciiTheme="minorEastAsia" w:hAnsiTheme="minorEastAsia" w:eastAsiaTheme="minorEastAsia"/>
                <w:color w:val="auto"/>
                <w:sz w:val="21"/>
                <w:szCs w:val="21"/>
                <w:highlight w:val="none"/>
              </w:rPr>
              <w:t>］的计算公式计算。</w:t>
            </w:r>
          </w:p>
          <w:p w14:paraId="764DBC35">
            <w:pPr>
              <w:pageBreakBefore w:val="0"/>
              <w:widowControl/>
              <w:shd w:val="clear" w:color="auto" w:fill="FFFFFF"/>
              <w:kinsoku/>
              <w:wordWrap/>
              <w:overflowPunct/>
              <w:topLinePunct w:val="0"/>
              <w:autoSpaceDE/>
              <w:autoSpaceDN/>
              <w:bidi w:val="0"/>
              <w:adjustRightInd/>
              <w:spacing w:after="225" w:line="288" w:lineRule="auto"/>
              <w:jc w:val="left"/>
              <w:textAlignment w:val="auto"/>
              <w:rPr>
                <w:rFonts w:cs="仿宋_GB2312" w:asciiTheme="minorEastAsia" w:hAnsiTheme="minorEastAsia" w:eastAsiaTheme="minorEastAsia"/>
                <w:color w:val="auto"/>
                <w:sz w:val="21"/>
                <w:szCs w:val="21"/>
                <w:highlight w:val="none"/>
              </w:rPr>
            </w:pPr>
            <w:r>
              <w:rPr>
                <w:rFonts w:cs="仿宋_GB2312" w:asciiTheme="minorEastAsia" w:hAnsiTheme="minorEastAsia" w:eastAsiaTheme="minorEastAsia"/>
                <w:color w:val="auto"/>
                <w:sz w:val="21"/>
                <w:szCs w:val="21"/>
                <w:highlight w:val="none"/>
              </w:rPr>
              <w:t>评标过程中，不得去掉报价中的最高报价和最低报价。</w:t>
            </w:r>
          </w:p>
          <w:p w14:paraId="3D6B3E75">
            <w:pPr>
              <w:pageBreakBefore w:val="0"/>
              <w:widowControl/>
              <w:shd w:val="clear" w:color="auto" w:fill="FFFFFF"/>
              <w:kinsoku/>
              <w:wordWrap/>
              <w:overflowPunct/>
              <w:topLinePunct w:val="0"/>
              <w:autoSpaceDE/>
              <w:autoSpaceDN/>
              <w:bidi w:val="0"/>
              <w:adjustRightInd/>
              <w:spacing w:after="225" w:line="288" w:lineRule="auto"/>
              <w:jc w:val="left"/>
              <w:textAlignment w:val="auto"/>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1"/>
                <w:szCs w:val="21"/>
                <w:highlight w:val="none"/>
                <w:lang w:val="en-US" w:eastAsia="zh-CN"/>
              </w:rPr>
              <w:t>10</w:t>
            </w:r>
            <w:r>
              <w:rPr>
                <w:rFonts w:hint="eastAsia" w:cs="仿宋_GB2312" w:asciiTheme="minorEastAsia" w:hAnsiTheme="minorEastAsia" w:eastAsiaTheme="minorEastAsia"/>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1"/>
                <w:szCs w:val="21"/>
                <w:highlight w:val="none"/>
                <w:lang w:val="en-US" w:eastAsia="zh-CN"/>
              </w:rPr>
              <w:t>4</w:t>
            </w:r>
            <w:r>
              <w:rPr>
                <w:rFonts w:hint="eastAsia" w:cs="仿宋_GB2312" w:asciiTheme="minorEastAsia" w:hAnsiTheme="minorEastAsia" w:eastAsiaTheme="minorEastAsia"/>
                <w:color w:val="auto"/>
                <w:sz w:val="21"/>
                <w:szCs w:val="21"/>
                <w:highlight w:val="none"/>
              </w:rPr>
              <w:t>%的扣除，用扣除后的价格参加评审</w:t>
            </w:r>
            <w:r>
              <w:rPr>
                <w:rFonts w:cs="仿宋_GB2312" w:asciiTheme="minorEastAsia" w:hAnsiTheme="minorEastAsia" w:eastAsiaTheme="minorEastAsia"/>
                <w:color w:val="auto"/>
                <w:sz w:val="21"/>
                <w:szCs w:val="21"/>
                <w:highlight w:val="none"/>
              </w:rPr>
              <w:t>。</w:t>
            </w:r>
          </w:p>
        </w:tc>
        <w:tc>
          <w:tcPr>
            <w:tcW w:w="788" w:type="dxa"/>
            <w:vAlign w:val="center"/>
          </w:tcPr>
          <w:p w14:paraId="0BAD9289">
            <w:pPr>
              <w:snapToGrid w:val="0"/>
              <w:spacing w:line="288" w:lineRule="auto"/>
              <w:jc w:val="center"/>
              <w:outlineLvl w:val="0"/>
              <w:rPr>
                <w:rFonts w:hint="default" w:cs="仿宋_GB2312" w:asciiTheme="minorEastAsia" w:hAnsiTheme="minorEastAsia" w:eastAsiaTheme="minorEastAsia"/>
                <w:color w:val="auto"/>
                <w:sz w:val="21"/>
                <w:szCs w:val="21"/>
                <w:highlight w:val="none"/>
                <w:lang w:val="en-US" w:eastAsia="zh-CN"/>
              </w:rPr>
            </w:pPr>
            <w:r>
              <w:rPr>
                <w:rFonts w:hint="eastAsia" w:ascii="宋体" w:hAnsi="宋体" w:cs="仿宋_GB2312" w:eastAsiaTheme="minorEastAsia"/>
                <w:color w:val="auto"/>
                <w:szCs w:val="21"/>
                <w:highlight w:val="none"/>
                <w:lang w:val="en-US" w:eastAsia="zh-CN"/>
              </w:rPr>
              <w:t>10</w:t>
            </w:r>
          </w:p>
        </w:tc>
        <w:tc>
          <w:tcPr>
            <w:tcW w:w="1000" w:type="dxa"/>
            <w:vAlign w:val="center"/>
          </w:tcPr>
          <w:p w14:paraId="4257419A">
            <w:pPr>
              <w:snapToGrid w:val="0"/>
              <w:spacing w:line="288" w:lineRule="auto"/>
              <w:jc w:val="center"/>
              <w:outlineLvl w:val="0"/>
              <w:rPr>
                <w:rFonts w:cs="仿宋_GB2312" w:asciiTheme="minorEastAsia" w:hAnsiTheme="minorEastAsia" w:eastAsiaTheme="minorEastAsia"/>
                <w:color w:val="auto"/>
                <w:sz w:val="21"/>
                <w:szCs w:val="21"/>
                <w:highlight w:val="none"/>
              </w:rPr>
            </w:pPr>
            <w:r>
              <w:rPr>
                <w:rFonts w:hint="eastAsia" w:ascii="宋体" w:hAnsi="宋体" w:cs="仿宋_GB2312"/>
                <w:color w:val="auto"/>
                <w:szCs w:val="21"/>
                <w:highlight w:val="none"/>
              </w:rPr>
              <w:t>价格分</w:t>
            </w:r>
          </w:p>
        </w:tc>
        <w:tc>
          <w:tcPr>
            <w:tcW w:w="1406" w:type="dxa"/>
            <w:vAlign w:val="center"/>
          </w:tcPr>
          <w:p w14:paraId="3C8ABE49">
            <w:pPr>
              <w:snapToGrid w:val="0"/>
              <w:spacing w:line="288" w:lineRule="auto"/>
              <w:jc w:val="center"/>
              <w:outlineLvl w:val="0"/>
              <w:rPr>
                <w:rFonts w:cs="仿宋_GB2312" w:asciiTheme="minorEastAsia" w:hAnsiTheme="minorEastAsia" w:eastAsiaTheme="minorEastAsia"/>
                <w:color w:val="auto"/>
                <w:sz w:val="21"/>
                <w:szCs w:val="21"/>
                <w:highlight w:val="none"/>
              </w:rPr>
            </w:pPr>
            <w:r>
              <w:rPr>
                <w:rFonts w:ascii="宋体" w:hAnsi="宋体" w:cs="仿宋_GB2312"/>
                <w:color w:val="auto"/>
                <w:szCs w:val="21"/>
                <w:highlight w:val="none"/>
              </w:rPr>
              <w:t>/</w:t>
            </w:r>
          </w:p>
        </w:tc>
      </w:tr>
    </w:tbl>
    <w:p w14:paraId="127C1A2D">
      <w:pPr>
        <w:pageBreakBefore w:val="0"/>
        <w:kinsoku/>
        <w:wordWrap/>
        <w:overflowPunct/>
        <w:topLinePunct w:val="0"/>
        <w:autoSpaceDE/>
        <w:autoSpaceDN/>
        <w:bidi w:val="0"/>
        <w:spacing w:line="288" w:lineRule="auto"/>
        <w:textAlignment w:val="auto"/>
        <w:rPr>
          <w:color w:val="auto"/>
          <w:sz w:val="21"/>
          <w:szCs w:val="21"/>
          <w:highlight w:val="none"/>
        </w:rPr>
      </w:pPr>
    </w:p>
    <w:p w14:paraId="40EE724F">
      <w:pPr>
        <w:pageBreakBefore w:val="0"/>
        <w:kinsoku/>
        <w:wordWrap/>
        <w:overflowPunct/>
        <w:topLinePunct w:val="0"/>
        <w:autoSpaceDE/>
        <w:autoSpaceDN/>
        <w:bidi w:val="0"/>
        <w:snapToGrid w:val="0"/>
        <w:spacing w:line="288" w:lineRule="auto"/>
        <w:textAlignment w:val="auto"/>
        <w:rPr>
          <w:rFonts w:ascii="宋体" w:hAnsi="宋体" w:cs="宋体"/>
          <w:b/>
          <w:color w:val="auto"/>
          <w:sz w:val="21"/>
          <w:szCs w:val="21"/>
          <w:highlight w:val="none"/>
        </w:rPr>
      </w:pPr>
      <w:r>
        <w:rPr>
          <w:rFonts w:hint="eastAsia" w:ascii="宋体" w:hAnsi="宋体" w:cs="宋体"/>
          <w:color w:val="auto"/>
          <w:sz w:val="21"/>
          <w:szCs w:val="21"/>
          <w:highlight w:val="none"/>
          <w:shd w:val="clear" w:color="auto" w:fill="FFFFFF"/>
        </w:rPr>
        <w:t> *</w:t>
      </w:r>
      <w:r>
        <w:rPr>
          <w:rFonts w:hint="eastAsia" w:ascii="宋体" w:hAnsi="宋体" w:cs="宋体"/>
          <w:b/>
          <w:color w:val="auto"/>
          <w:sz w:val="21"/>
          <w:szCs w:val="21"/>
          <w:highlight w:val="none"/>
        </w:rPr>
        <w:t>备注：</w:t>
      </w:r>
      <w:r>
        <w:rPr>
          <w:rFonts w:hint="eastAsia" w:ascii="宋体" w:hAnsi="宋体" w:cs="宋体"/>
          <w:color w:val="auto"/>
          <w:sz w:val="21"/>
          <w:szCs w:val="21"/>
          <w:highlight w:val="none"/>
        </w:rPr>
        <w:t>投标人编制投标文件（商务技术文件部分）时，建议按此目录（序号和内容）提供评标标准相应的商务技术资料。 </w:t>
      </w:r>
    </w:p>
    <w:p w14:paraId="125DE951">
      <w:pPr>
        <w:pageBreakBefore w:val="0"/>
        <w:kinsoku/>
        <w:wordWrap/>
        <w:overflowPunct/>
        <w:topLinePunct w:val="0"/>
        <w:autoSpaceDE/>
        <w:autoSpaceDN/>
        <w:bidi w:val="0"/>
        <w:snapToGrid w:val="0"/>
        <w:spacing w:line="288" w:lineRule="auto"/>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一、评标方法</w:t>
      </w:r>
    </w:p>
    <w:p w14:paraId="490D8308">
      <w:pPr>
        <w:pageBreakBefore w:val="0"/>
        <w:kinsoku/>
        <w:wordWrap/>
        <w:overflowPunct/>
        <w:topLinePunct w:val="0"/>
        <w:autoSpaceDE/>
        <w:autoSpaceDN/>
        <w:bidi w:val="0"/>
        <w:adjustRightInd/>
        <w:spacing w:line="288" w:lineRule="auto"/>
        <w:ind w:firstLine="413" w:firstLineChars="196"/>
        <w:textAlignment w:val="auto"/>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1.本项目采用综合评分法。</w:t>
      </w:r>
      <w:r>
        <w:rPr>
          <w:rFonts w:hint="eastAsia" w:ascii="宋体" w:hAnsi="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37AD6147">
      <w:pPr>
        <w:pageBreakBefore w:val="0"/>
        <w:kinsoku/>
        <w:wordWrap/>
        <w:overflowPunct/>
        <w:topLinePunct w:val="0"/>
        <w:autoSpaceDE/>
        <w:autoSpaceDN/>
        <w:bidi w:val="0"/>
        <w:adjustRightInd/>
        <w:spacing w:line="288" w:lineRule="auto"/>
        <w:textAlignment w:val="auto"/>
        <w:rPr>
          <w:rFonts w:ascii="宋体" w:hAnsi="宋体" w:cs="宋体"/>
          <w:color w:val="auto"/>
          <w:kern w:val="0"/>
          <w:sz w:val="21"/>
          <w:szCs w:val="21"/>
          <w:highlight w:val="none"/>
        </w:rPr>
      </w:pPr>
      <w:r>
        <w:rPr>
          <w:rFonts w:hint="eastAsia" w:ascii="宋体" w:hAnsi="宋体" w:cs="宋体"/>
          <w:b/>
          <w:color w:val="auto"/>
          <w:sz w:val="21"/>
          <w:szCs w:val="21"/>
          <w:highlight w:val="none"/>
        </w:rPr>
        <w:t>二、评标标准</w:t>
      </w:r>
    </w:p>
    <w:p w14:paraId="37DCFFCA">
      <w:pPr>
        <w:pageBreakBefore w:val="0"/>
        <w:kinsoku/>
        <w:wordWrap/>
        <w:overflowPunct/>
        <w:topLinePunct w:val="0"/>
        <w:autoSpaceDE/>
        <w:autoSpaceDN/>
        <w:bidi w:val="0"/>
        <w:spacing w:line="288" w:lineRule="auto"/>
        <w:ind w:firstLine="413" w:firstLineChars="196"/>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评标标准：</w:t>
      </w:r>
      <w:r>
        <w:rPr>
          <w:rFonts w:hint="eastAsia" w:ascii="宋体" w:hAnsi="宋体" w:cs="宋体"/>
          <w:color w:val="auto"/>
          <w:kern w:val="0"/>
          <w:sz w:val="21"/>
          <w:szCs w:val="21"/>
          <w:highlight w:val="none"/>
        </w:rPr>
        <w:t>见评标办法前附表。</w:t>
      </w:r>
    </w:p>
    <w:p w14:paraId="76435A00">
      <w:pPr>
        <w:keepNext w:val="0"/>
        <w:keepLines w:val="0"/>
        <w:pageBreakBefore w:val="0"/>
        <w:widowControl w:val="0"/>
        <w:kinsoku/>
        <w:wordWrap/>
        <w:overflowPunct/>
        <w:topLinePunct w:val="0"/>
        <w:autoSpaceDE/>
        <w:autoSpaceDN/>
        <w:bidi w:val="0"/>
        <w:adjustRightInd w:val="0"/>
        <w:snapToGrid/>
        <w:spacing w:line="288"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三、评标程序</w:t>
      </w:r>
    </w:p>
    <w:p w14:paraId="38BA757F">
      <w:pPr>
        <w:pageBreakBefore w:val="0"/>
        <w:kinsoku/>
        <w:wordWrap/>
        <w:overflowPunct/>
        <w:topLinePunct w:val="0"/>
        <w:autoSpaceDE/>
        <w:autoSpaceDN/>
        <w:bidi w:val="0"/>
        <w:spacing w:line="288" w:lineRule="auto"/>
        <w:ind w:firstLine="413" w:firstLineChars="196"/>
        <w:textAlignment w:val="auto"/>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3.1符合性审查。</w:t>
      </w:r>
      <w:r>
        <w:rPr>
          <w:rFonts w:hint="eastAsia" w:ascii="宋体" w:hAnsi="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62ACF163">
      <w:pPr>
        <w:pageBreakBefore w:val="0"/>
        <w:kinsoku/>
        <w:wordWrap/>
        <w:overflowPunct/>
        <w:topLinePunct w:val="0"/>
        <w:autoSpaceDE/>
        <w:autoSpaceDN/>
        <w:bidi w:val="0"/>
        <w:spacing w:line="288" w:lineRule="auto"/>
        <w:ind w:firstLine="413" w:firstLineChars="196"/>
        <w:textAlignment w:val="auto"/>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3.2 比较与评价。</w:t>
      </w:r>
      <w:r>
        <w:rPr>
          <w:rFonts w:hint="eastAsia" w:ascii="宋体" w:hAnsi="宋体" w:cs="宋体"/>
          <w:color w:val="auto"/>
          <w:kern w:val="0"/>
          <w:sz w:val="21"/>
          <w:szCs w:val="21"/>
          <w:highlight w:val="none"/>
        </w:rPr>
        <w:t>评标委员会应当按照招标文件中规定的评标方法和标准，对符合性审查合格的投标文件进行商务和技术评估，综合比较与评价。</w:t>
      </w:r>
    </w:p>
    <w:p w14:paraId="2E392897">
      <w:pPr>
        <w:pageBreakBefore w:val="0"/>
        <w:kinsoku/>
        <w:wordWrap/>
        <w:overflowPunct/>
        <w:topLinePunct w:val="0"/>
        <w:autoSpaceDE/>
        <w:autoSpaceDN/>
        <w:bidi w:val="0"/>
        <w:spacing w:line="288" w:lineRule="auto"/>
        <w:ind w:firstLine="413" w:firstLineChars="196"/>
        <w:textAlignment w:val="auto"/>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3.3汇总商务技术得分。</w:t>
      </w:r>
      <w:r>
        <w:rPr>
          <w:rFonts w:hint="eastAsia" w:ascii="宋体" w:hAnsi="宋体" w:cs="宋体"/>
          <w:color w:val="auto"/>
          <w:kern w:val="0"/>
          <w:sz w:val="21"/>
          <w:szCs w:val="21"/>
          <w:highlight w:val="none"/>
        </w:rPr>
        <w:t>评标委员会各成员应当独立对每个投标人的商务和技术文件进行评价，并汇总商务技术得分情况。</w:t>
      </w:r>
    </w:p>
    <w:p w14:paraId="75BCDCE7">
      <w:pPr>
        <w:pageBreakBefore w:val="0"/>
        <w:kinsoku/>
        <w:wordWrap/>
        <w:overflowPunct/>
        <w:topLinePunct w:val="0"/>
        <w:autoSpaceDE/>
        <w:autoSpaceDN/>
        <w:bidi w:val="0"/>
        <w:spacing w:line="288" w:lineRule="auto"/>
        <w:ind w:firstLine="413" w:firstLineChars="196"/>
        <w:textAlignment w:val="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3.4报价评审。</w:t>
      </w:r>
    </w:p>
    <w:p w14:paraId="69E6B9F6">
      <w:pPr>
        <w:pStyle w:val="130"/>
        <w:pageBreakBefore w:val="0"/>
        <w:kinsoku/>
        <w:wordWrap/>
        <w:overflowPunct/>
        <w:topLinePunct w:val="0"/>
        <w:autoSpaceDE/>
        <w:autoSpaceDN/>
        <w:bidi w:val="0"/>
        <w:spacing w:before="0" w:line="288" w:lineRule="auto"/>
        <w:ind w:firstLine="445" w:firstLineChars="212"/>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665F3606">
      <w:pPr>
        <w:pStyle w:val="130"/>
        <w:pageBreakBefore w:val="0"/>
        <w:kinsoku/>
        <w:wordWrap/>
        <w:overflowPunct/>
        <w:topLinePunct w:val="0"/>
        <w:autoSpaceDE/>
        <w:autoSpaceDN/>
        <w:bidi w:val="0"/>
        <w:spacing w:before="0" w:line="288" w:lineRule="auto"/>
        <w:ind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30AB2081">
      <w:pPr>
        <w:pStyle w:val="130"/>
        <w:pageBreakBefore w:val="0"/>
        <w:kinsoku/>
        <w:wordWrap/>
        <w:overflowPunct/>
        <w:topLinePunct w:val="0"/>
        <w:autoSpaceDE/>
        <w:autoSpaceDN/>
        <w:bidi w:val="0"/>
        <w:spacing w:before="0" w:line="288" w:lineRule="auto"/>
        <w:ind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2AFDEE84">
      <w:pPr>
        <w:pStyle w:val="130"/>
        <w:pageBreakBefore w:val="0"/>
        <w:kinsoku/>
        <w:wordWrap/>
        <w:overflowPunct/>
        <w:topLinePunct w:val="0"/>
        <w:autoSpaceDE/>
        <w:autoSpaceDN/>
        <w:bidi w:val="0"/>
        <w:spacing w:before="0" w:line="288" w:lineRule="auto"/>
        <w:ind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24DF0795">
      <w:pPr>
        <w:pStyle w:val="130"/>
        <w:pageBreakBefore w:val="0"/>
        <w:kinsoku/>
        <w:wordWrap/>
        <w:overflowPunct/>
        <w:topLinePunct w:val="0"/>
        <w:autoSpaceDE/>
        <w:autoSpaceDN/>
        <w:bidi w:val="0"/>
        <w:spacing w:before="0" w:line="288" w:lineRule="auto"/>
        <w:ind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321C4A1C">
      <w:pPr>
        <w:pStyle w:val="130"/>
        <w:pageBreakBefore w:val="0"/>
        <w:kinsoku/>
        <w:wordWrap/>
        <w:overflowPunct/>
        <w:topLinePunct w:val="0"/>
        <w:autoSpaceDE/>
        <w:autoSpaceDN/>
        <w:bidi w:val="0"/>
        <w:spacing w:before="0" w:line="288" w:lineRule="auto"/>
        <w:ind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EAE5A18">
      <w:pPr>
        <w:pageBreakBefore w:val="0"/>
        <w:kinsoku/>
        <w:wordWrap/>
        <w:overflowPunct/>
        <w:topLinePunct w:val="0"/>
        <w:autoSpaceDE/>
        <w:autoSpaceDN/>
        <w:bidi w:val="0"/>
        <w:snapToGrid w:val="0"/>
        <w:spacing w:line="288" w:lineRule="auto"/>
        <w:ind w:firstLine="420" w:firstLineChars="200"/>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3.4.2投标文件出现不是唯一的、有选择性投标报价的，投标无效。</w:t>
      </w:r>
    </w:p>
    <w:p w14:paraId="1AEB93E6">
      <w:pPr>
        <w:pageBreakBefore w:val="0"/>
        <w:kinsoku/>
        <w:wordWrap/>
        <w:overflowPunct/>
        <w:topLinePunct w:val="0"/>
        <w:autoSpaceDE/>
        <w:autoSpaceDN/>
        <w:bidi w:val="0"/>
        <w:snapToGrid w:val="0"/>
        <w:spacing w:line="288" w:lineRule="auto"/>
        <w:ind w:firstLine="420" w:firstLineChars="200"/>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3.4.3投标报价超过招标文件中规定的预算金额或者最高限价的，投标无效。</w:t>
      </w:r>
    </w:p>
    <w:p w14:paraId="13B1EECC">
      <w:pPr>
        <w:pStyle w:val="130"/>
        <w:pageBreakBefore w:val="0"/>
        <w:kinsoku/>
        <w:wordWrap/>
        <w:overflowPunct/>
        <w:topLinePunct w:val="0"/>
        <w:autoSpaceDE/>
        <w:autoSpaceDN/>
        <w:bidi w:val="0"/>
        <w:spacing w:before="0" w:line="288" w:lineRule="auto"/>
        <w:ind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B5F45D1">
      <w:pPr>
        <w:pStyle w:val="130"/>
        <w:pageBreakBefore w:val="0"/>
        <w:kinsoku/>
        <w:wordWrap/>
        <w:overflowPunct/>
        <w:topLinePunct w:val="0"/>
        <w:autoSpaceDE/>
        <w:autoSpaceDN/>
        <w:bidi w:val="0"/>
        <w:spacing w:before="0" w:line="288" w:lineRule="auto"/>
        <w:ind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27C332D">
      <w:pPr>
        <w:pageBreakBefore w:val="0"/>
        <w:kinsoku/>
        <w:wordWrap/>
        <w:overflowPunct/>
        <w:topLinePunct w:val="0"/>
        <w:autoSpaceDE/>
        <w:autoSpaceDN/>
        <w:bidi w:val="0"/>
        <w:spacing w:line="288" w:lineRule="auto"/>
        <w:ind w:firstLine="422" w:firstLineChars="200"/>
        <w:textAlignment w:val="auto"/>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3.5排序与推荐。</w:t>
      </w:r>
      <w:r>
        <w:rPr>
          <w:rFonts w:hint="eastAsia" w:ascii="宋体" w:hAnsi="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856808B">
      <w:pPr>
        <w:pageBreakBefore w:val="0"/>
        <w:kinsoku/>
        <w:wordWrap/>
        <w:overflowPunct/>
        <w:topLinePunct w:val="0"/>
        <w:autoSpaceDE/>
        <w:autoSpaceDN/>
        <w:bidi w:val="0"/>
        <w:spacing w:line="288" w:lineRule="auto"/>
        <w:ind w:firstLine="420" w:firstLineChars="200"/>
        <w:textAlignment w:val="auto"/>
        <w:rPr>
          <w:rFonts w:ascii="宋体" w:hAnsi="宋体" w:cs="宋体"/>
          <w:b/>
          <w:color w:val="auto"/>
          <w:kern w:val="0"/>
          <w:sz w:val="21"/>
          <w:szCs w:val="21"/>
          <w:highlight w:val="none"/>
        </w:rPr>
      </w:pPr>
      <w:r>
        <w:rPr>
          <w:rFonts w:hint="eastAsia" w:ascii="宋体" w:hAnsi="宋体" w:cs="宋体"/>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3D4E767">
      <w:pPr>
        <w:pageBreakBefore w:val="0"/>
        <w:kinsoku/>
        <w:wordWrap/>
        <w:overflowPunct/>
        <w:topLinePunct w:val="0"/>
        <w:autoSpaceDE/>
        <w:autoSpaceDN/>
        <w:bidi w:val="0"/>
        <w:spacing w:line="288" w:lineRule="auto"/>
        <w:ind w:firstLine="413" w:firstLineChars="196"/>
        <w:textAlignment w:val="auto"/>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3.6编写评标报告。</w:t>
      </w:r>
      <w:r>
        <w:rPr>
          <w:rFonts w:hint="eastAsia" w:ascii="宋体" w:hAnsi="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59313BA">
      <w:pPr>
        <w:pageBreakBefore w:val="0"/>
        <w:widowControl/>
        <w:shd w:val="clear" w:color="auto" w:fill="FFFFFF"/>
        <w:kinsoku/>
        <w:wordWrap/>
        <w:overflowPunct/>
        <w:topLinePunct w:val="0"/>
        <w:autoSpaceDE/>
        <w:autoSpaceDN/>
        <w:bidi w:val="0"/>
        <w:adjustRightInd/>
        <w:spacing w:after="225" w:line="288" w:lineRule="auto"/>
        <w:jc w:val="lef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四、评标中的其他事项</w:t>
      </w:r>
    </w:p>
    <w:p w14:paraId="22D6908B">
      <w:pPr>
        <w:pStyle w:val="130"/>
        <w:pageBreakBefore w:val="0"/>
        <w:kinsoku/>
        <w:wordWrap/>
        <w:overflowPunct/>
        <w:topLinePunct w:val="0"/>
        <w:autoSpaceDE/>
        <w:autoSpaceDN/>
        <w:bidi w:val="0"/>
        <w:spacing w:before="0" w:line="288" w:lineRule="auto"/>
        <w:ind w:firstLine="413" w:firstLineChars="196"/>
        <w:textAlignment w:val="auto"/>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D021EF">
      <w:pPr>
        <w:pStyle w:val="3"/>
        <w:pageBreakBefore w:val="0"/>
        <w:kinsoku/>
        <w:wordWrap/>
        <w:overflowPunct/>
        <w:topLinePunct w:val="0"/>
        <w:autoSpaceDE/>
        <w:autoSpaceDN/>
        <w:bidi w:val="0"/>
        <w:spacing w:line="288" w:lineRule="auto"/>
        <w:ind w:left="954" w:leftChars="226" w:hanging="479" w:firstLineChars="0"/>
        <w:textAlignment w:val="auto"/>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14:paraId="375FE8CE">
      <w:pPr>
        <w:pageBreakBefore w:val="0"/>
        <w:kinsoku/>
        <w:wordWrap/>
        <w:overflowPunct/>
        <w:topLinePunct w:val="0"/>
        <w:autoSpaceDE/>
        <w:autoSpaceDN/>
        <w:bidi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4.2.1投标人不具备招标文件中规定的资格要求的（投标人未提供有效的资格文件的，视为投标人不具备招标文件中规定的资格要求）；</w:t>
      </w:r>
    </w:p>
    <w:p w14:paraId="6963DB05">
      <w:pPr>
        <w:pageBreakBefore w:val="0"/>
        <w:kinsoku/>
        <w:wordWrap/>
        <w:overflowPunct/>
        <w:topLinePunct w:val="0"/>
        <w:autoSpaceDE/>
        <w:autoSpaceDN/>
        <w:bidi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4.2.2投标文件未按照招标文件要求签署、盖章的；</w:t>
      </w:r>
    </w:p>
    <w:p w14:paraId="6DB75951">
      <w:pPr>
        <w:pageBreakBefore w:val="0"/>
        <w:kinsoku/>
        <w:wordWrap/>
        <w:overflowPunct/>
        <w:topLinePunct w:val="0"/>
        <w:autoSpaceDE/>
        <w:autoSpaceDN/>
        <w:bidi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3AAC140A">
      <w:pPr>
        <w:pageBreakBefore w:val="0"/>
        <w:kinsoku/>
        <w:wordWrap/>
        <w:overflowPunct/>
        <w:topLinePunct w:val="0"/>
        <w:autoSpaceDE/>
        <w:autoSpaceDN/>
        <w:bidi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4.2.4投标文件含有采购人不能接受的附加条件的；</w:t>
      </w:r>
    </w:p>
    <w:p w14:paraId="1AF7B276">
      <w:pPr>
        <w:pageBreakBefore w:val="0"/>
        <w:kinsoku/>
        <w:wordWrap/>
        <w:overflowPunct/>
        <w:topLinePunct w:val="0"/>
        <w:autoSpaceDE/>
        <w:autoSpaceDN/>
        <w:bidi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4.2.5投标文件中承诺的投标有效期少于招标文件中载明的投标有效期的；</w:t>
      </w:r>
    </w:p>
    <w:p w14:paraId="27A03DBD">
      <w:pPr>
        <w:pageBreakBefore w:val="0"/>
        <w:kinsoku/>
        <w:wordWrap/>
        <w:overflowPunct/>
        <w:topLinePunct w:val="0"/>
        <w:autoSpaceDE/>
        <w:autoSpaceDN/>
        <w:bidi w:val="0"/>
        <w:snapToGrid w:val="0"/>
        <w:spacing w:line="288" w:lineRule="auto"/>
        <w:ind w:firstLine="105" w:firstLineChars="50"/>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4.2.6投标文件出现不是唯一的、有选择性投标报价的;</w:t>
      </w:r>
    </w:p>
    <w:p w14:paraId="194924F0">
      <w:pPr>
        <w:pageBreakBefore w:val="0"/>
        <w:kinsoku/>
        <w:wordWrap/>
        <w:overflowPunct/>
        <w:topLinePunct w:val="0"/>
        <w:autoSpaceDE/>
        <w:autoSpaceDN/>
        <w:bidi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4.2.7投标报价超过招标文件中规定的预算金额或者最高限价的;</w:t>
      </w:r>
    </w:p>
    <w:p w14:paraId="60E80486">
      <w:pPr>
        <w:pageBreakBefore w:val="0"/>
        <w:kinsoku/>
        <w:wordWrap/>
        <w:overflowPunct/>
        <w:topLinePunct w:val="0"/>
        <w:autoSpaceDE/>
        <w:autoSpaceDN/>
        <w:bidi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4.2.8报价明显低于其他通过符合性审查投标人的报价，有可能影响产品质量或者不能诚信履约的，未能按要求提供书面说明或者提交相关证明材料，不能证明其报价合理性的;</w:t>
      </w:r>
    </w:p>
    <w:p w14:paraId="23CB466E">
      <w:pPr>
        <w:pageBreakBefore w:val="0"/>
        <w:kinsoku/>
        <w:wordWrap/>
        <w:overflowPunct/>
        <w:topLinePunct w:val="0"/>
        <w:autoSpaceDE/>
        <w:autoSpaceDN/>
        <w:bidi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4.2.9投标人对根据修正原则修正后的报价不确认的；</w:t>
      </w:r>
    </w:p>
    <w:p w14:paraId="1BA38286">
      <w:pPr>
        <w:pageBreakBefore w:val="0"/>
        <w:kinsoku/>
        <w:wordWrap/>
        <w:overflowPunct/>
        <w:topLinePunct w:val="0"/>
        <w:autoSpaceDE/>
        <w:autoSpaceDN/>
        <w:bidi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4.2.10投标人提供虚假材料投标的；</w:t>
      </w:r>
    </w:p>
    <w:p w14:paraId="6C5EA582">
      <w:pPr>
        <w:pageBreakBefore w:val="0"/>
        <w:kinsoku/>
        <w:wordWrap/>
        <w:overflowPunct/>
        <w:topLinePunct w:val="0"/>
        <w:autoSpaceDE/>
        <w:autoSpaceDN/>
        <w:bidi w:val="0"/>
        <w:spacing w:line="288" w:lineRule="auto"/>
        <w:ind w:firstLine="210" w:firstLineChars="1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4.2.11投标人有恶意串通、妨碍其他投标人的竞争行为、损害采购人或者其他投标人的合法权益情形的；</w:t>
      </w:r>
    </w:p>
    <w:p w14:paraId="2FE03FCA">
      <w:pPr>
        <w:pageBreakBefore w:val="0"/>
        <w:kinsoku/>
        <w:wordWrap/>
        <w:overflowPunct/>
        <w:topLinePunct w:val="0"/>
        <w:autoSpaceDE/>
        <w:autoSpaceDN/>
        <w:bidi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4.2.12投标人仅提交备份投标文件，未在电子交易平台传输递交投标文件的，投标无效；</w:t>
      </w:r>
    </w:p>
    <w:p w14:paraId="583DFFAE">
      <w:pPr>
        <w:keepNext/>
        <w:keepLines/>
        <w:pageBreakBefore w:val="0"/>
        <w:widowControl w:val="0"/>
        <w:tabs>
          <w:tab w:val="left" w:pos="432"/>
        </w:tabs>
        <w:kinsoku/>
        <w:wordWrap/>
        <w:overflowPunct/>
        <w:topLinePunct w:val="0"/>
        <w:autoSpaceDE/>
        <w:autoSpaceDN/>
        <w:bidi w:val="0"/>
        <w:adjustRightInd/>
        <w:snapToGrid/>
        <w:spacing w:line="288" w:lineRule="auto"/>
        <w:ind w:left="861" w:leftChars="205" w:hanging="431"/>
        <w:textAlignment w:val="auto"/>
        <w:outlineLvl w:val="9"/>
        <w:rPr>
          <w:rFonts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4.2.13 投标文件不满足招标文件的其它实质性要求的；</w:t>
      </w:r>
    </w:p>
    <w:p w14:paraId="209D7DEB">
      <w:pPr>
        <w:pageBreakBefore w:val="0"/>
        <w:kinsoku/>
        <w:wordWrap/>
        <w:overflowPunct/>
        <w:topLinePunct w:val="0"/>
        <w:autoSpaceDE/>
        <w:autoSpaceDN/>
        <w:bidi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4.2.14法律、法规、规章（适用本市的）及省级以上规范性文件（适用本市的）规定的其他无效情形。</w:t>
      </w:r>
    </w:p>
    <w:p w14:paraId="32D6D562">
      <w:pPr>
        <w:snapToGrid w:val="0"/>
        <w:spacing w:line="288" w:lineRule="auto"/>
        <w:ind w:firstLine="426" w:firstLineChars="202"/>
        <w:rPr>
          <w:rFonts w:hint="eastAsia"/>
          <w:b/>
          <w:bCs/>
          <w:color w:val="auto"/>
          <w:highlight w:val="none"/>
        </w:rPr>
      </w:pPr>
      <w:r>
        <w:rPr>
          <w:rFonts w:hint="eastAsia"/>
          <w:b/>
          <w:bCs/>
          <w:color w:val="auto"/>
          <w:highlight w:val="none"/>
        </w:rPr>
        <w:t>参与同一个采购包（标项）的供应商存在下列情形之一的，其投标（响应）文件无效：</w:t>
      </w:r>
    </w:p>
    <w:p w14:paraId="6B84D8FE">
      <w:pPr>
        <w:snapToGrid w:val="0"/>
        <w:spacing w:line="288"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（1）不同供应商的电子投标文件上传计算机的网卡MAC地址、CPU序列号或硬盘序列号等硬件信息相同的；</w:t>
      </w:r>
    </w:p>
    <w:p w14:paraId="78F34EB5">
      <w:pPr>
        <w:snapToGrid w:val="0"/>
        <w:spacing w:line="288"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（2）上传的电子投标文件若出现使用本项目其他投标供应商的数字证书加密的，或者加盖本项目其他投标供应商的电子印章的；</w:t>
      </w:r>
    </w:p>
    <w:p w14:paraId="0E9AC365">
      <w:pPr>
        <w:snapToGrid w:val="0"/>
        <w:spacing w:line="288"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（3）不同供应商的投标文件的内容存在三处（含）以上错误一致，且无法合理解释的；</w:t>
      </w:r>
    </w:p>
    <w:p w14:paraId="3479DC5B">
      <w:pPr>
        <w:snapToGrid w:val="0"/>
        <w:spacing w:line="288" w:lineRule="auto"/>
        <w:ind w:firstLine="424" w:firstLineChars="202"/>
        <w:rPr>
          <w:rFonts w:hint="eastAsia" w:cs="宋体"/>
          <w:b/>
          <w:color w:val="auto"/>
          <w:sz w:val="21"/>
          <w:szCs w:val="21"/>
          <w:highlight w:val="none"/>
        </w:rPr>
      </w:pPr>
      <w:r>
        <w:rPr>
          <w:rFonts w:hint="eastAsia" w:ascii="宋体" w:hAnsi="宋体" w:cs="宋体"/>
          <w:color w:val="auto"/>
          <w:kern w:val="0"/>
          <w:szCs w:val="21"/>
          <w:highlight w:val="none"/>
        </w:rPr>
        <w:t>（4）不同供应商联系人为同一人或不同联系人的联系电话一致，且无法合理解释的。</w:t>
      </w:r>
    </w:p>
    <w:p w14:paraId="4C090407">
      <w:pPr>
        <w:pStyle w:val="3"/>
        <w:pageBreakBefore w:val="0"/>
        <w:kinsoku/>
        <w:wordWrap/>
        <w:overflowPunct/>
        <w:topLinePunct w:val="0"/>
        <w:autoSpaceDE/>
        <w:autoSpaceDN/>
        <w:bidi w:val="0"/>
        <w:snapToGrid w:val="0"/>
        <w:spacing w:line="288" w:lineRule="auto"/>
        <w:ind w:firstLine="413" w:firstLineChars="196"/>
        <w:textAlignment w:val="auto"/>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557547F2">
      <w:pPr>
        <w:pStyle w:val="3"/>
        <w:pageBreakBefore w:val="0"/>
        <w:kinsoku/>
        <w:wordWrap/>
        <w:overflowPunct/>
        <w:topLinePunct w:val="0"/>
        <w:autoSpaceDE/>
        <w:autoSpaceDN/>
        <w:bidi w:val="0"/>
        <w:snapToGrid w:val="0"/>
        <w:spacing w:line="288" w:lineRule="auto"/>
        <w:textAlignment w:val="auto"/>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0B747291">
      <w:pPr>
        <w:pStyle w:val="3"/>
        <w:pageBreakBefore w:val="0"/>
        <w:kinsoku/>
        <w:wordWrap/>
        <w:overflowPunct/>
        <w:topLinePunct w:val="0"/>
        <w:autoSpaceDE/>
        <w:autoSpaceDN/>
        <w:bidi w:val="0"/>
        <w:snapToGrid w:val="0"/>
        <w:spacing w:line="288" w:lineRule="auto"/>
        <w:textAlignment w:val="auto"/>
        <w:rPr>
          <w:rFonts w:cs="宋体"/>
          <w:color w:val="auto"/>
          <w:sz w:val="21"/>
          <w:szCs w:val="21"/>
          <w:highlight w:val="none"/>
        </w:rPr>
      </w:pPr>
      <w:r>
        <w:rPr>
          <w:rFonts w:hint="eastAsia" w:cs="宋体"/>
          <w:color w:val="auto"/>
          <w:sz w:val="21"/>
          <w:szCs w:val="21"/>
          <w:highlight w:val="none"/>
        </w:rPr>
        <w:t>5.2出现影响采购公正的违法、违规行为的；</w:t>
      </w:r>
    </w:p>
    <w:p w14:paraId="223DDEEC">
      <w:pPr>
        <w:pStyle w:val="3"/>
        <w:pageBreakBefore w:val="0"/>
        <w:kinsoku/>
        <w:wordWrap/>
        <w:overflowPunct/>
        <w:topLinePunct w:val="0"/>
        <w:autoSpaceDE/>
        <w:autoSpaceDN/>
        <w:bidi w:val="0"/>
        <w:snapToGrid w:val="0"/>
        <w:spacing w:line="288" w:lineRule="auto"/>
        <w:textAlignment w:val="auto"/>
        <w:rPr>
          <w:rFonts w:cs="宋体"/>
          <w:color w:val="auto"/>
          <w:sz w:val="21"/>
          <w:szCs w:val="21"/>
          <w:highlight w:val="none"/>
        </w:rPr>
      </w:pPr>
      <w:r>
        <w:rPr>
          <w:rFonts w:hint="eastAsia" w:cs="宋体"/>
          <w:color w:val="auto"/>
          <w:sz w:val="21"/>
          <w:szCs w:val="21"/>
          <w:highlight w:val="none"/>
        </w:rPr>
        <w:t>5.3投标人的报价均超过了采购预算，采购人不能支付的；</w:t>
      </w:r>
    </w:p>
    <w:p w14:paraId="292F47BF">
      <w:pPr>
        <w:pStyle w:val="3"/>
        <w:pageBreakBefore w:val="0"/>
        <w:kinsoku/>
        <w:wordWrap/>
        <w:overflowPunct/>
        <w:topLinePunct w:val="0"/>
        <w:autoSpaceDE/>
        <w:autoSpaceDN/>
        <w:bidi w:val="0"/>
        <w:snapToGrid w:val="0"/>
        <w:spacing w:line="288" w:lineRule="auto"/>
        <w:textAlignment w:val="auto"/>
        <w:rPr>
          <w:rFonts w:cs="宋体"/>
          <w:color w:val="auto"/>
          <w:sz w:val="21"/>
          <w:szCs w:val="21"/>
          <w:highlight w:val="none"/>
        </w:rPr>
      </w:pPr>
      <w:r>
        <w:rPr>
          <w:rFonts w:hint="eastAsia" w:cs="宋体"/>
          <w:color w:val="auto"/>
          <w:sz w:val="21"/>
          <w:szCs w:val="21"/>
          <w:highlight w:val="none"/>
        </w:rPr>
        <w:t>5.4因重大变故，采购任务取消的。</w:t>
      </w:r>
    </w:p>
    <w:p w14:paraId="440F00CC">
      <w:pPr>
        <w:pStyle w:val="3"/>
        <w:pageBreakBefore w:val="0"/>
        <w:kinsoku/>
        <w:wordWrap/>
        <w:overflowPunct/>
        <w:topLinePunct w:val="0"/>
        <w:autoSpaceDE/>
        <w:autoSpaceDN/>
        <w:bidi w:val="0"/>
        <w:snapToGrid w:val="0"/>
        <w:spacing w:line="288" w:lineRule="auto"/>
        <w:textAlignment w:val="auto"/>
        <w:rPr>
          <w:rFonts w:cs="宋体"/>
          <w:color w:val="auto"/>
          <w:sz w:val="21"/>
          <w:szCs w:val="21"/>
          <w:highlight w:val="none"/>
        </w:rPr>
      </w:pPr>
      <w:r>
        <w:rPr>
          <w:rFonts w:hint="eastAsia" w:cs="宋体"/>
          <w:color w:val="auto"/>
          <w:sz w:val="21"/>
          <w:szCs w:val="21"/>
          <w:highlight w:val="none"/>
        </w:rPr>
        <w:t>废标后，</w:t>
      </w:r>
      <w:r>
        <w:rPr>
          <w:rFonts w:hint="eastAsia" w:cs="宋体"/>
          <w:color w:val="auto"/>
          <w:sz w:val="21"/>
          <w:szCs w:val="21"/>
          <w:highlight w:val="none"/>
          <w:lang w:eastAsia="zh-CN"/>
        </w:rPr>
        <w:t>采购代理机构</w:t>
      </w:r>
      <w:r>
        <w:rPr>
          <w:rFonts w:hint="eastAsia" w:cs="宋体"/>
          <w:color w:val="auto"/>
          <w:sz w:val="21"/>
          <w:szCs w:val="21"/>
          <w:highlight w:val="none"/>
        </w:rPr>
        <w:t>应当将废标理由通知所有投标人。</w:t>
      </w:r>
    </w:p>
    <w:p w14:paraId="77E2884A">
      <w:pPr>
        <w:pStyle w:val="3"/>
        <w:pageBreakBefore w:val="0"/>
        <w:kinsoku/>
        <w:wordWrap/>
        <w:overflowPunct/>
        <w:topLinePunct w:val="0"/>
        <w:autoSpaceDE/>
        <w:autoSpaceDN/>
        <w:bidi w:val="0"/>
        <w:snapToGrid w:val="0"/>
        <w:spacing w:line="288" w:lineRule="auto"/>
        <w:ind w:firstLine="517" w:firstLineChars="245"/>
        <w:textAlignment w:val="auto"/>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cs="宋体"/>
          <w:color w:val="auto"/>
          <w:sz w:val="21"/>
          <w:szCs w:val="21"/>
          <w:highlight w:val="none"/>
          <w:lang w:eastAsia="zh-CN"/>
        </w:rPr>
        <w:t>采购代理机构</w:t>
      </w:r>
      <w:r>
        <w:rPr>
          <w:rFonts w:hint="eastAsia" w:cs="宋体"/>
          <w:color w:val="auto"/>
          <w:sz w:val="21"/>
          <w:szCs w:val="21"/>
          <w:highlight w:val="none"/>
        </w:rPr>
        <w:t>沟通并作书面记录。采购人、</w:t>
      </w:r>
      <w:r>
        <w:rPr>
          <w:rFonts w:hint="eastAsia" w:cs="宋体"/>
          <w:color w:val="auto"/>
          <w:sz w:val="21"/>
          <w:szCs w:val="21"/>
          <w:highlight w:val="none"/>
          <w:lang w:eastAsia="zh-CN"/>
        </w:rPr>
        <w:t>采购代理机构</w:t>
      </w:r>
      <w:r>
        <w:rPr>
          <w:rFonts w:hint="eastAsia" w:cs="宋体"/>
          <w:color w:val="auto"/>
          <w:sz w:val="21"/>
          <w:szCs w:val="21"/>
          <w:highlight w:val="none"/>
        </w:rPr>
        <w:t>确认后，将修改招标文件，重新组织采购活动。</w:t>
      </w:r>
    </w:p>
    <w:p w14:paraId="73AF823C">
      <w:pPr>
        <w:pStyle w:val="3"/>
        <w:pageBreakBefore w:val="0"/>
        <w:kinsoku/>
        <w:wordWrap/>
        <w:overflowPunct/>
        <w:topLinePunct w:val="0"/>
        <w:autoSpaceDE/>
        <w:autoSpaceDN/>
        <w:bidi w:val="0"/>
        <w:snapToGrid w:val="0"/>
        <w:spacing w:line="288" w:lineRule="auto"/>
        <w:ind w:firstLine="482"/>
        <w:textAlignment w:val="auto"/>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693538E1">
      <w:pPr>
        <w:pStyle w:val="3"/>
        <w:pageBreakBefore w:val="0"/>
        <w:kinsoku/>
        <w:wordWrap/>
        <w:overflowPunct/>
        <w:topLinePunct w:val="0"/>
        <w:autoSpaceDE/>
        <w:autoSpaceDN/>
        <w:bidi w:val="0"/>
        <w:snapToGrid w:val="0"/>
        <w:spacing w:line="288" w:lineRule="auto"/>
        <w:textAlignment w:val="auto"/>
        <w:rPr>
          <w:rFonts w:cs="宋体"/>
          <w:color w:val="auto"/>
          <w:sz w:val="21"/>
          <w:szCs w:val="21"/>
          <w:highlight w:val="none"/>
        </w:rPr>
      </w:pPr>
      <w:r>
        <w:rPr>
          <w:rFonts w:hint="eastAsia" w:cs="宋体"/>
          <w:color w:val="auto"/>
          <w:sz w:val="21"/>
          <w:szCs w:val="21"/>
          <w:highlight w:val="none"/>
        </w:rPr>
        <w:t>7.1未确定中标供应商的，终止本次政府采购活动，重新开展政府采购活动。</w:t>
      </w:r>
    </w:p>
    <w:p w14:paraId="6662DC00">
      <w:pPr>
        <w:pStyle w:val="3"/>
        <w:pageBreakBefore w:val="0"/>
        <w:kinsoku/>
        <w:wordWrap/>
        <w:overflowPunct/>
        <w:topLinePunct w:val="0"/>
        <w:autoSpaceDE/>
        <w:autoSpaceDN/>
        <w:bidi w:val="0"/>
        <w:snapToGrid w:val="0"/>
        <w:spacing w:line="288" w:lineRule="auto"/>
        <w:textAlignment w:val="auto"/>
        <w:rPr>
          <w:rFonts w:cs="宋体"/>
          <w:color w:val="auto"/>
          <w:sz w:val="21"/>
          <w:szCs w:val="21"/>
          <w:highlight w:val="none"/>
        </w:rPr>
      </w:pPr>
      <w:r>
        <w:rPr>
          <w:rFonts w:hint="eastAsia"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281B2917">
      <w:pPr>
        <w:pStyle w:val="3"/>
        <w:pageBreakBefore w:val="0"/>
        <w:kinsoku/>
        <w:wordWrap/>
        <w:overflowPunct/>
        <w:topLinePunct w:val="0"/>
        <w:autoSpaceDE/>
        <w:autoSpaceDN/>
        <w:bidi w:val="0"/>
        <w:snapToGrid w:val="0"/>
        <w:spacing w:line="288" w:lineRule="auto"/>
        <w:textAlignment w:val="auto"/>
        <w:rPr>
          <w:rFonts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7.3政府采购合同已签订但尚未履行的，撤销合同，从合格的中标候选人中另行确定中标供应商；没有合格的中标候选人的，重新开展政府采购活动。</w:t>
      </w:r>
    </w:p>
    <w:p w14:paraId="0AAD886F">
      <w:pPr>
        <w:pStyle w:val="3"/>
        <w:pageBreakBefore w:val="0"/>
        <w:kinsoku/>
        <w:wordWrap/>
        <w:overflowPunct/>
        <w:topLinePunct w:val="0"/>
        <w:autoSpaceDE/>
        <w:autoSpaceDN/>
        <w:bidi w:val="0"/>
        <w:snapToGrid w:val="0"/>
        <w:spacing w:line="288" w:lineRule="auto"/>
        <w:textAlignment w:val="auto"/>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5E13CADE">
      <w:pPr>
        <w:pStyle w:val="3"/>
        <w:pageBreakBefore w:val="0"/>
        <w:kinsoku/>
        <w:wordWrap/>
        <w:overflowPunct/>
        <w:topLinePunct w:val="0"/>
        <w:autoSpaceDE/>
        <w:autoSpaceDN/>
        <w:bidi w:val="0"/>
        <w:snapToGrid w:val="0"/>
        <w:spacing w:line="288" w:lineRule="auto"/>
        <w:textAlignment w:val="auto"/>
        <w:rPr>
          <w:rFonts w:cs="宋体"/>
          <w:color w:val="auto"/>
          <w:sz w:val="21"/>
          <w:szCs w:val="21"/>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2DFD47CE">
      <w:pPr>
        <w:rPr>
          <w:rFonts w:hint="eastAsia" w:ascii="宋体" w:hAnsi="宋体" w:cs="宋体"/>
          <w:b/>
          <w:color w:val="auto"/>
          <w:sz w:val="32"/>
          <w:szCs w:val="32"/>
          <w:highlight w:val="none"/>
        </w:rPr>
      </w:pPr>
      <w:bookmarkStart w:id="395" w:name="第五部分"/>
      <w:bookmarkStart w:id="396" w:name="_Toc86217003"/>
      <w:r>
        <w:rPr>
          <w:rFonts w:hint="eastAsia" w:ascii="宋体" w:hAnsi="宋体" w:cs="宋体"/>
          <w:b/>
          <w:color w:val="auto"/>
          <w:sz w:val="32"/>
          <w:szCs w:val="32"/>
          <w:highlight w:val="none"/>
        </w:rPr>
        <w:br w:type="page"/>
      </w:r>
    </w:p>
    <w:p w14:paraId="527ED24F">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第五部分 拟签订的合同文本</w:t>
      </w:r>
    </w:p>
    <w:p w14:paraId="44FE8239">
      <w:pPr>
        <w:adjustRightInd w:val="0"/>
        <w:snapToGrid w:val="0"/>
        <w:spacing w:line="360" w:lineRule="auto"/>
        <w:rPr>
          <w:rFonts w:ascii="宋体" w:hAnsi="宋体" w:eastAsia="宋体" w:cs="Times New Roman"/>
          <w:b/>
          <w:bCs/>
          <w:color w:val="auto"/>
          <w:spacing w:val="0"/>
          <w:szCs w:val="21"/>
          <w:highlight w:val="none"/>
        </w:rPr>
      </w:pPr>
      <w:r>
        <w:rPr>
          <w:rFonts w:hint="eastAsia" w:ascii="宋体" w:hAnsi="宋体" w:eastAsia="宋体" w:cs="Times New Roman"/>
          <w:b/>
          <w:bCs/>
          <w:color w:val="auto"/>
          <w:spacing w:val="0"/>
          <w:szCs w:val="21"/>
          <w:highlight w:val="none"/>
        </w:rPr>
        <w:t>项目名称：</w:t>
      </w:r>
      <w:r>
        <w:rPr>
          <w:rFonts w:hint="eastAsia" w:ascii="宋体" w:hAnsi="宋体" w:cs="Times New Roman"/>
          <w:b/>
          <w:bCs/>
          <w:color w:val="auto"/>
          <w:spacing w:val="0"/>
          <w:szCs w:val="21"/>
          <w:highlight w:val="none"/>
          <w:lang w:eastAsia="zh-CN"/>
        </w:rPr>
        <w:t>社会热点信息报送服务项目(重新招标)</w:t>
      </w:r>
    </w:p>
    <w:p w14:paraId="669259D7">
      <w:pPr>
        <w:adjustRightInd w:val="0"/>
        <w:snapToGrid w:val="0"/>
        <w:spacing w:line="360" w:lineRule="auto"/>
        <w:rPr>
          <w:rFonts w:ascii="宋体" w:hAnsi="宋体" w:eastAsia="宋体" w:cs="Times New Roman"/>
          <w:b/>
          <w:bCs/>
          <w:color w:val="auto"/>
          <w:spacing w:val="0"/>
          <w:szCs w:val="21"/>
          <w:highlight w:val="none"/>
        </w:rPr>
      </w:pPr>
      <w:r>
        <w:rPr>
          <w:rFonts w:hint="eastAsia" w:ascii="宋体" w:hAnsi="宋体" w:eastAsia="宋体" w:cs="Times New Roman"/>
          <w:b/>
          <w:bCs/>
          <w:color w:val="auto"/>
          <w:spacing w:val="0"/>
          <w:szCs w:val="21"/>
          <w:highlight w:val="none"/>
        </w:rPr>
        <w:t>项目编号：</w:t>
      </w:r>
    </w:p>
    <w:p w14:paraId="3F26FA23">
      <w:pPr>
        <w:adjustRightInd w:val="0"/>
        <w:snapToGrid w:val="0"/>
        <w:spacing w:line="360" w:lineRule="auto"/>
        <w:rPr>
          <w:rFonts w:ascii="宋体" w:hAnsi="宋体" w:eastAsia="宋体" w:cs="Times New Roman"/>
          <w:b/>
          <w:bCs/>
          <w:color w:val="auto"/>
          <w:spacing w:val="0"/>
          <w:szCs w:val="21"/>
          <w:highlight w:val="none"/>
        </w:rPr>
      </w:pPr>
      <w:r>
        <w:rPr>
          <w:rFonts w:hint="eastAsia" w:ascii="宋体" w:hAnsi="宋体" w:eastAsia="宋体" w:cs="Times New Roman"/>
          <w:b/>
          <w:bCs/>
          <w:color w:val="auto"/>
          <w:spacing w:val="0"/>
          <w:szCs w:val="21"/>
          <w:highlight w:val="none"/>
          <w:lang w:val="en-US" w:eastAsia="zh-CN"/>
        </w:rPr>
        <w:t>确认书号</w:t>
      </w:r>
      <w:r>
        <w:rPr>
          <w:rFonts w:hint="eastAsia" w:ascii="宋体" w:hAnsi="宋体" w:eastAsia="宋体" w:cs="Times New Roman"/>
          <w:b/>
          <w:bCs/>
          <w:color w:val="auto"/>
          <w:spacing w:val="0"/>
          <w:szCs w:val="21"/>
          <w:highlight w:val="none"/>
        </w:rPr>
        <w:t>：</w:t>
      </w:r>
      <w:r>
        <w:rPr>
          <w:rFonts w:hint="eastAsia" w:ascii="宋体" w:hAnsi="宋体" w:eastAsia="宋体" w:cs="Times New Roman"/>
          <w:b/>
          <w:bCs/>
          <w:color w:val="auto"/>
          <w:spacing w:val="0"/>
          <w:szCs w:val="21"/>
          <w:highlight w:val="none"/>
        </w:rPr>
        <w:fldChar w:fldCharType="begin"/>
      </w:r>
      <w:r>
        <w:rPr>
          <w:rFonts w:hint="eastAsia" w:ascii="宋体" w:hAnsi="宋体" w:eastAsia="宋体" w:cs="Times New Roman"/>
          <w:b/>
          <w:bCs/>
          <w:color w:val="auto"/>
          <w:spacing w:val="0"/>
          <w:szCs w:val="21"/>
          <w:highlight w:val="none"/>
        </w:rPr>
        <w:instrText xml:space="preserve"> HYPERLINK "https://pay.zcygov.cn/purchaseplan_front/" \l "/plan/list/view?id=1000000000014961706&amp;_app_=zcy.procurement" \t "https://www.zcygov.cn/delegation-order/_procurement_/order/_blank" </w:instrText>
      </w:r>
      <w:r>
        <w:rPr>
          <w:rFonts w:hint="eastAsia" w:ascii="宋体" w:hAnsi="宋体" w:eastAsia="宋体" w:cs="Times New Roman"/>
          <w:b/>
          <w:bCs/>
          <w:color w:val="auto"/>
          <w:spacing w:val="0"/>
          <w:szCs w:val="21"/>
          <w:highlight w:val="none"/>
        </w:rPr>
        <w:fldChar w:fldCharType="separate"/>
      </w:r>
      <w:r>
        <w:rPr>
          <w:rFonts w:hint="eastAsia" w:ascii="宋体" w:hAnsi="宋体" w:eastAsia="宋体" w:cs="Times New Roman"/>
          <w:b/>
          <w:bCs/>
          <w:color w:val="auto"/>
          <w:spacing w:val="0"/>
          <w:szCs w:val="21"/>
          <w:highlight w:val="none"/>
        </w:rPr>
        <w:t>临[2024]3652号</w:t>
      </w:r>
      <w:r>
        <w:rPr>
          <w:rFonts w:hint="eastAsia" w:ascii="宋体" w:hAnsi="宋体" w:eastAsia="宋体" w:cs="Times New Roman"/>
          <w:b/>
          <w:bCs/>
          <w:color w:val="auto"/>
          <w:spacing w:val="0"/>
          <w:szCs w:val="21"/>
          <w:highlight w:val="none"/>
        </w:rPr>
        <w:fldChar w:fldCharType="end"/>
      </w:r>
    </w:p>
    <w:p w14:paraId="38984B99">
      <w:pPr>
        <w:adjustRightInd w:val="0"/>
        <w:snapToGrid w:val="0"/>
        <w:spacing w:line="360" w:lineRule="auto"/>
        <w:rPr>
          <w:rFonts w:hint="default" w:ascii="宋体" w:hAnsi="宋体" w:eastAsia="宋体" w:cs="Times New Roman"/>
          <w:b/>
          <w:bCs/>
          <w:color w:val="auto"/>
          <w:spacing w:val="0"/>
          <w:szCs w:val="21"/>
          <w:highlight w:val="none"/>
          <w:lang w:val="en-US" w:eastAsia="zh-CN"/>
        </w:rPr>
      </w:pPr>
      <w:r>
        <w:rPr>
          <w:rFonts w:hint="eastAsia" w:ascii="宋体" w:hAnsi="宋体" w:eastAsia="宋体" w:cs="Times New Roman"/>
          <w:b/>
          <w:bCs/>
          <w:color w:val="auto"/>
          <w:spacing w:val="0"/>
          <w:szCs w:val="21"/>
          <w:highlight w:val="none"/>
        </w:rPr>
        <w:t>甲方（需方）：</w:t>
      </w:r>
      <w:r>
        <w:rPr>
          <w:rFonts w:hint="eastAsia" w:ascii="宋体" w:hAnsi="宋体" w:eastAsia="宋体" w:cs="Times New Roman"/>
          <w:b/>
          <w:bCs/>
          <w:color w:val="auto"/>
          <w:spacing w:val="0"/>
          <w:szCs w:val="21"/>
          <w:highlight w:val="none"/>
          <w:lang w:val="en-US" w:eastAsia="zh-CN"/>
        </w:rPr>
        <w:t>中共杭州市钱塘区委宣传部</w:t>
      </w:r>
    </w:p>
    <w:p w14:paraId="06DAE72A">
      <w:pPr>
        <w:adjustRightInd w:val="0"/>
        <w:snapToGrid w:val="0"/>
        <w:spacing w:line="360" w:lineRule="auto"/>
        <w:rPr>
          <w:rFonts w:ascii="宋体" w:hAnsi="宋体" w:eastAsia="宋体" w:cs="Times New Roman"/>
          <w:b/>
          <w:bCs/>
          <w:color w:val="auto"/>
          <w:spacing w:val="0"/>
          <w:szCs w:val="21"/>
          <w:highlight w:val="none"/>
        </w:rPr>
      </w:pPr>
      <w:r>
        <w:rPr>
          <w:rFonts w:hint="eastAsia" w:ascii="宋体" w:hAnsi="宋体" w:eastAsia="宋体" w:cs="Times New Roman"/>
          <w:b/>
          <w:bCs/>
          <w:color w:val="auto"/>
          <w:spacing w:val="0"/>
          <w:szCs w:val="21"/>
          <w:highlight w:val="none"/>
        </w:rPr>
        <w:t>乙方（供方）：</w:t>
      </w:r>
    </w:p>
    <w:p w14:paraId="3B63DA7B">
      <w:pPr>
        <w:adjustRightInd w:val="0"/>
        <w:snapToGrid w:val="0"/>
        <w:spacing w:line="360" w:lineRule="auto"/>
        <w:rPr>
          <w:rFonts w:hint="default" w:ascii="宋体" w:hAnsi="宋体" w:eastAsia="宋体" w:cs="Times New Roman"/>
          <w:b/>
          <w:bCs/>
          <w:color w:val="auto"/>
          <w:spacing w:val="0"/>
          <w:szCs w:val="21"/>
          <w:highlight w:val="none"/>
          <w:lang w:val="en-US" w:eastAsia="zh-CN"/>
        </w:rPr>
      </w:pPr>
      <w:r>
        <w:rPr>
          <w:rFonts w:hint="eastAsia" w:ascii="宋体" w:hAnsi="宋体" w:eastAsia="宋体" w:cs="Times New Roman"/>
          <w:b/>
          <w:bCs/>
          <w:color w:val="auto"/>
          <w:spacing w:val="0"/>
          <w:szCs w:val="21"/>
          <w:highlight w:val="none"/>
        </w:rPr>
        <w:t>采购代理机构：</w:t>
      </w:r>
      <w:r>
        <w:rPr>
          <w:rFonts w:hint="eastAsia" w:ascii="宋体" w:hAnsi="宋体" w:eastAsia="宋体" w:cs="Times New Roman"/>
          <w:b/>
          <w:bCs/>
          <w:color w:val="auto"/>
          <w:spacing w:val="0"/>
          <w:szCs w:val="21"/>
          <w:highlight w:val="none"/>
          <w:lang w:val="en-US" w:eastAsia="zh-CN"/>
        </w:rPr>
        <w:t>浙江求是招标代理有限公司</w:t>
      </w:r>
    </w:p>
    <w:p w14:paraId="636E628A">
      <w:pPr>
        <w:adjustRightInd w:val="0"/>
        <w:snapToGrid w:val="0"/>
        <w:spacing w:line="360" w:lineRule="auto"/>
        <w:rPr>
          <w:rFonts w:ascii="宋体" w:hAnsi="宋体" w:eastAsia="宋体" w:cs="Times New Roman"/>
          <w:color w:val="auto"/>
          <w:spacing w:val="-6"/>
          <w:szCs w:val="21"/>
          <w:highlight w:val="none"/>
        </w:rPr>
      </w:pPr>
    </w:p>
    <w:p w14:paraId="13C5B8D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pacing w:val="0"/>
          <w:szCs w:val="21"/>
          <w:highlight w:val="none"/>
        </w:rPr>
        <w:t>根据《中华人民共和国民法典》</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《中华人民共和国政府采购法》等</w:t>
      </w:r>
      <w:r>
        <w:rPr>
          <w:rFonts w:hint="eastAsia" w:ascii="宋体" w:hAnsi="宋体" w:eastAsia="宋体" w:cs="宋体"/>
          <w:color w:val="auto"/>
          <w:spacing w:val="0"/>
          <w:szCs w:val="21"/>
          <w:highlight w:val="none"/>
          <w:lang w:val="en-US" w:eastAsia="zh-CN"/>
        </w:rPr>
        <w:t>有关</w:t>
      </w:r>
      <w:r>
        <w:rPr>
          <w:rFonts w:hint="eastAsia" w:ascii="宋体" w:hAnsi="宋体" w:eastAsia="宋体" w:cs="宋体"/>
          <w:color w:val="auto"/>
          <w:spacing w:val="0"/>
          <w:szCs w:val="21"/>
          <w:highlight w:val="none"/>
        </w:rPr>
        <w:t>法律法规规定，</w:t>
      </w:r>
      <w:r>
        <w:rPr>
          <w:rFonts w:hint="eastAsia" w:ascii="宋体" w:hAnsi="宋体" w:eastAsia="宋体" w:cs="宋体"/>
          <w:color w:val="auto"/>
          <w:szCs w:val="21"/>
          <w:highlight w:val="none"/>
        </w:rPr>
        <w:t>＿＿＿＿＿＿＿＿受</w:t>
      </w:r>
      <w:r>
        <w:rPr>
          <w:rFonts w:hint="eastAsia" w:ascii="宋体" w:hAnsi="宋体" w:eastAsia="宋体" w:cs="宋体"/>
          <w:color w:val="auto"/>
          <w:szCs w:val="21"/>
          <w:highlight w:val="none"/>
          <w:lang w:eastAsia="zh-CN"/>
        </w:rPr>
        <w:t>中共杭州市钱塘区委宣传部</w:t>
      </w:r>
      <w:r>
        <w:rPr>
          <w:rFonts w:hint="eastAsia" w:ascii="宋体" w:hAnsi="宋体" w:eastAsia="宋体" w:cs="宋体"/>
          <w:color w:val="auto"/>
          <w:szCs w:val="21"/>
          <w:highlight w:val="none"/>
        </w:rPr>
        <w:t>委托，对＿＿＿＿项目通过＿＿＿＿方式采购，确定＿＿＿＿＿＿＿＿＿＿为成交单位，甲、乙双方友好协商，达成以下条款：</w:t>
      </w:r>
    </w:p>
    <w:p w14:paraId="0334024A">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hAnsi="宋体" w:eastAsia="宋体" w:cs="宋体"/>
          <w:b/>
          <w:color w:val="auto"/>
          <w:sz w:val="21"/>
          <w:szCs w:val="21"/>
          <w:highlight w:val="none"/>
        </w:rPr>
      </w:pPr>
    </w:p>
    <w:p w14:paraId="1B640C0D">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rPr>
        <w:t>一</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服务内容和要求</w:t>
      </w:r>
    </w:p>
    <w:p w14:paraId="1AC0F83A">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 </w:t>
      </w:r>
    </w:p>
    <w:p w14:paraId="5FBDDB2F">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w:t>
      </w:r>
    </w:p>
    <w:p w14:paraId="16EF5E53">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w:t>
      </w:r>
    </w:p>
    <w:p w14:paraId="6702C6EA">
      <w:pPr>
        <w:pStyle w:val="27"/>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（乙方承诺的其他服务内容，如有，请填写；</w:t>
      </w:r>
      <w:r>
        <w:rPr>
          <w:rFonts w:hint="eastAsia" w:ascii="宋体" w:hAnsi="宋体" w:eastAsia="宋体" w:cs="宋体"/>
          <w:color w:val="auto"/>
          <w:sz w:val="21"/>
          <w:szCs w:val="21"/>
          <w:highlight w:val="none"/>
          <w:lang w:val="en-US" w:eastAsia="zh-CN"/>
        </w:rPr>
        <w:t>服务内容</w:t>
      </w:r>
      <w:r>
        <w:rPr>
          <w:rFonts w:hint="eastAsia" w:ascii="宋体" w:hAnsi="宋体" w:eastAsia="宋体" w:cs="宋体"/>
          <w:color w:val="auto"/>
          <w:sz w:val="21"/>
          <w:szCs w:val="21"/>
          <w:highlight w:val="none"/>
        </w:rPr>
        <w:t>报价清单</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另附</w:t>
      </w:r>
      <w:r>
        <w:rPr>
          <w:rFonts w:hint="eastAsia" w:ascii="宋体" w:hAnsi="宋体" w:eastAsia="宋体" w:cs="宋体"/>
          <w:color w:val="auto"/>
          <w:sz w:val="21"/>
          <w:szCs w:val="21"/>
          <w:highlight w:val="none"/>
          <w:lang w:val="en-US" w:eastAsia="zh-CN"/>
        </w:rPr>
        <w:t>页</w:t>
      </w:r>
      <w:r>
        <w:rPr>
          <w:rFonts w:hint="eastAsia" w:ascii="宋体" w:hAnsi="宋体" w:eastAsia="宋体" w:cs="宋体"/>
          <w:color w:val="auto"/>
          <w:sz w:val="21"/>
          <w:szCs w:val="21"/>
          <w:highlight w:val="none"/>
        </w:rPr>
        <w:t>）</w:t>
      </w:r>
    </w:p>
    <w:p w14:paraId="4FA3FFB1">
      <w:pPr>
        <w:pStyle w:val="27"/>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hint="eastAsia"/>
          <w:color w:val="auto"/>
          <w:sz w:val="21"/>
          <w:szCs w:val="21"/>
          <w:highlight w:val="none"/>
        </w:rPr>
      </w:pPr>
    </w:p>
    <w:p w14:paraId="330A74A1">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rPr>
        <w:t>二</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合同履行时间、履行地点和合同金额</w:t>
      </w:r>
    </w:p>
    <w:p w14:paraId="3E69248F">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1.履行时间：＿＿＿＿＿＿＿＿＿＿＿＿＿＿＿＿； </w:t>
      </w:r>
    </w:p>
    <w:p w14:paraId="3BC3948D">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2.履行地点：＿＿＿＿＿＿＿＿＿＿＿＿＿＿＿＿；</w:t>
      </w:r>
    </w:p>
    <w:p w14:paraId="5601C1A1">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3.本合同金额为（大写）：＿＿＿＿＿＿＿元（￥元）人民币。本合同的价款为含税价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已包含乙方为履行本合同义务所需的全部费用，除甲、乙双方重新达成书面一致外，甲方不再向乙方支付其它任何费用</w:t>
      </w:r>
      <w:r>
        <w:rPr>
          <w:rFonts w:hint="eastAsia" w:ascii="宋体" w:hAnsi="宋体" w:eastAsia="宋体" w:cs="宋体"/>
          <w:color w:val="auto"/>
          <w:szCs w:val="21"/>
          <w:highlight w:val="none"/>
        </w:rPr>
        <w:t>。</w:t>
      </w:r>
    </w:p>
    <w:p w14:paraId="54A781A1">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rPr>
        <w:t>三</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履约保证金和款项支付</w:t>
      </w:r>
    </w:p>
    <w:p w14:paraId="00585429">
      <w:pPr>
        <w:keepNext w:val="0"/>
        <w:keepLines w:val="0"/>
        <w:pageBreakBefore w:val="0"/>
        <w:widowControl/>
        <w:kinsoku/>
        <w:wordWrap/>
        <w:overflowPunct/>
        <w:topLinePunct w:val="0"/>
        <w:autoSpaceDE/>
        <w:autoSpaceDN/>
        <w:bidi w:val="0"/>
        <w:spacing w:beforeLines="0" w:afterLines="0" w:line="360" w:lineRule="auto"/>
        <w:ind w:left="0" w:leftChars="0" w:right="0" w:rightChars="0" w:firstLine="420" w:firstLineChars="200"/>
        <w:textAlignment w:val="auto"/>
        <w:rPr>
          <w:rFonts w:hint="eastAsia" w:cs="仿宋" w:asciiTheme="minorEastAsia" w:hAnsiTheme="minorEastAsia"/>
          <w:color w:val="auto"/>
          <w:szCs w:val="21"/>
          <w:highlight w:val="none"/>
          <w:lang w:eastAsia="zh-CN"/>
        </w:rPr>
      </w:pPr>
    </w:p>
    <w:p w14:paraId="3AAE6AC3">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rPr>
        <w:t>四、技术资料</w:t>
      </w:r>
    </w:p>
    <w:p w14:paraId="4237A430">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1.乙方应按</w:t>
      </w:r>
      <w:r>
        <w:rPr>
          <w:rFonts w:hint="eastAsia" w:hAnsi="宋体" w:eastAsia="宋体" w:cs="宋体"/>
          <w:color w:val="auto"/>
          <w:sz w:val="21"/>
          <w:szCs w:val="21"/>
          <w:highlight w:val="none"/>
          <w:lang w:eastAsia="zh-CN"/>
        </w:rPr>
        <w:t>采购文件</w:t>
      </w:r>
      <w:r>
        <w:rPr>
          <w:rFonts w:hint="eastAsia" w:hAnsi="宋体" w:eastAsia="宋体" w:cs="宋体"/>
          <w:color w:val="auto"/>
          <w:sz w:val="21"/>
          <w:szCs w:val="21"/>
          <w:highlight w:val="none"/>
        </w:rPr>
        <w:t>规定的时间向甲方提供有关技术资料。</w:t>
      </w:r>
    </w:p>
    <w:p w14:paraId="094C6035">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462D2122">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bCs/>
          <w:color w:val="auto"/>
          <w:sz w:val="21"/>
          <w:szCs w:val="21"/>
          <w:highlight w:val="none"/>
        </w:rPr>
      </w:pPr>
      <w:r>
        <w:rPr>
          <w:rFonts w:hint="eastAsia" w:hAnsi="宋体" w:eastAsia="宋体" w:cs="宋体"/>
          <w:color w:val="auto"/>
          <w:sz w:val="21"/>
          <w:szCs w:val="21"/>
          <w:highlight w:val="none"/>
        </w:rPr>
        <w:t>3.乙方应保证提供服务过程中不会侵犯任何第三方的知识产权</w:t>
      </w:r>
      <w:r>
        <w:rPr>
          <w:rFonts w:hint="eastAsia" w:hAnsi="宋体" w:eastAsia="宋体" w:cs="宋体"/>
          <w:bCs/>
          <w:color w:val="auto"/>
          <w:sz w:val="21"/>
          <w:szCs w:val="21"/>
          <w:highlight w:val="none"/>
        </w:rPr>
        <w:t>，否则甲方有权解除本合同，拒绝支付合同价款</w:t>
      </w:r>
      <w:r>
        <w:rPr>
          <w:rFonts w:hint="eastAsia" w:hAnsi="宋体" w:eastAsia="宋体" w:cs="宋体"/>
          <w:bCs/>
          <w:color w:val="auto"/>
          <w:sz w:val="21"/>
          <w:szCs w:val="21"/>
          <w:highlight w:val="none"/>
          <w:lang w:eastAsia="zh-CN"/>
        </w:rPr>
        <w:t>（</w:t>
      </w:r>
      <w:r>
        <w:rPr>
          <w:rFonts w:hint="eastAsia" w:hAnsi="宋体" w:eastAsia="宋体" w:cs="宋体"/>
          <w:bCs/>
          <w:color w:val="auto"/>
          <w:sz w:val="21"/>
          <w:szCs w:val="21"/>
          <w:highlight w:val="none"/>
          <w:lang w:val="en-US" w:eastAsia="zh-CN"/>
        </w:rPr>
        <w:t>或要求乙方退还已收款</w:t>
      </w:r>
      <w:r>
        <w:rPr>
          <w:rFonts w:hint="eastAsia" w:hAnsi="宋体" w:eastAsia="宋体" w:cs="宋体"/>
          <w:bCs/>
          <w:color w:val="auto"/>
          <w:sz w:val="21"/>
          <w:szCs w:val="21"/>
          <w:highlight w:val="none"/>
          <w:lang w:eastAsia="zh-CN"/>
        </w:rPr>
        <w:t>）</w:t>
      </w:r>
      <w:r>
        <w:rPr>
          <w:rFonts w:hint="eastAsia" w:hAnsi="宋体" w:eastAsia="宋体" w:cs="宋体"/>
          <w:bCs/>
          <w:color w:val="auto"/>
          <w:sz w:val="21"/>
          <w:szCs w:val="21"/>
          <w:highlight w:val="none"/>
        </w:rPr>
        <w:t>，并要求乙方赔偿所有损失。</w:t>
      </w:r>
    </w:p>
    <w:p w14:paraId="3FC01636">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lang w:val="en-US" w:eastAsia="zh-CN"/>
        </w:rPr>
        <w:t>五</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质量保证及后续服务</w:t>
      </w:r>
    </w:p>
    <w:p w14:paraId="5DF590D8">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1.乙方应按</w:t>
      </w:r>
      <w:r>
        <w:rPr>
          <w:rFonts w:hint="eastAsia" w:hAnsi="宋体" w:eastAsia="宋体" w:cs="宋体"/>
          <w:color w:val="auto"/>
          <w:sz w:val="21"/>
          <w:szCs w:val="21"/>
          <w:highlight w:val="none"/>
          <w:lang w:eastAsia="zh-CN"/>
        </w:rPr>
        <w:t>采购文件</w:t>
      </w:r>
      <w:r>
        <w:rPr>
          <w:rFonts w:hint="eastAsia" w:hAnsi="宋体" w:eastAsia="宋体" w:cs="宋体"/>
          <w:color w:val="auto"/>
          <w:sz w:val="21"/>
          <w:szCs w:val="21"/>
          <w:highlight w:val="none"/>
          <w:lang w:val="en-US" w:eastAsia="zh-CN"/>
        </w:rPr>
        <w:t>及本合同</w:t>
      </w:r>
      <w:r>
        <w:rPr>
          <w:rFonts w:hint="eastAsia" w:hAnsi="宋体" w:eastAsia="宋体" w:cs="宋体"/>
          <w:color w:val="auto"/>
          <w:sz w:val="21"/>
          <w:szCs w:val="21"/>
          <w:highlight w:val="none"/>
        </w:rPr>
        <w:t>规定向甲方提供服务。</w:t>
      </w:r>
    </w:p>
    <w:p w14:paraId="797256EF">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2.乙方提供的服务成果验收不合格的，或在服务质量保证期内出现问题，乙方应负责免费提供后续服务。对达不到服务要求的，根据实际情况，甲方有权自行选择以下办法处理：</w:t>
      </w:r>
    </w:p>
    <w:p w14:paraId="796E6848">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（1）重做：由乙方承担所发生的全部费用，并承担所有损失。</w:t>
      </w:r>
    </w:p>
    <w:p w14:paraId="5DF53336">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（2）解除合同：甲方拒付（或要求乙方退还）合同价款。</w:t>
      </w:r>
    </w:p>
    <w:p w14:paraId="7693E3F4">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3.合同履行期限内，乙方接到甲方通知后</w:t>
      </w:r>
      <w:r>
        <w:rPr>
          <w:rFonts w:hint="eastAsia" w:hAnsi="宋体" w:eastAsia="宋体" w:cs="宋体"/>
          <w:color w:val="auto"/>
          <w:szCs w:val="21"/>
          <w:highlight w:val="none"/>
        </w:rPr>
        <w:t>＿＿</w:t>
      </w:r>
      <w:r>
        <w:rPr>
          <w:rFonts w:hint="eastAsia" w:hAnsi="宋体" w:eastAsia="宋体" w:cs="宋体"/>
          <w:color w:val="auto"/>
          <w:sz w:val="21"/>
          <w:szCs w:val="21"/>
          <w:highlight w:val="none"/>
        </w:rPr>
        <w:t>小时内到达甲方现场，并在</w:t>
      </w:r>
      <w:r>
        <w:rPr>
          <w:rFonts w:hint="eastAsia" w:hAnsi="宋体" w:eastAsia="宋体" w:cs="宋体"/>
          <w:color w:val="auto"/>
          <w:szCs w:val="21"/>
          <w:highlight w:val="none"/>
        </w:rPr>
        <w:t>＿＿</w:t>
      </w:r>
      <w:r>
        <w:rPr>
          <w:rFonts w:hint="eastAsia" w:hAnsi="宋体" w:eastAsia="宋体" w:cs="宋体"/>
          <w:color w:val="auto"/>
          <w:sz w:val="21"/>
          <w:szCs w:val="21"/>
          <w:highlight w:val="none"/>
        </w:rPr>
        <w:t>小时内排除故障。若乙方缺陷修复不及时，甲方有权</w:t>
      </w:r>
      <w:r>
        <w:rPr>
          <w:rFonts w:hint="eastAsia" w:hAnsi="宋体" w:eastAsia="宋体" w:cs="宋体"/>
          <w:color w:val="auto"/>
          <w:sz w:val="21"/>
          <w:szCs w:val="21"/>
          <w:highlight w:val="none"/>
          <w:lang w:val="en-US" w:eastAsia="zh-CN"/>
        </w:rPr>
        <w:t>自行或</w:t>
      </w:r>
      <w:r>
        <w:rPr>
          <w:rFonts w:hint="eastAsia" w:hAnsi="宋体" w:eastAsia="宋体" w:cs="宋体"/>
          <w:color w:val="auto"/>
          <w:sz w:val="21"/>
          <w:szCs w:val="21"/>
          <w:highlight w:val="none"/>
        </w:rPr>
        <w:t>指定第三方修理，费用由乙方承担。</w:t>
      </w:r>
    </w:p>
    <w:p w14:paraId="4026247D">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4.在服务质量保证期内，乙方应对出现的质量及安全问题负责处理解决并承担一切费用。</w:t>
      </w:r>
    </w:p>
    <w:p w14:paraId="17FF47B5">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lang w:val="en-US" w:eastAsia="zh-CN"/>
        </w:rPr>
        <w:t>六</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转包或分包</w:t>
      </w:r>
    </w:p>
    <w:p w14:paraId="1CB69401">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1.本合同范围的服务，应由乙方直接完成，不得转让给任何第三方；</w:t>
      </w:r>
    </w:p>
    <w:p w14:paraId="141632BA">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2.除非得到甲方的书面同意，乙方不得将本合同范围的服务全部或部分转包分包给任何第三方完成；</w:t>
      </w:r>
    </w:p>
    <w:p w14:paraId="40AC9591">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3.乙方转让或转包分包的，甲方有权解除合同和拒付（或要求乙方退还）合同价款，并没收履约保证金和追究乙方的违约责任。</w:t>
      </w:r>
    </w:p>
    <w:p w14:paraId="49C7C058">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rPr>
        <w:t>七</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验收标准</w:t>
      </w:r>
    </w:p>
    <w:p w14:paraId="6582709B">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lang w:val="en-US" w:eastAsia="zh-CN"/>
        </w:rPr>
        <w:t>乙方完成本合同服务内容后</w:t>
      </w:r>
      <w:r>
        <w:rPr>
          <w:rFonts w:hint="eastAsia" w:hAnsi="宋体" w:eastAsia="宋体" w:cs="宋体"/>
          <w:color w:val="auto"/>
          <w:sz w:val="21"/>
          <w:szCs w:val="21"/>
          <w:highlight w:val="none"/>
        </w:rPr>
        <w:t>，乙方按</w:t>
      </w:r>
      <w:r>
        <w:rPr>
          <w:rFonts w:hint="eastAsia" w:hAnsi="宋体" w:eastAsia="宋体" w:cs="宋体"/>
          <w:color w:val="auto"/>
          <w:sz w:val="21"/>
          <w:szCs w:val="21"/>
          <w:highlight w:val="none"/>
          <w:lang w:val="en-US" w:eastAsia="zh-CN"/>
        </w:rPr>
        <w:t>采购</w:t>
      </w:r>
      <w:r>
        <w:rPr>
          <w:rFonts w:hint="eastAsia" w:hAnsi="宋体" w:eastAsia="宋体" w:cs="宋体"/>
          <w:color w:val="auto"/>
          <w:sz w:val="21"/>
          <w:szCs w:val="21"/>
          <w:highlight w:val="none"/>
        </w:rPr>
        <w:t>文件、</w:t>
      </w:r>
      <w:r>
        <w:rPr>
          <w:rFonts w:hint="eastAsia" w:hAnsi="宋体" w:eastAsia="宋体" w:cs="宋体"/>
          <w:color w:val="auto"/>
          <w:sz w:val="21"/>
          <w:szCs w:val="21"/>
          <w:highlight w:val="none"/>
          <w:lang w:val="en-US" w:eastAsia="zh-CN"/>
        </w:rPr>
        <w:t>响应（投标）文件</w:t>
      </w:r>
      <w:r>
        <w:rPr>
          <w:rFonts w:hint="eastAsia" w:hAnsi="宋体" w:eastAsia="宋体" w:cs="宋体"/>
          <w:color w:val="auto"/>
          <w:sz w:val="21"/>
          <w:szCs w:val="21"/>
          <w:highlight w:val="none"/>
        </w:rPr>
        <w:t>及合同中的服务内容和要求提供相应材料并</w:t>
      </w:r>
      <w:r>
        <w:rPr>
          <w:rFonts w:hint="eastAsia" w:hAnsi="宋体" w:eastAsia="宋体" w:cs="宋体"/>
          <w:color w:val="auto"/>
          <w:sz w:val="21"/>
          <w:szCs w:val="21"/>
          <w:highlight w:val="none"/>
          <w:lang w:val="en-US" w:eastAsia="zh-CN"/>
        </w:rPr>
        <w:t>申请</w:t>
      </w:r>
      <w:r>
        <w:rPr>
          <w:rFonts w:hint="eastAsia" w:hAnsi="宋体" w:eastAsia="宋体" w:cs="宋体"/>
          <w:color w:val="auto"/>
          <w:sz w:val="21"/>
          <w:szCs w:val="21"/>
          <w:highlight w:val="none"/>
        </w:rPr>
        <w:t>验收，由甲方对履约情况进行验收。</w:t>
      </w:r>
    </w:p>
    <w:p w14:paraId="00154549">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rPr>
        <w:t>八</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违约责任</w:t>
      </w:r>
    </w:p>
    <w:p w14:paraId="5B678AE6">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1.甲方无正当理由拒绝接受服务的，甲方应向乙方支付合同总价款百分之五的违约金。</w:t>
      </w:r>
    </w:p>
    <w:p w14:paraId="1FB33848">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2.甲方无故逾期付款的，甲方应向乙方按逾期付款金额的万分之五每日支付违约金。</w:t>
      </w:r>
    </w:p>
    <w:p w14:paraId="3DFEBFDD">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auto"/>
          <w:sz w:val="21"/>
          <w:szCs w:val="21"/>
          <w:highlight w:val="none"/>
        </w:rPr>
      </w:pPr>
      <w:r>
        <w:rPr>
          <w:rFonts w:hint="eastAsia" w:hAnsi="宋体" w:eastAsia="宋体" w:cs="宋体"/>
          <w:color w:val="auto"/>
          <w:sz w:val="21"/>
          <w:szCs w:val="21"/>
          <w:highlight w:val="none"/>
        </w:rPr>
        <w:t>3.乙方逾期履行合同义务的，乙方应向甲方每日偿付合同总价</w:t>
      </w:r>
      <w:r>
        <w:rPr>
          <w:rFonts w:hint="eastAsia" w:hAnsi="宋体" w:eastAsia="宋体" w:cs="宋体"/>
          <w:color w:val="auto"/>
          <w:sz w:val="21"/>
          <w:szCs w:val="21"/>
          <w:highlight w:val="none"/>
          <w:lang w:val="en-US" w:eastAsia="zh-CN"/>
        </w:rPr>
        <w:t>万</w:t>
      </w:r>
      <w:r>
        <w:rPr>
          <w:rFonts w:hint="eastAsia" w:hAnsi="宋体" w:eastAsia="宋体" w:cs="宋体"/>
          <w:color w:val="auto"/>
          <w:sz w:val="21"/>
          <w:szCs w:val="21"/>
          <w:highlight w:val="none"/>
        </w:rPr>
        <w:t>分之五的违约金。乙方逾期</w:t>
      </w:r>
      <w:r>
        <w:rPr>
          <w:rFonts w:hint="eastAsia" w:hAnsi="宋体" w:eastAsia="宋体" w:cs="宋体"/>
          <w:color w:val="auto"/>
          <w:sz w:val="21"/>
          <w:szCs w:val="21"/>
          <w:highlight w:val="none"/>
          <w:lang w:val="en-US" w:eastAsia="zh-CN"/>
        </w:rPr>
        <w:t>十</w:t>
      </w:r>
      <w:r>
        <w:rPr>
          <w:rFonts w:hint="eastAsia" w:hAnsi="宋体" w:eastAsia="宋体" w:cs="宋体"/>
          <w:color w:val="auto"/>
          <w:sz w:val="21"/>
          <w:szCs w:val="21"/>
          <w:highlight w:val="none"/>
        </w:rPr>
        <w:t>个工作日及以上履行合同义务的，甲方有权解除本合同，并拒付（或要求乙方退还）合同价款，乙方应按合同总价款的</w:t>
      </w:r>
      <w:r>
        <w:rPr>
          <w:rFonts w:hint="eastAsia" w:hAnsi="宋体" w:eastAsia="宋体" w:cs="宋体"/>
          <w:color w:val="auto"/>
          <w:sz w:val="21"/>
          <w:szCs w:val="21"/>
          <w:highlight w:val="none"/>
          <w:lang w:val="en-US" w:eastAsia="zh-CN"/>
        </w:rPr>
        <w:t>百分之五</w:t>
      </w:r>
      <w:r>
        <w:rPr>
          <w:rFonts w:hint="eastAsia" w:hAnsi="宋体" w:eastAsia="宋体" w:cs="宋体"/>
          <w:color w:val="auto"/>
          <w:sz w:val="21"/>
          <w:szCs w:val="21"/>
          <w:highlight w:val="none"/>
        </w:rPr>
        <w:t>向甲方支付违约金，造成甲方损失的，乙方应承担赔偿责任。</w:t>
      </w:r>
    </w:p>
    <w:p w14:paraId="02875D0A">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4.乙方提供服务无法达到甲方要求的，经甲方催告后仍未纠正或采取补救措施或仍无法达到甲方要求的，甲方有权解除本合同，并拒付（或要求乙方退还）合同价款，乙方应按合同总价款的百分之五向甲方支付违约金，造成甲方损失的，乙方应承担赔偿责任。</w:t>
      </w:r>
    </w:p>
    <w:p w14:paraId="23E70EB6">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5.乙方保障具备履行本合同所需的一切资质，否则甲方有权立即解除本合同，并拒付（或要求乙方退还）合同价款。如因此给甲方造成损失或被行政处罚的，一切责任由乙方承担。</w:t>
      </w:r>
    </w:p>
    <w:p w14:paraId="0CBEDB7A">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6</w:t>
      </w:r>
      <w:r>
        <w:rPr>
          <w:rFonts w:hint="eastAsia" w:hAnsi="宋体" w:eastAsia="宋体" w:cs="宋体"/>
          <w:color w:val="auto"/>
          <w:sz w:val="21"/>
          <w:szCs w:val="21"/>
          <w:highlight w:val="none"/>
        </w:rPr>
        <w:t>.合同履行期内，任何一方因不可抗力事件不能履行合同的，合同履行期限可相应顺延。不可抗力事件发生后，应立即通知对方，并邮寄或送达有关权威机构出具的证明。</w:t>
      </w:r>
    </w:p>
    <w:p w14:paraId="20176215">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7</w:t>
      </w:r>
      <w:r>
        <w:rPr>
          <w:rFonts w:hint="eastAsia" w:hAnsi="宋体" w:eastAsia="宋体" w:cs="宋体"/>
          <w:color w:val="auto"/>
          <w:sz w:val="21"/>
          <w:szCs w:val="21"/>
          <w:highlight w:val="none"/>
        </w:rPr>
        <w:t>.甲方有权从应支付给乙方的款项中扣除乙方应承担的费用（包括但不限于违约金，损害赔偿等），且不视为甲方违约。</w:t>
      </w:r>
    </w:p>
    <w:p w14:paraId="5DC5DC85">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8</w:t>
      </w:r>
      <w:r>
        <w:rPr>
          <w:rFonts w:hint="eastAsia" w:hAnsi="宋体" w:eastAsia="宋体" w:cs="宋体"/>
          <w:color w:val="auto"/>
          <w:sz w:val="21"/>
          <w:szCs w:val="21"/>
          <w:highlight w:val="none"/>
        </w:rPr>
        <w:t>.乙方违约的，除应承担违约损害赔偿外，还应承担甲方为实现权利而支出的合理费用，包括但不限于诉讼费、保全费、鉴定费、律师代理费、执行费、差旅费等。</w:t>
      </w:r>
    </w:p>
    <w:p w14:paraId="4569BF57">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hAnsi="宋体" w:eastAsia="宋体" w:cs="宋体"/>
          <w:b/>
          <w:color w:val="auto"/>
          <w:sz w:val="21"/>
          <w:szCs w:val="21"/>
          <w:highlight w:val="none"/>
          <w:lang w:val="en-US" w:eastAsia="zh-CN"/>
        </w:rPr>
      </w:pPr>
      <w:r>
        <w:rPr>
          <w:rFonts w:hint="eastAsia" w:hAnsi="宋体" w:eastAsia="宋体" w:cs="宋体"/>
          <w:b/>
          <w:color w:val="auto"/>
          <w:sz w:val="21"/>
          <w:szCs w:val="21"/>
          <w:highlight w:val="none"/>
        </w:rPr>
        <w:t>九</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lang w:val="en-US" w:eastAsia="zh-CN"/>
        </w:rPr>
        <w:t>不可抗力事件处理</w:t>
      </w:r>
    </w:p>
    <w:p w14:paraId="1E2300D2">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b w:val="0"/>
          <w:bCs/>
          <w:color w:val="auto"/>
          <w:sz w:val="21"/>
          <w:szCs w:val="21"/>
          <w:highlight w:val="none"/>
          <w:lang w:val="en-US" w:eastAsia="zh-CN"/>
        </w:rPr>
      </w:pPr>
      <w:r>
        <w:rPr>
          <w:rFonts w:hint="default" w:hAnsi="宋体" w:eastAsia="宋体" w:cs="宋体"/>
          <w:b w:val="0"/>
          <w:bCs/>
          <w:color w:val="auto"/>
          <w:sz w:val="21"/>
          <w:szCs w:val="21"/>
          <w:highlight w:val="none"/>
          <w:lang w:val="en-US" w:eastAsia="zh-CN"/>
        </w:rPr>
        <w:t>1.在合同有效期内，任何一方因不可抗力事件导致不能履行合同，则合同履行期可延长，其延长期与不可抗力影响期相同。</w:t>
      </w:r>
    </w:p>
    <w:p w14:paraId="06C4FDB8">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b w:val="0"/>
          <w:bCs/>
          <w:color w:val="auto"/>
          <w:sz w:val="21"/>
          <w:szCs w:val="21"/>
          <w:highlight w:val="none"/>
          <w:lang w:val="en-US" w:eastAsia="zh-CN"/>
        </w:rPr>
      </w:pPr>
      <w:r>
        <w:rPr>
          <w:rFonts w:hint="default" w:hAnsi="宋体" w:eastAsia="宋体" w:cs="宋体"/>
          <w:b w:val="0"/>
          <w:bCs/>
          <w:color w:val="auto"/>
          <w:sz w:val="21"/>
          <w:szCs w:val="21"/>
          <w:highlight w:val="none"/>
          <w:lang w:val="en-US" w:eastAsia="zh-CN"/>
        </w:rPr>
        <w:t>2.不可抗力事件发生后，应立即通知对方，并寄送有关权威机构出具的证明。</w:t>
      </w:r>
    </w:p>
    <w:p w14:paraId="0F872337">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b w:val="0"/>
          <w:bCs/>
          <w:color w:val="auto"/>
          <w:sz w:val="21"/>
          <w:szCs w:val="21"/>
          <w:highlight w:val="none"/>
          <w:lang w:val="en-US" w:eastAsia="zh-CN"/>
        </w:rPr>
      </w:pPr>
      <w:r>
        <w:rPr>
          <w:rFonts w:hint="default" w:hAnsi="宋体" w:eastAsia="宋体" w:cs="宋体"/>
          <w:b w:val="0"/>
          <w:bCs/>
          <w:color w:val="auto"/>
          <w:sz w:val="21"/>
          <w:szCs w:val="21"/>
          <w:highlight w:val="none"/>
          <w:lang w:val="en-US" w:eastAsia="zh-CN"/>
        </w:rPr>
        <w:t>3.不可抗力事件延续120天以上，双方应通过友好协商，确定是否继续履行合同。</w:t>
      </w:r>
    </w:p>
    <w:p w14:paraId="683C643E">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lang w:val="en-US" w:eastAsia="zh-CN"/>
        </w:rPr>
        <w:t>十、</w:t>
      </w:r>
      <w:r>
        <w:rPr>
          <w:rFonts w:hint="eastAsia" w:hAnsi="宋体" w:eastAsia="宋体" w:cs="宋体"/>
          <w:b/>
          <w:color w:val="auto"/>
          <w:sz w:val="21"/>
          <w:szCs w:val="21"/>
          <w:highlight w:val="none"/>
        </w:rPr>
        <w:t>争议的解决</w:t>
      </w:r>
    </w:p>
    <w:p w14:paraId="54609259">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rPr>
        <w:t>本合同未尽事宜由甲、乙双方协商解决。因本合同发生纠纷，甲乙双方应当及时协商解决，如协商不成，任何一方可向甲方所在地人民法院起诉。</w:t>
      </w:r>
    </w:p>
    <w:p w14:paraId="139B9BEA">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hAnsi="宋体" w:eastAsia="宋体" w:cs="宋体"/>
          <w:b/>
          <w:color w:val="auto"/>
          <w:sz w:val="21"/>
          <w:szCs w:val="21"/>
          <w:highlight w:val="none"/>
          <w:lang w:val="en-US" w:eastAsia="zh-CN"/>
        </w:rPr>
      </w:pPr>
      <w:r>
        <w:rPr>
          <w:rFonts w:hint="eastAsia" w:hAnsi="宋体" w:eastAsia="宋体" w:cs="宋体"/>
          <w:b/>
          <w:color w:val="auto"/>
          <w:sz w:val="21"/>
          <w:szCs w:val="21"/>
          <w:highlight w:val="none"/>
          <w:lang w:val="en-US" w:eastAsia="zh-CN"/>
        </w:rPr>
        <w:t>十一、通知与送达</w:t>
      </w:r>
    </w:p>
    <w:p w14:paraId="706FE621">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b w:val="0"/>
          <w:bCs/>
          <w:color w:val="auto"/>
          <w:sz w:val="21"/>
          <w:szCs w:val="21"/>
          <w:highlight w:val="none"/>
          <w:lang w:val="en-US" w:eastAsia="zh-CN"/>
        </w:rPr>
      </w:pPr>
      <w:r>
        <w:rPr>
          <w:rFonts w:hint="default" w:hAnsi="宋体" w:eastAsia="宋体" w:cs="宋体"/>
          <w:b w:val="0"/>
          <w:bCs/>
          <w:color w:val="auto"/>
          <w:sz w:val="21"/>
          <w:szCs w:val="21"/>
          <w:highlight w:val="none"/>
          <w:lang w:val="en-US" w:eastAsia="zh-CN"/>
        </w:rPr>
        <w:t>甲、乙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14:paraId="7DA36164">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b w:val="0"/>
          <w:bCs/>
          <w:color w:val="auto"/>
          <w:sz w:val="21"/>
          <w:szCs w:val="21"/>
          <w:highlight w:val="none"/>
          <w:lang w:val="en-US" w:eastAsia="zh-CN"/>
        </w:rPr>
      </w:pPr>
      <w:r>
        <w:rPr>
          <w:rFonts w:hint="default" w:hAnsi="宋体" w:eastAsia="宋体" w:cs="宋体"/>
          <w:b w:val="0"/>
          <w:bCs/>
          <w:color w:val="auto"/>
          <w:sz w:val="21"/>
          <w:szCs w:val="21"/>
          <w:highlight w:val="none"/>
          <w:lang w:val="en-US" w:eastAsia="zh-CN"/>
        </w:rPr>
        <w:t>如因任何一方约定收件地址变更后未及时通知其他方，导致对方发出的通知无法按时送达，或者在收件地址未变更的情况下，书面通知被以任何原因退回的，视为已送达，相应责任由未及时通知约定联系方式变更的责任方承担。</w:t>
      </w:r>
    </w:p>
    <w:p w14:paraId="082FE491">
      <w:pPr>
        <w:pStyle w:val="33"/>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default" w:hAnsi="宋体" w:eastAsia="宋体" w:cs="宋体"/>
          <w:b/>
          <w:color w:val="auto"/>
          <w:sz w:val="21"/>
          <w:szCs w:val="21"/>
          <w:highlight w:val="none"/>
          <w:lang w:val="en-US" w:eastAsia="zh-CN"/>
        </w:rPr>
      </w:pPr>
      <w:r>
        <w:rPr>
          <w:rFonts w:hint="eastAsia" w:hAnsi="宋体" w:eastAsia="宋体" w:cs="宋体"/>
          <w:b/>
          <w:color w:val="auto"/>
          <w:sz w:val="21"/>
          <w:szCs w:val="21"/>
          <w:highlight w:val="none"/>
        </w:rPr>
        <w:t>十</w:t>
      </w:r>
      <w:r>
        <w:rPr>
          <w:rFonts w:hint="eastAsia" w:hAnsi="宋体" w:eastAsia="宋体" w:cs="宋体"/>
          <w:b/>
          <w:color w:val="auto"/>
          <w:sz w:val="21"/>
          <w:szCs w:val="21"/>
          <w:highlight w:val="none"/>
          <w:lang w:val="en-US" w:eastAsia="zh-CN"/>
        </w:rPr>
        <w:t>二</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合同生效</w:t>
      </w:r>
      <w:r>
        <w:rPr>
          <w:rFonts w:hint="eastAsia" w:hAnsi="宋体" w:eastAsia="宋体" w:cs="宋体"/>
          <w:b/>
          <w:color w:val="auto"/>
          <w:sz w:val="21"/>
          <w:szCs w:val="21"/>
          <w:highlight w:val="none"/>
          <w:lang w:val="en-US" w:eastAsia="zh-CN"/>
        </w:rPr>
        <w:t>及其它</w:t>
      </w:r>
    </w:p>
    <w:p w14:paraId="4DBFA4E4">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rPr>
        <w:t>1.</w:t>
      </w:r>
      <w:r>
        <w:rPr>
          <w:rFonts w:hint="eastAsia" w:ascii="宋体" w:hAnsi="宋体" w:eastAsia="宋体" w:cs="宋体"/>
          <w:color w:val="auto"/>
          <w:spacing w:val="0"/>
          <w:highlight w:val="none"/>
          <w:lang w:val="en-US" w:eastAsia="zh-CN"/>
        </w:rPr>
        <w:t>本</w:t>
      </w:r>
      <w:r>
        <w:rPr>
          <w:rFonts w:hint="eastAsia" w:ascii="宋体" w:hAnsi="宋体" w:eastAsia="宋体" w:cs="宋体"/>
          <w:color w:val="auto"/>
          <w:spacing w:val="0"/>
          <w:highlight w:val="none"/>
        </w:rPr>
        <w:t>合同经</w:t>
      </w:r>
      <w:r>
        <w:rPr>
          <w:rFonts w:hint="eastAsia" w:ascii="宋体" w:hAnsi="宋体" w:eastAsia="宋体" w:cs="宋体"/>
          <w:color w:val="auto"/>
          <w:spacing w:val="0"/>
          <w:highlight w:val="none"/>
          <w:lang w:val="en-US" w:eastAsia="zh-CN"/>
        </w:rPr>
        <w:t>甲、乙、采购代理机构</w:t>
      </w:r>
      <w:r>
        <w:rPr>
          <w:rFonts w:hint="eastAsia" w:ascii="宋体" w:hAnsi="宋体" w:eastAsia="宋体" w:cs="宋体"/>
          <w:color w:val="auto"/>
          <w:spacing w:val="0"/>
          <w:highlight w:val="none"/>
        </w:rPr>
        <w:t>三方法定代表人或</w:t>
      </w:r>
      <w:r>
        <w:rPr>
          <w:rFonts w:hint="eastAsia" w:ascii="宋体" w:hAnsi="宋体" w:eastAsia="宋体" w:cs="宋体"/>
          <w:color w:val="auto"/>
          <w:spacing w:val="0"/>
          <w:highlight w:val="none"/>
          <w:lang w:val="en-US" w:eastAsia="zh-CN"/>
        </w:rPr>
        <w:t>其</w:t>
      </w:r>
      <w:r>
        <w:rPr>
          <w:rFonts w:hint="eastAsia" w:ascii="宋体" w:hAnsi="宋体" w:eastAsia="宋体" w:cs="宋体"/>
          <w:color w:val="auto"/>
          <w:spacing w:val="0"/>
          <w:highlight w:val="none"/>
        </w:rPr>
        <w:t>授权代表签字并</w:t>
      </w:r>
      <w:r>
        <w:rPr>
          <w:rFonts w:hint="eastAsia" w:ascii="宋体" w:hAnsi="宋体" w:eastAsia="宋体" w:cs="宋体"/>
          <w:color w:val="auto"/>
          <w:spacing w:val="0"/>
          <w:highlight w:val="none"/>
          <w:lang w:val="en-US" w:eastAsia="zh-CN"/>
        </w:rPr>
        <w:t>加盖公章/合同专用章</w:t>
      </w:r>
      <w:r>
        <w:rPr>
          <w:rFonts w:hint="eastAsia" w:ascii="宋体" w:hAnsi="宋体" w:eastAsia="宋体" w:cs="宋体"/>
          <w:color w:val="auto"/>
          <w:spacing w:val="0"/>
          <w:highlight w:val="none"/>
        </w:rPr>
        <w:t>后生效。</w:t>
      </w:r>
    </w:p>
    <w:p w14:paraId="3269F6B1">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2</w:t>
      </w:r>
      <w:r>
        <w:rPr>
          <w:rFonts w:hint="eastAsia" w:ascii="宋体" w:hAnsi="宋体" w:eastAsia="宋体" w:cs="宋体"/>
          <w:color w:val="auto"/>
          <w:spacing w:val="0"/>
          <w:highlight w:val="none"/>
        </w:rPr>
        <w:t>.本合同未尽事宜，遵照《民法典》有关条文执行。</w:t>
      </w:r>
    </w:p>
    <w:p w14:paraId="26ED6A72">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3</w:t>
      </w:r>
      <w:r>
        <w:rPr>
          <w:rFonts w:hint="eastAsia" w:ascii="宋体" w:hAnsi="宋体" w:eastAsia="宋体" w:cs="宋体"/>
          <w:color w:val="auto"/>
          <w:spacing w:val="0"/>
          <w:highlight w:val="none"/>
        </w:rPr>
        <w:t>.本合同一式</w:t>
      </w:r>
      <w:r>
        <w:rPr>
          <w:rFonts w:hint="eastAsia" w:ascii="宋体" w:hAnsi="宋体" w:eastAsia="宋体" w:cs="宋体"/>
          <w:color w:val="auto"/>
          <w:spacing w:val="0"/>
          <w:highlight w:val="none"/>
          <w:lang w:val="en-US" w:eastAsia="zh-CN"/>
        </w:rPr>
        <w:t>陆</w:t>
      </w:r>
      <w:r>
        <w:rPr>
          <w:rFonts w:hint="eastAsia" w:ascii="宋体" w:hAnsi="宋体" w:eastAsia="宋体" w:cs="宋体"/>
          <w:color w:val="auto"/>
          <w:spacing w:val="0"/>
          <w:highlight w:val="none"/>
        </w:rPr>
        <w:t>份，甲方执叁份</w:t>
      </w: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rPr>
        <w:t>乙方</w:t>
      </w:r>
      <w:r>
        <w:rPr>
          <w:rFonts w:hint="eastAsia" w:ascii="宋体" w:hAnsi="宋体" w:eastAsia="宋体" w:cs="宋体"/>
          <w:color w:val="auto"/>
          <w:spacing w:val="0"/>
          <w:highlight w:val="none"/>
          <w:lang w:val="en-US" w:eastAsia="zh-CN"/>
        </w:rPr>
        <w:t>执贰份，</w:t>
      </w:r>
      <w:r>
        <w:rPr>
          <w:rFonts w:hint="eastAsia" w:ascii="宋体" w:hAnsi="宋体" w:eastAsia="宋体" w:cs="宋体"/>
          <w:color w:val="auto"/>
          <w:spacing w:val="0"/>
          <w:highlight w:val="none"/>
        </w:rPr>
        <w:t>采购代理机构执壹份，</w:t>
      </w:r>
      <w:r>
        <w:rPr>
          <w:rFonts w:hint="eastAsia" w:ascii="宋体" w:hAnsi="宋体" w:eastAsia="宋体" w:cs="宋体"/>
          <w:color w:val="auto"/>
          <w:spacing w:val="0"/>
          <w:highlight w:val="none"/>
          <w:lang w:val="en-US" w:eastAsia="zh-CN"/>
        </w:rPr>
        <w:t>具有同等法律效力</w:t>
      </w:r>
      <w:r>
        <w:rPr>
          <w:rFonts w:hint="eastAsia" w:ascii="宋体" w:hAnsi="宋体" w:eastAsia="宋体" w:cs="宋体"/>
          <w:color w:val="auto"/>
          <w:spacing w:val="0"/>
          <w:highlight w:val="none"/>
        </w:rPr>
        <w:t>。</w:t>
      </w:r>
    </w:p>
    <w:p w14:paraId="6A0BEBE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b w:val="0"/>
          <w:bCs/>
          <w:color w:val="auto"/>
          <w:spacing w:val="0"/>
          <w:highlight w:val="none"/>
          <w:lang w:val="en-US" w:eastAsia="zh-CN"/>
        </w:rPr>
        <w:t>4</w:t>
      </w:r>
      <w:r>
        <w:rPr>
          <w:rFonts w:hint="eastAsia" w:ascii="宋体" w:hAnsi="宋体" w:eastAsia="宋体" w:cs="宋体"/>
          <w:b w:val="0"/>
          <w:bCs/>
          <w:color w:val="auto"/>
          <w:spacing w:val="0"/>
          <w:highlight w:val="none"/>
        </w:rPr>
        <w:t>.</w:t>
      </w:r>
      <w:r>
        <w:rPr>
          <w:rFonts w:hint="eastAsia" w:ascii="宋体" w:hAnsi="宋体" w:eastAsia="宋体" w:cs="宋体"/>
          <w:b w:val="0"/>
          <w:bCs/>
          <w:color w:val="auto"/>
          <w:spacing w:val="0"/>
          <w:highlight w:val="none"/>
          <w:lang w:val="en-US" w:eastAsia="zh-CN"/>
        </w:rPr>
        <w:t>与</w:t>
      </w:r>
      <w:r>
        <w:rPr>
          <w:rFonts w:hint="eastAsia" w:ascii="宋体" w:hAnsi="宋体" w:eastAsia="宋体" w:cs="宋体"/>
          <w:color w:val="auto"/>
          <w:spacing w:val="0"/>
          <w:szCs w:val="21"/>
          <w:highlight w:val="none"/>
        </w:rPr>
        <w:t>本</w:t>
      </w:r>
      <w:r>
        <w:rPr>
          <w:rFonts w:hint="eastAsia" w:ascii="宋体" w:hAnsi="宋体" w:eastAsia="宋体" w:cs="宋体"/>
          <w:color w:val="auto"/>
          <w:spacing w:val="0"/>
          <w:szCs w:val="21"/>
          <w:highlight w:val="none"/>
          <w:lang w:val="en-US" w:eastAsia="zh-CN"/>
        </w:rPr>
        <w:t>合同有关的采购</w:t>
      </w:r>
      <w:r>
        <w:rPr>
          <w:rFonts w:hint="eastAsia" w:ascii="宋体" w:hAnsi="宋体" w:eastAsia="宋体" w:cs="宋体"/>
          <w:color w:val="auto"/>
          <w:spacing w:val="0"/>
          <w:szCs w:val="21"/>
          <w:highlight w:val="none"/>
        </w:rPr>
        <w:t>文件、</w:t>
      </w:r>
      <w:r>
        <w:rPr>
          <w:rFonts w:hint="eastAsia" w:ascii="宋体" w:hAnsi="宋体" w:eastAsia="宋体" w:cs="宋体"/>
          <w:color w:val="auto"/>
          <w:spacing w:val="0"/>
          <w:szCs w:val="21"/>
          <w:highlight w:val="none"/>
          <w:lang w:val="en-US" w:eastAsia="zh-CN"/>
        </w:rPr>
        <w:t>响应（投标）文件</w:t>
      </w: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记录等</w:t>
      </w:r>
      <w:r>
        <w:rPr>
          <w:rFonts w:hint="eastAsia" w:ascii="宋体" w:hAnsi="宋体" w:eastAsia="宋体" w:cs="宋体"/>
          <w:color w:val="auto"/>
          <w:spacing w:val="0"/>
          <w:szCs w:val="21"/>
          <w:highlight w:val="none"/>
        </w:rPr>
        <w:t>，与本合同具有同等法律效力。</w:t>
      </w:r>
    </w:p>
    <w:p w14:paraId="08751A1B">
      <w:pPr>
        <w:pStyle w:val="27"/>
        <w:spacing w:line="360" w:lineRule="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以下无正文</w:t>
      </w:r>
      <w:r>
        <w:rPr>
          <w:rFonts w:hint="eastAsia" w:ascii="宋体" w:hAnsi="宋体" w:eastAsia="宋体" w:cs="宋体"/>
          <w:color w:val="auto"/>
          <w:spacing w:val="-6"/>
          <w:sz w:val="21"/>
          <w:szCs w:val="21"/>
          <w:highlight w:val="none"/>
          <w:lang w:eastAsia="zh-CN"/>
        </w:rPr>
        <w:t>）</w:t>
      </w:r>
    </w:p>
    <w:p w14:paraId="5F80DE2A">
      <w:pPr>
        <w:pStyle w:val="27"/>
        <w:spacing w:line="360" w:lineRule="auto"/>
        <w:rPr>
          <w:rFonts w:ascii="宋体" w:hAnsi="宋体" w:eastAsia="宋体" w:cs="Times New Roman"/>
          <w:color w:val="auto"/>
          <w:spacing w:val="-6"/>
          <w:sz w:val="24"/>
          <w:szCs w:val="24"/>
          <w:highlight w:val="none"/>
        </w:rPr>
      </w:pPr>
    </w:p>
    <w:tbl>
      <w:tblPr>
        <w:tblStyle w:val="6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523F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9BBDC6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w:t>
            </w:r>
            <w:r>
              <w:rPr>
                <w:rFonts w:hint="eastAsia" w:ascii="宋体" w:hAnsi="宋体" w:eastAsia="宋体" w:cs="Times New Roman"/>
                <w:color w:val="auto"/>
                <w:spacing w:val="-6"/>
                <w:szCs w:val="21"/>
                <w:highlight w:val="none"/>
                <w:lang w:eastAsia="zh-CN"/>
              </w:rPr>
              <w:t>中共杭州市钱塘区委宣传部</w:t>
            </w:r>
            <w:r>
              <w:rPr>
                <w:rFonts w:hint="eastAsia" w:ascii="宋体" w:hAnsi="宋体" w:eastAsia="宋体" w:cs="Times New Roman"/>
                <w:color w:val="auto"/>
                <w:spacing w:val="-6"/>
                <w:szCs w:val="21"/>
                <w:highlight w:val="none"/>
              </w:rPr>
              <w:t>（公章/合同专用章）</w:t>
            </w:r>
          </w:p>
        </w:tc>
        <w:tc>
          <w:tcPr>
            <w:tcW w:w="4678" w:type="dxa"/>
            <w:vAlign w:val="center"/>
          </w:tcPr>
          <w:p w14:paraId="0080F763">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         （公章/合同专用章）</w:t>
            </w:r>
          </w:p>
        </w:tc>
      </w:tr>
      <w:tr w14:paraId="2970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1BD811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法定代表人或授权代表：</w:t>
            </w:r>
          </w:p>
          <w:p w14:paraId="1CA1B58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14:paraId="55F35427">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法定代表人或授权代表：</w:t>
            </w:r>
          </w:p>
          <w:p w14:paraId="69856F1C">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08BC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BCB43AA">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14:paraId="435D64E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6A00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7D2DBEB">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4B4FDC41">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5E11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FB20379">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604C57F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3078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AC018E3">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14:paraId="71B471A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14:paraId="7DD0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9CD3FE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6C554742">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14:paraId="0530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5B097A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            （公章/合同专用章）</w:t>
            </w:r>
          </w:p>
        </w:tc>
      </w:tr>
      <w:tr w14:paraId="56E1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42C9A4A">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采购代理机构法定代表人或授权代表：</w:t>
            </w:r>
          </w:p>
          <w:p w14:paraId="3C950DF2">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0E8C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FAA6BE0">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w:t>
            </w:r>
          </w:p>
        </w:tc>
      </w:tr>
      <w:tr w14:paraId="674E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D6C3C63">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电话：</w:t>
            </w:r>
          </w:p>
        </w:tc>
      </w:tr>
      <w:tr w14:paraId="16B4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D7DA4C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14:paraId="1A9D614C">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61113F21">
      <w:pPr>
        <w:keepNext w:val="0"/>
        <w:keepLines w:val="0"/>
        <w:pageBreakBefore w:val="0"/>
        <w:widowControl/>
        <w:kinsoku/>
        <w:wordWrap/>
        <w:overflowPunct/>
        <w:topLinePunct w:val="0"/>
        <w:autoSpaceDE/>
        <w:autoSpaceDN/>
        <w:bidi w:val="0"/>
        <w:adjustRightInd/>
        <w:snapToGrid/>
        <w:jc w:val="center"/>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第六部分</w:t>
      </w:r>
      <w:bookmarkEnd w:id="395"/>
      <w:r>
        <w:rPr>
          <w:rFonts w:hint="eastAsia" w:ascii="宋体" w:hAnsi="宋体" w:cs="宋体"/>
          <w:b/>
          <w:color w:val="auto"/>
          <w:sz w:val="32"/>
          <w:szCs w:val="32"/>
          <w:highlight w:val="none"/>
        </w:rPr>
        <w:t xml:space="preserve"> </w:t>
      </w:r>
      <w:bookmarkEnd w:id="396"/>
      <w:r>
        <w:rPr>
          <w:rFonts w:hint="eastAsia" w:ascii="宋体" w:hAnsi="宋体" w:cs="宋体"/>
          <w:b/>
          <w:color w:val="auto"/>
          <w:sz w:val="32"/>
          <w:szCs w:val="32"/>
          <w:highlight w:val="none"/>
        </w:rPr>
        <w:t>应提交的有关格式范例</w:t>
      </w:r>
    </w:p>
    <w:p w14:paraId="4E1886AD">
      <w:pPr>
        <w:bidi w:val="0"/>
        <w:rPr>
          <w:color w:val="auto"/>
          <w:highlight w:val="none"/>
        </w:rPr>
      </w:pPr>
    </w:p>
    <w:p w14:paraId="634D033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1"/>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资格文件部分</w:t>
      </w:r>
    </w:p>
    <w:p w14:paraId="38252B3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目录</w:t>
      </w:r>
    </w:p>
    <w:p w14:paraId="13984912">
      <w:pPr>
        <w:bidi w:val="0"/>
        <w:rPr>
          <w:color w:val="auto"/>
          <w:highlight w:val="none"/>
        </w:rPr>
      </w:pPr>
    </w:p>
    <w:p w14:paraId="773EDCF8">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（1）符合参加政府采购活动应当具备的一般条件的承诺函……………（页码）</w:t>
      </w:r>
    </w:p>
    <w:p w14:paraId="36935604">
      <w:pPr>
        <w:snapToGrid w:val="0"/>
        <w:spacing w:line="360" w:lineRule="auto"/>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（2）联合协议</w:t>
      </w:r>
      <w:r>
        <w:rPr>
          <w:rFonts w:hint="eastAsia" w:ascii="宋体" w:hAnsi="宋体" w:cs="宋体"/>
          <w:color w:val="auto"/>
          <w:sz w:val="21"/>
          <w:szCs w:val="21"/>
          <w:highlight w:val="none"/>
        </w:rPr>
        <w:t>………………………………………………………………（页码）</w:t>
      </w:r>
    </w:p>
    <w:p w14:paraId="50E005B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）落实政府采购政策需满足的资格要求………………………………（页码）</w:t>
      </w:r>
    </w:p>
    <w:p w14:paraId="47F5A615">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）本项目的特定资格要求………………………………………………（页码）</w:t>
      </w:r>
    </w:p>
    <w:p w14:paraId="44B824D0">
      <w:pPr>
        <w:snapToGrid w:val="0"/>
        <w:spacing w:line="360" w:lineRule="auto"/>
        <w:ind w:firstLine="480" w:firstLineChars="200"/>
        <w:rPr>
          <w:rFonts w:ascii="宋体" w:hAnsi="宋体" w:cs="宋体"/>
          <w:color w:val="auto"/>
          <w:sz w:val="24"/>
          <w:highlight w:val="none"/>
        </w:rPr>
      </w:pPr>
    </w:p>
    <w:p w14:paraId="19DF3DCD">
      <w:pPr>
        <w:spacing w:line="360" w:lineRule="auto"/>
        <w:ind w:firstLine="480" w:firstLineChars="200"/>
        <w:rPr>
          <w:rFonts w:ascii="宋体" w:hAnsi="宋体" w:cs="宋体"/>
          <w:color w:val="auto"/>
          <w:sz w:val="24"/>
          <w:highlight w:val="none"/>
        </w:rPr>
      </w:pPr>
    </w:p>
    <w:p w14:paraId="37E4C71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482" w:rightChars="0"/>
        <w:jc w:val="center"/>
        <w:textAlignment w:val="auto"/>
        <w:outlineLvl w:val="2"/>
        <w:rPr>
          <w:color w:val="auto"/>
          <w:highlight w:val="none"/>
        </w:rPr>
      </w:pPr>
      <w:r>
        <w:rPr>
          <w:rFonts w:hint="eastAsia" w:ascii="宋体" w:hAnsi="宋体" w:cs="宋体"/>
          <w:color w:val="auto"/>
          <w:kern w:val="0"/>
          <w:sz w:val="24"/>
          <w:highlight w:val="none"/>
        </w:rPr>
        <w:br w:type="page"/>
      </w:r>
      <w:r>
        <w:rPr>
          <w:rFonts w:hint="eastAsia" w:ascii="宋体" w:hAnsi="宋体" w:cs="宋体"/>
          <w:color w:val="auto"/>
          <w:kern w:val="0"/>
          <w:sz w:val="24"/>
          <w:highlight w:val="none"/>
          <w:lang w:val="en-US" w:eastAsia="zh-CN"/>
        </w:rPr>
        <w:t>一、</w:t>
      </w:r>
      <w:r>
        <w:rPr>
          <w:rFonts w:hint="eastAsia" w:ascii="宋体" w:hAnsi="宋体" w:cs="宋体"/>
          <w:b/>
          <w:color w:val="auto"/>
          <w:kern w:val="0"/>
          <w:sz w:val="21"/>
          <w:szCs w:val="21"/>
          <w:highlight w:val="none"/>
        </w:rPr>
        <w:t>符合参加政府采购活动应当具备的一般条件的承诺函</w:t>
      </w:r>
      <w:r>
        <w:rPr>
          <w:rFonts w:hint="eastAsia" w:ascii="宋体" w:hAnsi="宋体" w:eastAsia="宋体" w:cs="宋体"/>
          <w:b/>
          <w:bCs/>
          <w:color w:val="auto"/>
          <w:sz w:val="21"/>
          <w:szCs w:val="21"/>
          <w:highlight w:val="none"/>
        </w:rPr>
        <w:t>（▲联合体投标的、联合体各方均须提供）</w:t>
      </w:r>
    </w:p>
    <w:p w14:paraId="0982DBC1">
      <w:pPr>
        <w:snapToGrid w:val="0"/>
        <w:spacing w:line="360" w:lineRule="auto"/>
        <w:rPr>
          <w:rFonts w:hint="eastAsia" w:ascii="宋体" w:hAnsi="宋体" w:cs="宋体"/>
          <w:color w:val="auto"/>
          <w:sz w:val="21"/>
          <w:szCs w:val="21"/>
          <w:highlight w:val="none"/>
        </w:rPr>
      </w:pPr>
    </w:p>
    <w:p w14:paraId="1DFB061B">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中共杭州市钱塘区委宣传部</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sz w:val="21"/>
          <w:szCs w:val="21"/>
          <w:highlight w:val="none"/>
        </w:rPr>
        <w:t>：</w:t>
      </w:r>
    </w:p>
    <w:p w14:paraId="1819105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lang w:eastAsia="zh-CN"/>
        </w:rPr>
        <w:t>社会热点信息报送服务项目(重新招标)</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QTCG-GK-2024-289(2)</w:t>
      </w:r>
      <w:r>
        <w:rPr>
          <w:rFonts w:hint="eastAsia" w:ascii="宋体" w:hAnsi="宋体" w:cs="宋体"/>
          <w:color w:val="auto"/>
          <w:sz w:val="21"/>
          <w:szCs w:val="21"/>
          <w:highlight w:val="none"/>
        </w:rPr>
        <w:t>】政府采购活动，郑重承诺：</w:t>
      </w:r>
    </w:p>
    <w:p w14:paraId="6C127CBD">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1E44883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354ED20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47D51A4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46EEB1F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1DBA929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3070C7D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77B102C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19BB57C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564D122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7408D6C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28B3BF51">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投标人名称(电子签名)：</w:t>
      </w:r>
    </w:p>
    <w:p w14:paraId="6AB6FCE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0412E84F">
      <w:pPr>
        <w:snapToGrid w:val="0"/>
        <w:spacing w:line="360" w:lineRule="auto"/>
        <w:ind w:right="480"/>
        <w:jc w:val="center"/>
        <w:rPr>
          <w:rFonts w:ascii="宋体" w:hAnsi="宋体" w:cs="宋体"/>
          <w:b/>
          <w:color w:val="auto"/>
          <w:kern w:val="0"/>
          <w:sz w:val="32"/>
          <w:szCs w:val="32"/>
          <w:highlight w:val="none"/>
        </w:rPr>
      </w:pPr>
    </w:p>
    <w:p w14:paraId="0E2064DB">
      <w:pPr>
        <w:snapToGrid w:val="0"/>
        <w:spacing w:line="360" w:lineRule="auto"/>
        <w:ind w:right="480"/>
        <w:jc w:val="center"/>
        <w:rPr>
          <w:rFonts w:ascii="宋体" w:hAnsi="宋体" w:cs="宋体"/>
          <w:b/>
          <w:color w:val="auto"/>
          <w:kern w:val="0"/>
          <w:sz w:val="32"/>
          <w:szCs w:val="32"/>
          <w:highlight w:val="none"/>
        </w:rPr>
      </w:pPr>
    </w:p>
    <w:p w14:paraId="059ABB0E">
      <w:pPr>
        <w:snapToGrid w:val="0"/>
        <w:spacing w:line="360" w:lineRule="auto"/>
        <w:ind w:right="480"/>
        <w:jc w:val="center"/>
        <w:rPr>
          <w:rFonts w:ascii="宋体" w:hAnsi="宋体" w:cs="宋体"/>
          <w:b/>
          <w:color w:val="auto"/>
          <w:kern w:val="0"/>
          <w:sz w:val="32"/>
          <w:szCs w:val="32"/>
          <w:highlight w:val="none"/>
        </w:rPr>
      </w:pPr>
    </w:p>
    <w:p w14:paraId="659F4070">
      <w:pPr>
        <w:rPr>
          <w:rFonts w:ascii="宋体" w:hAnsi="宋体" w:cs="宋体"/>
          <w:color w:val="auto"/>
          <w:highlight w:val="none"/>
        </w:rPr>
      </w:pPr>
    </w:p>
    <w:p w14:paraId="05F4A00F">
      <w:pPr>
        <w:snapToGrid w:val="0"/>
        <w:spacing w:line="360" w:lineRule="auto"/>
        <w:ind w:right="480"/>
        <w:jc w:val="center"/>
        <w:rPr>
          <w:rFonts w:ascii="宋体" w:hAnsi="宋体" w:cs="宋体"/>
          <w:b/>
          <w:color w:val="auto"/>
          <w:kern w:val="0"/>
          <w:sz w:val="32"/>
          <w:szCs w:val="32"/>
          <w:highlight w:val="none"/>
        </w:rPr>
      </w:pPr>
    </w:p>
    <w:p w14:paraId="02A20237">
      <w:pPr>
        <w:snapToGrid w:val="0"/>
        <w:spacing w:line="360" w:lineRule="auto"/>
        <w:ind w:right="480"/>
        <w:jc w:val="center"/>
        <w:rPr>
          <w:rFonts w:ascii="宋体" w:hAnsi="宋体" w:cs="宋体"/>
          <w:b/>
          <w:color w:val="auto"/>
          <w:kern w:val="0"/>
          <w:sz w:val="32"/>
          <w:szCs w:val="32"/>
          <w:highlight w:val="none"/>
        </w:rPr>
      </w:pPr>
    </w:p>
    <w:p w14:paraId="1A93B803">
      <w:pPr>
        <w:snapToGrid w:val="0"/>
        <w:spacing w:line="360" w:lineRule="auto"/>
        <w:ind w:right="480"/>
        <w:jc w:val="center"/>
        <w:rPr>
          <w:rFonts w:ascii="宋体" w:hAnsi="宋体" w:cs="宋体"/>
          <w:b/>
          <w:color w:val="auto"/>
          <w:kern w:val="0"/>
          <w:sz w:val="32"/>
          <w:szCs w:val="32"/>
          <w:highlight w:val="none"/>
        </w:rPr>
      </w:pPr>
    </w:p>
    <w:p w14:paraId="778FB6D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F1A12E7">
      <w:pPr>
        <w:keepNext w:val="0"/>
        <w:keepLines w:val="0"/>
        <w:pageBreakBefore w:val="0"/>
        <w:widowControl/>
        <w:kinsoku/>
        <w:wordWrap/>
        <w:overflowPunct/>
        <w:topLinePunct w:val="0"/>
        <w:autoSpaceDE/>
        <w:autoSpaceDN/>
        <w:bidi w:val="0"/>
        <w:adjustRightInd w:val="0"/>
        <w:snapToGrid/>
        <w:spacing w:line="360" w:lineRule="auto"/>
        <w:ind w:firstLine="422" w:firstLineChars="200"/>
        <w:jc w:val="center"/>
        <w:textAlignment w:val="auto"/>
        <w:outlineLvl w:val="2"/>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二、联合协议（如果有）</w:t>
      </w:r>
    </w:p>
    <w:p w14:paraId="5D78B49A">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[以联合体形式投标的，提供联合协议（附件5）；本项目不接受联合体投标或者投标人不以联合体形式投标的，则不需要提供）]</w:t>
      </w:r>
    </w:p>
    <w:p w14:paraId="69FC527A">
      <w:pPr>
        <w:snapToGrid w:val="0"/>
        <w:spacing w:line="360" w:lineRule="auto"/>
        <w:ind w:right="480"/>
        <w:jc w:val="center"/>
        <w:rPr>
          <w:rFonts w:ascii="宋体" w:hAnsi="宋体" w:cs="宋体"/>
          <w:b/>
          <w:color w:val="auto"/>
          <w:kern w:val="0"/>
          <w:sz w:val="32"/>
          <w:szCs w:val="32"/>
          <w:highlight w:val="none"/>
        </w:rPr>
      </w:pPr>
    </w:p>
    <w:p w14:paraId="2EDD86EF">
      <w:pPr>
        <w:snapToGrid w:val="0"/>
        <w:spacing w:line="360" w:lineRule="auto"/>
        <w:ind w:right="480"/>
        <w:jc w:val="center"/>
        <w:rPr>
          <w:rFonts w:ascii="宋体" w:hAnsi="宋体" w:cs="宋体"/>
          <w:b/>
          <w:color w:val="auto"/>
          <w:kern w:val="0"/>
          <w:sz w:val="32"/>
          <w:szCs w:val="32"/>
          <w:highlight w:val="none"/>
        </w:rPr>
      </w:pPr>
    </w:p>
    <w:p w14:paraId="54C7E2A9">
      <w:pPr>
        <w:keepNext w:val="0"/>
        <w:keepLines w:val="0"/>
        <w:pageBreakBefore w:val="0"/>
        <w:widowControl w:val="0"/>
        <w:kinsoku/>
        <w:wordWrap/>
        <w:overflowPunct/>
        <w:topLinePunct w:val="0"/>
        <w:autoSpaceDE/>
        <w:autoSpaceDN/>
        <w:bidi w:val="0"/>
        <w:adjustRightInd w:val="0"/>
        <w:snapToGrid w:val="0"/>
        <w:spacing w:line="360" w:lineRule="auto"/>
        <w:ind w:right="482"/>
        <w:jc w:val="center"/>
        <w:textAlignment w:val="auto"/>
        <w:outlineLvl w:val="2"/>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三、落实政府采购政策需满足的资格要求</w:t>
      </w:r>
    </w:p>
    <w:p w14:paraId="2010876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（根据招标公告落实政府采购政策需满足的资格要求选择提供相应的材料；未要求的，无需提供）</w:t>
      </w:r>
    </w:p>
    <w:p w14:paraId="6AEFC883">
      <w:pPr>
        <w:snapToGrid w:val="0"/>
        <w:spacing w:before="50" w:after="50"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A</w:t>
      </w:r>
      <w:r>
        <w:rPr>
          <w:rFonts w:hint="eastAsia" w:ascii="宋体" w:hAnsi="宋体" w:cs="宋体"/>
          <w:color w:val="auto"/>
          <w:sz w:val="21"/>
          <w:szCs w:val="21"/>
          <w:highlight w:val="none"/>
        </w:rPr>
        <w:t>.专门面向中小企业，服务全部由符合政策要求的中小企业（或小微企业）承接的，提供相应的中小企业声明函（附件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 xml:space="preserve">）。 </w:t>
      </w:r>
    </w:p>
    <w:p w14:paraId="116D344D">
      <w:pPr>
        <w:widowControl/>
        <w:spacing w:line="360" w:lineRule="auto"/>
        <w:ind w:firstLine="480"/>
        <w:jc w:val="left"/>
        <w:rPr>
          <w:rFonts w:ascii="宋体" w:hAnsi="宋体" w:cs="宋体"/>
          <w:color w:val="auto"/>
          <w:sz w:val="21"/>
          <w:szCs w:val="21"/>
          <w:highlight w:val="none"/>
        </w:rPr>
      </w:pPr>
    </w:p>
    <w:p w14:paraId="0A7A072F">
      <w:pPr>
        <w:widowControl/>
        <w:spacing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B.</w:t>
      </w:r>
      <w:r>
        <w:rPr>
          <w:rFonts w:hint="eastAsia" w:ascii="宋体" w:hAnsi="宋体" w:cs="宋体"/>
          <w:color w:val="auto"/>
          <w:sz w:val="21"/>
          <w:szCs w:val="21"/>
          <w:highlight w:val="none"/>
        </w:rPr>
        <w:t>要求以联合体形式参加的，提供联合协议（附件</w:t>
      </w:r>
      <w:r>
        <w:rPr>
          <w:rFonts w:ascii="宋体" w:hAnsi="宋体" w:cs="宋体"/>
          <w:color w:val="auto"/>
          <w:sz w:val="21"/>
          <w:szCs w:val="21"/>
          <w:highlight w:val="none"/>
        </w:rPr>
        <w:t>5</w:t>
      </w:r>
      <w:r>
        <w:rPr>
          <w:rFonts w:hint="eastAsia" w:ascii="宋体" w:hAnsi="宋体" w:cs="宋体"/>
          <w:color w:val="auto"/>
          <w:sz w:val="21"/>
          <w:szCs w:val="21"/>
          <w:highlight w:val="none"/>
        </w:rPr>
        <w:t>）和中小企业声明函（附件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视同符合了资格条件，无需再与其他中小企业组成联合体参加政府采购活动，无需提供联合协议。</w:t>
      </w:r>
    </w:p>
    <w:p w14:paraId="00930794">
      <w:pPr>
        <w:snapToGrid w:val="0"/>
        <w:spacing w:before="50" w:after="50"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 xml:space="preserve">    </w:t>
      </w:r>
    </w:p>
    <w:p w14:paraId="3FA581F6">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C、</w:t>
      </w:r>
      <w:r>
        <w:rPr>
          <w:rFonts w:hint="eastAsia" w:ascii="宋体" w:hAnsi="宋体" w:cs="宋体"/>
          <w:color w:val="auto"/>
          <w:sz w:val="21"/>
          <w:szCs w:val="21"/>
          <w:highlight w:val="none"/>
        </w:rPr>
        <w:t>要求合同分包的，提供分包意向协议（附件6）和中小企业声明函（附件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视同符合了资格条件，无需再向中小企业分包，无需提供分包意向协议。</w:t>
      </w:r>
    </w:p>
    <w:p w14:paraId="09A02FB4">
      <w:pPr>
        <w:widowControl/>
        <w:spacing w:line="360" w:lineRule="auto"/>
        <w:ind w:left="150"/>
        <w:jc w:val="center"/>
        <w:rPr>
          <w:rFonts w:ascii="宋体" w:hAnsi="宋体" w:cs="宋体"/>
          <w:b/>
          <w:color w:val="auto"/>
          <w:kern w:val="0"/>
          <w:sz w:val="32"/>
          <w:szCs w:val="32"/>
          <w:highlight w:val="none"/>
        </w:rPr>
      </w:pPr>
    </w:p>
    <w:p w14:paraId="319CA7EE">
      <w:pPr>
        <w:keepNext w:val="0"/>
        <w:keepLines w:val="0"/>
        <w:pageBreakBefore w:val="0"/>
        <w:widowControl/>
        <w:kinsoku/>
        <w:wordWrap/>
        <w:overflowPunct/>
        <w:topLinePunct w:val="0"/>
        <w:autoSpaceDE/>
        <w:autoSpaceDN/>
        <w:bidi w:val="0"/>
        <w:adjustRightInd w:val="0"/>
        <w:snapToGrid/>
        <w:spacing w:line="360" w:lineRule="auto"/>
        <w:ind w:left="147"/>
        <w:jc w:val="center"/>
        <w:textAlignment w:val="auto"/>
        <w:outlineLvl w:val="2"/>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四、本项目的特定资格要求</w:t>
      </w:r>
    </w:p>
    <w:p w14:paraId="4BAC962F">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（根据招标公告本项目的特定资格要求提供相应的材料；未要求的，无需提供）</w:t>
      </w:r>
    </w:p>
    <w:p w14:paraId="23A7C72D">
      <w:pPr>
        <w:rPr>
          <w:rFonts w:ascii="宋体" w:hAnsi="宋体" w:cs="宋体"/>
          <w:color w:val="auto"/>
          <w:highlight w:val="none"/>
        </w:rPr>
      </w:pPr>
    </w:p>
    <w:p w14:paraId="4E5BEC03">
      <w:pPr>
        <w:snapToGrid w:val="0"/>
        <w:spacing w:line="360" w:lineRule="auto"/>
        <w:ind w:right="480"/>
        <w:jc w:val="center"/>
        <w:rPr>
          <w:rFonts w:ascii="宋体" w:hAnsi="宋体" w:cs="宋体"/>
          <w:b/>
          <w:color w:val="auto"/>
          <w:kern w:val="0"/>
          <w:sz w:val="32"/>
          <w:szCs w:val="32"/>
          <w:highlight w:val="none"/>
        </w:rPr>
      </w:pPr>
    </w:p>
    <w:p w14:paraId="32DB3F0E">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2CFE072">
      <w:pPr>
        <w:keepNext w:val="0"/>
        <w:keepLines w:val="0"/>
        <w:pageBreakBefore w:val="0"/>
        <w:widowControl w:val="0"/>
        <w:kinsoku/>
        <w:wordWrap/>
        <w:overflowPunct/>
        <w:topLinePunct w:val="0"/>
        <w:autoSpaceDE/>
        <w:autoSpaceDN/>
        <w:bidi w:val="0"/>
        <w:adjustRightInd w:val="0"/>
        <w:snapToGrid/>
        <w:spacing w:line="360" w:lineRule="auto"/>
        <w:ind w:right="420"/>
        <w:jc w:val="center"/>
        <w:textAlignment w:val="auto"/>
        <w:outlineLvl w:val="1"/>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商务技术文件部分</w:t>
      </w:r>
    </w:p>
    <w:p w14:paraId="62F25063">
      <w:pPr>
        <w:bidi w:val="0"/>
        <w:rPr>
          <w:color w:val="auto"/>
          <w:highlight w:val="none"/>
        </w:rPr>
      </w:pPr>
    </w:p>
    <w:p w14:paraId="0FD1A6B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目录</w:t>
      </w:r>
    </w:p>
    <w:p w14:paraId="573ADD39">
      <w:pPr>
        <w:numPr>
          <w:ilvl w:val="0"/>
          <w:numId w:val="2"/>
        </w:numPr>
        <w:snapToGrid w:val="0"/>
        <w:spacing w:line="360" w:lineRule="auto"/>
        <w:ind w:left="479" w:leftChars="228"/>
        <w:rPr>
          <w:rFonts w:hint="eastAsia" w:ascii="宋体" w:hAnsi="宋体" w:cs="宋体"/>
          <w:color w:val="auto"/>
          <w:sz w:val="21"/>
          <w:szCs w:val="21"/>
          <w:highlight w:val="none"/>
        </w:rPr>
      </w:pPr>
      <w:r>
        <w:rPr>
          <w:rFonts w:hint="eastAsia" w:ascii="宋体" w:hAnsi="宋体" w:cs="宋体"/>
          <w:color w:val="auto"/>
          <w:sz w:val="21"/>
          <w:szCs w:val="21"/>
          <w:highlight w:val="none"/>
        </w:rPr>
        <w:t>投标函……………………………………………………………………………………（页码）</w:t>
      </w:r>
    </w:p>
    <w:p w14:paraId="402E6A24">
      <w:pPr>
        <w:numPr>
          <w:ilvl w:val="0"/>
          <w:numId w:val="2"/>
        </w:num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rPr>
        <w:t>授权委托书或法定代表人（单位负责人、自然人本人）身份证明…………………（页码）</w:t>
      </w:r>
    </w:p>
    <w:p w14:paraId="408F009B">
      <w:pPr>
        <w:numPr>
          <w:ilvl w:val="0"/>
          <w:numId w:val="2"/>
        </w:numPr>
        <w:snapToGrid w:val="0"/>
        <w:spacing w:line="360" w:lineRule="auto"/>
        <w:ind w:left="479" w:leftChars="228"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分包意向协议……………………………………………………………………………（页码）</w:t>
      </w:r>
    </w:p>
    <w:p w14:paraId="052462C5">
      <w:pPr>
        <w:numPr>
          <w:ilvl w:val="0"/>
          <w:numId w:val="2"/>
        </w:numPr>
        <w:snapToGrid w:val="0"/>
        <w:spacing w:line="360" w:lineRule="auto"/>
        <w:ind w:left="479" w:leftChars="228"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符合性审查资料…………………………………………………………………………（页码）</w:t>
      </w:r>
    </w:p>
    <w:p w14:paraId="2CC385D7">
      <w:pPr>
        <w:numPr>
          <w:ilvl w:val="0"/>
          <w:numId w:val="2"/>
        </w:numPr>
        <w:snapToGrid w:val="0"/>
        <w:spacing w:line="360" w:lineRule="auto"/>
        <w:ind w:left="479" w:leftChars="228"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评标标准相应的商务技术资料…………………………………………………………（页码）</w:t>
      </w:r>
    </w:p>
    <w:p w14:paraId="3ABCB946">
      <w:pPr>
        <w:numPr>
          <w:ilvl w:val="0"/>
          <w:numId w:val="2"/>
        </w:numPr>
        <w:snapToGrid w:val="0"/>
        <w:spacing w:line="360" w:lineRule="auto"/>
        <w:ind w:left="479" w:leftChars="228"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投标标的清单……………………………………………………………………………（页码）</w:t>
      </w:r>
    </w:p>
    <w:p w14:paraId="213D0E85">
      <w:pPr>
        <w:numPr>
          <w:ilvl w:val="0"/>
          <w:numId w:val="2"/>
        </w:numPr>
        <w:snapToGrid w:val="0"/>
        <w:spacing w:line="360" w:lineRule="auto"/>
        <w:ind w:left="479" w:leftChars="228"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商务技术偏离表…………………………………………………………………………（页码）</w:t>
      </w:r>
    </w:p>
    <w:p w14:paraId="587C55EE">
      <w:pPr>
        <w:snapToGrid w:val="0"/>
        <w:spacing w:line="360" w:lineRule="auto"/>
        <w:ind w:left="479" w:leftChars="228"/>
        <w:rPr>
          <w:rFonts w:ascii="宋体" w:hAnsi="宋体" w:cs="宋体"/>
          <w:color w:val="auto"/>
          <w:highlight w:val="none"/>
        </w:rPr>
      </w:pP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）政府采购供应商廉洁自律承诺书</w:t>
      </w:r>
      <w:r>
        <w:rPr>
          <w:rFonts w:hint="eastAsia" w:ascii="宋体" w:hAnsi="宋体" w:cs="宋体"/>
          <w:color w:val="auto"/>
          <w:sz w:val="21"/>
          <w:szCs w:val="21"/>
          <w:highlight w:val="none"/>
        </w:rPr>
        <w:t>………………………………………………………（页码）</w:t>
      </w:r>
    </w:p>
    <w:p w14:paraId="1FB23774">
      <w:pPr>
        <w:snapToGrid w:val="0"/>
        <w:spacing w:line="360" w:lineRule="auto"/>
        <w:jc w:val="center"/>
        <w:rPr>
          <w:rFonts w:ascii="宋体" w:hAnsi="宋体" w:cs="宋体"/>
          <w:b/>
          <w:color w:val="auto"/>
          <w:kern w:val="0"/>
          <w:sz w:val="32"/>
          <w:szCs w:val="32"/>
          <w:highlight w:val="none"/>
          <w:lang w:val="zh-CN"/>
        </w:rPr>
      </w:pPr>
    </w:p>
    <w:p w14:paraId="105381C4">
      <w:pPr>
        <w:snapToGrid w:val="0"/>
        <w:spacing w:line="360" w:lineRule="auto"/>
        <w:jc w:val="center"/>
        <w:rPr>
          <w:rFonts w:ascii="宋体" w:hAnsi="宋体" w:cs="宋体"/>
          <w:b/>
          <w:color w:val="auto"/>
          <w:kern w:val="0"/>
          <w:sz w:val="32"/>
          <w:szCs w:val="32"/>
          <w:highlight w:val="none"/>
          <w:lang w:val="zh-CN"/>
        </w:rPr>
      </w:pPr>
    </w:p>
    <w:p w14:paraId="3BC1675E">
      <w:pPr>
        <w:snapToGrid w:val="0"/>
        <w:spacing w:line="360" w:lineRule="auto"/>
        <w:jc w:val="center"/>
        <w:rPr>
          <w:rFonts w:ascii="宋体" w:hAnsi="宋体" w:cs="宋体"/>
          <w:b/>
          <w:color w:val="auto"/>
          <w:kern w:val="0"/>
          <w:sz w:val="32"/>
          <w:szCs w:val="32"/>
          <w:highlight w:val="none"/>
          <w:lang w:val="zh-CN"/>
        </w:rPr>
      </w:pPr>
    </w:p>
    <w:p w14:paraId="40BFF3E7">
      <w:pPr>
        <w:snapToGrid w:val="0"/>
        <w:spacing w:line="360" w:lineRule="auto"/>
        <w:jc w:val="center"/>
        <w:rPr>
          <w:rFonts w:ascii="宋体" w:hAnsi="宋体" w:cs="宋体"/>
          <w:b/>
          <w:color w:val="auto"/>
          <w:kern w:val="0"/>
          <w:sz w:val="32"/>
          <w:szCs w:val="32"/>
          <w:highlight w:val="none"/>
          <w:lang w:val="zh-CN"/>
        </w:rPr>
      </w:pPr>
    </w:p>
    <w:p w14:paraId="702603F3">
      <w:pPr>
        <w:snapToGrid w:val="0"/>
        <w:spacing w:line="360" w:lineRule="auto"/>
        <w:jc w:val="center"/>
        <w:rPr>
          <w:rFonts w:ascii="宋体" w:hAnsi="宋体" w:cs="宋体"/>
          <w:b/>
          <w:color w:val="auto"/>
          <w:kern w:val="0"/>
          <w:sz w:val="32"/>
          <w:szCs w:val="32"/>
          <w:highlight w:val="none"/>
          <w:lang w:val="zh-CN"/>
        </w:rPr>
      </w:pPr>
    </w:p>
    <w:p w14:paraId="4FC3CFF9">
      <w:pPr>
        <w:snapToGrid w:val="0"/>
        <w:spacing w:line="360" w:lineRule="auto"/>
        <w:jc w:val="center"/>
        <w:rPr>
          <w:rFonts w:ascii="宋体" w:hAnsi="宋体" w:cs="宋体"/>
          <w:b/>
          <w:color w:val="auto"/>
          <w:kern w:val="0"/>
          <w:sz w:val="32"/>
          <w:szCs w:val="32"/>
          <w:highlight w:val="none"/>
          <w:lang w:val="zh-CN"/>
        </w:rPr>
      </w:pPr>
    </w:p>
    <w:p w14:paraId="5E82B9EF">
      <w:pPr>
        <w:snapToGrid w:val="0"/>
        <w:spacing w:line="360" w:lineRule="auto"/>
        <w:jc w:val="center"/>
        <w:rPr>
          <w:rFonts w:ascii="宋体" w:hAnsi="宋体" w:cs="宋体"/>
          <w:b/>
          <w:color w:val="auto"/>
          <w:kern w:val="0"/>
          <w:sz w:val="32"/>
          <w:szCs w:val="32"/>
          <w:highlight w:val="none"/>
          <w:lang w:val="zh-CN"/>
        </w:rPr>
      </w:pPr>
    </w:p>
    <w:p w14:paraId="269E08F0">
      <w:pPr>
        <w:snapToGrid w:val="0"/>
        <w:spacing w:line="360" w:lineRule="auto"/>
        <w:jc w:val="center"/>
        <w:rPr>
          <w:rFonts w:ascii="宋体" w:hAnsi="宋体" w:cs="宋体"/>
          <w:b/>
          <w:color w:val="auto"/>
          <w:kern w:val="0"/>
          <w:sz w:val="32"/>
          <w:szCs w:val="32"/>
          <w:highlight w:val="none"/>
          <w:lang w:val="zh-CN"/>
        </w:rPr>
      </w:pPr>
    </w:p>
    <w:p w14:paraId="39C24599">
      <w:pPr>
        <w:snapToGrid w:val="0"/>
        <w:spacing w:line="360" w:lineRule="auto"/>
        <w:jc w:val="center"/>
        <w:rPr>
          <w:rFonts w:ascii="宋体" w:hAnsi="宋体" w:cs="宋体"/>
          <w:b/>
          <w:color w:val="auto"/>
          <w:kern w:val="0"/>
          <w:sz w:val="32"/>
          <w:szCs w:val="32"/>
          <w:highlight w:val="none"/>
          <w:lang w:val="zh-CN"/>
        </w:rPr>
      </w:pPr>
    </w:p>
    <w:p w14:paraId="159348D5">
      <w:pPr>
        <w:snapToGrid w:val="0"/>
        <w:spacing w:line="360" w:lineRule="auto"/>
        <w:jc w:val="center"/>
        <w:rPr>
          <w:rFonts w:ascii="宋体" w:hAnsi="宋体" w:cs="宋体"/>
          <w:b/>
          <w:color w:val="auto"/>
          <w:kern w:val="0"/>
          <w:sz w:val="32"/>
          <w:szCs w:val="32"/>
          <w:highlight w:val="none"/>
          <w:lang w:val="zh-CN"/>
        </w:rPr>
      </w:pPr>
    </w:p>
    <w:p w14:paraId="38B242F0">
      <w:pPr>
        <w:snapToGrid w:val="0"/>
        <w:spacing w:line="360" w:lineRule="auto"/>
        <w:jc w:val="center"/>
        <w:rPr>
          <w:rFonts w:ascii="宋体" w:hAnsi="宋体" w:cs="宋体"/>
          <w:b/>
          <w:color w:val="auto"/>
          <w:kern w:val="0"/>
          <w:sz w:val="32"/>
          <w:szCs w:val="32"/>
          <w:highlight w:val="none"/>
          <w:lang w:val="zh-CN"/>
        </w:rPr>
      </w:pPr>
    </w:p>
    <w:p w14:paraId="27DF8AA7">
      <w:pPr>
        <w:snapToGrid w:val="0"/>
        <w:spacing w:line="360" w:lineRule="auto"/>
        <w:jc w:val="center"/>
        <w:rPr>
          <w:rFonts w:ascii="宋体" w:hAnsi="宋体" w:cs="宋体"/>
          <w:b/>
          <w:color w:val="auto"/>
          <w:kern w:val="0"/>
          <w:sz w:val="32"/>
          <w:szCs w:val="32"/>
          <w:highlight w:val="none"/>
          <w:lang w:val="zh-CN"/>
        </w:rPr>
      </w:pPr>
    </w:p>
    <w:p w14:paraId="02BEC1EE">
      <w:pPr>
        <w:rPr>
          <w:rFonts w:ascii="宋体" w:hAnsi="宋体" w:cs="宋体"/>
          <w:b/>
          <w:color w:val="auto"/>
          <w:kern w:val="0"/>
          <w:sz w:val="32"/>
          <w:szCs w:val="32"/>
          <w:highlight w:val="none"/>
          <w:lang w:val="zh-CN"/>
        </w:rPr>
      </w:pPr>
    </w:p>
    <w:p w14:paraId="6A382F8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84223D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2"/>
        <w:rPr>
          <w:rFonts w:ascii="宋体" w:hAnsi="宋体" w:cs="宋体"/>
          <w:b/>
          <w:color w:val="auto"/>
          <w:sz w:val="21"/>
          <w:szCs w:val="21"/>
          <w:highlight w:val="none"/>
        </w:rPr>
      </w:pPr>
      <w:r>
        <w:rPr>
          <w:rFonts w:hint="eastAsia" w:ascii="宋体" w:hAnsi="宋体" w:cs="宋体"/>
          <w:b/>
          <w:color w:val="auto"/>
          <w:kern w:val="0"/>
          <w:sz w:val="21"/>
          <w:szCs w:val="21"/>
          <w:highlight w:val="none"/>
        </w:rPr>
        <w:t>一、投标</w:t>
      </w:r>
      <w:r>
        <w:rPr>
          <w:rFonts w:hint="eastAsia" w:ascii="宋体" w:hAnsi="宋体" w:cs="宋体"/>
          <w:b/>
          <w:color w:val="auto"/>
          <w:sz w:val="21"/>
          <w:szCs w:val="21"/>
          <w:highlight w:val="none"/>
        </w:rPr>
        <w:t>函</w:t>
      </w:r>
    </w:p>
    <w:p w14:paraId="491D9BBF">
      <w:pPr>
        <w:keepNext w:val="0"/>
        <w:keepLines w:val="0"/>
        <w:pageBreakBefore w:val="0"/>
        <w:widowControl w:val="0"/>
        <w:kinsoku/>
        <w:wordWrap/>
        <w:overflowPunct/>
        <w:topLinePunct w:val="0"/>
        <w:autoSpaceDE/>
        <w:autoSpaceDN/>
        <w:bidi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中共杭州市钱塘区委宣传部</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sz w:val="21"/>
          <w:szCs w:val="21"/>
          <w:highlight w:val="none"/>
        </w:rPr>
        <w:t>：</w:t>
      </w:r>
    </w:p>
    <w:p w14:paraId="6ACC10C1">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lang w:eastAsia="zh-CN"/>
        </w:rPr>
        <w:t>社会热点信息报送服务项目(重新招标)</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QTCG-GK-2024-289(2)</w:t>
      </w:r>
      <w:r>
        <w:rPr>
          <w:rFonts w:hint="eastAsia" w:ascii="宋体" w:hAnsi="宋体" w:cs="宋体"/>
          <w:color w:val="auto"/>
          <w:sz w:val="21"/>
          <w:szCs w:val="21"/>
          <w:highlight w:val="none"/>
        </w:rPr>
        <w:t>】招标的有关活动，并对此项目进行投标。为此：</w:t>
      </w:r>
    </w:p>
    <w:p w14:paraId="39605E38">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天（不少于90天），本投标文件在投标有效期满之前均具有约束力。</w:t>
      </w:r>
    </w:p>
    <w:p w14:paraId="6F77092B">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14:paraId="3359B6C7">
      <w:pPr>
        <w:keepNext w:val="0"/>
        <w:keepLines w:val="0"/>
        <w:pageBreakBefore w:val="0"/>
        <w:widowControl w:val="0"/>
        <w:kinsoku/>
        <w:wordWrap/>
        <w:overflowPunct/>
        <w:topLinePunct w:val="0"/>
        <w:autoSpaceDE/>
        <w:autoSpaceDN/>
        <w:bidi w:val="0"/>
        <w:snapToGrid w:val="0"/>
        <w:spacing w:line="288"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4AFE9FB9">
      <w:pPr>
        <w:keepNext w:val="0"/>
        <w:keepLines w:val="0"/>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0BCC35C3">
      <w:pPr>
        <w:keepNext w:val="0"/>
        <w:keepLines w:val="0"/>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w:t>
      </w:r>
      <w:bookmarkStart w:id="397" w:name="_Hlk101257010"/>
      <w:r>
        <w:rPr>
          <w:rFonts w:hint="eastAsia" w:ascii="宋体" w:hAnsi="宋体" w:cs="宋体"/>
          <w:color w:val="auto"/>
          <w:sz w:val="21"/>
          <w:szCs w:val="21"/>
          <w:highlight w:val="none"/>
        </w:rPr>
        <w:t>（如果有)</w:t>
      </w:r>
      <w:bookmarkEnd w:id="397"/>
      <w:r>
        <w:rPr>
          <w:rFonts w:hint="eastAsia" w:ascii="宋体" w:hAnsi="宋体" w:cs="宋体"/>
          <w:snapToGrid w:val="0"/>
          <w:color w:val="auto"/>
          <w:kern w:val="28"/>
          <w:sz w:val="21"/>
          <w:szCs w:val="21"/>
          <w:highlight w:val="none"/>
        </w:rPr>
        <w:t>；</w:t>
      </w:r>
    </w:p>
    <w:p w14:paraId="330774A6">
      <w:pPr>
        <w:keepNext w:val="0"/>
        <w:keepLines w:val="0"/>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.1.3</w:t>
      </w:r>
      <w:r>
        <w:rPr>
          <w:rFonts w:hint="eastAsia" w:ascii="宋体" w:hAnsi="宋体" w:cs="宋体"/>
          <w:color w:val="auto"/>
          <w:sz w:val="21"/>
          <w:szCs w:val="21"/>
          <w:highlight w:val="none"/>
        </w:rPr>
        <w:t>落实政府采购政策需满足的资格要求（如果有）；</w:t>
      </w:r>
    </w:p>
    <w:p w14:paraId="2E352759">
      <w:pPr>
        <w:keepNext w:val="0"/>
        <w:keepLines w:val="0"/>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本项目的特定资格要求（如果有)。</w:t>
      </w:r>
    </w:p>
    <w:p w14:paraId="2E6158C1">
      <w:pPr>
        <w:keepNext w:val="0"/>
        <w:keepLines w:val="0"/>
        <w:pageBreakBefore w:val="0"/>
        <w:widowControl w:val="0"/>
        <w:kinsoku/>
        <w:wordWrap/>
        <w:overflowPunct/>
        <w:topLinePunct w:val="0"/>
        <w:autoSpaceDE/>
        <w:autoSpaceDN/>
        <w:bidi w:val="0"/>
        <w:snapToGrid w:val="0"/>
        <w:spacing w:line="288" w:lineRule="auto"/>
        <w:ind w:left="210" w:leftChars="1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389F6F72">
      <w:pPr>
        <w:keepNext w:val="0"/>
        <w:keepLines w:val="0"/>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2.2.1投标函；</w:t>
      </w:r>
      <w:r>
        <w:rPr>
          <w:rFonts w:hint="eastAsia" w:ascii="宋体" w:hAnsi="宋体" w:cs="宋体"/>
          <w:color w:val="auto"/>
          <w:sz w:val="21"/>
          <w:szCs w:val="21"/>
          <w:highlight w:val="none"/>
          <w:lang w:val="zh-CN"/>
        </w:rPr>
        <w:t xml:space="preserve"> </w:t>
      </w:r>
    </w:p>
    <w:p w14:paraId="542CD15C">
      <w:pPr>
        <w:keepNext w:val="0"/>
        <w:keepLines w:val="0"/>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0F34A55F">
      <w:pPr>
        <w:keepNext w:val="0"/>
        <w:keepLines w:val="0"/>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分包意向协议（如果有)；</w:t>
      </w:r>
    </w:p>
    <w:p w14:paraId="73E0EBF4">
      <w:pPr>
        <w:keepNext w:val="0"/>
        <w:keepLines w:val="0"/>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7EE7DFCA">
      <w:pPr>
        <w:keepNext w:val="0"/>
        <w:keepLines w:val="0"/>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评标标准相应的商务技术资料；</w:t>
      </w:r>
    </w:p>
    <w:p w14:paraId="6123A34A">
      <w:pPr>
        <w:keepNext w:val="0"/>
        <w:keepLines w:val="0"/>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6</w:t>
      </w:r>
      <w:r>
        <w:rPr>
          <w:rFonts w:hint="eastAsia" w:ascii="宋体" w:hAnsi="宋体" w:cs="宋体"/>
          <w:color w:val="auto"/>
          <w:sz w:val="21"/>
          <w:szCs w:val="21"/>
          <w:highlight w:val="none"/>
        </w:rPr>
        <w:t>投标标的清单；</w:t>
      </w:r>
    </w:p>
    <w:p w14:paraId="2999F8D7">
      <w:pPr>
        <w:keepNext w:val="0"/>
        <w:keepLines w:val="0"/>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357E6C7F">
      <w:pPr>
        <w:keepNext w:val="0"/>
        <w:keepLines w:val="0"/>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政府采购供应商廉洁自律承诺书；</w:t>
      </w:r>
    </w:p>
    <w:p w14:paraId="0C8C2BF2">
      <w:pPr>
        <w:keepNext w:val="0"/>
        <w:keepLines w:val="0"/>
        <w:pageBreakBefore w:val="0"/>
        <w:widowControl w:val="0"/>
        <w:kinsoku/>
        <w:wordWrap/>
        <w:overflowPunct/>
        <w:topLinePunct w:val="0"/>
        <w:autoSpaceDE/>
        <w:autoSpaceDN/>
        <w:bidi w:val="0"/>
        <w:snapToGrid w:val="0"/>
        <w:spacing w:line="288"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2C3F615B">
      <w:pPr>
        <w:spacing w:line="288" w:lineRule="auto"/>
        <w:ind w:left="420" w:leftChars="20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2.3.1开标一览表（报价表）；</w:t>
      </w:r>
    </w:p>
    <w:p w14:paraId="483635AC">
      <w:pPr>
        <w:spacing w:line="288" w:lineRule="auto"/>
        <w:ind w:left="420" w:leftChars="200" w:firstLine="420" w:firstLineChars="200"/>
        <w:rPr>
          <w:rFonts w:hint="default" w:eastAsia="仿宋_GB2312"/>
          <w:color w:val="auto"/>
          <w:sz w:val="21"/>
          <w:szCs w:val="21"/>
          <w:highlight w:val="none"/>
          <w:lang w:val="en-US" w:eastAsia="zh-CN"/>
        </w:rPr>
      </w:pPr>
      <w:r>
        <w:rPr>
          <w:rFonts w:hint="eastAsia" w:ascii="宋体" w:hAnsi="宋体" w:cs="宋体"/>
          <w:color w:val="auto"/>
          <w:sz w:val="21"/>
          <w:szCs w:val="21"/>
          <w:highlight w:val="none"/>
          <w:lang w:val="en-US" w:eastAsia="zh-CN"/>
        </w:rPr>
        <w:t>2.3.2 报价情况说明（如果有）</w:t>
      </w:r>
    </w:p>
    <w:p w14:paraId="7BF88853">
      <w:pPr>
        <w:keepNext w:val="0"/>
        <w:keepLines w:val="0"/>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2.3.2中小企业声明函（如果有）。</w:t>
      </w:r>
    </w:p>
    <w:p w14:paraId="34266E41">
      <w:pPr>
        <w:pStyle w:val="79"/>
        <w:snapToGrid w:val="0"/>
        <w:spacing w:line="288"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3、我方承诺除商务技术偏离表列出的偏离外，我方响应招标文件的全部要求。对投标文件中材料的真实性、合法性负责。</w:t>
      </w:r>
    </w:p>
    <w:p w14:paraId="5368D260">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14:paraId="4A3DAC01">
      <w:pPr>
        <w:keepNext w:val="0"/>
        <w:keepLines w:val="0"/>
        <w:pageBreakBefore w:val="0"/>
        <w:widowControl w:val="0"/>
        <w:kinsoku/>
        <w:wordWrap/>
        <w:overflowPunct/>
        <w:topLinePunct w:val="0"/>
        <w:autoSpaceDE/>
        <w:autoSpaceDN/>
        <w:bidi w:val="0"/>
        <w:snapToGrid w:val="0"/>
        <w:spacing w:line="288"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14:paraId="5B0BD1EA">
      <w:pPr>
        <w:keepNext w:val="0"/>
        <w:keepLines w:val="0"/>
        <w:pageBreakBefore w:val="0"/>
        <w:widowControl w:val="0"/>
        <w:kinsoku/>
        <w:wordWrap/>
        <w:overflowPunct/>
        <w:topLinePunct w:val="0"/>
        <w:autoSpaceDE/>
        <w:autoSpaceDN/>
        <w:bidi w:val="0"/>
        <w:snapToGrid w:val="0"/>
        <w:spacing w:line="288"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709EBC94">
      <w:pPr>
        <w:keepNext w:val="0"/>
        <w:keepLines w:val="0"/>
        <w:pageBreakBefore w:val="0"/>
        <w:widowControl w:val="0"/>
        <w:kinsoku/>
        <w:wordWrap/>
        <w:overflowPunct/>
        <w:topLinePunct w:val="0"/>
        <w:autoSpaceDE/>
        <w:autoSpaceDN/>
        <w:bidi w:val="0"/>
        <w:snapToGrid w:val="0"/>
        <w:spacing w:line="288"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4.3按照招标文件要求提交履约保证金； </w:t>
      </w:r>
    </w:p>
    <w:p w14:paraId="0792CB18">
      <w:pPr>
        <w:keepNext w:val="0"/>
        <w:keepLines w:val="0"/>
        <w:pageBreakBefore w:val="0"/>
        <w:widowControl w:val="0"/>
        <w:kinsoku/>
        <w:wordWrap/>
        <w:overflowPunct/>
        <w:topLinePunct w:val="0"/>
        <w:autoSpaceDE/>
        <w:autoSpaceDN/>
        <w:bidi w:val="0"/>
        <w:snapToGrid w:val="0"/>
        <w:spacing w:line="288"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30FEE013">
      <w:pPr>
        <w:keepNext w:val="0"/>
        <w:keepLines w:val="0"/>
        <w:pageBreakBefore w:val="0"/>
        <w:widowControl w:val="0"/>
        <w:kinsoku/>
        <w:wordWrap/>
        <w:overflowPunct/>
        <w:topLinePunct w:val="0"/>
        <w:autoSpaceDE/>
        <w:autoSpaceDN/>
        <w:bidi w:val="0"/>
        <w:snapToGrid w:val="0"/>
        <w:spacing w:line="288"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9697FE2">
      <w:pPr>
        <w:keepNext w:val="0"/>
        <w:keepLines w:val="0"/>
        <w:pageBreakBefore w:val="0"/>
        <w:widowControl w:val="0"/>
        <w:kinsoku/>
        <w:wordWrap/>
        <w:overflowPunct/>
        <w:topLinePunct w:val="0"/>
        <w:autoSpaceDE/>
        <w:autoSpaceDN/>
        <w:bidi w:val="0"/>
        <w:spacing w:line="288" w:lineRule="auto"/>
        <w:ind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投标人名称（电子签名）：                          </w:t>
      </w:r>
    </w:p>
    <w:p w14:paraId="570E239A">
      <w:pPr>
        <w:keepNext w:val="0"/>
        <w:keepLines w:val="0"/>
        <w:pageBreakBefore w:val="0"/>
        <w:widowControl w:val="0"/>
        <w:kinsoku/>
        <w:wordWrap/>
        <w:overflowPunct/>
        <w:topLinePunct w:val="0"/>
        <w:autoSpaceDE/>
        <w:autoSpaceDN/>
        <w:bidi w:val="0"/>
        <w:spacing w:line="288"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2C472E6E">
      <w:pPr>
        <w:keepNext w:val="0"/>
        <w:keepLines w:val="0"/>
        <w:pageBreakBefore w:val="0"/>
        <w:widowControl w:val="0"/>
        <w:kinsoku/>
        <w:wordWrap/>
        <w:overflowPunct/>
        <w:topLinePunct w:val="0"/>
        <w:autoSpaceDE/>
        <w:autoSpaceDN/>
        <w:bidi w:val="0"/>
        <w:snapToGrid w:val="0"/>
        <w:spacing w:line="288" w:lineRule="auto"/>
        <w:ind w:left="420" w:leftChars="200" w:firstLine="3675" w:firstLineChars="1750"/>
        <w:textAlignment w:val="auto"/>
        <w:rPr>
          <w:rFonts w:ascii="宋体" w:hAnsi="宋体" w:cs="宋体"/>
          <w:color w:val="auto"/>
          <w:kern w:val="0"/>
          <w:sz w:val="21"/>
          <w:szCs w:val="21"/>
          <w:highlight w:val="none"/>
          <w:u w:val="single"/>
        </w:rPr>
      </w:pPr>
    </w:p>
    <w:p w14:paraId="755940B0">
      <w:pPr>
        <w:keepNext w:val="0"/>
        <w:keepLines w:val="0"/>
        <w:pageBreakBefore w:val="0"/>
        <w:widowControl w:val="0"/>
        <w:kinsoku/>
        <w:wordWrap/>
        <w:overflowPunct/>
        <w:topLinePunct w:val="0"/>
        <w:autoSpaceDE/>
        <w:autoSpaceDN/>
        <w:bidi w:val="0"/>
        <w:spacing w:line="288"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39830AE">
      <w:pPr>
        <w:snapToGrid w:val="0"/>
        <w:spacing w:line="360" w:lineRule="auto"/>
        <w:jc w:val="center"/>
        <w:rPr>
          <w:rFonts w:ascii="宋体" w:hAnsi="宋体" w:cs="宋体"/>
          <w:b/>
          <w:color w:val="auto"/>
          <w:kern w:val="0"/>
          <w:sz w:val="32"/>
          <w:szCs w:val="32"/>
          <w:highlight w:val="none"/>
        </w:rPr>
      </w:pPr>
    </w:p>
    <w:p w14:paraId="663399C3">
      <w:pPr>
        <w:snapToGrid w:val="0"/>
        <w:spacing w:line="360" w:lineRule="auto"/>
        <w:rPr>
          <w:rFonts w:ascii="宋体" w:hAnsi="宋体" w:cs="宋体"/>
          <w:color w:val="auto"/>
          <w:sz w:val="24"/>
          <w:highlight w:val="none"/>
        </w:rPr>
      </w:pPr>
    </w:p>
    <w:p w14:paraId="6B486162">
      <w:pPr>
        <w:jc w:val="center"/>
        <w:rPr>
          <w:rFonts w:ascii="宋体" w:hAnsi="宋体" w:cs="宋体"/>
          <w:b/>
          <w:color w:val="auto"/>
          <w:kern w:val="0"/>
          <w:sz w:val="32"/>
          <w:szCs w:val="32"/>
          <w:highlight w:val="none"/>
        </w:rPr>
      </w:pPr>
    </w:p>
    <w:p w14:paraId="2D9796BB">
      <w:pPr>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br w:type="page"/>
      </w:r>
    </w:p>
    <w:p w14:paraId="3D00B1EF">
      <w:pPr>
        <w:keepNext w:val="0"/>
        <w:keepLines w:val="0"/>
        <w:pageBreakBefore w:val="0"/>
        <w:widowControl w:val="0"/>
        <w:kinsoku/>
        <w:wordWrap/>
        <w:overflowPunct/>
        <w:topLinePunct w:val="0"/>
        <w:autoSpaceDE/>
        <w:autoSpaceDN/>
        <w:bidi w:val="0"/>
        <w:adjustRightInd w:val="0"/>
        <w:snapToGrid/>
        <w:jc w:val="center"/>
        <w:textAlignment w:val="auto"/>
        <w:outlineLvl w:val="2"/>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二、授权委托书或法定代表人（单位负责人、自然人本人）身份证明</w:t>
      </w:r>
    </w:p>
    <w:p w14:paraId="1525DA77">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kern w:val="0"/>
          <w:sz w:val="21"/>
          <w:szCs w:val="21"/>
          <w:highlight w:val="none"/>
          <w:lang w:val="zh-CN"/>
        </w:rPr>
        <w:t>授权委托书（适用于非联合体投标）</w:t>
      </w:r>
      <w:r>
        <w:rPr>
          <w:rFonts w:hint="eastAsia" w:ascii="宋体" w:hAnsi="宋体" w:cs="宋体"/>
          <w:color w:val="auto"/>
          <w:sz w:val="21"/>
          <w:szCs w:val="21"/>
          <w:highlight w:val="none"/>
        </w:rPr>
        <w:t xml:space="preserve">                               </w:t>
      </w:r>
    </w:p>
    <w:p w14:paraId="6D56609A">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中共杭州市钱塘区委宣传部</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18A175AF">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社会热点信息报送服务项目(重新招标)</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QTCG-GK-2024-289(2)</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34575DBB">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658EA492">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3E54C1F0">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投标人名称(电子签名)：</w:t>
      </w:r>
    </w:p>
    <w:p w14:paraId="2D0758D1">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4B800AD3">
      <w:pPr>
        <w:snapToGrid w:val="0"/>
        <w:spacing w:line="360" w:lineRule="auto"/>
        <w:rPr>
          <w:rFonts w:ascii="宋体" w:hAnsi="宋体" w:cs="宋体"/>
          <w:color w:val="auto"/>
          <w:sz w:val="21"/>
          <w:szCs w:val="21"/>
          <w:highlight w:val="none"/>
        </w:rPr>
      </w:pPr>
    </w:p>
    <w:p w14:paraId="1996469D">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zh-CN"/>
        </w:rPr>
        <w:t xml:space="preserve">      </w:t>
      </w:r>
      <w:r>
        <w:rPr>
          <w:rFonts w:hint="eastAsia" w:ascii="宋体" w:hAnsi="宋体" w:cs="宋体"/>
          <w:b/>
          <w:color w:val="auto"/>
          <w:kern w:val="0"/>
          <w:sz w:val="21"/>
          <w:szCs w:val="21"/>
          <w:highlight w:val="none"/>
        </w:rPr>
        <w:t xml:space="preserve"> </w:t>
      </w:r>
      <w:r>
        <w:rPr>
          <w:rFonts w:hint="eastAsia" w:ascii="宋体" w:hAnsi="宋体" w:cs="宋体"/>
          <w:b/>
          <w:color w:val="auto"/>
          <w:kern w:val="0"/>
          <w:sz w:val="21"/>
          <w:szCs w:val="21"/>
          <w:highlight w:val="none"/>
          <w:lang w:val="zh-CN"/>
        </w:rPr>
        <w:t>授权委托书（适用于联合体投标）</w:t>
      </w:r>
    </w:p>
    <w:p w14:paraId="44E5C888">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中共杭州市钱塘区委宣传部</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3D82FF92">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社会热点信息报送服务项目(重新招标)</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QTCG-GK-2024-289(2)</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30774D39">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2BE5E9C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73B7A764">
      <w:pPr>
        <w:jc w:val="center"/>
        <w:rPr>
          <w:rFonts w:ascii="宋体" w:hAnsi="宋体" w:cs="宋体"/>
          <w:b/>
          <w:color w:val="auto"/>
          <w:kern w:val="0"/>
          <w:sz w:val="21"/>
          <w:szCs w:val="21"/>
          <w:highlight w:val="none"/>
        </w:rPr>
      </w:pPr>
    </w:p>
    <w:p w14:paraId="58AAE233">
      <w:pPr>
        <w:rPr>
          <w:rFonts w:ascii="宋体" w:hAnsi="宋体" w:cs="宋体"/>
          <w:color w:val="auto"/>
          <w:sz w:val="21"/>
          <w:szCs w:val="21"/>
          <w:highlight w:val="none"/>
        </w:rPr>
      </w:pPr>
    </w:p>
    <w:p w14:paraId="347FE112">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C1DBFCF">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2D2DB254">
      <w:pPr>
        <w:snapToGrid w:val="0"/>
        <w:spacing w:line="360" w:lineRule="auto"/>
        <w:ind w:firstLine="5040" w:firstLineChars="24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24B77B31">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4CE7FF3D">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A84CDFB">
      <w:pPr>
        <w:autoSpaceDE w:val="0"/>
        <w:autoSpaceDN w:val="0"/>
        <w:spacing w:line="360" w:lineRule="auto"/>
        <w:jc w:val="center"/>
        <w:rPr>
          <w:rFonts w:ascii="宋体" w:hAnsi="宋体" w:cs="宋体"/>
          <w:b/>
          <w:color w:val="auto"/>
          <w:sz w:val="21"/>
          <w:szCs w:val="21"/>
          <w:highlight w:val="none"/>
        </w:rPr>
      </w:pPr>
      <w:r>
        <w:rPr>
          <w:rFonts w:hint="eastAsia" w:ascii="宋体" w:hAnsi="宋体" w:cs="宋体"/>
          <w:b/>
          <w:color w:val="auto"/>
          <w:kern w:val="0"/>
          <w:sz w:val="21"/>
          <w:szCs w:val="21"/>
          <w:highlight w:val="none"/>
          <w:lang w:val="zh-CN"/>
        </w:rPr>
        <w:t>法定代表人、单位负责人或自然人本人</w:t>
      </w:r>
      <w:r>
        <w:rPr>
          <w:rFonts w:hint="eastAsia" w:ascii="宋体" w:hAnsi="宋体" w:cs="宋体"/>
          <w:b/>
          <w:color w:val="auto"/>
          <w:sz w:val="21"/>
          <w:szCs w:val="21"/>
          <w:highlight w:val="none"/>
        </w:rPr>
        <w:t>的身份证明（适用于法定代表人、单位负责人或者自然人本人代表投标人参加投标）</w:t>
      </w:r>
    </w:p>
    <w:p w14:paraId="731FEC90">
      <w:pPr>
        <w:pStyle w:val="148"/>
        <w:spacing w:line="360" w:lineRule="auto"/>
        <w:rPr>
          <w:rFonts w:hAnsi="宋体" w:cs="宋体"/>
          <w:bCs/>
          <w:color w:val="auto"/>
          <w:sz w:val="21"/>
          <w:szCs w:val="21"/>
          <w:highlight w:val="none"/>
        </w:rPr>
      </w:pPr>
      <w:r>
        <w:rPr>
          <w:rFonts w:hint="eastAsia" w:hAnsi="宋体" w:cs="宋体"/>
          <w:bCs/>
          <w:color w:val="auto"/>
          <w:sz w:val="21"/>
          <w:szCs w:val="21"/>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38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BC95894">
            <w:pPr>
              <w:pStyle w:val="148"/>
              <w:adjustRightInd w:val="0"/>
              <w:spacing w:line="360" w:lineRule="auto"/>
              <w:rPr>
                <w:rFonts w:hAnsi="宋体" w:cs="宋体"/>
                <w:bCs/>
                <w:color w:val="auto"/>
                <w:sz w:val="21"/>
                <w:szCs w:val="21"/>
                <w:highlight w:val="none"/>
              </w:rPr>
            </w:pPr>
            <w:r>
              <w:rPr>
                <w:rFonts w:hint="eastAsia" w:hAnsi="宋体" w:cs="宋体"/>
                <w:bCs/>
                <w:color w:val="auto"/>
                <w:sz w:val="21"/>
                <w:szCs w:val="21"/>
                <w:highlight w:val="none"/>
              </w:rPr>
              <w:t>正面：                                 反面：</w:t>
            </w:r>
          </w:p>
          <w:p w14:paraId="29E9AB6C">
            <w:pPr>
              <w:pStyle w:val="148"/>
              <w:adjustRightInd w:val="0"/>
              <w:spacing w:line="360" w:lineRule="auto"/>
              <w:rPr>
                <w:rFonts w:hAnsi="宋体" w:cs="宋体"/>
                <w:bCs/>
                <w:color w:val="auto"/>
                <w:sz w:val="21"/>
                <w:szCs w:val="21"/>
                <w:highlight w:val="none"/>
              </w:rPr>
            </w:pPr>
          </w:p>
        </w:tc>
      </w:tr>
    </w:tbl>
    <w:p w14:paraId="4A34672D">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7E5D93F6">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投标人名称(电子签名)：                              </w:t>
      </w:r>
    </w:p>
    <w:p w14:paraId="78663262">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65907784">
      <w:pPr>
        <w:jc w:val="center"/>
        <w:rPr>
          <w:rFonts w:ascii="宋体" w:hAnsi="宋体" w:cs="宋体"/>
          <w:b/>
          <w:color w:val="auto"/>
          <w:kern w:val="0"/>
          <w:sz w:val="32"/>
          <w:szCs w:val="32"/>
          <w:highlight w:val="none"/>
        </w:rPr>
      </w:pPr>
    </w:p>
    <w:p w14:paraId="16D2E406">
      <w:pPr>
        <w:jc w:val="center"/>
        <w:rPr>
          <w:rFonts w:ascii="宋体" w:hAnsi="宋体" w:cs="宋体"/>
          <w:b/>
          <w:color w:val="auto"/>
          <w:kern w:val="0"/>
          <w:sz w:val="32"/>
          <w:szCs w:val="32"/>
          <w:highlight w:val="none"/>
        </w:rPr>
      </w:pPr>
    </w:p>
    <w:p w14:paraId="03D26B16">
      <w:pPr>
        <w:jc w:val="center"/>
        <w:rPr>
          <w:rFonts w:ascii="宋体" w:hAnsi="宋体" w:cs="宋体"/>
          <w:b/>
          <w:color w:val="auto"/>
          <w:kern w:val="0"/>
          <w:sz w:val="32"/>
          <w:szCs w:val="32"/>
          <w:highlight w:val="none"/>
        </w:rPr>
      </w:pPr>
    </w:p>
    <w:p w14:paraId="02D5557C">
      <w:pPr>
        <w:jc w:val="center"/>
        <w:rPr>
          <w:rFonts w:ascii="宋体" w:hAnsi="宋体" w:cs="宋体"/>
          <w:b/>
          <w:color w:val="auto"/>
          <w:kern w:val="0"/>
          <w:sz w:val="32"/>
          <w:szCs w:val="32"/>
          <w:highlight w:val="none"/>
        </w:rPr>
      </w:pPr>
    </w:p>
    <w:p w14:paraId="0669ABC6">
      <w:pPr>
        <w:jc w:val="center"/>
        <w:rPr>
          <w:rFonts w:ascii="宋体" w:hAnsi="宋体" w:cs="宋体"/>
          <w:b/>
          <w:color w:val="auto"/>
          <w:kern w:val="0"/>
          <w:sz w:val="32"/>
          <w:szCs w:val="32"/>
          <w:highlight w:val="none"/>
        </w:rPr>
      </w:pPr>
    </w:p>
    <w:p w14:paraId="67CC696E">
      <w:pPr>
        <w:jc w:val="center"/>
        <w:rPr>
          <w:rFonts w:ascii="宋体" w:hAnsi="宋体" w:cs="宋体"/>
          <w:b/>
          <w:color w:val="auto"/>
          <w:kern w:val="0"/>
          <w:sz w:val="32"/>
          <w:szCs w:val="32"/>
          <w:highlight w:val="none"/>
        </w:rPr>
      </w:pPr>
    </w:p>
    <w:p w14:paraId="76E573FB">
      <w:pPr>
        <w:jc w:val="center"/>
        <w:rPr>
          <w:rFonts w:ascii="宋体" w:hAnsi="宋体" w:cs="宋体"/>
          <w:b/>
          <w:color w:val="auto"/>
          <w:kern w:val="0"/>
          <w:sz w:val="32"/>
          <w:szCs w:val="32"/>
          <w:highlight w:val="none"/>
        </w:rPr>
      </w:pPr>
    </w:p>
    <w:p w14:paraId="44077605">
      <w:pPr>
        <w:jc w:val="center"/>
        <w:rPr>
          <w:rFonts w:ascii="宋体" w:hAnsi="宋体" w:cs="宋体"/>
          <w:b/>
          <w:color w:val="auto"/>
          <w:kern w:val="0"/>
          <w:sz w:val="32"/>
          <w:szCs w:val="32"/>
          <w:highlight w:val="none"/>
        </w:rPr>
      </w:pPr>
    </w:p>
    <w:p w14:paraId="30B70C88">
      <w:pPr>
        <w:jc w:val="center"/>
        <w:rPr>
          <w:rFonts w:ascii="宋体" w:hAnsi="宋体" w:cs="宋体"/>
          <w:b/>
          <w:color w:val="auto"/>
          <w:kern w:val="0"/>
          <w:sz w:val="32"/>
          <w:szCs w:val="32"/>
          <w:highlight w:val="none"/>
        </w:rPr>
      </w:pPr>
    </w:p>
    <w:p w14:paraId="7C81569F">
      <w:pPr>
        <w:jc w:val="center"/>
        <w:rPr>
          <w:rFonts w:ascii="宋体" w:hAnsi="宋体" w:cs="宋体"/>
          <w:b/>
          <w:color w:val="auto"/>
          <w:kern w:val="0"/>
          <w:sz w:val="32"/>
          <w:szCs w:val="32"/>
          <w:highlight w:val="none"/>
        </w:rPr>
      </w:pPr>
    </w:p>
    <w:p w14:paraId="2C7E88EE">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47" w:right="1247" w:bottom="1247" w:left="1247" w:header="851" w:footer="992" w:gutter="0"/>
          <w:cols w:space="720" w:num="1"/>
          <w:titlePg/>
          <w:docGrid w:linePitch="312" w:charSpace="0"/>
        </w:sectPr>
      </w:pPr>
    </w:p>
    <w:p w14:paraId="02E8661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三、分包意向协议（如果有）</w:t>
      </w:r>
    </w:p>
    <w:p w14:paraId="5943963C">
      <w:pPr>
        <w:widowControl/>
        <w:spacing w:line="360" w:lineRule="auto"/>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中标后以分包方式履行合同的，提供分包意向协议(附件6</w:t>
      </w:r>
      <w:r>
        <w:rPr>
          <w:rFonts w:ascii="宋体" w:hAnsi="宋体" w:cs="宋体"/>
          <w:b/>
          <w:color w:val="auto"/>
          <w:sz w:val="21"/>
          <w:szCs w:val="21"/>
          <w:highlight w:val="none"/>
        </w:rPr>
        <w:t>)</w:t>
      </w:r>
      <w:r>
        <w:rPr>
          <w:rFonts w:hint="eastAsia" w:ascii="宋体" w:hAnsi="宋体" w:cs="宋体"/>
          <w:b/>
          <w:color w:val="auto"/>
          <w:sz w:val="21"/>
          <w:szCs w:val="21"/>
          <w:highlight w:val="none"/>
        </w:rPr>
        <w:t>；采购人不同意分包或者投标人中标后不以分包方式履行合同的，则不需要提供。</w:t>
      </w:r>
      <w:r>
        <w:rPr>
          <w:rFonts w:hint="eastAsia" w:ascii="宋体" w:hAnsi="宋体" w:cs="宋体"/>
          <w:color w:val="auto"/>
          <w:sz w:val="21"/>
          <w:szCs w:val="21"/>
          <w:highlight w:val="none"/>
        </w:rPr>
        <w:t>]</w:t>
      </w:r>
    </w:p>
    <w:p w14:paraId="1FA7DAD8">
      <w:pPr>
        <w:snapToGrid w:val="0"/>
        <w:spacing w:line="360" w:lineRule="auto"/>
        <w:rPr>
          <w:rFonts w:ascii="宋体" w:hAnsi="宋体" w:cs="宋体"/>
          <w:color w:val="auto"/>
          <w:kern w:val="0"/>
          <w:sz w:val="21"/>
          <w:szCs w:val="21"/>
          <w:highlight w:val="none"/>
        </w:rPr>
      </w:pPr>
    </w:p>
    <w:p w14:paraId="52E27182">
      <w:pPr>
        <w:keepNext w:val="0"/>
        <w:keepLines w:val="0"/>
        <w:pageBreakBefore w:val="0"/>
        <w:widowControl w:val="0"/>
        <w:kinsoku/>
        <w:wordWrap/>
        <w:overflowPunct/>
        <w:topLinePunct w:val="0"/>
        <w:autoSpaceDE/>
        <w:autoSpaceDN/>
        <w:bidi w:val="0"/>
        <w:adjustRightInd w:val="0"/>
        <w:snapToGrid/>
        <w:jc w:val="center"/>
        <w:textAlignment w:val="auto"/>
        <w:outlineLvl w:val="2"/>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四、符合性审查资料</w:t>
      </w:r>
    </w:p>
    <w:p w14:paraId="62097C58">
      <w:pPr>
        <w:jc w:val="center"/>
        <w:rPr>
          <w:rFonts w:ascii="宋体" w:hAnsi="宋体" w:cs="宋体"/>
          <w:b/>
          <w:color w:val="auto"/>
          <w:kern w:val="0"/>
          <w:sz w:val="21"/>
          <w:szCs w:val="21"/>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F51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642C4F1">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991" w:type="dxa"/>
            <w:vAlign w:val="center"/>
          </w:tcPr>
          <w:p w14:paraId="14634ED1">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2551" w:type="dxa"/>
            <w:vAlign w:val="center"/>
          </w:tcPr>
          <w:p w14:paraId="77FED802">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418" w:type="dxa"/>
            <w:vAlign w:val="center"/>
          </w:tcPr>
          <w:p w14:paraId="6F532B67">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投标文件中的</w:t>
            </w:r>
          </w:p>
          <w:p w14:paraId="5073DC3F">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40EE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85D056">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tcPr>
          <w:p w14:paraId="58DF058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投标文件按照招标文件要求签署、盖章。</w:t>
            </w:r>
          </w:p>
        </w:tc>
        <w:tc>
          <w:tcPr>
            <w:tcW w:w="2551" w:type="dxa"/>
            <w:vAlign w:val="center"/>
          </w:tcPr>
          <w:p w14:paraId="54DB02C5">
            <w:pPr>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需要使用电子签名或者签字盖章的投标文件的组成部分</w:t>
            </w:r>
          </w:p>
        </w:tc>
        <w:tc>
          <w:tcPr>
            <w:tcW w:w="1418" w:type="dxa"/>
          </w:tcPr>
          <w:p w14:paraId="1F57E645">
            <w:pPr>
              <w:rPr>
                <w:rFonts w:ascii="宋体" w:hAnsi="宋体" w:cs="宋体"/>
                <w:color w:val="auto"/>
                <w:sz w:val="21"/>
                <w:szCs w:val="21"/>
                <w:highlight w:val="none"/>
              </w:rPr>
            </w:pPr>
          </w:p>
          <w:p w14:paraId="041186AD">
            <w:pPr>
              <w:rPr>
                <w:rFonts w:ascii="宋体" w:hAnsi="宋体" w:cs="宋体"/>
                <w:color w:val="auto"/>
                <w:sz w:val="21"/>
                <w:szCs w:val="21"/>
                <w:highlight w:val="none"/>
              </w:rPr>
            </w:pPr>
            <w:r>
              <w:rPr>
                <w:rFonts w:hint="eastAsia" w:ascii="宋体" w:hAnsi="宋体" w:cs="宋体"/>
                <w:color w:val="auto"/>
                <w:sz w:val="21"/>
                <w:szCs w:val="21"/>
                <w:highlight w:val="none"/>
              </w:rPr>
              <w:t>见投标文件</w:t>
            </w:r>
          </w:p>
          <w:p w14:paraId="79E39B0B">
            <w:pPr>
              <w:rPr>
                <w:rFonts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7DBF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CC29F2">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91" w:type="dxa"/>
          </w:tcPr>
          <w:p w14:paraId="3439795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投标文件中承诺的投标有效期不少于招标文件中载明的投标有效期。</w:t>
            </w:r>
          </w:p>
        </w:tc>
        <w:tc>
          <w:tcPr>
            <w:tcW w:w="2551" w:type="dxa"/>
            <w:vAlign w:val="center"/>
          </w:tcPr>
          <w:p w14:paraId="5D21F6C7">
            <w:pPr>
              <w:rPr>
                <w:rFonts w:ascii="宋体" w:hAnsi="宋体" w:cs="宋体"/>
                <w:color w:val="auto"/>
                <w:sz w:val="21"/>
                <w:szCs w:val="21"/>
                <w:highlight w:val="none"/>
              </w:rPr>
            </w:pPr>
            <w:r>
              <w:rPr>
                <w:rFonts w:hint="eastAsia" w:ascii="宋体" w:hAnsi="宋体" w:cs="宋体"/>
                <w:color w:val="auto"/>
                <w:sz w:val="21"/>
                <w:szCs w:val="21"/>
                <w:highlight w:val="none"/>
              </w:rPr>
              <w:t>投标函</w:t>
            </w:r>
          </w:p>
        </w:tc>
        <w:tc>
          <w:tcPr>
            <w:tcW w:w="1418" w:type="dxa"/>
          </w:tcPr>
          <w:p w14:paraId="4CF256C7">
            <w:pP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6A3F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1E82E0">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91" w:type="dxa"/>
          </w:tcPr>
          <w:p w14:paraId="4E18E71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投标文件满足招标文件的其它实质性要求。</w:t>
            </w:r>
          </w:p>
        </w:tc>
        <w:tc>
          <w:tcPr>
            <w:tcW w:w="2551" w:type="dxa"/>
            <w:vAlign w:val="center"/>
          </w:tcPr>
          <w:p w14:paraId="5EEBEC5B">
            <w:pPr>
              <w:rPr>
                <w:rFonts w:ascii="宋体" w:hAnsi="宋体" w:cs="宋体"/>
                <w:color w:val="auto"/>
                <w:sz w:val="21"/>
                <w:szCs w:val="21"/>
                <w:highlight w:val="none"/>
              </w:rPr>
            </w:pPr>
            <w:r>
              <w:rPr>
                <w:rFonts w:hint="eastAsia" w:ascii="宋体" w:hAnsi="宋体" w:cs="宋体"/>
                <w:color w:val="auto"/>
                <w:kern w:val="0"/>
                <w:sz w:val="21"/>
                <w:szCs w:val="21"/>
                <w:highlight w:val="none"/>
              </w:rPr>
              <w:t>招标文件其它实质性要求相应的材料（“▲” 系指实质性要求条款，招标文件无其它实质性要求的，无需提供）</w:t>
            </w:r>
          </w:p>
        </w:tc>
        <w:tc>
          <w:tcPr>
            <w:tcW w:w="1418" w:type="dxa"/>
          </w:tcPr>
          <w:p w14:paraId="728C7D48">
            <w:pP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000B68BA">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36182319">
      <w:pPr>
        <w:keepNext w:val="0"/>
        <w:keepLines w:val="0"/>
        <w:pageBreakBefore w:val="0"/>
        <w:widowControl w:val="0"/>
        <w:kinsoku/>
        <w:wordWrap/>
        <w:overflowPunct/>
        <w:topLinePunct w:val="0"/>
        <w:autoSpaceDE/>
        <w:autoSpaceDN/>
        <w:bidi w:val="0"/>
        <w:adjustRightInd w:val="0"/>
        <w:snapToGrid/>
        <w:jc w:val="center"/>
        <w:textAlignment w:val="auto"/>
        <w:outlineLvl w:val="2"/>
        <w:rPr>
          <w:rFonts w:ascii="宋体" w:hAnsi="宋体" w:cs="宋体"/>
          <w:color w:val="auto"/>
          <w:sz w:val="21"/>
          <w:szCs w:val="21"/>
          <w:highlight w:val="none"/>
        </w:rPr>
      </w:pPr>
      <w:r>
        <w:rPr>
          <w:rFonts w:hint="eastAsia" w:ascii="宋体" w:hAnsi="宋体" w:cs="宋体"/>
          <w:b/>
          <w:color w:val="auto"/>
          <w:kern w:val="0"/>
          <w:sz w:val="21"/>
          <w:szCs w:val="21"/>
          <w:highlight w:val="none"/>
        </w:rPr>
        <w:t>五、评标标准相应的商务技术资料</w:t>
      </w:r>
    </w:p>
    <w:p w14:paraId="61BA3CF7">
      <w:pPr>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（按招标文件第四部分评标办法前附表中“投标文件中评标标准相应的商务技术资料目录”提供资料。）</w:t>
      </w:r>
    </w:p>
    <w:p w14:paraId="01FB3BE7">
      <w:pPr>
        <w:jc w:val="center"/>
        <w:rPr>
          <w:rFonts w:ascii="宋体" w:hAnsi="宋体" w:cs="宋体"/>
          <w:b/>
          <w:color w:val="auto"/>
          <w:kern w:val="0"/>
          <w:sz w:val="21"/>
          <w:szCs w:val="21"/>
          <w:highlight w:val="none"/>
        </w:rPr>
      </w:pPr>
    </w:p>
    <w:p w14:paraId="2E506B10">
      <w:pPr>
        <w:jc w:val="center"/>
        <w:rPr>
          <w:rFonts w:ascii="宋体" w:hAnsi="宋体" w:cs="宋体"/>
          <w:b/>
          <w:color w:val="auto"/>
          <w:kern w:val="0"/>
          <w:sz w:val="21"/>
          <w:szCs w:val="21"/>
          <w:highlight w:val="none"/>
        </w:rPr>
      </w:pPr>
    </w:p>
    <w:p w14:paraId="674BF85E">
      <w:pPr>
        <w:keepNext w:val="0"/>
        <w:keepLines w:val="0"/>
        <w:pageBreakBefore w:val="0"/>
        <w:widowControl w:val="0"/>
        <w:kinsoku/>
        <w:wordWrap/>
        <w:overflowPunct/>
        <w:topLinePunct w:val="0"/>
        <w:autoSpaceDE/>
        <w:autoSpaceDN/>
        <w:bidi w:val="0"/>
        <w:adjustRightInd w:val="0"/>
        <w:snapToGrid/>
        <w:jc w:val="center"/>
        <w:textAlignment w:val="auto"/>
        <w:outlineLvl w:val="2"/>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3C2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A685F4">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0031D69">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35E61F9">
            <w:pPr>
              <w:spacing w:line="360" w:lineRule="auto"/>
              <w:jc w:val="center"/>
              <w:rPr>
                <w:rFonts w:ascii="宋体" w:hAnsi="宋体" w:cs="宋体"/>
                <w:b/>
                <w:color w:val="auto"/>
                <w:sz w:val="21"/>
                <w:szCs w:val="21"/>
                <w:highlight w:val="none"/>
              </w:rPr>
            </w:pPr>
          </w:p>
          <w:p w14:paraId="751A0ADA">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082FD23">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0E30C2C">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E691088">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AA78D0B">
            <w:pPr>
              <w:spacing w:line="360" w:lineRule="auto"/>
              <w:jc w:val="center"/>
              <w:rPr>
                <w:rFonts w:ascii="宋体" w:hAnsi="宋体" w:cs="宋体"/>
                <w:b/>
                <w:color w:val="auto"/>
                <w:sz w:val="21"/>
                <w:szCs w:val="21"/>
                <w:highlight w:val="none"/>
              </w:rPr>
            </w:pPr>
          </w:p>
          <w:p w14:paraId="0C965B82">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备注（如果有）</w:t>
            </w:r>
          </w:p>
          <w:p w14:paraId="65741D7B">
            <w:pPr>
              <w:spacing w:line="360" w:lineRule="auto"/>
              <w:jc w:val="center"/>
              <w:rPr>
                <w:rFonts w:ascii="宋体" w:hAnsi="宋体" w:cs="宋体"/>
                <w:b/>
                <w:color w:val="auto"/>
                <w:sz w:val="21"/>
                <w:szCs w:val="21"/>
                <w:highlight w:val="none"/>
              </w:rPr>
            </w:pPr>
          </w:p>
        </w:tc>
      </w:tr>
      <w:tr w14:paraId="7704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93C0D6">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B5DDE51">
            <w:pPr>
              <w:snapToGrid w:val="0"/>
              <w:spacing w:line="360" w:lineRule="auto"/>
              <w:jc w:val="center"/>
              <w:rPr>
                <w:rFonts w:ascii="宋体" w:hAnsi="宋体" w:cs="宋体"/>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FD0A5FB">
            <w:pPr>
              <w:snapToGrid w:val="0"/>
              <w:spacing w:line="360" w:lineRule="auto"/>
              <w:jc w:val="center"/>
              <w:rPr>
                <w:rFonts w:ascii="宋体" w:hAnsi="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6D4FBE">
            <w:pPr>
              <w:snapToGrid w:val="0"/>
              <w:spacing w:line="360" w:lineRule="auto"/>
              <w:jc w:val="center"/>
              <w:rPr>
                <w:rFonts w:ascii="宋体" w:hAnsi="宋体" w:cs="宋体"/>
                <w:color w:val="auto"/>
                <w:sz w:val="21"/>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7BA3B05">
            <w:pPr>
              <w:spacing w:line="360" w:lineRule="auto"/>
              <w:jc w:val="center"/>
              <w:rPr>
                <w:rFonts w:ascii="宋体" w:hAnsi="宋体" w:cs="宋体"/>
                <w:color w:val="auto"/>
                <w:sz w:val="21"/>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0E99E98">
            <w:pPr>
              <w:spacing w:line="360" w:lineRule="auto"/>
              <w:jc w:val="center"/>
              <w:rPr>
                <w:rFonts w:ascii="宋体" w:hAnsi="宋体" w:cs="宋体"/>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78C1435">
            <w:pPr>
              <w:spacing w:line="360" w:lineRule="auto"/>
              <w:jc w:val="center"/>
              <w:rPr>
                <w:rFonts w:ascii="宋体" w:hAnsi="宋体" w:cs="宋体"/>
                <w:color w:val="auto"/>
                <w:sz w:val="21"/>
                <w:szCs w:val="21"/>
                <w:highlight w:val="none"/>
              </w:rPr>
            </w:pPr>
          </w:p>
        </w:tc>
      </w:tr>
      <w:tr w14:paraId="0AB7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DF6A87">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DB4FE27">
            <w:pPr>
              <w:snapToGrid w:val="0"/>
              <w:spacing w:line="360" w:lineRule="auto"/>
              <w:jc w:val="center"/>
              <w:rPr>
                <w:rFonts w:ascii="宋体" w:hAnsi="宋体" w:cs="宋体"/>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7424692">
            <w:pPr>
              <w:snapToGrid w:val="0"/>
              <w:spacing w:line="360" w:lineRule="auto"/>
              <w:jc w:val="center"/>
              <w:rPr>
                <w:rFonts w:ascii="宋体" w:hAnsi="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A6F5FC3">
            <w:pPr>
              <w:snapToGrid w:val="0"/>
              <w:spacing w:line="360" w:lineRule="auto"/>
              <w:jc w:val="center"/>
              <w:rPr>
                <w:rFonts w:ascii="宋体" w:hAnsi="宋体" w:cs="宋体"/>
                <w:color w:val="auto"/>
                <w:sz w:val="21"/>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B3BF780">
            <w:pPr>
              <w:spacing w:line="360" w:lineRule="auto"/>
              <w:jc w:val="center"/>
              <w:rPr>
                <w:rFonts w:ascii="宋体" w:hAnsi="宋体" w:cs="宋体"/>
                <w:color w:val="auto"/>
                <w:sz w:val="21"/>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8476524">
            <w:pPr>
              <w:spacing w:line="360" w:lineRule="auto"/>
              <w:jc w:val="center"/>
              <w:rPr>
                <w:rFonts w:ascii="宋体" w:hAnsi="宋体" w:cs="宋体"/>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831B10A">
            <w:pPr>
              <w:spacing w:line="360" w:lineRule="auto"/>
              <w:jc w:val="center"/>
              <w:rPr>
                <w:rFonts w:ascii="宋体" w:hAnsi="宋体" w:cs="宋体"/>
                <w:color w:val="auto"/>
                <w:sz w:val="21"/>
                <w:szCs w:val="21"/>
                <w:highlight w:val="none"/>
              </w:rPr>
            </w:pPr>
          </w:p>
        </w:tc>
      </w:tr>
      <w:tr w14:paraId="0319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D2B7CA">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647C55F">
            <w:pPr>
              <w:snapToGrid w:val="0"/>
              <w:spacing w:line="360" w:lineRule="auto"/>
              <w:jc w:val="center"/>
              <w:rPr>
                <w:rFonts w:ascii="宋体" w:hAnsi="宋体" w:cs="宋体"/>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05FB2FF">
            <w:pPr>
              <w:snapToGrid w:val="0"/>
              <w:spacing w:line="360" w:lineRule="auto"/>
              <w:jc w:val="center"/>
              <w:rPr>
                <w:rFonts w:ascii="宋体" w:hAnsi="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E6D8CA0">
            <w:pPr>
              <w:snapToGrid w:val="0"/>
              <w:spacing w:line="360" w:lineRule="auto"/>
              <w:jc w:val="center"/>
              <w:rPr>
                <w:rFonts w:ascii="宋体" w:hAnsi="宋体" w:cs="宋体"/>
                <w:color w:val="auto"/>
                <w:sz w:val="21"/>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6F43D73">
            <w:pPr>
              <w:spacing w:line="360" w:lineRule="auto"/>
              <w:jc w:val="center"/>
              <w:rPr>
                <w:rFonts w:ascii="宋体" w:hAnsi="宋体" w:cs="宋体"/>
                <w:color w:val="auto"/>
                <w:sz w:val="21"/>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39AC98E">
            <w:pPr>
              <w:spacing w:line="360" w:lineRule="auto"/>
              <w:jc w:val="center"/>
              <w:rPr>
                <w:rFonts w:ascii="宋体" w:hAnsi="宋体" w:cs="宋体"/>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B30CB59">
            <w:pPr>
              <w:spacing w:line="360" w:lineRule="auto"/>
              <w:jc w:val="center"/>
              <w:rPr>
                <w:rFonts w:ascii="宋体" w:hAnsi="宋体" w:cs="宋体"/>
                <w:color w:val="auto"/>
                <w:sz w:val="21"/>
                <w:szCs w:val="21"/>
                <w:highlight w:val="none"/>
              </w:rPr>
            </w:pPr>
          </w:p>
        </w:tc>
      </w:tr>
    </w:tbl>
    <w:p w14:paraId="58916E67">
      <w:pPr>
        <w:spacing w:line="360" w:lineRule="auto"/>
        <w:ind w:right="420"/>
        <w:rPr>
          <w:rFonts w:ascii="宋体" w:hAnsi="宋体" w:cs="宋体"/>
          <w:b/>
          <w:color w:val="auto"/>
          <w:kern w:val="0"/>
          <w:sz w:val="32"/>
          <w:szCs w:val="32"/>
          <w:highlight w:val="none"/>
        </w:rPr>
      </w:pPr>
      <w:r>
        <w:rPr>
          <w:rFonts w:hint="eastAsia" w:ascii="宋体" w:hAnsi="宋体" w:cs="宋体"/>
          <w:color w:val="auto"/>
          <w:sz w:val="21"/>
          <w:szCs w:val="21"/>
          <w:highlight w:val="none"/>
        </w:rPr>
        <w:t>注：按本格式和要求提供。</w:t>
      </w:r>
    </w:p>
    <w:p w14:paraId="3876EC6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E6DB056">
      <w:pPr>
        <w:keepNext w:val="0"/>
        <w:keepLines w:val="0"/>
        <w:pageBreakBefore w:val="0"/>
        <w:widowControl w:val="0"/>
        <w:kinsoku/>
        <w:wordWrap/>
        <w:overflowPunct/>
        <w:topLinePunct w:val="0"/>
        <w:autoSpaceDE/>
        <w:autoSpaceDN/>
        <w:bidi w:val="0"/>
        <w:adjustRightInd w:val="0"/>
        <w:snapToGrid/>
        <w:jc w:val="center"/>
        <w:textAlignment w:val="auto"/>
        <w:outlineLvl w:val="2"/>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7C3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1F41D4">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683" w:type="dxa"/>
          </w:tcPr>
          <w:p w14:paraId="08F226B5">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招标文件章节及具体内容</w:t>
            </w:r>
          </w:p>
        </w:tc>
        <w:tc>
          <w:tcPr>
            <w:tcW w:w="3546" w:type="dxa"/>
          </w:tcPr>
          <w:p w14:paraId="343F9C28">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投标文件章节及具体内容</w:t>
            </w:r>
          </w:p>
        </w:tc>
        <w:tc>
          <w:tcPr>
            <w:tcW w:w="1276" w:type="dxa"/>
          </w:tcPr>
          <w:p w14:paraId="7F0D964B">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偏离说明</w:t>
            </w:r>
          </w:p>
        </w:tc>
      </w:tr>
      <w:tr w14:paraId="1BCF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CED05C">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683" w:type="dxa"/>
          </w:tcPr>
          <w:p w14:paraId="05CFF4C1">
            <w:pPr>
              <w:jc w:val="center"/>
              <w:rPr>
                <w:rFonts w:ascii="宋体" w:hAnsi="宋体" w:cs="宋体"/>
                <w:b/>
                <w:color w:val="auto"/>
                <w:kern w:val="0"/>
                <w:sz w:val="21"/>
                <w:szCs w:val="21"/>
                <w:highlight w:val="none"/>
              </w:rPr>
            </w:pPr>
          </w:p>
        </w:tc>
        <w:tc>
          <w:tcPr>
            <w:tcW w:w="3546" w:type="dxa"/>
          </w:tcPr>
          <w:p w14:paraId="4D953767">
            <w:pPr>
              <w:jc w:val="center"/>
              <w:rPr>
                <w:rFonts w:ascii="宋体" w:hAnsi="宋体" w:cs="宋体"/>
                <w:b/>
                <w:color w:val="auto"/>
                <w:kern w:val="0"/>
                <w:sz w:val="21"/>
                <w:szCs w:val="21"/>
                <w:highlight w:val="none"/>
              </w:rPr>
            </w:pPr>
          </w:p>
        </w:tc>
        <w:tc>
          <w:tcPr>
            <w:tcW w:w="1276" w:type="dxa"/>
          </w:tcPr>
          <w:p w14:paraId="753DD88E">
            <w:pPr>
              <w:jc w:val="center"/>
              <w:rPr>
                <w:rFonts w:ascii="宋体" w:hAnsi="宋体" w:cs="宋体"/>
                <w:b/>
                <w:color w:val="auto"/>
                <w:kern w:val="0"/>
                <w:sz w:val="21"/>
                <w:szCs w:val="21"/>
                <w:highlight w:val="none"/>
              </w:rPr>
            </w:pPr>
          </w:p>
        </w:tc>
      </w:tr>
      <w:tr w14:paraId="5621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598B67">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683" w:type="dxa"/>
          </w:tcPr>
          <w:p w14:paraId="51283AE6">
            <w:pPr>
              <w:jc w:val="center"/>
              <w:rPr>
                <w:rFonts w:ascii="宋体" w:hAnsi="宋体" w:cs="宋体"/>
                <w:b/>
                <w:color w:val="auto"/>
                <w:kern w:val="0"/>
                <w:sz w:val="21"/>
                <w:szCs w:val="21"/>
                <w:highlight w:val="none"/>
              </w:rPr>
            </w:pPr>
          </w:p>
        </w:tc>
        <w:tc>
          <w:tcPr>
            <w:tcW w:w="3546" w:type="dxa"/>
          </w:tcPr>
          <w:p w14:paraId="5790B71B">
            <w:pPr>
              <w:jc w:val="center"/>
              <w:rPr>
                <w:rFonts w:ascii="宋体" w:hAnsi="宋体" w:cs="宋体"/>
                <w:b/>
                <w:color w:val="auto"/>
                <w:kern w:val="0"/>
                <w:sz w:val="21"/>
                <w:szCs w:val="21"/>
                <w:highlight w:val="none"/>
              </w:rPr>
            </w:pPr>
          </w:p>
        </w:tc>
        <w:tc>
          <w:tcPr>
            <w:tcW w:w="1276" w:type="dxa"/>
          </w:tcPr>
          <w:p w14:paraId="27C9BBDB">
            <w:pPr>
              <w:jc w:val="center"/>
              <w:rPr>
                <w:rFonts w:ascii="宋体" w:hAnsi="宋体" w:cs="宋体"/>
                <w:b/>
                <w:color w:val="auto"/>
                <w:kern w:val="0"/>
                <w:sz w:val="21"/>
                <w:szCs w:val="21"/>
                <w:highlight w:val="none"/>
              </w:rPr>
            </w:pPr>
          </w:p>
        </w:tc>
      </w:tr>
      <w:tr w14:paraId="101D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029884">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3683" w:type="dxa"/>
          </w:tcPr>
          <w:p w14:paraId="587A0FB3">
            <w:pPr>
              <w:jc w:val="center"/>
              <w:rPr>
                <w:rFonts w:ascii="宋体" w:hAnsi="宋体" w:cs="宋体"/>
                <w:b/>
                <w:color w:val="auto"/>
                <w:kern w:val="0"/>
                <w:sz w:val="21"/>
                <w:szCs w:val="21"/>
                <w:highlight w:val="none"/>
              </w:rPr>
            </w:pPr>
          </w:p>
        </w:tc>
        <w:tc>
          <w:tcPr>
            <w:tcW w:w="3546" w:type="dxa"/>
          </w:tcPr>
          <w:p w14:paraId="63205FA8">
            <w:pPr>
              <w:jc w:val="center"/>
              <w:rPr>
                <w:rFonts w:ascii="宋体" w:hAnsi="宋体" w:cs="宋体"/>
                <w:b/>
                <w:color w:val="auto"/>
                <w:kern w:val="0"/>
                <w:sz w:val="21"/>
                <w:szCs w:val="21"/>
                <w:highlight w:val="none"/>
              </w:rPr>
            </w:pPr>
          </w:p>
        </w:tc>
        <w:tc>
          <w:tcPr>
            <w:tcW w:w="1276" w:type="dxa"/>
          </w:tcPr>
          <w:p w14:paraId="5251050D">
            <w:pPr>
              <w:jc w:val="center"/>
              <w:rPr>
                <w:rFonts w:ascii="宋体" w:hAnsi="宋体" w:cs="宋体"/>
                <w:b/>
                <w:color w:val="auto"/>
                <w:kern w:val="0"/>
                <w:sz w:val="21"/>
                <w:szCs w:val="21"/>
                <w:highlight w:val="none"/>
              </w:rPr>
            </w:pPr>
          </w:p>
        </w:tc>
      </w:tr>
    </w:tbl>
    <w:p w14:paraId="656E366F">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投标人保证：除商务技术偏离表列出的偏离外，投标人响应招标文件的全部要求</w:t>
      </w:r>
    </w:p>
    <w:p w14:paraId="2D3DC06A">
      <w:pPr>
        <w:jc w:val="center"/>
        <w:rPr>
          <w:rFonts w:ascii="宋体" w:hAnsi="宋体" w:cs="宋体"/>
          <w:b/>
          <w:color w:val="auto"/>
          <w:kern w:val="0"/>
          <w:sz w:val="21"/>
          <w:szCs w:val="21"/>
          <w:highlight w:val="none"/>
        </w:rPr>
      </w:pPr>
    </w:p>
    <w:p w14:paraId="106EA824">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EC80580">
      <w:pPr>
        <w:ind w:firstLine="1911" w:firstLineChars="595"/>
        <w:rPr>
          <w:rFonts w:ascii="宋体" w:hAnsi="宋体" w:cs="宋体"/>
          <w:b/>
          <w:bCs/>
          <w:color w:val="auto"/>
          <w:sz w:val="32"/>
          <w:szCs w:val="32"/>
          <w:highlight w:val="none"/>
        </w:rPr>
      </w:pPr>
    </w:p>
    <w:p w14:paraId="2EC8FC89">
      <w:pPr>
        <w:ind w:firstLine="1911" w:firstLineChars="595"/>
        <w:rPr>
          <w:rFonts w:ascii="宋体" w:hAnsi="宋体" w:cs="宋体"/>
          <w:b/>
          <w:bCs/>
          <w:color w:val="auto"/>
          <w:sz w:val="32"/>
          <w:szCs w:val="32"/>
          <w:highlight w:val="none"/>
        </w:rPr>
      </w:pPr>
    </w:p>
    <w:p w14:paraId="2ACAAD44">
      <w:pPr>
        <w:ind w:firstLine="1911" w:firstLineChars="595"/>
        <w:rPr>
          <w:rFonts w:ascii="宋体" w:hAnsi="宋体" w:cs="宋体"/>
          <w:b/>
          <w:bCs/>
          <w:color w:val="auto"/>
          <w:sz w:val="32"/>
          <w:szCs w:val="32"/>
          <w:highlight w:val="none"/>
        </w:rPr>
      </w:pPr>
    </w:p>
    <w:p w14:paraId="5C4FF1C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D1F6BF6">
      <w:pPr>
        <w:keepNext w:val="0"/>
        <w:keepLines w:val="0"/>
        <w:pageBreakBefore w:val="0"/>
        <w:widowControl w:val="0"/>
        <w:kinsoku/>
        <w:wordWrap/>
        <w:overflowPunct/>
        <w:topLinePunct w:val="0"/>
        <w:autoSpaceDE/>
        <w:autoSpaceDN/>
        <w:bidi w:val="0"/>
        <w:adjustRightInd w:val="0"/>
        <w:snapToGrid/>
        <w:jc w:val="center"/>
        <w:textAlignment w:val="auto"/>
        <w:outlineLvl w:val="2"/>
        <w:rPr>
          <w:rFonts w:ascii="宋体" w:hAnsi="宋体" w:cs="宋体"/>
          <w:b/>
          <w:color w:val="auto"/>
          <w:kern w:val="0"/>
          <w:sz w:val="21"/>
          <w:szCs w:val="21"/>
          <w:highlight w:val="none"/>
        </w:rPr>
      </w:pPr>
      <w:r>
        <w:rPr>
          <w:rFonts w:hint="eastAsia" w:ascii="宋体" w:hAnsi="宋体" w:cs="宋体"/>
          <w:b/>
          <w:bCs/>
          <w:color w:val="auto"/>
          <w:sz w:val="21"/>
          <w:szCs w:val="21"/>
          <w:highlight w:val="none"/>
        </w:rPr>
        <w:t>八</w:t>
      </w:r>
      <w:r>
        <w:rPr>
          <w:rFonts w:hint="eastAsia" w:ascii="宋体" w:hAnsi="宋体" w:cs="宋体"/>
          <w:b/>
          <w:color w:val="auto"/>
          <w:kern w:val="0"/>
          <w:sz w:val="21"/>
          <w:szCs w:val="21"/>
          <w:highlight w:val="none"/>
        </w:rPr>
        <w:t>、</w:t>
      </w:r>
      <w:r>
        <w:rPr>
          <w:rFonts w:hint="eastAsia" w:ascii="宋体" w:hAnsi="宋体" w:cs="宋体"/>
          <w:b/>
          <w:color w:val="auto"/>
          <w:kern w:val="0"/>
          <w:sz w:val="21"/>
          <w:szCs w:val="21"/>
          <w:highlight w:val="none"/>
          <w:lang w:val="zh-CN"/>
        </w:rPr>
        <w:t>政府采购供应商廉洁自律承诺书</w:t>
      </w:r>
    </w:p>
    <w:p w14:paraId="7D093322">
      <w:pPr>
        <w:snapToGrid w:val="0"/>
        <w:spacing w:line="360" w:lineRule="auto"/>
        <w:rPr>
          <w:rFonts w:ascii="宋体" w:hAnsi="宋体" w:cs="宋体"/>
          <w:color w:val="auto"/>
          <w:sz w:val="21"/>
          <w:szCs w:val="21"/>
          <w:highlight w:val="none"/>
        </w:rPr>
      </w:pPr>
    </w:p>
    <w:p w14:paraId="29C66B4E">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中共杭州市钱塘区委宣传部</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6AF44DC7">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619874C3">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19B0B6ED">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32C43203">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304CBAEA">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2B2FAD58">
      <w:pPr>
        <w:autoSpaceDE w:val="0"/>
        <w:autoSpaceDN w:val="0"/>
        <w:spacing w:line="36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w:t>
      </w:r>
    </w:p>
    <w:p w14:paraId="5C857001">
      <w:pPr>
        <w:autoSpaceDE w:val="0"/>
        <w:autoSpaceDN w:val="0"/>
        <w:spacing w:line="36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好处；</w:t>
      </w:r>
    </w:p>
    <w:p w14:paraId="71AFE8E4">
      <w:pPr>
        <w:autoSpaceDE w:val="0"/>
        <w:autoSpaceDN w:val="0"/>
        <w:spacing w:line="36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六、严格遵守《</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政府采购法》《</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招标投标</w:t>
      </w:r>
    </w:p>
    <w:p w14:paraId="0AE858BF">
      <w:pPr>
        <w:autoSpaceDE w:val="0"/>
        <w:autoSpaceDN w:val="0"/>
        <w:spacing w:line="36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法》</w:t>
      </w:r>
      <w:r>
        <w:rPr>
          <w:rFonts w:hint="eastAsia" w:ascii="宋体" w:hAnsi="宋体" w:cs="宋体"/>
          <w:color w:val="auto"/>
          <w:sz w:val="21"/>
          <w:szCs w:val="21"/>
          <w:highlight w:val="none"/>
          <w:lang w:val="zh-CN"/>
        </w:rPr>
        <w:t>《中华人民共和国民法典》</w:t>
      </w:r>
      <w:r>
        <w:rPr>
          <w:rFonts w:hint="eastAsia" w:ascii="宋体" w:hAnsi="宋体" w:cs="宋体"/>
          <w:color w:val="auto"/>
          <w:kern w:val="0"/>
          <w:sz w:val="21"/>
          <w:szCs w:val="21"/>
          <w:highlight w:val="none"/>
          <w:lang w:val="zh-CN"/>
        </w:rPr>
        <w:t xml:space="preserve">等法律法规，诚实守信，合法经营，坚决抵制各种违法违纪行为。 </w:t>
      </w:r>
    </w:p>
    <w:p w14:paraId="576F0DF4">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进行项目建设或其他经营活动，并通报市财政局。由此引起的相应损失均由我单位承担。</w:t>
      </w:r>
    </w:p>
    <w:p w14:paraId="16B84661">
      <w:pPr>
        <w:autoSpaceDE w:val="0"/>
        <w:autoSpaceDN w:val="0"/>
        <w:spacing w:line="360" w:lineRule="auto"/>
        <w:ind w:left="2"/>
        <w:jc w:val="left"/>
        <w:rPr>
          <w:rFonts w:ascii="宋体" w:hAnsi="宋体" w:cs="宋体"/>
          <w:color w:val="auto"/>
          <w:kern w:val="0"/>
          <w:sz w:val="21"/>
          <w:szCs w:val="21"/>
          <w:highlight w:val="none"/>
          <w:lang w:val="zh-CN"/>
        </w:rPr>
      </w:pPr>
    </w:p>
    <w:p w14:paraId="06809817">
      <w:pPr>
        <w:autoSpaceDE w:val="0"/>
        <w:autoSpaceDN w:val="0"/>
        <w:spacing w:line="360" w:lineRule="auto"/>
        <w:ind w:left="2"/>
        <w:jc w:val="left"/>
        <w:rPr>
          <w:rFonts w:ascii="宋体" w:hAnsi="宋体" w:cs="宋体"/>
          <w:color w:val="auto"/>
          <w:kern w:val="0"/>
          <w:sz w:val="21"/>
          <w:szCs w:val="21"/>
          <w:highlight w:val="none"/>
          <w:lang w:val="zh-CN"/>
        </w:rPr>
      </w:pPr>
    </w:p>
    <w:p w14:paraId="159322AB">
      <w:pPr>
        <w:autoSpaceDE w:val="0"/>
        <w:autoSpaceDN w:val="0"/>
        <w:spacing w:line="360" w:lineRule="auto"/>
        <w:ind w:left="2"/>
        <w:jc w:val="left"/>
        <w:rPr>
          <w:rFonts w:ascii="宋体" w:hAnsi="宋体" w:cs="宋体"/>
          <w:color w:val="auto"/>
          <w:kern w:val="0"/>
          <w:sz w:val="21"/>
          <w:szCs w:val="21"/>
          <w:highlight w:val="none"/>
          <w:lang w:val="zh-CN"/>
        </w:rPr>
      </w:pPr>
    </w:p>
    <w:p w14:paraId="1F3DC3C8">
      <w:pPr>
        <w:autoSpaceDE w:val="0"/>
        <w:autoSpaceDN w:val="0"/>
        <w:spacing w:line="360" w:lineRule="auto"/>
        <w:ind w:left="2" w:leftChars="1" w:right="1120" w:firstLine="3990" w:firstLineChars="19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 xml:space="preserve">）：                                                                                                                                                                                                               </w:t>
      </w:r>
    </w:p>
    <w:p w14:paraId="26DACDCD">
      <w:pPr>
        <w:spacing w:line="360" w:lineRule="auto"/>
        <w:ind w:left="4620" w:leftChars="2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6274CA5C">
      <w:pPr>
        <w:spacing w:line="360" w:lineRule="auto"/>
        <w:jc w:val="center"/>
        <w:rPr>
          <w:rFonts w:ascii="宋体" w:hAnsi="宋体" w:cs="宋体"/>
          <w:b/>
          <w:bCs/>
          <w:color w:val="auto"/>
          <w:sz w:val="21"/>
          <w:szCs w:val="21"/>
          <w:highlight w:val="none"/>
        </w:rPr>
      </w:pPr>
    </w:p>
    <w:p w14:paraId="27D15D89">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71DAC01C">
      <w:pPr>
        <w:spacing w:line="360" w:lineRule="auto"/>
        <w:jc w:val="center"/>
        <w:rPr>
          <w:rFonts w:ascii="宋体" w:hAnsi="宋体" w:cs="宋体"/>
          <w:b/>
          <w:bCs/>
          <w:color w:val="auto"/>
          <w:sz w:val="21"/>
          <w:szCs w:val="21"/>
          <w:highlight w:val="none"/>
        </w:rPr>
        <w:sectPr>
          <w:headerReference r:id="rId13" w:type="first"/>
          <w:footerReference r:id="rId15" w:type="first"/>
          <w:headerReference r:id="rId12" w:type="default"/>
          <w:footerReference r:id="rId14" w:type="default"/>
          <w:pgSz w:w="11906" w:h="16838"/>
          <w:pgMar w:top="1247" w:right="1247" w:bottom="1247" w:left="1247" w:header="851" w:footer="992" w:gutter="0"/>
          <w:cols w:space="720" w:num="1"/>
          <w:titlePg/>
          <w:docGrid w:linePitch="312" w:charSpace="0"/>
        </w:sectPr>
      </w:pPr>
    </w:p>
    <w:p w14:paraId="10721C5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1"/>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报价文件部分</w:t>
      </w:r>
    </w:p>
    <w:p w14:paraId="3077D47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目录</w:t>
      </w:r>
    </w:p>
    <w:p w14:paraId="799BB12B">
      <w:pPr>
        <w:bidi w:val="0"/>
        <w:rPr>
          <w:color w:val="auto"/>
          <w:highlight w:val="none"/>
        </w:rPr>
      </w:pPr>
    </w:p>
    <w:p w14:paraId="6FE3524D">
      <w:pPr>
        <w:numPr>
          <w:ilvl w:val="0"/>
          <w:numId w:val="3"/>
        </w:num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开标一览表（报价表）………………………………………………………（页码）</w:t>
      </w:r>
    </w:p>
    <w:p w14:paraId="1D109475">
      <w:pPr>
        <w:spacing w:line="360" w:lineRule="auto"/>
        <w:rPr>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w:t>
      </w:r>
      <w:r>
        <w:rPr>
          <w:rFonts w:hint="eastAsia" w:hAnsi="仿宋_GB2312" w:cs="仿宋_GB2312"/>
          <w:b w:val="0"/>
          <w:bCs/>
          <w:snapToGrid w:val="0"/>
          <w:color w:val="auto"/>
          <w:kern w:val="2"/>
          <w:sz w:val="21"/>
          <w:szCs w:val="21"/>
          <w:highlight w:val="none"/>
          <w:lang w:val="en-US" w:eastAsia="zh-CN" w:bidi="ar-SA"/>
        </w:rPr>
        <w:t>报价情况说明</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（页码）</w:t>
      </w:r>
    </w:p>
    <w:p w14:paraId="6326E7E2">
      <w:pPr>
        <w:snapToGrid w:val="0"/>
        <w:spacing w:line="360" w:lineRule="auto"/>
        <w:rPr>
          <w:rFonts w:hint="eastAsia" w:ascii="宋体" w:hAnsi="宋体" w:cs="宋体"/>
          <w:color w:val="auto"/>
          <w:sz w:val="24"/>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）中小企业声明函………………………………………………………………（页码）</w:t>
      </w:r>
    </w:p>
    <w:p w14:paraId="697C15FF">
      <w:pPr>
        <w:pStyle w:val="79"/>
        <w:rPr>
          <w:rFonts w:hint="eastAsia"/>
          <w:color w:val="auto"/>
          <w:highlight w:val="none"/>
        </w:rPr>
      </w:pPr>
    </w:p>
    <w:p w14:paraId="77B15216">
      <w:pPr>
        <w:pStyle w:val="79"/>
        <w:rPr>
          <w:color w:val="auto"/>
          <w:highlight w:val="none"/>
        </w:rPr>
      </w:pPr>
    </w:p>
    <w:p w14:paraId="0F88C1CE">
      <w:pPr>
        <w:snapToGrid w:val="0"/>
        <w:spacing w:line="360" w:lineRule="auto"/>
        <w:ind w:right="480"/>
        <w:jc w:val="center"/>
        <w:rPr>
          <w:rFonts w:ascii="宋体" w:hAnsi="宋体" w:cs="宋体"/>
          <w:b/>
          <w:color w:val="auto"/>
          <w:kern w:val="0"/>
          <w:sz w:val="32"/>
          <w:szCs w:val="32"/>
          <w:highlight w:val="none"/>
        </w:rPr>
      </w:pPr>
    </w:p>
    <w:p w14:paraId="349B65A9">
      <w:pPr>
        <w:snapToGrid w:val="0"/>
        <w:spacing w:line="360" w:lineRule="auto"/>
        <w:ind w:right="480"/>
        <w:jc w:val="center"/>
        <w:rPr>
          <w:rFonts w:ascii="宋体" w:hAnsi="宋体" w:cs="宋体"/>
          <w:b/>
          <w:color w:val="auto"/>
          <w:kern w:val="0"/>
          <w:sz w:val="32"/>
          <w:szCs w:val="32"/>
          <w:highlight w:val="none"/>
        </w:rPr>
      </w:pPr>
    </w:p>
    <w:p w14:paraId="28EA4123">
      <w:pPr>
        <w:snapToGrid w:val="0"/>
        <w:spacing w:line="360" w:lineRule="auto"/>
        <w:ind w:right="480"/>
        <w:jc w:val="center"/>
        <w:rPr>
          <w:rFonts w:ascii="宋体" w:hAnsi="宋体" w:cs="宋体"/>
          <w:b/>
          <w:color w:val="auto"/>
          <w:kern w:val="0"/>
          <w:sz w:val="32"/>
          <w:szCs w:val="32"/>
          <w:highlight w:val="none"/>
        </w:rPr>
      </w:pPr>
    </w:p>
    <w:p w14:paraId="34A4DE44">
      <w:pPr>
        <w:snapToGrid w:val="0"/>
        <w:spacing w:line="360" w:lineRule="auto"/>
        <w:ind w:right="480"/>
        <w:jc w:val="center"/>
        <w:rPr>
          <w:rFonts w:ascii="宋体" w:hAnsi="宋体" w:cs="宋体"/>
          <w:b/>
          <w:color w:val="auto"/>
          <w:kern w:val="0"/>
          <w:sz w:val="32"/>
          <w:szCs w:val="32"/>
          <w:highlight w:val="none"/>
        </w:rPr>
      </w:pPr>
    </w:p>
    <w:p w14:paraId="6D73AA1C">
      <w:pPr>
        <w:snapToGrid w:val="0"/>
        <w:spacing w:line="360" w:lineRule="auto"/>
        <w:ind w:right="480"/>
        <w:jc w:val="center"/>
        <w:rPr>
          <w:rFonts w:ascii="宋体" w:hAnsi="宋体" w:cs="宋体"/>
          <w:b/>
          <w:color w:val="auto"/>
          <w:kern w:val="0"/>
          <w:sz w:val="32"/>
          <w:szCs w:val="32"/>
          <w:highlight w:val="none"/>
        </w:rPr>
      </w:pPr>
    </w:p>
    <w:p w14:paraId="1C3140DB">
      <w:pPr>
        <w:snapToGrid w:val="0"/>
        <w:spacing w:line="360" w:lineRule="auto"/>
        <w:ind w:right="480"/>
        <w:jc w:val="center"/>
        <w:rPr>
          <w:rFonts w:ascii="宋体" w:hAnsi="宋体" w:cs="宋体"/>
          <w:b/>
          <w:color w:val="auto"/>
          <w:kern w:val="0"/>
          <w:sz w:val="32"/>
          <w:szCs w:val="32"/>
          <w:highlight w:val="none"/>
        </w:rPr>
      </w:pPr>
    </w:p>
    <w:p w14:paraId="665E72CB">
      <w:pPr>
        <w:snapToGrid w:val="0"/>
        <w:spacing w:line="360" w:lineRule="auto"/>
        <w:ind w:right="480"/>
        <w:jc w:val="center"/>
        <w:rPr>
          <w:rFonts w:ascii="宋体" w:hAnsi="宋体" w:cs="宋体"/>
          <w:b/>
          <w:color w:val="auto"/>
          <w:kern w:val="0"/>
          <w:sz w:val="32"/>
          <w:szCs w:val="32"/>
          <w:highlight w:val="none"/>
        </w:rPr>
      </w:pPr>
    </w:p>
    <w:p w14:paraId="35151969">
      <w:pPr>
        <w:snapToGrid w:val="0"/>
        <w:spacing w:line="360" w:lineRule="auto"/>
        <w:ind w:right="480"/>
        <w:jc w:val="center"/>
        <w:rPr>
          <w:rFonts w:ascii="宋体" w:hAnsi="宋体" w:cs="宋体"/>
          <w:b/>
          <w:color w:val="auto"/>
          <w:kern w:val="0"/>
          <w:sz w:val="32"/>
          <w:szCs w:val="32"/>
          <w:highlight w:val="none"/>
        </w:rPr>
      </w:pPr>
    </w:p>
    <w:p w14:paraId="15EC54B5">
      <w:pPr>
        <w:snapToGrid w:val="0"/>
        <w:spacing w:line="360" w:lineRule="auto"/>
        <w:ind w:right="480"/>
        <w:jc w:val="center"/>
        <w:rPr>
          <w:rFonts w:ascii="宋体" w:hAnsi="宋体" w:cs="宋体"/>
          <w:b/>
          <w:color w:val="auto"/>
          <w:kern w:val="0"/>
          <w:sz w:val="32"/>
          <w:szCs w:val="32"/>
          <w:highlight w:val="none"/>
        </w:rPr>
      </w:pPr>
    </w:p>
    <w:p w14:paraId="70FFCE08">
      <w:pPr>
        <w:snapToGrid w:val="0"/>
        <w:spacing w:line="360" w:lineRule="auto"/>
        <w:ind w:right="480"/>
        <w:jc w:val="center"/>
        <w:rPr>
          <w:rFonts w:ascii="宋体" w:hAnsi="宋体" w:cs="宋体"/>
          <w:b/>
          <w:color w:val="auto"/>
          <w:kern w:val="0"/>
          <w:sz w:val="32"/>
          <w:szCs w:val="32"/>
          <w:highlight w:val="none"/>
        </w:rPr>
      </w:pPr>
    </w:p>
    <w:p w14:paraId="10A4A25E">
      <w:pPr>
        <w:snapToGrid w:val="0"/>
        <w:spacing w:line="360" w:lineRule="auto"/>
        <w:ind w:right="480"/>
        <w:jc w:val="center"/>
        <w:rPr>
          <w:rFonts w:ascii="宋体" w:hAnsi="宋体" w:cs="宋体"/>
          <w:b/>
          <w:color w:val="auto"/>
          <w:kern w:val="0"/>
          <w:sz w:val="32"/>
          <w:szCs w:val="32"/>
          <w:highlight w:val="none"/>
        </w:rPr>
      </w:pPr>
    </w:p>
    <w:p w14:paraId="328DCB64">
      <w:pPr>
        <w:snapToGrid w:val="0"/>
        <w:spacing w:line="360" w:lineRule="auto"/>
        <w:ind w:right="480"/>
        <w:jc w:val="center"/>
        <w:rPr>
          <w:rFonts w:ascii="宋体" w:hAnsi="宋体" w:cs="宋体"/>
          <w:b/>
          <w:color w:val="auto"/>
          <w:kern w:val="0"/>
          <w:sz w:val="32"/>
          <w:szCs w:val="32"/>
          <w:highlight w:val="none"/>
        </w:rPr>
      </w:pPr>
    </w:p>
    <w:p w14:paraId="620C1FBD">
      <w:pPr>
        <w:snapToGrid w:val="0"/>
        <w:spacing w:line="360" w:lineRule="auto"/>
        <w:ind w:right="480"/>
        <w:jc w:val="center"/>
        <w:rPr>
          <w:rFonts w:ascii="宋体" w:hAnsi="宋体" w:cs="宋体"/>
          <w:b/>
          <w:color w:val="auto"/>
          <w:kern w:val="0"/>
          <w:sz w:val="32"/>
          <w:szCs w:val="32"/>
          <w:highlight w:val="none"/>
        </w:rPr>
      </w:pPr>
    </w:p>
    <w:p w14:paraId="262FF4A4">
      <w:pPr>
        <w:snapToGrid w:val="0"/>
        <w:spacing w:line="360" w:lineRule="auto"/>
        <w:ind w:right="480"/>
        <w:jc w:val="center"/>
        <w:rPr>
          <w:rFonts w:ascii="宋体" w:hAnsi="宋体" w:cs="宋体"/>
          <w:b/>
          <w:color w:val="auto"/>
          <w:kern w:val="0"/>
          <w:sz w:val="32"/>
          <w:szCs w:val="32"/>
          <w:highlight w:val="none"/>
        </w:rPr>
      </w:pPr>
    </w:p>
    <w:p w14:paraId="60B87C83">
      <w:pPr>
        <w:snapToGrid w:val="0"/>
        <w:spacing w:line="360" w:lineRule="auto"/>
        <w:ind w:right="480"/>
        <w:jc w:val="center"/>
        <w:rPr>
          <w:rFonts w:ascii="宋体" w:hAnsi="宋体" w:cs="宋体"/>
          <w:b/>
          <w:color w:val="auto"/>
          <w:kern w:val="0"/>
          <w:sz w:val="32"/>
          <w:szCs w:val="32"/>
          <w:highlight w:val="none"/>
        </w:rPr>
      </w:pPr>
    </w:p>
    <w:p w14:paraId="3418609B">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47" w:right="1247" w:bottom="1247" w:left="1247" w:header="851" w:footer="992" w:gutter="0"/>
          <w:cols w:space="720" w:num="1"/>
          <w:titlePg/>
          <w:docGrid w:linePitch="312" w:charSpace="0"/>
        </w:sectPr>
      </w:pPr>
    </w:p>
    <w:p w14:paraId="1A2D3849">
      <w:pPr>
        <w:pStyle w:val="692"/>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641"/>
        <w:textAlignment w:val="auto"/>
        <w:outlineLvl w:val="2"/>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一、开标一览表（报价表）</w:t>
      </w:r>
    </w:p>
    <w:p w14:paraId="39A46E24">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中共杭州市钱塘区委宣传部</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23A435D4">
      <w:pPr>
        <w:snapToGrid w:val="0"/>
        <w:spacing w:line="360" w:lineRule="auto"/>
        <w:ind w:firstLine="482"/>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1"/>
          <w:szCs w:val="21"/>
          <w:highlight w:val="none"/>
          <w:lang w:eastAsia="zh-CN"/>
        </w:rPr>
        <w:t>社会热点信息报送服务项目(重新招标)</w:t>
      </w:r>
      <w:r>
        <w:rPr>
          <w:rFonts w:hint="eastAsia" w:ascii="宋体" w:hAnsi="宋体" w:cs="宋体"/>
          <w:color w:val="auto"/>
          <w:kern w:val="0"/>
          <w:sz w:val="21"/>
          <w:szCs w:val="21"/>
          <w:highlight w:val="none"/>
          <w:lang w:val="zh-CN"/>
        </w:rPr>
        <w:t>【招标编号：</w:t>
      </w:r>
      <w:r>
        <w:rPr>
          <w:rFonts w:hint="eastAsia" w:ascii="宋体" w:hAnsi="宋体" w:cs="宋体"/>
          <w:color w:val="auto"/>
          <w:sz w:val="21"/>
          <w:szCs w:val="21"/>
          <w:highlight w:val="none"/>
          <w:lang w:eastAsia="zh-CN"/>
        </w:rPr>
        <w:t>QTCG-GK-2024-289(2)</w:t>
      </w:r>
      <w:r>
        <w:rPr>
          <w:rFonts w:hint="eastAsia" w:ascii="宋体" w:hAnsi="宋体" w:cs="宋体"/>
          <w:color w:val="auto"/>
          <w:sz w:val="21"/>
          <w:szCs w:val="21"/>
          <w:highlight w:val="none"/>
        </w:rPr>
        <w:t>】的实施</w:t>
      </w:r>
      <w:r>
        <w:rPr>
          <w:rFonts w:hint="eastAsia" w:ascii="宋体" w:hAnsi="宋体" w:cs="宋体"/>
          <w:color w:val="auto"/>
          <w:kern w:val="0"/>
          <w:sz w:val="21"/>
          <w:szCs w:val="21"/>
          <w:highlight w:val="none"/>
          <w:lang w:val="zh-CN"/>
        </w:rPr>
        <w:t>。</w:t>
      </w:r>
    </w:p>
    <w:p w14:paraId="2C5D4AB5">
      <w:pPr>
        <w:spacing w:line="360" w:lineRule="auto"/>
        <w:jc w:val="center"/>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5FA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285F510">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992" w:type="dxa"/>
            <w:vAlign w:val="center"/>
          </w:tcPr>
          <w:p w14:paraId="7393B8E0">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2268" w:type="dxa"/>
          </w:tcPr>
          <w:p w14:paraId="633401EA">
            <w:pPr>
              <w:spacing w:line="360" w:lineRule="auto"/>
              <w:jc w:val="center"/>
              <w:rPr>
                <w:rFonts w:ascii="宋体" w:hAnsi="宋体" w:cs="宋体"/>
                <w:b/>
                <w:color w:val="auto"/>
                <w:sz w:val="21"/>
                <w:szCs w:val="21"/>
                <w:highlight w:val="none"/>
              </w:rPr>
            </w:pPr>
          </w:p>
          <w:p w14:paraId="28DD9654">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服务范围</w:t>
            </w:r>
          </w:p>
        </w:tc>
        <w:tc>
          <w:tcPr>
            <w:tcW w:w="2410" w:type="dxa"/>
            <w:vAlign w:val="center"/>
          </w:tcPr>
          <w:p w14:paraId="7F290F7D">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服务要求</w:t>
            </w:r>
          </w:p>
        </w:tc>
        <w:tc>
          <w:tcPr>
            <w:tcW w:w="2268" w:type="dxa"/>
            <w:vAlign w:val="center"/>
          </w:tcPr>
          <w:p w14:paraId="4B9BFE6A">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服务时间</w:t>
            </w:r>
          </w:p>
        </w:tc>
        <w:tc>
          <w:tcPr>
            <w:tcW w:w="2126" w:type="dxa"/>
            <w:vAlign w:val="center"/>
          </w:tcPr>
          <w:p w14:paraId="5244A0BC">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服务标准</w:t>
            </w:r>
          </w:p>
        </w:tc>
        <w:tc>
          <w:tcPr>
            <w:tcW w:w="2127" w:type="dxa"/>
          </w:tcPr>
          <w:p w14:paraId="0227B3BE">
            <w:pPr>
              <w:spacing w:line="360" w:lineRule="auto"/>
              <w:jc w:val="center"/>
              <w:rPr>
                <w:rFonts w:ascii="宋体" w:hAnsi="宋体" w:cs="宋体"/>
                <w:b/>
                <w:color w:val="auto"/>
                <w:sz w:val="21"/>
                <w:szCs w:val="21"/>
                <w:highlight w:val="none"/>
              </w:rPr>
            </w:pPr>
          </w:p>
          <w:p w14:paraId="74CCD32F">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服务人数</w:t>
            </w:r>
          </w:p>
        </w:tc>
        <w:tc>
          <w:tcPr>
            <w:tcW w:w="2126" w:type="dxa"/>
            <w:vAlign w:val="center"/>
          </w:tcPr>
          <w:p w14:paraId="27444F4F">
            <w:pPr>
              <w:spacing w:line="360" w:lineRule="auto"/>
              <w:jc w:val="center"/>
              <w:rPr>
                <w:rFonts w:ascii="宋体" w:hAnsi="宋体" w:cs="宋体"/>
                <w:b/>
                <w:color w:val="auto"/>
                <w:sz w:val="21"/>
                <w:szCs w:val="21"/>
                <w:highlight w:val="none"/>
              </w:rPr>
            </w:pPr>
          </w:p>
          <w:p w14:paraId="343577AD">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备注（如果有）</w:t>
            </w:r>
          </w:p>
          <w:p w14:paraId="1C7B6C40">
            <w:pPr>
              <w:spacing w:line="360" w:lineRule="auto"/>
              <w:jc w:val="center"/>
              <w:rPr>
                <w:rFonts w:ascii="宋体" w:hAnsi="宋体" w:cs="宋体"/>
                <w:b/>
                <w:color w:val="auto"/>
                <w:sz w:val="21"/>
                <w:szCs w:val="21"/>
                <w:highlight w:val="none"/>
              </w:rPr>
            </w:pPr>
          </w:p>
        </w:tc>
      </w:tr>
      <w:tr w14:paraId="1524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C201680">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992" w:type="dxa"/>
            <w:vAlign w:val="center"/>
          </w:tcPr>
          <w:p w14:paraId="2C4FC290">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X</w:t>
            </w:r>
            <w:r>
              <w:rPr>
                <w:rFonts w:ascii="宋体" w:hAnsi="宋体" w:cs="宋体"/>
                <w:color w:val="auto"/>
                <w:sz w:val="21"/>
                <w:szCs w:val="21"/>
                <w:highlight w:val="none"/>
              </w:rPr>
              <w:t>X</w:t>
            </w:r>
          </w:p>
        </w:tc>
        <w:tc>
          <w:tcPr>
            <w:tcW w:w="2268" w:type="dxa"/>
            <w:vAlign w:val="center"/>
          </w:tcPr>
          <w:p w14:paraId="16A63422">
            <w:pPr>
              <w:snapToGrid w:val="0"/>
              <w:spacing w:line="360" w:lineRule="auto"/>
              <w:jc w:val="center"/>
              <w:rPr>
                <w:rFonts w:ascii="宋体" w:hAnsi="宋体" w:cs="宋体"/>
                <w:color w:val="auto"/>
                <w:sz w:val="21"/>
                <w:szCs w:val="21"/>
                <w:highlight w:val="none"/>
              </w:rPr>
            </w:pPr>
          </w:p>
        </w:tc>
        <w:tc>
          <w:tcPr>
            <w:tcW w:w="2410" w:type="dxa"/>
            <w:vAlign w:val="center"/>
          </w:tcPr>
          <w:p w14:paraId="55D8E812">
            <w:pPr>
              <w:snapToGrid w:val="0"/>
              <w:spacing w:line="360" w:lineRule="auto"/>
              <w:jc w:val="center"/>
              <w:rPr>
                <w:rFonts w:ascii="宋体" w:hAnsi="宋体" w:cs="宋体"/>
                <w:color w:val="auto"/>
                <w:sz w:val="21"/>
                <w:szCs w:val="21"/>
                <w:highlight w:val="none"/>
              </w:rPr>
            </w:pPr>
          </w:p>
        </w:tc>
        <w:tc>
          <w:tcPr>
            <w:tcW w:w="2268" w:type="dxa"/>
            <w:vAlign w:val="center"/>
          </w:tcPr>
          <w:p w14:paraId="3FF2B7E0">
            <w:pPr>
              <w:snapToGrid w:val="0"/>
              <w:spacing w:line="360" w:lineRule="auto"/>
              <w:jc w:val="center"/>
              <w:rPr>
                <w:rFonts w:ascii="宋体" w:hAnsi="宋体" w:cs="宋体"/>
                <w:color w:val="auto"/>
                <w:sz w:val="21"/>
                <w:szCs w:val="21"/>
                <w:highlight w:val="none"/>
              </w:rPr>
            </w:pPr>
          </w:p>
        </w:tc>
        <w:tc>
          <w:tcPr>
            <w:tcW w:w="2126" w:type="dxa"/>
            <w:vAlign w:val="center"/>
          </w:tcPr>
          <w:p w14:paraId="3B179BC5">
            <w:pPr>
              <w:spacing w:line="360" w:lineRule="auto"/>
              <w:jc w:val="center"/>
              <w:rPr>
                <w:rFonts w:ascii="宋体" w:hAnsi="宋体" w:cs="宋体"/>
                <w:color w:val="auto"/>
                <w:sz w:val="21"/>
                <w:szCs w:val="21"/>
                <w:highlight w:val="none"/>
              </w:rPr>
            </w:pPr>
          </w:p>
        </w:tc>
        <w:tc>
          <w:tcPr>
            <w:tcW w:w="2127" w:type="dxa"/>
          </w:tcPr>
          <w:p w14:paraId="57825E66">
            <w:pPr>
              <w:spacing w:line="360" w:lineRule="auto"/>
              <w:jc w:val="center"/>
              <w:rPr>
                <w:rFonts w:ascii="宋体" w:hAnsi="宋体" w:cs="宋体"/>
                <w:color w:val="auto"/>
                <w:sz w:val="21"/>
                <w:szCs w:val="21"/>
                <w:highlight w:val="none"/>
              </w:rPr>
            </w:pPr>
          </w:p>
        </w:tc>
        <w:tc>
          <w:tcPr>
            <w:tcW w:w="2126" w:type="dxa"/>
            <w:vAlign w:val="center"/>
          </w:tcPr>
          <w:p w14:paraId="3655E807">
            <w:pPr>
              <w:spacing w:line="360" w:lineRule="auto"/>
              <w:jc w:val="center"/>
              <w:rPr>
                <w:rFonts w:ascii="宋体" w:hAnsi="宋体" w:cs="宋体"/>
                <w:color w:val="auto"/>
                <w:sz w:val="21"/>
                <w:szCs w:val="21"/>
                <w:highlight w:val="none"/>
              </w:rPr>
            </w:pPr>
          </w:p>
        </w:tc>
      </w:tr>
      <w:tr w14:paraId="5C21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56BA78E">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992" w:type="dxa"/>
            <w:vAlign w:val="center"/>
          </w:tcPr>
          <w:p w14:paraId="5766BC57">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X</w:t>
            </w:r>
            <w:r>
              <w:rPr>
                <w:rFonts w:ascii="宋体" w:hAnsi="宋体" w:cs="宋体"/>
                <w:color w:val="auto"/>
                <w:sz w:val="21"/>
                <w:szCs w:val="21"/>
                <w:highlight w:val="none"/>
              </w:rPr>
              <w:t>X</w:t>
            </w:r>
          </w:p>
        </w:tc>
        <w:tc>
          <w:tcPr>
            <w:tcW w:w="2268" w:type="dxa"/>
            <w:vAlign w:val="center"/>
          </w:tcPr>
          <w:p w14:paraId="22F6A4ED">
            <w:pPr>
              <w:snapToGrid w:val="0"/>
              <w:spacing w:line="360" w:lineRule="auto"/>
              <w:jc w:val="center"/>
              <w:rPr>
                <w:rFonts w:ascii="宋体" w:hAnsi="宋体" w:cs="宋体"/>
                <w:color w:val="auto"/>
                <w:sz w:val="21"/>
                <w:szCs w:val="21"/>
                <w:highlight w:val="none"/>
              </w:rPr>
            </w:pPr>
          </w:p>
        </w:tc>
        <w:tc>
          <w:tcPr>
            <w:tcW w:w="2410" w:type="dxa"/>
            <w:vAlign w:val="center"/>
          </w:tcPr>
          <w:p w14:paraId="6F35967F">
            <w:pPr>
              <w:snapToGrid w:val="0"/>
              <w:spacing w:line="360" w:lineRule="auto"/>
              <w:jc w:val="center"/>
              <w:rPr>
                <w:rFonts w:ascii="宋体" w:hAnsi="宋体" w:cs="宋体"/>
                <w:color w:val="auto"/>
                <w:sz w:val="21"/>
                <w:szCs w:val="21"/>
                <w:highlight w:val="none"/>
              </w:rPr>
            </w:pPr>
          </w:p>
        </w:tc>
        <w:tc>
          <w:tcPr>
            <w:tcW w:w="2268" w:type="dxa"/>
            <w:vAlign w:val="center"/>
          </w:tcPr>
          <w:p w14:paraId="71A50CEB">
            <w:pPr>
              <w:snapToGrid w:val="0"/>
              <w:spacing w:line="360" w:lineRule="auto"/>
              <w:jc w:val="center"/>
              <w:rPr>
                <w:rFonts w:ascii="宋体" w:hAnsi="宋体" w:cs="宋体"/>
                <w:color w:val="auto"/>
                <w:sz w:val="21"/>
                <w:szCs w:val="21"/>
                <w:highlight w:val="none"/>
              </w:rPr>
            </w:pPr>
          </w:p>
        </w:tc>
        <w:tc>
          <w:tcPr>
            <w:tcW w:w="2126" w:type="dxa"/>
            <w:vAlign w:val="center"/>
          </w:tcPr>
          <w:p w14:paraId="217B1CB9">
            <w:pPr>
              <w:spacing w:line="360" w:lineRule="auto"/>
              <w:jc w:val="center"/>
              <w:rPr>
                <w:rFonts w:ascii="宋体" w:hAnsi="宋体" w:cs="宋体"/>
                <w:color w:val="auto"/>
                <w:sz w:val="21"/>
                <w:szCs w:val="21"/>
                <w:highlight w:val="none"/>
              </w:rPr>
            </w:pPr>
          </w:p>
        </w:tc>
        <w:tc>
          <w:tcPr>
            <w:tcW w:w="2127" w:type="dxa"/>
          </w:tcPr>
          <w:p w14:paraId="5491EEDF">
            <w:pPr>
              <w:spacing w:line="360" w:lineRule="auto"/>
              <w:jc w:val="center"/>
              <w:rPr>
                <w:rFonts w:ascii="宋体" w:hAnsi="宋体" w:cs="宋体"/>
                <w:color w:val="auto"/>
                <w:sz w:val="21"/>
                <w:szCs w:val="21"/>
                <w:highlight w:val="none"/>
              </w:rPr>
            </w:pPr>
          </w:p>
        </w:tc>
        <w:tc>
          <w:tcPr>
            <w:tcW w:w="2126" w:type="dxa"/>
            <w:vAlign w:val="center"/>
          </w:tcPr>
          <w:p w14:paraId="67481F9F">
            <w:pPr>
              <w:spacing w:line="360" w:lineRule="auto"/>
              <w:jc w:val="center"/>
              <w:rPr>
                <w:rFonts w:ascii="宋体" w:hAnsi="宋体" w:cs="宋体"/>
                <w:color w:val="auto"/>
                <w:sz w:val="21"/>
                <w:szCs w:val="21"/>
                <w:highlight w:val="none"/>
              </w:rPr>
            </w:pPr>
          </w:p>
        </w:tc>
      </w:tr>
      <w:tr w14:paraId="3CAD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0D077DA">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992" w:type="dxa"/>
            <w:vAlign w:val="center"/>
          </w:tcPr>
          <w:p w14:paraId="78F7026C">
            <w:pPr>
              <w:snapToGrid w:val="0"/>
              <w:spacing w:line="360" w:lineRule="auto"/>
              <w:jc w:val="center"/>
              <w:rPr>
                <w:rFonts w:ascii="宋体" w:hAnsi="宋体" w:cs="宋体"/>
                <w:color w:val="auto"/>
                <w:sz w:val="21"/>
                <w:szCs w:val="21"/>
                <w:highlight w:val="none"/>
              </w:rPr>
            </w:pPr>
          </w:p>
        </w:tc>
        <w:tc>
          <w:tcPr>
            <w:tcW w:w="2268" w:type="dxa"/>
            <w:vAlign w:val="center"/>
          </w:tcPr>
          <w:p w14:paraId="1E8A696C">
            <w:pPr>
              <w:snapToGrid w:val="0"/>
              <w:spacing w:line="360" w:lineRule="auto"/>
              <w:jc w:val="center"/>
              <w:rPr>
                <w:rFonts w:ascii="宋体" w:hAnsi="宋体" w:cs="宋体"/>
                <w:color w:val="auto"/>
                <w:sz w:val="21"/>
                <w:szCs w:val="21"/>
                <w:highlight w:val="none"/>
              </w:rPr>
            </w:pPr>
          </w:p>
        </w:tc>
        <w:tc>
          <w:tcPr>
            <w:tcW w:w="2410" w:type="dxa"/>
            <w:vAlign w:val="center"/>
          </w:tcPr>
          <w:p w14:paraId="50D5C154">
            <w:pPr>
              <w:snapToGrid w:val="0"/>
              <w:spacing w:line="360" w:lineRule="auto"/>
              <w:jc w:val="center"/>
              <w:rPr>
                <w:rFonts w:ascii="宋体" w:hAnsi="宋体" w:cs="宋体"/>
                <w:color w:val="auto"/>
                <w:sz w:val="21"/>
                <w:szCs w:val="21"/>
                <w:highlight w:val="none"/>
              </w:rPr>
            </w:pPr>
          </w:p>
        </w:tc>
        <w:tc>
          <w:tcPr>
            <w:tcW w:w="2268" w:type="dxa"/>
            <w:vAlign w:val="center"/>
          </w:tcPr>
          <w:p w14:paraId="3EEB72A8">
            <w:pPr>
              <w:snapToGrid w:val="0"/>
              <w:spacing w:line="360" w:lineRule="auto"/>
              <w:jc w:val="center"/>
              <w:rPr>
                <w:rFonts w:ascii="宋体" w:hAnsi="宋体" w:cs="宋体"/>
                <w:color w:val="auto"/>
                <w:sz w:val="21"/>
                <w:szCs w:val="21"/>
                <w:highlight w:val="none"/>
              </w:rPr>
            </w:pPr>
          </w:p>
        </w:tc>
        <w:tc>
          <w:tcPr>
            <w:tcW w:w="2126" w:type="dxa"/>
            <w:vAlign w:val="center"/>
          </w:tcPr>
          <w:p w14:paraId="7D146C87">
            <w:pPr>
              <w:spacing w:line="360" w:lineRule="auto"/>
              <w:jc w:val="center"/>
              <w:rPr>
                <w:rFonts w:ascii="宋体" w:hAnsi="宋体" w:cs="宋体"/>
                <w:color w:val="auto"/>
                <w:sz w:val="21"/>
                <w:szCs w:val="21"/>
                <w:highlight w:val="none"/>
              </w:rPr>
            </w:pPr>
          </w:p>
        </w:tc>
        <w:tc>
          <w:tcPr>
            <w:tcW w:w="2127" w:type="dxa"/>
          </w:tcPr>
          <w:p w14:paraId="433EB87A">
            <w:pPr>
              <w:spacing w:line="360" w:lineRule="auto"/>
              <w:jc w:val="center"/>
              <w:rPr>
                <w:rFonts w:ascii="宋体" w:hAnsi="宋体" w:cs="宋体"/>
                <w:color w:val="auto"/>
                <w:sz w:val="21"/>
                <w:szCs w:val="21"/>
                <w:highlight w:val="none"/>
              </w:rPr>
            </w:pPr>
          </w:p>
        </w:tc>
        <w:tc>
          <w:tcPr>
            <w:tcW w:w="2126" w:type="dxa"/>
            <w:vAlign w:val="center"/>
          </w:tcPr>
          <w:p w14:paraId="4A20012D">
            <w:pPr>
              <w:spacing w:line="360" w:lineRule="auto"/>
              <w:jc w:val="center"/>
              <w:rPr>
                <w:rFonts w:ascii="宋体" w:hAnsi="宋体" w:cs="宋体"/>
                <w:color w:val="auto"/>
                <w:sz w:val="21"/>
                <w:szCs w:val="21"/>
                <w:highlight w:val="none"/>
              </w:rPr>
            </w:pPr>
          </w:p>
        </w:tc>
      </w:tr>
      <w:tr w14:paraId="36F5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ECCAFA2">
            <w:pPr>
              <w:spacing w:line="360" w:lineRule="auto"/>
              <w:jc w:val="center"/>
              <w:rPr>
                <w:rFonts w:ascii="宋体" w:hAnsi="宋体" w:cs="宋体"/>
                <w:color w:val="auto"/>
                <w:sz w:val="21"/>
                <w:szCs w:val="21"/>
                <w:highlight w:val="none"/>
              </w:rPr>
            </w:pPr>
          </w:p>
        </w:tc>
        <w:tc>
          <w:tcPr>
            <w:tcW w:w="992" w:type="dxa"/>
            <w:vAlign w:val="center"/>
          </w:tcPr>
          <w:p w14:paraId="2AA34154">
            <w:pPr>
              <w:snapToGrid w:val="0"/>
              <w:spacing w:line="360" w:lineRule="auto"/>
              <w:jc w:val="center"/>
              <w:rPr>
                <w:rFonts w:ascii="宋体" w:hAnsi="宋体" w:cs="宋体"/>
                <w:color w:val="auto"/>
                <w:sz w:val="21"/>
                <w:szCs w:val="21"/>
                <w:highlight w:val="none"/>
              </w:rPr>
            </w:pPr>
          </w:p>
        </w:tc>
        <w:tc>
          <w:tcPr>
            <w:tcW w:w="2268" w:type="dxa"/>
            <w:vAlign w:val="center"/>
          </w:tcPr>
          <w:p w14:paraId="71E6A428">
            <w:pPr>
              <w:snapToGrid w:val="0"/>
              <w:spacing w:line="360" w:lineRule="auto"/>
              <w:jc w:val="center"/>
              <w:rPr>
                <w:rFonts w:ascii="宋体" w:hAnsi="宋体" w:cs="宋体"/>
                <w:color w:val="auto"/>
                <w:sz w:val="21"/>
                <w:szCs w:val="21"/>
                <w:highlight w:val="none"/>
              </w:rPr>
            </w:pPr>
          </w:p>
        </w:tc>
        <w:tc>
          <w:tcPr>
            <w:tcW w:w="2410" w:type="dxa"/>
            <w:vAlign w:val="center"/>
          </w:tcPr>
          <w:p w14:paraId="6B81A24B">
            <w:pPr>
              <w:snapToGrid w:val="0"/>
              <w:spacing w:line="360" w:lineRule="auto"/>
              <w:jc w:val="center"/>
              <w:rPr>
                <w:rFonts w:ascii="宋体" w:hAnsi="宋体" w:cs="宋体"/>
                <w:color w:val="auto"/>
                <w:sz w:val="21"/>
                <w:szCs w:val="21"/>
                <w:highlight w:val="none"/>
              </w:rPr>
            </w:pPr>
          </w:p>
        </w:tc>
        <w:tc>
          <w:tcPr>
            <w:tcW w:w="2268" w:type="dxa"/>
            <w:vAlign w:val="center"/>
          </w:tcPr>
          <w:p w14:paraId="28239B3D">
            <w:pPr>
              <w:snapToGrid w:val="0"/>
              <w:spacing w:line="360" w:lineRule="auto"/>
              <w:jc w:val="center"/>
              <w:rPr>
                <w:rFonts w:ascii="宋体" w:hAnsi="宋体" w:cs="宋体"/>
                <w:color w:val="auto"/>
                <w:sz w:val="21"/>
                <w:szCs w:val="21"/>
                <w:highlight w:val="none"/>
              </w:rPr>
            </w:pPr>
          </w:p>
        </w:tc>
        <w:tc>
          <w:tcPr>
            <w:tcW w:w="2126" w:type="dxa"/>
            <w:vAlign w:val="center"/>
          </w:tcPr>
          <w:p w14:paraId="626F63C3">
            <w:pPr>
              <w:spacing w:line="360" w:lineRule="auto"/>
              <w:jc w:val="center"/>
              <w:rPr>
                <w:rFonts w:ascii="宋体" w:hAnsi="宋体" w:cs="宋体"/>
                <w:color w:val="auto"/>
                <w:sz w:val="21"/>
                <w:szCs w:val="21"/>
                <w:highlight w:val="none"/>
              </w:rPr>
            </w:pPr>
          </w:p>
        </w:tc>
        <w:tc>
          <w:tcPr>
            <w:tcW w:w="2127" w:type="dxa"/>
          </w:tcPr>
          <w:p w14:paraId="49C15455">
            <w:pPr>
              <w:spacing w:line="360" w:lineRule="auto"/>
              <w:jc w:val="center"/>
              <w:rPr>
                <w:rFonts w:ascii="宋体" w:hAnsi="宋体" w:cs="宋体"/>
                <w:color w:val="auto"/>
                <w:sz w:val="21"/>
                <w:szCs w:val="21"/>
                <w:highlight w:val="none"/>
              </w:rPr>
            </w:pPr>
          </w:p>
        </w:tc>
        <w:tc>
          <w:tcPr>
            <w:tcW w:w="2126" w:type="dxa"/>
            <w:vAlign w:val="center"/>
          </w:tcPr>
          <w:p w14:paraId="605BD3D3">
            <w:pPr>
              <w:spacing w:line="360" w:lineRule="auto"/>
              <w:jc w:val="center"/>
              <w:rPr>
                <w:rFonts w:ascii="宋体" w:hAnsi="宋体" w:cs="宋体"/>
                <w:color w:val="auto"/>
                <w:sz w:val="21"/>
                <w:szCs w:val="21"/>
                <w:highlight w:val="none"/>
              </w:rPr>
            </w:pPr>
          </w:p>
        </w:tc>
      </w:tr>
      <w:tr w14:paraId="73C0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5BC02ED">
            <w:pPr>
              <w:spacing w:line="360" w:lineRule="auto"/>
              <w:jc w:val="center"/>
              <w:rPr>
                <w:rFonts w:ascii="宋体" w:hAnsi="宋体" w:cs="宋体"/>
                <w:color w:val="auto"/>
                <w:sz w:val="21"/>
                <w:szCs w:val="21"/>
                <w:highlight w:val="none"/>
              </w:rPr>
            </w:pPr>
          </w:p>
        </w:tc>
        <w:tc>
          <w:tcPr>
            <w:tcW w:w="992" w:type="dxa"/>
            <w:vAlign w:val="center"/>
          </w:tcPr>
          <w:p w14:paraId="0FBA8AE4">
            <w:pPr>
              <w:snapToGrid w:val="0"/>
              <w:spacing w:line="360" w:lineRule="auto"/>
              <w:jc w:val="center"/>
              <w:rPr>
                <w:rFonts w:ascii="宋体" w:hAnsi="宋体" w:cs="宋体"/>
                <w:color w:val="auto"/>
                <w:sz w:val="21"/>
                <w:szCs w:val="21"/>
                <w:highlight w:val="none"/>
              </w:rPr>
            </w:pPr>
          </w:p>
        </w:tc>
        <w:tc>
          <w:tcPr>
            <w:tcW w:w="2268" w:type="dxa"/>
            <w:vAlign w:val="center"/>
          </w:tcPr>
          <w:p w14:paraId="28F6A248">
            <w:pPr>
              <w:snapToGrid w:val="0"/>
              <w:spacing w:line="360" w:lineRule="auto"/>
              <w:jc w:val="center"/>
              <w:rPr>
                <w:rFonts w:ascii="宋体" w:hAnsi="宋体" w:cs="宋体"/>
                <w:color w:val="auto"/>
                <w:sz w:val="21"/>
                <w:szCs w:val="21"/>
                <w:highlight w:val="none"/>
              </w:rPr>
            </w:pPr>
          </w:p>
        </w:tc>
        <w:tc>
          <w:tcPr>
            <w:tcW w:w="2410" w:type="dxa"/>
            <w:vAlign w:val="center"/>
          </w:tcPr>
          <w:p w14:paraId="552BB3EF">
            <w:pPr>
              <w:snapToGrid w:val="0"/>
              <w:spacing w:line="360" w:lineRule="auto"/>
              <w:jc w:val="center"/>
              <w:rPr>
                <w:rFonts w:ascii="宋体" w:hAnsi="宋体" w:cs="宋体"/>
                <w:color w:val="auto"/>
                <w:sz w:val="21"/>
                <w:szCs w:val="21"/>
                <w:highlight w:val="none"/>
              </w:rPr>
            </w:pPr>
          </w:p>
        </w:tc>
        <w:tc>
          <w:tcPr>
            <w:tcW w:w="2268" w:type="dxa"/>
            <w:vAlign w:val="center"/>
          </w:tcPr>
          <w:p w14:paraId="22BCF444">
            <w:pPr>
              <w:snapToGrid w:val="0"/>
              <w:spacing w:line="360" w:lineRule="auto"/>
              <w:jc w:val="center"/>
              <w:rPr>
                <w:rFonts w:ascii="宋体" w:hAnsi="宋体" w:cs="宋体"/>
                <w:color w:val="auto"/>
                <w:sz w:val="21"/>
                <w:szCs w:val="21"/>
                <w:highlight w:val="none"/>
              </w:rPr>
            </w:pPr>
          </w:p>
        </w:tc>
        <w:tc>
          <w:tcPr>
            <w:tcW w:w="2126" w:type="dxa"/>
            <w:vAlign w:val="center"/>
          </w:tcPr>
          <w:p w14:paraId="1311D768">
            <w:pPr>
              <w:spacing w:line="360" w:lineRule="auto"/>
              <w:jc w:val="center"/>
              <w:rPr>
                <w:rFonts w:ascii="宋体" w:hAnsi="宋体" w:cs="宋体"/>
                <w:color w:val="auto"/>
                <w:sz w:val="21"/>
                <w:szCs w:val="21"/>
                <w:highlight w:val="none"/>
              </w:rPr>
            </w:pPr>
          </w:p>
        </w:tc>
        <w:tc>
          <w:tcPr>
            <w:tcW w:w="2127" w:type="dxa"/>
          </w:tcPr>
          <w:p w14:paraId="3CDFE3AC">
            <w:pPr>
              <w:spacing w:line="360" w:lineRule="auto"/>
              <w:jc w:val="center"/>
              <w:rPr>
                <w:rFonts w:ascii="宋体" w:hAnsi="宋体" w:cs="宋体"/>
                <w:color w:val="auto"/>
                <w:sz w:val="21"/>
                <w:szCs w:val="21"/>
                <w:highlight w:val="none"/>
              </w:rPr>
            </w:pPr>
          </w:p>
        </w:tc>
        <w:tc>
          <w:tcPr>
            <w:tcW w:w="2126" w:type="dxa"/>
            <w:vAlign w:val="center"/>
          </w:tcPr>
          <w:p w14:paraId="12E89AA1">
            <w:pPr>
              <w:spacing w:line="360" w:lineRule="auto"/>
              <w:jc w:val="center"/>
              <w:rPr>
                <w:rFonts w:ascii="宋体" w:hAnsi="宋体" w:cs="宋体"/>
                <w:color w:val="auto"/>
                <w:sz w:val="21"/>
                <w:szCs w:val="21"/>
                <w:highlight w:val="none"/>
              </w:rPr>
            </w:pPr>
          </w:p>
        </w:tc>
      </w:tr>
      <w:tr w14:paraId="2494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4144D0E">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投标报价（小写）</w:t>
            </w:r>
          </w:p>
        </w:tc>
        <w:tc>
          <w:tcPr>
            <w:tcW w:w="8647" w:type="dxa"/>
            <w:gridSpan w:val="4"/>
          </w:tcPr>
          <w:p w14:paraId="101BA329">
            <w:pPr>
              <w:spacing w:line="360" w:lineRule="auto"/>
              <w:jc w:val="center"/>
              <w:rPr>
                <w:rFonts w:ascii="宋体" w:hAnsi="宋体" w:cs="宋体"/>
                <w:color w:val="auto"/>
                <w:sz w:val="21"/>
                <w:szCs w:val="21"/>
                <w:highlight w:val="none"/>
              </w:rPr>
            </w:pPr>
          </w:p>
        </w:tc>
      </w:tr>
      <w:tr w14:paraId="4B43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8ECB36F">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投标报价（大写）</w:t>
            </w:r>
          </w:p>
        </w:tc>
        <w:tc>
          <w:tcPr>
            <w:tcW w:w="8647" w:type="dxa"/>
            <w:gridSpan w:val="4"/>
          </w:tcPr>
          <w:p w14:paraId="1052858F">
            <w:pPr>
              <w:spacing w:line="360" w:lineRule="auto"/>
              <w:jc w:val="center"/>
              <w:rPr>
                <w:rFonts w:ascii="宋体" w:hAnsi="宋体" w:cs="宋体"/>
                <w:color w:val="auto"/>
                <w:sz w:val="21"/>
                <w:szCs w:val="21"/>
                <w:highlight w:val="none"/>
              </w:rPr>
            </w:pPr>
          </w:p>
        </w:tc>
      </w:tr>
    </w:tbl>
    <w:p w14:paraId="2EBB142D">
      <w:pPr>
        <w:snapToGrid w:val="0"/>
        <w:spacing w:line="360" w:lineRule="auto"/>
        <w:ind w:left="480"/>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注：</w:t>
      </w:r>
    </w:p>
    <w:p w14:paraId="6349BBE1">
      <w:pPr>
        <w:spacing w:line="360" w:lineRule="auto"/>
        <w:ind w:left="-2" w:leftChars="-1"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1、投标人需按本表格式填写</w:t>
      </w: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投标文件含有采购人不能接受的附加条件，投标无效</w:t>
      </w:r>
      <w:r>
        <w:rPr>
          <w:rFonts w:hint="eastAsia" w:ascii="宋体" w:hAnsi="宋体" w:cs="宋体"/>
          <w:b/>
          <w:color w:val="auto"/>
          <w:kern w:val="0"/>
          <w:sz w:val="21"/>
          <w:szCs w:val="21"/>
          <w:highlight w:val="none"/>
          <w:lang w:val="zh-CN"/>
        </w:rPr>
        <w:t>；</w:t>
      </w:r>
      <w:r>
        <w:rPr>
          <w:rFonts w:hint="eastAsia" w:ascii="宋体" w:hAnsi="宋体" w:cs="宋体"/>
          <w:color w:val="auto"/>
          <w:kern w:val="0"/>
          <w:sz w:val="21"/>
          <w:szCs w:val="21"/>
          <w:highlight w:val="none"/>
          <w:lang w:val="zh-CN"/>
        </w:rPr>
        <w:t>。</w:t>
      </w:r>
    </w:p>
    <w:p w14:paraId="55377FFA">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2、有关本项目实施所涉及的一切费用均计入报价。</w:t>
      </w:r>
      <w:r>
        <w:rPr>
          <w:rFonts w:hint="eastAsia" w:ascii="宋体" w:hAnsi="宋体" w:cs="宋体"/>
          <w:color w:val="auto"/>
          <w:kern w:val="0"/>
          <w:sz w:val="21"/>
          <w:szCs w:val="21"/>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1"/>
          <w:szCs w:val="21"/>
          <w:highlight w:val="none"/>
          <w:lang w:val="en-US" w:eastAsia="zh-CN"/>
        </w:rPr>
        <w:t>签订条件；</w:t>
      </w:r>
      <w:r>
        <w:rPr>
          <w:rFonts w:hint="eastAsia" w:ascii="宋体" w:hAnsi="宋体" w:eastAsia="宋体" w:cs="宋体"/>
          <w:color w:val="auto"/>
          <w:spacing w:val="0"/>
          <w:kern w:val="0"/>
          <w:sz w:val="21"/>
          <w:szCs w:val="21"/>
          <w:highlight w:val="none"/>
        </w:rPr>
        <w:t>总价</w:t>
      </w:r>
      <w:r>
        <w:rPr>
          <w:rFonts w:hint="eastAsia" w:ascii="宋体" w:hAnsi="宋体" w:eastAsia="宋体" w:cs="宋体"/>
          <w:color w:val="auto"/>
          <w:spacing w:val="0"/>
          <w:kern w:val="0"/>
          <w:sz w:val="21"/>
          <w:szCs w:val="21"/>
          <w:highlight w:val="none"/>
          <w:lang w:eastAsia="zh-CN"/>
        </w:rPr>
        <w:t>不为零</w:t>
      </w:r>
      <w:r>
        <w:rPr>
          <w:rFonts w:hint="eastAsia" w:ascii="宋体" w:hAnsi="宋体" w:eastAsia="宋体" w:cs="宋体"/>
          <w:color w:val="auto"/>
          <w:spacing w:val="0"/>
          <w:kern w:val="0"/>
          <w:sz w:val="21"/>
          <w:szCs w:val="21"/>
          <w:highlight w:val="none"/>
        </w:rPr>
        <w:t>，报价明细表中</w:t>
      </w:r>
      <w:r>
        <w:rPr>
          <w:rFonts w:hint="eastAsia" w:ascii="宋体" w:hAnsi="宋体" w:eastAsia="宋体" w:cs="宋体"/>
          <w:color w:val="auto"/>
          <w:spacing w:val="0"/>
          <w:kern w:val="0"/>
          <w:sz w:val="21"/>
          <w:szCs w:val="21"/>
          <w:highlight w:val="none"/>
          <w:lang w:eastAsia="zh-CN"/>
        </w:rPr>
        <w:t>部分</w:t>
      </w:r>
      <w:r>
        <w:rPr>
          <w:rFonts w:hint="eastAsia" w:ascii="宋体" w:hAnsi="宋体" w:eastAsia="宋体" w:cs="宋体"/>
          <w:color w:val="auto"/>
          <w:spacing w:val="0"/>
          <w:kern w:val="0"/>
          <w:sz w:val="21"/>
          <w:szCs w:val="21"/>
          <w:highlight w:val="none"/>
        </w:rPr>
        <w:t>产品、服务单价为零的，视作已包含在总价中</w:t>
      </w:r>
      <w:r>
        <w:rPr>
          <w:rFonts w:hint="eastAsia" w:ascii="宋体" w:hAnsi="宋体" w:eastAsia="宋体" w:cs="宋体"/>
          <w:color w:val="auto"/>
          <w:spacing w:val="0"/>
          <w:kern w:val="0"/>
          <w:sz w:val="21"/>
          <w:szCs w:val="21"/>
          <w:highlight w:val="none"/>
          <w:lang w:eastAsia="zh-CN"/>
        </w:rPr>
        <w:t>。</w:t>
      </w:r>
      <w:r>
        <w:rPr>
          <w:rFonts w:hint="eastAsia" w:ascii="宋体" w:hAnsi="宋体" w:cs="宋体"/>
          <w:b/>
          <w:color w:val="auto"/>
          <w:kern w:val="0"/>
          <w:sz w:val="21"/>
          <w:szCs w:val="21"/>
          <w:highlight w:val="none"/>
          <w:lang w:val="zh-CN"/>
        </w:rPr>
        <w:t>采购内容未包含在《开标一览表（报价表）》名称栏中，投标人不能作出合理解释的，</w:t>
      </w:r>
      <w:r>
        <w:rPr>
          <w:rFonts w:hint="eastAsia" w:ascii="宋体" w:hAnsi="宋体" w:cs="宋体"/>
          <w:b/>
          <w:color w:val="auto"/>
          <w:kern w:val="0"/>
          <w:sz w:val="21"/>
          <w:szCs w:val="21"/>
          <w:highlight w:val="none"/>
        </w:rPr>
        <w:t>视为</w:t>
      </w:r>
      <w:r>
        <w:rPr>
          <w:rFonts w:hint="eastAsia" w:ascii="宋体" w:hAnsi="宋体" w:cs="宋体"/>
          <w:b/>
          <w:color w:val="auto"/>
          <w:sz w:val="21"/>
          <w:szCs w:val="21"/>
          <w:highlight w:val="none"/>
        </w:rPr>
        <w:t>投标文件含有采购人不能接受的附加条件的，投标无效。</w:t>
      </w:r>
    </w:p>
    <w:p w14:paraId="3F11A63E">
      <w:pPr>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3、特别提示：采购代理机构将对项目名称和项目编号，中标供应商名称、地址和中标金额，主要中标标的名称、服务范围、服务要求、服务时间、服务标准等予以公示。</w:t>
      </w:r>
    </w:p>
    <w:p w14:paraId="732DE1E8">
      <w:pPr>
        <w:snapToGrid w:val="0"/>
        <w:spacing w:line="360" w:lineRule="auto"/>
        <w:ind w:firstLine="420" w:firstLineChars="200"/>
        <w:jc w:val="left"/>
        <w:rPr>
          <w:rFonts w:ascii="宋体" w:hAnsi="宋体" w:cs="宋体"/>
          <w:color w:val="auto"/>
          <w:kern w:val="0"/>
          <w:sz w:val="21"/>
          <w:szCs w:val="21"/>
          <w:highlight w:val="none"/>
          <w:lang w:val="zh-CN"/>
        </w:rPr>
      </w:pPr>
      <w:r>
        <w:rPr>
          <w:rFonts w:ascii="宋体" w:hAnsi="宋体" w:cs="宋体"/>
          <w:color w:val="auto"/>
          <w:kern w:val="0"/>
          <w:sz w:val="21"/>
          <w:szCs w:val="21"/>
          <w:highlight w:val="none"/>
          <w:lang w:val="zh-CN"/>
        </w:rPr>
        <w:t>4</w:t>
      </w:r>
      <w:r>
        <w:rPr>
          <w:rFonts w:hint="eastAsia" w:ascii="宋体" w:hAnsi="宋体" w:cs="宋体"/>
          <w:color w:val="auto"/>
          <w:kern w:val="0"/>
          <w:sz w:val="21"/>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140D257">
      <w:pPr>
        <w:spacing w:line="360" w:lineRule="auto"/>
        <w:ind w:firstLine="482" w:firstLineChars="200"/>
        <w:rPr>
          <w:rFonts w:ascii="宋体" w:hAnsi="宋体" w:cs="宋体"/>
          <w:b/>
          <w:color w:val="auto"/>
          <w:kern w:val="0"/>
          <w:sz w:val="24"/>
          <w:highlight w:val="none"/>
        </w:rPr>
      </w:pPr>
    </w:p>
    <w:p w14:paraId="37272309">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3DF1A67">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EF4FB02">
      <w:pPr>
        <w:pStyle w:val="692"/>
        <w:keepNext w:val="0"/>
        <w:keepLines w:val="0"/>
        <w:pageBreakBefore/>
        <w:widowControl w:val="0"/>
        <w:numPr>
          <w:ilvl w:val="0"/>
          <w:numId w:val="4"/>
        </w:numPr>
        <w:tabs>
          <w:tab w:val="clear" w:pos="720"/>
        </w:tabs>
        <w:kinsoku/>
        <w:wordWrap/>
        <w:overflowPunct/>
        <w:topLinePunct w:val="0"/>
        <w:autoSpaceDE/>
        <w:autoSpaceDN/>
        <w:bidi w:val="0"/>
        <w:adjustRightInd w:val="0"/>
        <w:snapToGrid w:val="0"/>
        <w:spacing w:before="120" w:after="120"/>
        <w:ind w:firstLine="641"/>
        <w:textAlignment w:val="auto"/>
        <w:outlineLvl w:val="2"/>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报价情况说明（如果有）</w:t>
      </w:r>
    </w:p>
    <w:p w14:paraId="20F7E7D9">
      <w:pPr>
        <w:pStyle w:val="5"/>
        <w:keepNext w:val="0"/>
        <w:pageBreakBefore w:val="0"/>
        <w:numPr>
          <w:ilvl w:val="-1"/>
          <w:numId w:val="0"/>
        </w:numPr>
        <w:snapToGrid w:val="0"/>
        <w:spacing w:before="120" w:after="120"/>
        <w:ind w:firstLine="0"/>
        <w:outlineLvl w:val="9"/>
        <w:rPr>
          <w:rFonts w:hint="default" w:ascii="宋体" w:hAnsi="宋体" w:eastAsia="宋体" w:cs="宋体"/>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w:t>
      </w:r>
    </w:p>
    <w:p w14:paraId="70BC1AB4">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21"/>
          <w:szCs w:val="21"/>
          <w:highlight w:val="none"/>
          <w:lang w:val="en-US" w:eastAsia="zh-CN"/>
        </w:rPr>
      </w:pPr>
    </w:p>
    <w:p w14:paraId="32BC305B">
      <w:pPr>
        <w:pStyle w:val="692"/>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641"/>
        <w:textAlignment w:val="auto"/>
        <w:outlineLvl w:val="2"/>
        <w:rPr>
          <w:rFonts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三</w:t>
      </w:r>
      <w:r>
        <w:rPr>
          <w:rFonts w:hint="eastAsia" w:ascii="宋体" w:hAnsi="宋体" w:eastAsia="宋体" w:cs="宋体"/>
          <w:color w:val="auto"/>
          <w:kern w:val="2"/>
          <w:sz w:val="21"/>
          <w:szCs w:val="21"/>
          <w:highlight w:val="none"/>
        </w:rPr>
        <w:t>、</w:t>
      </w:r>
      <w:r>
        <w:rPr>
          <w:rFonts w:hint="eastAsia" w:ascii="宋体" w:hAnsi="宋体" w:eastAsia="宋体" w:cs="宋体"/>
          <w:color w:val="auto"/>
          <w:sz w:val="21"/>
          <w:szCs w:val="21"/>
          <w:highlight w:val="none"/>
        </w:rPr>
        <w:t>中小企业声明函（如果有）</w:t>
      </w:r>
    </w:p>
    <w:p w14:paraId="32C43050">
      <w:pPr>
        <w:widowControl/>
        <w:spacing w:line="360" w:lineRule="auto"/>
        <w:ind w:firstLine="105" w:firstLineChars="5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1"/>
          <w:szCs w:val="21"/>
          <w:highlight w:val="none"/>
        </w:rPr>
        <w:t>7</w:t>
      </w:r>
      <w:r>
        <w:rPr>
          <w:rFonts w:hint="eastAsia" w:ascii="宋体" w:hAnsi="宋体" w:cs="宋体"/>
          <w:b/>
          <w:color w:val="auto"/>
          <w:sz w:val="21"/>
          <w:szCs w:val="21"/>
          <w:highlight w:val="none"/>
        </w:rPr>
        <w:t>）。]</w:t>
      </w:r>
    </w:p>
    <w:p w14:paraId="30C86848">
      <w:pPr>
        <w:pStyle w:val="79"/>
        <w:rPr>
          <w:rFonts w:hint="eastAsia" w:ascii="宋体" w:hAnsi="宋体" w:cs="宋体"/>
          <w:b/>
          <w:color w:val="auto"/>
          <w:sz w:val="24"/>
          <w:highlight w:val="none"/>
        </w:rPr>
      </w:pPr>
    </w:p>
    <w:p w14:paraId="7E1C891E">
      <w:pPr>
        <w:pStyle w:val="79"/>
        <w:rPr>
          <w:rFonts w:hint="eastAsia" w:ascii="宋体" w:hAnsi="宋体" w:cs="宋体"/>
          <w:b/>
          <w:color w:val="auto"/>
          <w:sz w:val="24"/>
          <w:highlight w:val="none"/>
        </w:rPr>
      </w:pPr>
    </w:p>
    <w:p w14:paraId="205238F5">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B12537C">
      <w:pPr>
        <w:spacing w:line="360" w:lineRule="auto"/>
        <w:ind w:right="420" w:firstLine="3614" w:firstLineChars="1000"/>
        <w:rPr>
          <w:rFonts w:ascii="宋体" w:hAnsi="宋体" w:cs="宋体"/>
          <w:b/>
          <w:color w:val="auto"/>
          <w:kern w:val="0"/>
          <w:sz w:val="36"/>
          <w:szCs w:val="36"/>
          <w:highlight w:val="none"/>
        </w:rPr>
      </w:pPr>
    </w:p>
    <w:p w14:paraId="62801E3F">
      <w:pPr>
        <w:spacing w:line="360" w:lineRule="auto"/>
        <w:ind w:right="420" w:firstLine="3614" w:firstLineChars="1000"/>
        <w:rPr>
          <w:rFonts w:ascii="宋体" w:hAnsi="宋体" w:cs="宋体"/>
          <w:b/>
          <w:color w:val="auto"/>
          <w:kern w:val="0"/>
          <w:sz w:val="36"/>
          <w:szCs w:val="36"/>
          <w:highlight w:val="none"/>
        </w:rPr>
      </w:pPr>
    </w:p>
    <w:p w14:paraId="2055FE69">
      <w:pPr>
        <w:spacing w:line="360" w:lineRule="auto"/>
        <w:ind w:right="420" w:firstLine="3614" w:firstLineChars="1000"/>
        <w:rPr>
          <w:rFonts w:ascii="宋体" w:hAnsi="宋体" w:cs="宋体"/>
          <w:b/>
          <w:color w:val="auto"/>
          <w:kern w:val="0"/>
          <w:sz w:val="36"/>
          <w:szCs w:val="36"/>
          <w:highlight w:val="none"/>
        </w:rPr>
      </w:pPr>
    </w:p>
    <w:p w14:paraId="55887069">
      <w:pPr>
        <w:spacing w:line="360" w:lineRule="auto"/>
        <w:ind w:right="420" w:firstLine="3614" w:firstLineChars="1000"/>
        <w:rPr>
          <w:rFonts w:ascii="宋体" w:hAnsi="宋体" w:cs="宋体"/>
          <w:b/>
          <w:color w:val="auto"/>
          <w:kern w:val="0"/>
          <w:sz w:val="36"/>
          <w:szCs w:val="36"/>
          <w:highlight w:val="none"/>
        </w:rPr>
      </w:pPr>
    </w:p>
    <w:p w14:paraId="481C56D9">
      <w:pPr>
        <w:spacing w:line="360" w:lineRule="auto"/>
        <w:ind w:right="420" w:firstLine="3614" w:firstLineChars="1000"/>
        <w:rPr>
          <w:rFonts w:ascii="宋体" w:hAnsi="宋体" w:cs="宋体"/>
          <w:b/>
          <w:color w:val="auto"/>
          <w:kern w:val="0"/>
          <w:sz w:val="36"/>
          <w:szCs w:val="36"/>
          <w:highlight w:val="none"/>
        </w:rPr>
      </w:pPr>
    </w:p>
    <w:p w14:paraId="0022EA4F">
      <w:pPr>
        <w:spacing w:line="360" w:lineRule="auto"/>
        <w:ind w:right="420" w:firstLine="3614" w:firstLineChars="1000"/>
        <w:rPr>
          <w:rFonts w:ascii="宋体" w:hAnsi="宋体" w:cs="宋体"/>
          <w:b/>
          <w:color w:val="auto"/>
          <w:kern w:val="0"/>
          <w:sz w:val="36"/>
          <w:szCs w:val="36"/>
          <w:highlight w:val="none"/>
        </w:rPr>
      </w:pPr>
    </w:p>
    <w:p w14:paraId="41A7E842">
      <w:pPr>
        <w:spacing w:line="360" w:lineRule="auto"/>
        <w:ind w:right="420" w:firstLine="3614" w:firstLineChars="1000"/>
        <w:rPr>
          <w:rFonts w:ascii="宋体" w:hAnsi="宋体" w:cs="宋体"/>
          <w:b/>
          <w:color w:val="auto"/>
          <w:kern w:val="0"/>
          <w:sz w:val="36"/>
          <w:szCs w:val="36"/>
          <w:highlight w:val="none"/>
        </w:rPr>
      </w:pPr>
    </w:p>
    <w:p w14:paraId="140EBE32">
      <w:pPr>
        <w:spacing w:line="360" w:lineRule="auto"/>
        <w:ind w:right="420" w:firstLine="3614" w:firstLineChars="1000"/>
        <w:rPr>
          <w:rFonts w:ascii="宋体" w:hAnsi="宋体" w:cs="宋体"/>
          <w:b/>
          <w:color w:val="auto"/>
          <w:kern w:val="0"/>
          <w:sz w:val="36"/>
          <w:szCs w:val="36"/>
          <w:highlight w:val="none"/>
        </w:rPr>
      </w:pPr>
    </w:p>
    <w:p w14:paraId="36CBF3CD">
      <w:pPr>
        <w:spacing w:line="360" w:lineRule="auto"/>
        <w:ind w:right="420" w:firstLine="3614" w:firstLineChars="1000"/>
        <w:rPr>
          <w:rFonts w:ascii="宋体" w:hAnsi="宋体" w:cs="宋体"/>
          <w:b/>
          <w:color w:val="auto"/>
          <w:kern w:val="0"/>
          <w:sz w:val="36"/>
          <w:szCs w:val="36"/>
          <w:highlight w:val="none"/>
        </w:rPr>
      </w:pPr>
    </w:p>
    <w:p w14:paraId="64A28628">
      <w:pPr>
        <w:spacing w:line="360" w:lineRule="auto"/>
        <w:ind w:right="420" w:firstLine="3614" w:firstLineChars="1000"/>
        <w:rPr>
          <w:rFonts w:ascii="宋体" w:hAnsi="宋体" w:cs="宋体"/>
          <w:b/>
          <w:color w:val="auto"/>
          <w:kern w:val="0"/>
          <w:sz w:val="36"/>
          <w:szCs w:val="36"/>
          <w:highlight w:val="none"/>
        </w:rPr>
      </w:pPr>
    </w:p>
    <w:p w14:paraId="3F4B33AF">
      <w:pPr>
        <w:spacing w:line="360" w:lineRule="auto"/>
        <w:ind w:right="420" w:firstLine="3614" w:firstLineChars="1000"/>
        <w:rPr>
          <w:rFonts w:ascii="宋体" w:hAnsi="宋体" w:cs="宋体"/>
          <w:b/>
          <w:color w:val="auto"/>
          <w:kern w:val="0"/>
          <w:sz w:val="36"/>
          <w:szCs w:val="36"/>
          <w:highlight w:val="none"/>
        </w:rPr>
      </w:pPr>
    </w:p>
    <w:p w14:paraId="6328A9D7">
      <w:pPr>
        <w:spacing w:line="360" w:lineRule="auto"/>
        <w:ind w:right="420" w:firstLine="3614" w:firstLineChars="1000"/>
        <w:rPr>
          <w:rFonts w:ascii="宋体" w:hAnsi="宋体" w:cs="宋体"/>
          <w:b/>
          <w:color w:val="auto"/>
          <w:kern w:val="0"/>
          <w:sz w:val="36"/>
          <w:szCs w:val="36"/>
          <w:highlight w:val="none"/>
        </w:rPr>
      </w:pPr>
    </w:p>
    <w:p w14:paraId="7020593C">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0C51009A">
      <w:pPr>
        <w:spacing w:line="360" w:lineRule="auto"/>
        <w:jc w:val="center"/>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rPr>
        <w:br w:type="page"/>
      </w:r>
      <w:r>
        <w:rPr>
          <w:rFonts w:hint="eastAsia" w:ascii="宋体" w:hAnsi="宋体" w:eastAsia="宋体" w:cs="宋体"/>
          <w:b/>
          <w:color w:val="auto"/>
          <w:sz w:val="21"/>
          <w:szCs w:val="21"/>
          <w:highlight w:val="none"/>
        </w:rPr>
        <w:t>关于钱塘新区政府采购支持中小企业信用融资相关事项通知</w:t>
      </w:r>
    </w:p>
    <w:p w14:paraId="2FA89110">
      <w:pPr>
        <w:spacing w:line="360" w:lineRule="auto"/>
        <w:jc w:val="center"/>
        <w:rPr>
          <w:rFonts w:hint="eastAsia" w:ascii="宋体" w:hAnsi="宋体" w:eastAsia="宋体" w:cs="宋体"/>
          <w:b/>
          <w:color w:val="auto"/>
          <w:sz w:val="21"/>
          <w:szCs w:val="21"/>
          <w:highlight w:val="none"/>
        </w:rPr>
      </w:pPr>
    </w:p>
    <w:p w14:paraId="6CB7DDD3">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361E49C6">
      <w:pPr>
        <w:snapToGrid w:val="0"/>
        <w:spacing w:line="360" w:lineRule="auto"/>
        <w:ind w:firstLine="422" w:firstLineChars="200"/>
        <w:jc w:val="left"/>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一、适用对象</w:t>
      </w:r>
    </w:p>
    <w:p w14:paraId="301F18F0">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在浙江“政采云”平台注册入库，并取得钱塘区政府采购合同的中小企业供应商。</w:t>
      </w:r>
    </w:p>
    <w:p w14:paraId="661D4D80">
      <w:pPr>
        <w:snapToGrid w:val="0"/>
        <w:spacing w:line="360" w:lineRule="auto"/>
        <w:ind w:firstLine="422" w:firstLineChars="200"/>
        <w:jc w:val="left"/>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二、相关信息获取方式</w:t>
      </w:r>
    </w:p>
    <w:p w14:paraId="4A917E2A">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请登陆杭州钱塘新区管理委员会官网（http://qt.hangzhou.gov.cn） “公告公示”专栏，查看信用融资政策文件及各相关银行服务方案。</w:t>
      </w:r>
    </w:p>
    <w:p w14:paraId="11A91E0C">
      <w:pPr>
        <w:snapToGrid w:val="0"/>
        <w:spacing w:line="360" w:lineRule="auto"/>
        <w:ind w:firstLine="422" w:firstLineChars="200"/>
        <w:jc w:val="left"/>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三、申请方式和步骤</w:t>
      </w:r>
    </w:p>
    <w:p w14:paraId="6B252715">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1、供应商若有融资意向，需先与钱塘区财政局合作的银行对接，办理相关融资前期手续；</w:t>
      </w:r>
    </w:p>
    <w:p w14:paraId="178D662F">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2、中标后，供应商应与采购单位或者采购代理机构及时联系，告知融资需求；</w:t>
      </w:r>
    </w:p>
    <w:p w14:paraId="5212798A">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3、相关合作银行联系并审核供应商及相关中标信息，办理相关融资事宜；</w:t>
      </w:r>
    </w:p>
    <w:p w14:paraId="4079012D">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zh-CN"/>
        </w:rPr>
        <w:t>、采购单位应及时将信用融资合同提交备案。</w:t>
      </w:r>
    </w:p>
    <w:p w14:paraId="67D70E05">
      <w:pPr>
        <w:snapToGrid w:val="0"/>
        <w:spacing w:line="360" w:lineRule="auto"/>
        <w:ind w:firstLine="422" w:firstLineChars="200"/>
        <w:jc w:val="left"/>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四、注意事项</w:t>
      </w:r>
    </w:p>
    <w:p w14:paraId="2077F24F">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请各采购单位和采购代理机构积极支持和配合政府采购信用融资工作，在合同备案环节务必请仔细核对收款银行、账号信息等内容。</w:t>
      </w:r>
    </w:p>
    <w:p w14:paraId="402560C3">
      <w:pPr>
        <w:snapToGrid w:val="0"/>
        <w:spacing w:line="360" w:lineRule="auto"/>
        <w:ind w:firstLine="422" w:firstLineChars="200"/>
        <w:jc w:val="left"/>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五、合作银行及联系方式</w:t>
      </w:r>
    </w:p>
    <w:tbl>
      <w:tblPr>
        <w:tblStyle w:val="62"/>
        <w:tblW w:w="8718" w:type="dxa"/>
        <w:tblInd w:w="95" w:type="dxa"/>
        <w:tblLayout w:type="fixed"/>
        <w:tblCellMar>
          <w:top w:w="0" w:type="dxa"/>
          <w:left w:w="108" w:type="dxa"/>
          <w:bottom w:w="0" w:type="dxa"/>
          <w:right w:w="108" w:type="dxa"/>
        </w:tblCellMar>
      </w:tblPr>
      <w:tblGrid>
        <w:gridCol w:w="1077"/>
        <w:gridCol w:w="3013"/>
        <w:gridCol w:w="1416"/>
        <w:gridCol w:w="3212"/>
      </w:tblGrid>
      <w:tr w14:paraId="217BAAC6">
        <w:tblPrEx>
          <w:tblCellMar>
            <w:top w:w="0" w:type="dxa"/>
            <w:left w:w="108" w:type="dxa"/>
            <w:bottom w:w="0" w:type="dxa"/>
            <w:right w:w="108" w:type="dxa"/>
          </w:tblCellMar>
        </w:tblPrEx>
        <w:trPr>
          <w:trHeight w:val="532" w:hRule="atLeast"/>
        </w:trPr>
        <w:tc>
          <w:tcPr>
            <w:tcW w:w="1077" w:type="dxa"/>
            <w:tcBorders>
              <w:top w:val="single" w:color="auto" w:sz="4" w:space="0"/>
              <w:left w:val="single" w:color="auto" w:sz="4" w:space="0"/>
              <w:bottom w:val="single" w:color="auto" w:sz="4" w:space="0"/>
              <w:right w:val="single" w:color="auto" w:sz="4" w:space="0"/>
            </w:tcBorders>
            <w:vAlign w:val="center"/>
          </w:tcPr>
          <w:p w14:paraId="526563E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3013" w:type="dxa"/>
            <w:tcBorders>
              <w:top w:val="single" w:color="auto" w:sz="4" w:space="0"/>
              <w:left w:val="nil"/>
              <w:bottom w:val="single" w:color="auto" w:sz="4" w:space="0"/>
              <w:right w:val="single" w:color="auto" w:sz="4" w:space="0"/>
            </w:tcBorders>
            <w:vAlign w:val="center"/>
          </w:tcPr>
          <w:p w14:paraId="42FA64C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银行</w:t>
            </w:r>
          </w:p>
        </w:tc>
        <w:tc>
          <w:tcPr>
            <w:tcW w:w="1416" w:type="dxa"/>
            <w:tcBorders>
              <w:top w:val="single" w:color="auto" w:sz="4" w:space="0"/>
              <w:left w:val="nil"/>
              <w:bottom w:val="single" w:color="auto" w:sz="4" w:space="0"/>
              <w:right w:val="single" w:color="auto" w:sz="4" w:space="0"/>
            </w:tcBorders>
            <w:vAlign w:val="center"/>
          </w:tcPr>
          <w:p w14:paraId="546FD75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联系人</w:t>
            </w:r>
          </w:p>
        </w:tc>
        <w:tc>
          <w:tcPr>
            <w:tcW w:w="3212" w:type="dxa"/>
            <w:tcBorders>
              <w:top w:val="single" w:color="auto" w:sz="4" w:space="0"/>
              <w:left w:val="nil"/>
              <w:bottom w:val="single" w:color="auto" w:sz="4" w:space="0"/>
              <w:right w:val="single" w:color="auto" w:sz="4" w:space="0"/>
            </w:tcBorders>
            <w:vAlign w:val="center"/>
          </w:tcPr>
          <w:p w14:paraId="6B9ABD1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电话</w:t>
            </w:r>
          </w:p>
        </w:tc>
      </w:tr>
      <w:tr w14:paraId="6115384A">
        <w:tblPrEx>
          <w:tblCellMar>
            <w:top w:w="0" w:type="dxa"/>
            <w:left w:w="108" w:type="dxa"/>
            <w:bottom w:w="0" w:type="dxa"/>
            <w:right w:w="108" w:type="dxa"/>
          </w:tblCellMar>
        </w:tblPrEx>
        <w:trPr>
          <w:trHeight w:val="385" w:hRule="atLeast"/>
        </w:trPr>
        <w:tc>
          <w:tcPr>
            <w:tcW w:w="1077" w:type="dxa"/>
            <w:tcBorders>
              <w:top w:val="nil"/>
              <w:left w:val="single" w:color="auto" w:sz="4" w:space="0"/>
              <w:bottom w:val="single" w:color="auto" w:sz="4" w:space="0"/>
              <w:right w:val="single" w:color="auto" w:sz="4" w:space="0"/>
            </w:tcBorders>
            <w:vAlign w:val="center"/>
          </w:tcPr>
          <w:p w14:paraId="5D05A10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w:t>
            </w:r>
          </w:p>
        </w:tc>
        <w:tc>
          <w:tcPr>
            <w:tcW w:w="3013" w:type="dxa"/>
            <w:tcBorders>
              <w:top w:val="nil"/>
              <w:left w:val="nil"/>
              <w:bottom w:val="single" w:color="auto" w:sz="4" w:space="0"/>
              <w:right w:val="single" w:color="auto" w:sz="4" w:space="0"/>
            </w:tcBorders>
            <w:vAlign w:val="center"/>
          </w:tcPr>
          <w:p w14:paraId="595FB98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建设银行钱塘支行</w:t>
            </w:r>
          </w:p>
        </w:tc>
        <w:tc>
          <w:tcPr>
            <w:tcW w:w="1416" w:type="dxa"/>
            <w:tcBorders>
              <w:top w:val="nil"/>
              <w:left w:val="nil"/>
              <w:bottom w:val="single" w:color="auto" w:sz="4" w:space="0"/>
              <w:right w:val="single" w:color="auto" w:sz="4" w:space="0"/>
            </w:tcBorders>
            <w:vAlign w:val="center"/>
          </w:tcPr>
          <w:p w14:paraId="60666A4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张苏航</w:t>
            </w:r>
          </w:p>
        </w:tc>
        <w:tc>
          <w:tcPr>
            <w:tcW w:w="3212" w:type="dxa"/>
            <w:tcBorders>
              <w:top w:val="nil"/>
              <w:left w:val="nil"/>
              <w:bottom w:val="single" w:color="auto" w:sz="4" w:space="0"/>
              <w:right w:val="single" w:color="auto" w:sz="4" w:space="0"/>
            </w:tcBorders>
            <w:vAlign w:val="center"/>
          </w:tcPr>
          <w:p w14:paraId="01246E2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13065710830</w:t>
            </w:r>
          </w:p>
        </w:tc>
      </w:tr>
      <w:tr w14:paraId="2A310C1A">
        <w:tblPrEx>
          <w:tblCellMar>
            <w:top w:w="0" w:type="dxa"/>
            <w:left w:w="108" w:type="dxa"/>
            <w:bottom w:w="0" w:type="dxa"/>
            <w:right w:w="108" w:type="dxa"/>
          </w:tblCellMar>
        </w:tblPrEx>
        <w:trPr>
          <w:trHeight w:val="385" w:hRule="atLeast"/>
        </w:trPr>
        <w:tc>
          <w:tcPr>
            <w:tcW w:w="1077" w:type="dxa"/>
            <w:tcBorders>
              <w:top w:val="nil"/>
              <w:left w:val="single" w:color="auto" w:sz="4" w:space="0"/>
              <w:bottom w:val="single" w:color="auto" w:sz="4" w:space="0"/>
              <w:right w:val="single" w:color="auto" w:sz="4" w:space="0"/>
            </w:tcBorders>
            <w:vAlign w:val="center"/>
          </w:tcPr>
          <w:p w14:paraId="1823025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w:t>
            </w:r>
          </w:p>
        </w:tc>
        <w:tc>
          <w:tcPr>
            <w:tcW w:w="3013" w:type="dxa"/>
            <w:tcBorders>
              <w:top w:val="nil"/>
              <w:left w:val="nil"/>
              <w:bottom w:val="single" w:color="auto" w:sz="4" w:space="0"/>
              <w:right w:val="single" w:color="auto" w:sz="4" w:space="0"/>
            </w:tcBorders>
            <w:vAlign w:val="center"/>
          </w:tcPr>
          <w:p w14:paraId="4AE75A7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中信银行开发支行</w:t>
            </w:r>
          </w:p>
        </w:tc>
        <w:tc>
          <w:tcPr>
            <w:tcW w:w="1416" w:type="dxa"/>
            <w:tcBorders>
              <w:top w:val="nil"/>
              <w:left w:val="nil"/>
              <w:bottom w:val="single" w:color="auto" w:sz="4" w:space="0"/>
              <w:right w:val="single" w:color="auto" w:sz="4" w:space="0"/>
            </w:tcBorders>
            <w:vAlign w:val="center"/>
          </w:tcPr>
          <w:p w14:paraId="7291617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左劼</w:t>
            </w:r>
          </w:p>
        </w:tc>
        <w:tc>
          <w:tcPr>
            <w:tcW w:w="3212" w:type="dxa"/>
            <w:tcBorders>
              <w:top w:val="nil"/>
              <w:left w:val="nil"/>
              <w:bottom w:val="single" w:color="auto" w:sz="4" w:space="0"/>
              <w:right w:val="single" w:color="auto" w:sz="4" w:space="0"/>
            </w:tcBorders>
            <w:vAlign w:val="center"/>
          </w:tcPr>
          <w:p w14:paraId="00F5F24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13777889798</w:t>
            </w:r>
          </w:p>
        </w:tc>
      </w:tr>
      <w:tr w14:paraId="3CE47207">
        <w:tblPrEx>
          <w:tblCellMar>
            <w:top w:w="0" w:type="dxa"/>
            <w:left w:w="108" w:type="dxa"/>
            <w:bottom w:w="0" w:type="dxa"/>
            <w:right w:w="108" w:type="dxa"/>
          </w:tblCellMar>
        </w:tblPrEx>
        <w:trPr>
          <w:trHeight w:val="385" w:hRule="atLeast"/>
        </w:trPr>
        <w:tc>
          <w:tcPr>
            <w:tcW w:w="1077" w:type="dxa"/>
            <w:tcBorders>
              <w:top w:val="nil"/>
              <w:left w:val="single" w:color="auto" w:sz="4" w:space="0"/>
              <w:bottom w:val="single" w:color="auto" w:sz="4" w:space="0"/>
              <w:right w:val="single" w:color="auto" w:sz="4" w:space="0"/>
            </w:tcBorders>
            <w:vAlign w:val="center"/>
          </w:tcPr>
          <w:p w14:paraId="75FE83E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p>
        </w:tc>
        <w:tc>
          <w:tcPr>
            <w:tcW w:w="3013" w:type="dxa"/>
            <w:tcBorders>
              <w:top w:val="nil"/>
              <w:left w:val="nil"/>
              <w:bottom w:val="single" w:color="auto" w:sz="4" w:space="0"/>
              <w:right w:val="single" w:color="auto" w:sz="4" w:space="0"/>
            </w:tcBorders>
            <w:vAlign w:val="center"/>
          </w:tcPr>
          <w:p w14:paraId="4B147B7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民生银行下沙支行</w:t>
            </w:r>
          </w:p>
        </w:tc>
        <w:tc>
          <w:tcPr>
            <w:tcW w:w="1416" w:type="dxa"/>
            <w:tcBorders>
              <w:top w:val="nil"/>
              <w:left w:val="nil"/>
              <w:bottom w:val="single" w:color="auto" w:sz="4" w:space="0"/>
              <w:right w:val="single" w:color="auto" w:sz="4" w:space="0"/>
            </w:tcBorders>
            <w:vAlign w:val="center"/>
          </w:tcPr>
          <w:p w14:paraId="4957114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吕刚</w:t>
            </w:r>
          </w:p>
        </w:tc>
        <w:tc>
          <w:tcPr>
            <w:tcW w:w="3212" w:type="dxa"/>
            <w:tcBorders>
              <w:top w:val="nil"/>
              <w:left w:val="nil"/>
              <w:bottom w:val="single" w:color="auto" w:sz="4" w:space="0"/>
              <w:right w:val="single" w:color="auto" w:sz="4" w:space="0"/>
            </w:tcBorders>
            <w:vAlign w:val="center"/>
          </w:tcPr>
          <w:p w14:paraId="09F9F05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13906811832</w:t>
            </w:r>
          </w:p>
        </w:tc>
      </w:tr>
      <w:tr w14:paraId="16417323">
        <w:tblPrEx>
          <w:tblCellMar>
            <w:top w:w="0" w:type="dxa"/>
            <w:left w:w="108" w:type="dxa"/>
            <w:bottom w:w="0" w:type="dxa"/>
            <w:right w:w="108" w:type="dxa"/>
          </w:tblCellMar>
        </w:tblPrEx>
        <w:trPr>
          <w:trHeight w:val="388" w:hRule="atLeast"/>
        </w:trPr>
        <w:tc>
          <w:tcPr>
            <w:tcW w:w="1077" w:type="dxa"/>
            <w:tcBorders>
              <w:top w:val="nil"/>
              <w:left w:val="single" w:color="auto" w:sz="4" w:space="0"/>
              <w:bottom w:val="single" w:color="auto" w:sz="4" w:space="0"/>
              <w:right w:val="single" w:color="auto" w:sz="4" w:space="0"/>
            </w:tcBorders>
            <w:vAlign w:val="center"/>
          </w:tcPr>
          <w:p w14:paraId="39FEAB8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4</w:t>
            </w:r>
          </w:p>
        </w:tc>
        <w:tc>
          <w:tcPr>
            <w:tcW w:w="3013" w:type="dxa"/>
            <w:tcBorders>
              <w:top w:val="nil"/>
              <w:left w:val="nil"/>
              <w:bottom w:val="single" w:color="auto" w:sz="4" w:space="0"/>
              <w:right w:val="single" w:color="auto" w:sz="4" w:space="0"/>
            </w:tcBorders>
            <w:vAlign w:val="center"/>
          </w:tcPr>
          <w:p w14:paraId="4EADBBE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杭州银行钱塘支行</w:t>
            </w:r>
          </w:p>
        </w:tc>
        <w:tc>
          <w:tcPr>
            <w:tcW w:w="1416" w:type="dxa"/>
            <w:tcBorders>
              <w:top w:val="nil"/>
              <w:left w:val="nil"/>
              <w:bottom w:val="single" w:color="auto" w:sz="4" w:space="0"/>
              <w:right w:val="single" w:color="auto" w:sz="4" w:space="0"/>
            </w:tcBorders>
            <w:vAlign w:val="center"/>
          </w:tcPr>
          <w:p w14:paraId="7723107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费莎</w:t>
            </w:r>
          </w:p>
          <w:p w14:paraId="0A4EDC0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严培蓓</w:t>
            </w:r>
          </w:p>
        </w:tc>
        <w:tc>
          <w:tcPr>
            <w:tcW w:w="3212" w:type="dxa"/>
            <w:tcBorders>
              <w:top w:val="nil"/>
              <w:left w:val="nil"/>
              <w:bottom w:val="single" w:color="auto" w:sz="4" w:space="0"/>
              <w:right w:val="single" w:color="auto" w:sz="4" w:space="0"/>
            </w:tcBorders>
            <w:vAlign w:val="center"/>
          </w:tcPr>
          <w:p w14:paraId="35EB05C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13388617781</w:t>
            </w:r>
          </w:p>
          <w:p w14:paraId="1208697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13858023883</w:t>
            </w:r>
          </w:p>
        </w:tc>
      </w:tr>
      <w:tr w14:paraId="583D0F11">
        <w:tblPrEx>
          <w:tblCellMar>
            <w:top w:w="0" w:type="dxa"/>
            <w:left w:w="108" w:type="dxa"/>
            <w:bottom w:w="0" w:type="dxa"/>
            <w:right w:w="108" w:type="dxa"/>
          </w:tblCellMar>
        </w:tblPrEx>
        <w:trPr>
          <w:trHeight w:val="385" w:hRule="atLeast"/>
        </w:trPr>
        <w:tc>
          <w:tcPr>
            <w:tcW w:w="1077" w:type="dxa"/>
            <w:tcBorders>
              <w:top w:val="nil"/>
              <w:left w:val="single" w:color="auto" w:sz="4" w:space="0"/>
              <w:bottom w:val="single" w:color="auto" w:sz="4" w:space="0"/>
              <w:right w:val="single" w:color="auto" w:sz="4" w:space="0"/>
            </w:tcBorders>
            <w:vAlign w:val="center"/>
          </w:tcPr>
          <w:p w14:paraId="02E62E4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5</w:t>
            </w:r>
          </w:p>
        </w:tc>
        <w:tc>
          <w:tcPr>
            <w:tcW w:w="3013" w:type="dxa"/>
            <w:tcBorders>
              <w:top w:val="nil"/>
              <w:left w:val="nil"/>
              <w:bottom w:val="single" w:color="auto" w:sz="4" w:space="0"/>
              <w:right w:val="single" w:color="auto" w:sz="4" w:space="0"/>
            </w:tcBorders>
            <w:vAlign w:val="center"/>
          </w:tcPr>
          <w:p w14:paraId="35C4E64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兴业银行开发区支行</w:t>
            </w:r>
          </w:p>
        </w:tc>
        <w:tc>
          <w:tcPr>
            <w:tcW w:w="1416" w:type="dxa"/>
            <w:tcBorders>
              <w:top w:val="nil"/>
              <w:left w:val="nil"/>
              <w:bottom w:val="single" w:color="auto" w:sz="4" w:space="0"/>
              <w:right w:val="single" w:color="auto" w:sz="4" w:space="0"/>
            </w:tcBorders>
            <w:vAlign w:val="center"/>
          </w:tcPr>
          <w:p w14:paraId="43C3988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丁萍</w:t>
            </w:r>
          </w:p>
        </w:tc>
        <w:tc>
          <w:tcPr>
            <w:tcW w:w="3212" w:type="dxa"/>
            <w:tcBorders>
              <w:top w:val="nil"/>
              <w:left w:val="nil"/>
              <w:bottom w:val="single" w:color="auto" w:sz="4" w:space="0"/>
              <w:right w:val="single" w:color="auto" w:sz="4" w:space="0"/>
            </w:tcBorders>
            <w:vAlign w:val="center"/>
          </w:tcPr>
          <w:p w14:paraId="270C26D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13777421564</w:t>
            </w:r>
          </w:p>
        </w:tc>
      </w:tr>
      <w:tr w14:paraId="6E1E654A">
        <w:tblPrEx>
          <w:tblCellMar>
            <w:top w:w="0" w:type="dxa"/>
            <w:left w:w="108" w:type="dxa"/>
            <w:bottom w:w="0" w:type="dxa"/>
            <w:right w:w="108" w:type="dxa"/>
          </w:tblCellMar>
        </w:tblPrEx>
        <w:trPr>
          <w:trHeight w:val="385" w:hRule="atLeast"/>
        </w:trPr>
        <w:tc>
          <w:tcPr>
            <w:tcW w:w="1077" w:type="dxa"/>
            <w:tcBorders>
              <w:top w:val="nil"/>
              <w:left w:val="single" w:color="auto" w:sz="4" w:space="0"/>
              <w:bottom w:val="single" w:color="auto" w:sz="4" w:space="0"/>
              <w:right w:val="single" w:color="auto" w:sz="4" w:space="0"/>
            </w:tcBorders>
            <w:vAlign w:val="center"/>
          </w:tcPr>
          <w:p w14:paraId="4ABD287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6</w:t>
            </w:r>
          </w:p>
        </w:tc>
        <w:tc>
          <w:tcPr>
            <w:tcW w:w="3013" w:type="dxa"/>
            <w:tcBorders>
              <w:top w:val="nil"/>
              <w:left w:val="nil"/>
              <w:bottom w:val="single" w:color="auto" w:sz="4" w:space="0"/>
              <w:right w:val="single" w:color="auto" w:sz="4" w:space="0"/>
            </w:tcBorders>
            <w:vAlign w:val="center"/>
          </w:tcPr>
          <w:p w14:paraId="460F220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中国银行钱塘支行</w:t>
            </w:r>
          </w:p>
        </w:tc>
        <w:tc>
          <w:tcPr>
            <w:tcW w:w="1416" w:type="dxa"/>
            <w:tcBorders>
              <w:top w:val="nil"/>
              <w:left w:val="nil"/>
              <w:bottom w:val="single" w:color="auto" w:sz="4" w:space="0"/>
              <w:right w:val="single" w:color="auto" w:sz="4" w:space="0"/>
            </w:tcBorders>
            <w:vAlign w:val="center"/>
          </w:tcPr>
          <w:p w14:paraId="22D8774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高飞</w:t>
            </w:r>
          </w:p>
        </w:tc>
        <w:tc>
          <w:tcPr>
            <w:tcW w:w="3212" w:type="dxa"/>
            <w:tcBorders>
              <w:top w:val="nil"/>
              <w:left w:val="nil"/>
              <w:bottom w:val="single" w:color="auto" w:sz="4" w:space="0"/>
              <w:right w:val="single" w:color="auto" w:sz="4" w:space="0"/>
            </w:tcBorders>
            <w:vAlign w:val="center"/>
          </w:tcPr>
          <w:p w14:paraId="676705B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86722499</w:t>
            </w:r>
          </w:p>
        </w:tc>
      </w:tr>
      <w:tr w14:paraId="7696AE34">
        <w:tblPrEx>
          <w:tblCellMar>
            <w:top w:w="0" w:type="dxa"/>
            <w:left w:w="108" w:type="dxa"/>
            <w:bottom w:w="0" w:type="dxa"/>
            <w:right w:w="108" w:type="dxa"/>
          </w:tblCellMar>
        </w:tblPrEx>
        <w:trPr>
          <w:trHeight w:val="385" w:hRule="atLeast"/>
        </w:trPr>
        <w:tc>
          <w:tcPr>
            <w:tcW w:w="1077" w:type="dxa"/>
            <w:tcBorders>
              <w:top w:val="nil"/>
              <w:left w:val="single" w:color="auto" w:sz="4" w:space="0"/>
              <w:bottom w:val="single" w:color="auto" w:sz="4" w:space="0"/>
              <w:right w:val="single" w:color="auto" w:sz="4" w:space="0"/>
            </w:tcBorders>
            <w:vAlign w:val="center"/>
          </w:tcPr>
          <w:p w14:paraId="70826F6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7</w:t>
            </w:r>
          </w:p>
        </w:tc>
        <w:tc>
          <w:tcPr>
            <w:tcW w:w="3013" w:type="dxa"/>
            <w:tcBorders>
              <w:top w:val="nil"/>
              <w:left w:val="nil"/>
              <w:bottom w:val="single" w:color="auto" w:sz="4" w:space="0"/>
              <w:right w:val="single" w:color="auto" w:sz="4" w:space="0"/>
            </w:tcBorders>
            <w:vAlign w:val="center"/>
          </w:tcPr>
          <w:p w14:paraId="02D6B06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工商银行开发区支行</w:t>
            </w:r>
          </w:p>
        </w:tc>
        <w:tc>
          <w:tcPr>
            <w:tcW w:w="1416" w:type="dxa"/>
            <w:tcBorders>
              <w:top w:val="nil"/>
              <w:left w:val="nil"/>
              <w:bottom w:val="single" w:color="auto" w:sz="4" w:space="0"/>
              <w:right w:val="single" w:color="auto" w:sz="4" w:space="0"/>
            </w:tcBorders>
            <w:vAlign w:val="center"/>
          </w:tcPr>
          <w:p w14:paraId="4C383D9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李燕珍</w:t>
            </w:r>
          </w:p>
        </w:tc>
        <w:tc>
          <w:tcPr>
            <w:tcW w:w="3212" w:type="dxa"/>
            <w:tcBorders>
              <w:top w:val="nil"/>
              <w:left w:val="nil"/>
              <w:bottom w:val="single" w:color="auto" w:sz="4" w:space="0"/>
              <w:right w:val="single" w:color="auto" w:sz="4" w:space="0"/>
            </w:tcBorders>
            <w:vAlign w:val="center"/>
          </w:tcPr>
          <w:p w14:paraId="3FA3210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13735710338</w:t>
            </w:r>
          </w:p>
        </w:tc>
      </w:tr>
      <w:tr w14:paraId="742D6592">
        <w:tblPrEx>
          <w:tblCellMar>
            <w:top w:w="0" w:type="dxa"/>
            <w:left w:w="108" w:type="dxa"/>
            <w:bottom w:w="0" w:type="dxa"/>
            <w:right w:w="108" w:type="dxa"/>
          </w:tblCellMar>
        </w:tblPrEx>
        <w:trPr>
          <w:trHeight w:val="396" w:hRule="atLeast"/>
        </w:trPr>
        <w:tc>
          <w:tcPr>
            <w:tcW w:w="1077" w:type="dxa"/>
            <w:tcBorders>
              <w:top w:val="nil"/>
              <w:left w:val="single" w:color="auto" w:sz="4" w:space="0"/>
              <w:bottom w:val="single" w:color="auto" w:sz="4" w:space="0"/>
              <w:right w:val="single" w:color="auto" w:sz="4" w:space="0"/>
            </w:tcBorders>
            <w:vAlign w:val="center"/>
          </w:tcPr>
          <w:p w14:paraId="70344D2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8</w:t>
            </w:r>
          </w:p>
        </w:tc>
        <w:tc>
          <w:tcPr>
            <w:tcW w:w="3013" w:type="dxa"/>
            <w:tcBorders>
              <w:top w:val="nil"/>
              <w:left w:val="nil"/>
              <w:bottom w:val="single" w:color="auto" w:sz="4" w:space="0"/>
              <w:right w:val="single" w:color="auto" w:sz="4" w:space="0"/>
            </w:tcBorders>
            <w:vAlign w:val="center"/>
          </w:tcPr>
          <w:p w14:paraId="583C789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宁波银行开发区支行</w:t>
            </w:r>
          </w:p>
        </w:tc>
        <w:tc>
          <w:tcPr>
            <w:tcW w:w="1416" w:type="dxa"/>
            <w:tcBorders>
              <w:top w:val="nil"/>
              <w:left w:val="nil"/>
              <w:bottom w:val="single" w:color="auto" w:sz="4" w:space="0"/>
              <w:right w:val="single" w:color="auto" w:sz="4" w:space="0"/>
            </w:tcBorders>
            <w:vAlign w:val="center"/>
          </w:tcPr>
          <w:p w14:paraId="1450682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贾磊</w:t>
            </w:r>
          </w:p>
        </w:tc>
        <w:tc>
          <w:tcPr>
            <w:tcW w:w="3212" w:type="dxa"/>
            <w:tcBorders>
              <w:top w:val="nil"/>
              <w:left w:val="nil"/>
              <w:bottom w:val="single" w:color="auto" w:sz="4" w:space="0"/>
              <w:right w:val="single" w:color="auto" w:sz="4" w:space="0"/>
            </w:tcBorders>
            <w:vAlign w:val="center"/>
          </w:tcPr>
          <w:p w14:paraId="5586719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13575745232</w:t>
            </w:r>
          </w:p>
        </w:tc>
      </w:tr>
      <w:tr w14:paraId="48710A8D">
        <w:tblPrEx>
          <w:tblCellMar>
            <w:top w:w="0" w:type="dxa"/>
            <w:left w:w="108" w:type="dxa"/>
            <w:bottom w:w="0" w:type="dxa"/>
            <w:right w:w="108" w:type="dxa"/>
          </w:tblCellMar>
        </w:tblPrEx>
        <w:trPr>
          <w:trHeight w:val="343" w:hRule="atLeast"/>
        </w:trPr>
        <w:tc>
          <w:tcPr>
            <w:tcW w:w="1077" w:type="dxa"/>
            <w:tcBorders>
              <w:top w:val="nil"/>
              <w:left w:val="single" w:color="auto" w:sz="4" w:space="0"/>
              <w:bottom w:val="single" w:color="auto" w:sz="4" w:space="0"/>
              <w:right w:val="single" w:color="auto" w:sz="4" w:space="0"/>
            </w:tcBorders>
            <w:vAlign w:val="center"/>
          </w:tcPr>
          <w:p w14:paraId="1F046C2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9</w:t>
            </w:r>
          </w:p>
        </w:tc>
        <w:tc>
          <w:tcPr>
            <w:tcW w:w="3013" w:type="dxa"/>
            <w:tcBorders>
              <w:top w:val="nil"/>
              <w:left w:val="nil"/>
              <w:bottom w:val="single" w:color="auto" w:sz="4" w:space="0"/>
              <w:right w:val="single" w:color="auto" w:sz="4" w:space="0"/>
            </w:tcBorders>
            <w:vAlign w:val="center"/>
          </w:tcPr>
          <w:p w14:paraId="3FD767D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杭州联合银行下沙支行</w:t>
            </w:r>
          </w:p>
        </w:tc>
        <w:tc>
          <w:tcPr>
            <w:tcW w:w="1416" w:type="dxa"/>
            <w:tcBorders>
              <w:top w:val="nil"/>
              <w:left w:val="nil"/>
              <w:bottom w:val="single" w:color="auto" w:sz="4" w:space="0"/>
              <w:right w:val="single" w:color="auto" w:sz="4" w:space="0"/>
            </w:tcBorders>
            <w:vAlign w:val="center"/>
          </w:tcPr>
          <w:p w14:paraId="3E4B2D9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王宁</w:t>
            </w:r>
          </w:p>
        </w:tc>
        <w:tc>
          <w:tcPr>
            <w:tcW w:w="3212" w:type="dxa"/>
            <w:tcBorders>
              <w:top w:val="nil"/>
              <w:left w:val="nil"/>
              <w:bottom w:val="single" w:color="auto" w:sz="4" w:space="0"/>
              <w:right w:val="single" w:color="auto" w:sz="4" w:space="0"/>
            </w:tcBorders>
            <w:vAlign w:val="center"/>
          </w:tcPr>
          <w:p w14:paraId="2A9873D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18906520030</w:t>
            </w:r>
          </w:p>
        </w:tc>
      </w:tr>
      <w:tr w14:paraId="4E3B8D5A">
        <w:tblPrEx>
          <w:tblCellMar>
            <w:top w:w="0" w:type="dxa"/>
            <w:left w:w="108" w:type="dxa"/>
            <w:bottom w:w="0" w:type="dxa"/>
            <w:right w:w="108" w:type="dxa"/>
          </w:tblCellMar>
        </w:tblPrEx>
        <w:trPr>
          <w:trHeight w:val="401" w:hRule="atLeast"/>
        </w:trPr>
        <w:tc>
          <w:tcPr>
            <w:tcW w:w="1077" w:type="dxa"/>
            <w:tcBorders>
              <w:top w:val="nil"/>
              <w:left w:val="single" w:color="auto" w:sz="4" w:space="0"/>
              <w:bottom w:val="single" w:color="auto" w:sz="4" w:space="0"/>
              <w:right w:val="single" w:color="auto" w:sz="4" w:space="0"/>
            </w:tcBorders>
            <w:vAlign w:val="center"/>
          </w:tcPr>
          <w:p w14:paraId="300A589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10</w:t>
            </w:r>
          </w:p>
        </w:tc>
        <w:tc>
          <w:tcPr>
            <w:tcW w:w="3013" w:type="dxa"/>
            <w:tcBorders>
              <w:top w:val="nil"/>
              <w:left w:val="nil"/>
              <w:bottom w:val="single" w:color="auto" w:sz="4" w:space="0"/>
              <w:right w:val="single" w:color="auto" w:sz="4" w:space="0"/>
            </w:tcBorders>
            <w:vAlign w:val="center"/>
          </w:tcPr>
          <w:p w14:paraId="08EA115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农业银行钱塘支行</w:t>
            </w:r>
          </w:p>
        </w:tc>
        <w:tc>
          <w:tcPr>
            <w:tcW w:w="1416" w:type="dxa"/>
            <w:tcBorders>
              <w:top w:val="nil"/>
              <w:left w:val="nil"/>
              <w:bottom w:val="single" w:color="auto" w:sz="4" w:space="0"/>
              <w:right w:val="single" w:color="auto" w:sz="4" w:space="0"/>
            </w:tcBorders>
            <w:vAlign w:val="center"/>
          </w:tcPr>
          <w:p w14:paraId="436AEE4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王安东</w:t>
            </w:r>
          </w:p>
          <w:p w14:paraId="23098F9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方若愚</w:t>
            </w:r>
          </w:p>
        </w:tc>
        <w:tc>
          <w:tcPr>
            <w:tcW w:w="3212" w:type="dxa"/>
            <w:tcBorders>
              <w:top w:val="nil"/>
              <w:left w:val="nil"/>
              <w:bottom w:val="single" w:color="auto" w:sz="4" w:space="0"/>
              <w:right w:val="single" w:color="auto" w:sz="4" w:space="0"/>
            </w:tcBorders>
            <w:vAlign w:val="center"/>
          </w:tcPr>
          <w:p w14:paraId="783EA45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15158025713</w:t>
            </w:r>
          </w:p>
          <w:p w14:paraId="428F1B9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15067483470</w:t>
            </w:r>
          </w:p>
        </w:tc>
      </w:tr>
      <w:tr w14:paraId="243A9A36">
        <w:tblPrEx>
          <w:tblCellMar>
            <w:top w:w="0" w:type="dxa"/>
            <w:left w:w="108" w:type="dxa"/>
            <w:bottom w:w="0" w:type="dxa"/>
            <w:right w:w="108" w:type="dxa"/>
          </w:tblCellMar>
        </w:tblPrEx>
        <w:trPr>
          <w:trHeight w:val="364" w:hRule="atLeast"/>
        </w:trPr>
        <w:tc>
          <w:tcPr>
            <w:tcW w:w="1077" w:type="dxa"/>
            <w:tcBorders>
              <w:top w:val="single" w:color="auto" w:sz="4" w:space="0"/>
              <w:left w:val="single" w:color="auto" w:sz="4" w:space="0"/>
              <w:bottom w:val="single" w:color="auto" w:sz="4" w:space="0"/>
              <w:right w:val="single" w:color="auto" w:sz="4" w:space="0"/>
            </w:tcBorders>
            <w:vAlign w:val="center"/>
          </w:tcPr>
          <w:p w14:paraId="649DCF4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11</w:t>
            </w:r>
          </w:p>
        </w:tc>
        <w:tc>
          <w:tcPr>
            <w:tcW w:w="3013" w:type="dxa"/>
            <w:tcBorders>
              <w:top w:val="single" w:color="auto" w:sz="4" w:space="0"/>
              <w:left w:val="nil"/>
              <w:bottom w:val="single" w:color="auto" w:sz="4" w:space="0"/>
              <w:right w:val="single" w:color="auto" w:sz="4" w:space="0"/>
            </w:tcBorders>
            <w:vAlign w:val="center"/>
          </w:tcPr>
          <w:p w14:paraId="47613BE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浙商银行杭州钱塘支行</w:t>
            </w:r>
          </w:p>
        </w:tc>
        <w:tc>
          <w:tcPr>
            <w:tcW w:w="1416" w:type="dxa"/>
            <w:tcBorders>
              <w:top w:val="single" w:color="auto" w:sz="4" w:space="0"/>
              <w:left w:val="nil"/>
              <w:bottom w:val="single" w:color="auto" w:sz="4" w:space="0"/>
              <w:right w:val="single" w:color="auto" w:sz="4" w:space="0"/>
            </w:tcBorders>
            <w:vAlign w:val="center"/>
          </w:tcPr>
          <w:p w14:paraId="62FAE41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徐伟刚</w:t>
            </w:r>
          </w:p>
        </w:tc>
        <w:tc>
          <w:tcPr>
            <w:tcW w:w="3212" w:type="dxa"/>
            <w:tcBorders>
              <w:top w:val="single" w:color="auto" w:sz="4" w:space="0"/>
              <w:left w:val="nil"/>
              <w:bottom w:val="single" w:color="auto" w:sz="4" w:space="0"/>
              <w:right w:val="single" w:color="auto" w:sz="4" w:space="0"/>
            </w:tcBorders>
            <w:vAlign w:val="center"/>
          </w:tcPr>
          <w:p w14:paraId="3D4EFA0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82921293，18258888258</w:t>
            </w:r>
          </w:p>
        </w:tc>
      </w:tr>
      <w:tr w14:paraId="550ABD4C">
        <w:tblPrEx>
          <w:tblCellMar>
            <w:top w:w="0" w:type="dxa"/>
            <w:left w:w="108" w:type="dxa"/>
            <w:bottom w:w="0" w:type="dxa"/>
            <w:right w:w="108" w:type="dxa"/>
          </w:tblCellMar>
        </w:tblPrEx>
        <w:trPr>
          <w:trHeight w:val="371" w:hRule="atLeast"/>
        </w:trPr>
        <w:tc>
          <w:tcPr>
            <w:tcW w:w="1077" w:type="dxa"/>
            <w:tcBorders>
              <w:top w:val="single" w:color="auto" w:sz="4" w:space="0"/>
              <w:left w:val="single" w:color="auto" w:sz="4" w:space="0"/>
              <w:bottom w:val="single" w:color="auto" w:sz="4" w:space="0"/>
              <w:right w:val="single" w:color="auto" w:sz="4" w:space="0"/>
            </w:tcBorders>
            <w:vAlign w:val="center"/>
          </w:tcPr>
          <w:p w14:paraId="32EEC0C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12</w:t>
            </w:r>
          </w:p>
        </w:tc>
        <w:tc>
          <w:tcPr>
            <w:tcW w:w="3013" w:type="dxa"/>
            <w:tcBorders>
              <w:top w:val="single" w:color="auto" w:sz="4" w:space="0"/>
              <w:left w:val="nil"/>
              <w:bottom w:val="single" w:color="auto" w:sz="4" w:space="0"/>
              <w:right w:val="single" w:color="auto" w:sz="4" w:space="0"/>
            </w:tcBorders>
            <w:vAlign w:val="center"/>
          </w:tcPr>
          <w:p w14:paraId="5CFD334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浦发银行</w:t>
            </w:r>
          </w:p>
        </w:tc>
        <w:tc>
          <w:tcPr>
            <w:tcW w:w="1416" w:type="dxa"/>
            <w:tcBorders>
              <w:top w:val="single" w:color="auto" w:sz="4" w:space="0"/>
              <w:left w:val="nil"/>
              <w:bottom w:val="single" w:color="auto" w:sz="4" w:space="0"/>
              <w:right w:val="single" w:color="auto" w:sz="4" w:space="0"/>
            </w:tcBorders>
            <w:vAlign w:val="center"/>
          </w:tcPr>
          <w:p w14:paraId="6196481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林云鹏</w:t>
            </w:r>
          </w:p>
        </w:tc>
        <w:tc>
          <w:tcPr>
            <w:tcW w:w="3212" w:type="dxa"/>
            <w:tcBorders>
              <w:top w:val="single" w:color="auto" w:sz="4" w:space="0"/>
              <w:left w:val="nil"/>
              <w:bottom w:val="single" w:color="auto" w:sz="4" w:space="0"/>
              <w:right w:val="single" w:color="auto" w:sz="4" w:space="0"/>
            </w:tcBorders>
            <w:vAlign w:val="center"/>
          </w:tcPr>
          <w:p w14:paraId="67E1E35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18805812679</w:t>
            </w:r>
          </w:p>
        </w:tc>
      </w:tr>
    </w:tbl>
    <w:p w14:paraId="06B16B8E">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0299A86C">
      <w:pPr>
        <w:pStyle w:val="5"/>
        <w:keepNext w:val="0"/>
        <w:keepLines w:val="0"/>
        <w:pageBreakBefore/>
        <w:widowControl/>
        <w:kinsoku/>
        <w:wordWrap/>
        <w:overflowPunct/>
        <w:topLinePunct w:val="0"/>
        <w:autoSpaceDE/>
        <w:autoSpaceDN/>
        <w:bidi w:val="0"/>
        <w:adjustRightInd w:val="0"/>
        <w:snapToGrid/>
        <w:spacing w:before="100" w:beforeAutospacing="1" w:after="100" w:afterAutospacing="1" w:line="360" w:lineRule="auto"/>
        <w:ind w:left="431" w:hanging="431"/>
        <w:jc w:val="center"/>
        <w:textAlignment w:val="auto"/>
        <w:outlineLvl w:val="1"/>
        <w:rPr>
          <w:rFonts w:ascii="宋体" w:hAnsi="宋体" w:cs="宋体"/>
          <w:color w:val="auto"/>
          <w:sz w:val="21"/>
          <w:szCs w:val="21"/>
          <w:highlight w:val="none"/>
        </w:rPr>
      </w:pPr>
      <w:r>
        <w:rPr>
          <w:rFonts w:hint="eastAsia" w:ascii="宋体" w:hAnsi="宋体" w:cs="宋体"/>
          <w:color w:val="auto"/>
          <w:sz w:val="21"/>
          <w:szCs w:val="21"/>
          <w:highlight w:val="none"/>
        </w:rPr>
        <w:t>附件</w:t>
      </w:r>
    </w:p>
    <w:p w14:paraId="5C05BD88">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2"/>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附件1：残疾人福利性单位声明函</w:t>
      </w:r>
    </w:p>
    <w:p w14:paraId="6D4155AB">
      <w:pPr>
        <w:spacing w:line="360" w:lineRule="auto"/>
        <w:jc w:val="center"/>
        <w:rPr>
          <w:rFonts w:ascii="宋体" w:hAnsi="宋体" w:cs="宋体"/>
          <w:b/>
          <w:color w:val="auto"/>
          <w:spacing w:val="6"/>
          <w:sz w:val="21"/>
          <w:szCs w:val="21"/>
          <w:highlight w:val="none"/>
        </w:rPr>
      </w:pPr>
      <w:bookmarkStart w:id="398" w:name="OLE_LINK14"/>
      <w:bookmarkStart w:id="399" w:name="OLE_LINK13"/>
      <w:r>
        <w:rPr>
          <w:rFonts w:hint="eastAsia" w:ascii="宋体" w:hAnsi="宋体" w:cs="宋体"/>
          <w:b/>
          <w:color w:val="auto"/>
          <w:spacing w:val="6"/>
          <w:sz w:val="21"/>
          <w:szCs w:val="21"/>
          <w:highlight w:val="none"/>
        </w:rPr>
        <w:t>残疾人福利性单位声明函</w:t>
      </w:r>
    </w:p>
    <w:bookmarkEnd w:id="398"/>
    <w:bookmarkEnd w:id="399"/>
    <w:p w14:paraId="6FCA292F">
      <w:pPr>
        <w:spacing w:line="360" w:lineRule="auto"/>
        <w:rPr>
          <w:rFonts w:ascii="宋体" w:hAnsi="宋体" w:cs="宋体"/>
          <w:b/>
          <w:color w:val="auto"/>
          <w:spacing w:val="6"/>
          <w:sz w:val="21"/>
          <w:szCs w:val="21"/>
          <w:highlight w:val="none"/>
        </w:rPr>
      </w:pPr>
    </w:p>
    <w:p w14:paraId="0B3A189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1"/>
          <w:szCs w:val="21"/>
          <w:highlight w:val="none"/>
          <w:u w:val="single"/>
          <w:lang w:eastAsia="zh-CN"/>
        </w:rPr>
        <w:t>中共杭州市钱塘区委宣传部</w:t>
      </w:r>
      <w:r>
        <w:rPr>
          <w:rFonts w:hint="eastAsia" w:ascii="宋体" w:hAnsi="宋体" w:cs="宋体"/>
          <w:color w:val="auto"/>
          <w:sz w:val="21"/>
          <w:szCs w:val="21"/>
          <w:highlight w:val="none"/>
        </w:rPr>
        <w:t>_单位的_</w:t>
      </w:r>
      <w:r>
        <w:rPr>
          <w:rFonts w:hint="eastAsia" w:ascii="宋体" w:hAnsi="宋体" w:cs="宋体"/>
          <w:color w:val="auto"/>
          <w:sz w:val="21"/>
          <w:szCs w:val="21"/>
          <w:highlight w:val="none"/>
          <w:u w:val="single"/>
          <w:lang w:eastAsia="zh-CN"/>
        </w:rPr>
        <w:t>社会热点信息报送服务项目(重新招标)</w:t>
      </w:r>
      <w:r>
        <w:rPr>
          <w:rFonts w:hint="eastAsia" w:ascii="宋体" w:hAnsi="宋体" w:cs="宋体"/>
          <w:color w:val="auto"/>
          <w:sz w:val="21"/>
          <w:szCs w:val="21"/>
          <w:highlight w:val="none"/>
        </w:rPr>
        <w:t>__项目采购活动提供本单位制造的货物（由本单位承担工程/提供服务），或者提供其他残疾人福利性单位制造的货物（不包括使用非残疾人福利性单位注册商标的货物）。</w:t>
      </w:r>
    </w:p>
    <w:p w14:paraId="71E2108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2F3215A5">
      <w:pPr>
        <w:spacing w:line="360" w:lineRule="auto"/>
        <w:ind w:firstLine="420" w:firstLineChars="200"/>
        <w:rPr>
          <w:rFonts w:ascii="宋体" w:hAnsi="宋体" w:cs="宋体"/>
          <w:color w:val="auto"/>
          <w:sz w:val="21"/>
          <w:szCs w:val="21"/>
          <w:highlight w:val="none"/>
        </w:rPr>
      </w:pPr>
    </w:p>
    <w:p w14:paraId="37E1339C">
      <w:pPr>
        <w:spacing w:line="360" w:lineRule="auto"/>
        <w:ind w:firstLine="420" w:firstLineChars="200"/>
        <w:rPr>
          <w:rFonts w:ascii="宋体" w:hAnsi="宋体" w:cs="宋体"/>
          <w:color w:val="auto"/>
          <w:sz w:val="21"/>
          <w:szCs w:val="21"/>
          <w:highlight w:val="none"/>
        </w:rPr>
      </w:pPr>
    </w:p>
    <w:p w14:paraId="679D3D03">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投标人名称（电子签名）</w:t>
      </w:r>
      <w:r>
        <w:rPr>
          <w:rFonts w:hint="eastAsia" w:ascii="宋体" w:hAnsi="宋体" w:cs="宋体"/>
          <w:color w:val="auto"/>
          <w:sz w:val="21"/>
          <w:szCs w:val="21"/>
          <w:highlight w:val="none"/>
        </w:rPr>
        <w:t>：</w:t>
      </w:r>
    </w:p>
    <w:p w14:paraId="30D74AD7">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39B923D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C56046B">
      <w:pPr>
        <w:keepNext w:val="0"/>
        <w:keepLines w:val="0"/>
        <w:pageBreakBefore w:val="0"/>
        <w:widowControl w:val="0"/>
        <w:kinsoku/>
        <w:wordWrap/>
        <w:overflowPunct/>
        <w:topLinePunct w:val="0"/>
        <w:autoSpaceDE/>
        <w:autoSpaceDN/>
        <w:bidi w:val="0"/>
        <w:adjustRightInd w:val="0"/>
        <w:snapToGrid/>
        <w:spacing w:line="288" w:lineRule="auto"/>
        <w:jc w:val="left"/>
        <w:textAlignment w:val="auto"/>
        <w:outlineLvl w:val="2"/>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附件2：质疑函范本及制作说明</w:t>
      </w:r>
    </w:p>
    <w:p w14:paraId="732D4112">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质疑函范本</w:t>
      </w:r>
    </w:p>
    <w:p w14:paraId="434C4382">
      <w:pPr>
        <w:keepNext w:val="0"/>
        <w:keepLines w:val="0"/>
        <w:pageBreakBefore w:val="0"/>
        <w:kinsoku/>
        <w:wordWrap/>
        <w:overflowPunct/>
        <w:topLinePunct w:val="0"/>
        <w:autoSpaceDE/>
        <w:autoSpaceDN/>
        <w:bidi w:val="0"/>
        <w:adjustRightInd w:val="0"/>
        <w:snapToGrid w:val="0"/>
        <w:spacing w:before="240" w:beforeLines="100"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577F5E59">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0B84D8F5">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7CA3D310">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29D7565B">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0FAFCAE5">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44278B50">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05B051EF">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3CCAD086">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75A86DD9">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58D68891">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6302CFDC">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5C77AD4E">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3C7BE340">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7D7C7457">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4D34DDF0">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399D98AD">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4AD133C1">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7AF061B8">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6DBF30BF">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p>
    <w:p w14:paraId="110385B1">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0350B735">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2BF5F356">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67082D31">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6B90ECCB">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b/>
          <w:bCs/>
          <w:color w:val="auto"/>
          <w:sz w:val="21"/>
          <w:szCs w:val="21"/>
          <w:highlight w:val="none"/>
        </w:rPr>
      </w:pPr>
    </w:p>
    <w:p w14:paraId="25D297BE">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p>
    <w:p w14:paraId="6265F2F4">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p>
    <w:p w14:paraId="70CFE485">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p>
    <w:p w14:paraId="0D259A96">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632D5F87">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415C220F">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0D21102B">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141043C3">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4AE966DD">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1FF8BEF5">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4"/>
          <w:highlight w:val="none"/>
        </w:rPr>
      </w:pPr>
      <w:r>
        <w:rPr>
          <w:rFonts w:hint="eastAsia" w:ascii="宋体" w:hAnsi="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562665D2">
      <w:pPr>
        <w:widowControl/>
        <w:spacing w:line="360" w:lineRule="auto"/>
        <w:ind w:firstLine="600" w:firstLineChars="200"/>
        <w:jc w:val="left"/>
        <w:rPr>
          <w:rFonts w:ascii="宋体" w:hAnsi="宋体" w:cs="宋体"/>
          <w:color w:val="auto"/>
          <w:sz w:val="30"/>
          <w:szCs w:val="30"/>
          <w:highlight w:val="none"/>
        </w:rPr>
      </w:pPr>
    </w:p>
    <w:p w14:paraId="5D13FC51">
      <w:pPr>
        <w:spacing w:line="360" w:lineRule="auto"/>
        <w:jc w:val="center"/>
        <w:rPr>
          <w:rFonts w:ascii="宋体" w:hAnsi="宋体" w:cs="宋体"/>
          <w:b/>
          <w:color w:val="auto"/>
          <w:spacing w:val="6"/>
          <w:sz w:val="32"/>
          <w:szCs w:val="32"/>
          <w:highlight w:val="none"/>
        </w:rPr>
      </w:pPr>
    </w:p>
    <w:p w14:paraId="12BA2F58">
      <w:pPr>
        <w:keepNext w:val="0"/>
        <w:keepLines w:val="0"/>
        <w:pageBreakBefore w:val="0"/>
        <w:widowControl w:val="0"/>
        <w:kinsoku/>
        <w:wordWrap/>
        <w:overflowPunct/>
        <w:topLinePunct w:val="0"/>
        <w:autoSpaceDE/>
        <w:autoSpaceDN/>
        <w:bidi w:val="0"/>
        <w:adjustRightInd w:val="0"/>
        <w:snapToGrid/>
        <w:spacing w:line="288" w:lineRule="auto"/>
        <w:jc w:val="left"/>
        <w:textAlignment w:val="auto"/>
        <w:outlineLvl w:val="2"/>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附件3：投诉书范本及制作说明</w:t>
      </w:r>
    </w:p>
    <w:p w14:paraId="72FC60DB">
      <w:pPr>
        <w:keepNext w:val="0"/>
        <w:keepLines w:val="0"/>
        <w:pageBreakBefore w:val="0"/>
        <w:kinsoku/>
        <w:wordWrap/>
        <w:overflowPunct/>
        <w:topLinePunct w:val="0"/>
        <w:autoSpaceDE/>
        <w:autoSpaceDN/>
        <w:bidi w:val="0"/>
        <w:adjustRightInd w:val="0"/>
        <w:snapToGrid/>
        <w:spacing w:line="288" w:lineRule="auto"/>
        <w:jc w:val="center"/>
        <w:textAlignment w:val="auto"/>
        <w:rPr>
          <w:rFonts w:ascii="宋体" w:hAnsi="宋体" w:cs="宋体"/>
          <w:b/>
          <w:color w:val="auto"/>
          <w:sz w:val="21"/>
          <w:szCs w:val="21"/>
          <w:highlight w:val="none"/>
        </w:rPr>
      </w:pPr>
    </w:p>
    <w:p w14:paraId="7DA96C12">
      <w:pPr>
        <w:keepNext w:val="0"/>
        <w:keepLines w:val="0"/>
        <w:pageBreakBefore w:val="0"/>
        <w:kinsoku/>
        <w:wordWrap/>
        <w:overflowPunct/>
        <w:topLinePunct w:val="0"/>
        <w:autoSpaceDE/>
        <w:autoSpaceDN/>
        <w:bidi w:val="0"/>
        <w:adjustRightInd w:val="0"/>
        <w:snapToGrid/>
        <w:spacing w:line="288" w:lineRule="auto"/>
        <w:jc w:val="center"/>
        <w:textAlignment w:val="auto"/>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投诉书范本</w:t>
      </w:r>
    </w:p>
    <w:p w14:paraId="5EB42D3F">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6A2C0C28">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1434B46D">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92F9C81">
      <w:pPr>
        <w:keepNext w:val="0"/>
        <w:keepLines w:val="0"/>
        <w:pageBreakBefore w:val="0"/>
        <w:tabs>
          <w:tab w:val="left" w:pos="6510"/>
        </w:tabs>
        <w:kinsoku/>
        <w:wordWrap/>
        <w:overflowPunct/>
        <w:topLinePunct w:val="0"/>
        <w:autoSpaceDE/>
        <w:autoSpaceDN/>
        <w:bidi w:val="0"/>
        <w:adjustRightInd w:val="0"/>
        <w:snapToGrid/>
        <w:spacing w:line="288"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0D8AF1EA">
      <w:pPr>
        <w:keepNext w:val="0"/>
        <w:keepLines w:val="0"/>
        <w:pageBreakBefore w:val="0"/>
        <w:tabs>
          <w:tab w:val="left" w:pos="6510"/>
        </w:tabs>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64D821DC">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12FA204E">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0980FBFE">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6794B3B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E19D1D2">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A144C23">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15CB4088">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109150B1">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856D65F">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FEC3212">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0B915BA5">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0FEBA9D4">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7CCA676F">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0B37EC7E">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3C2BCE27">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485BC6F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53E5FD8E">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666E048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7F934889">
      <w:pPr>
        <w:keepNext w:val="0"/>
        <w:keepLines w:val="0"/>
        <w:pageBreakBefore w:val="0"/>
        <w:kinsoku/>
        <w:wordWrap/>
        <w:overflowPunct/>
        <w:topLinePunct w:val="0"/>
        <w:autoSpaceDE/>
        <w:autoSpaceDN/>
        <w:bidi w:val="0"/>
        <w:adjustRightInd w:val="0"/>
        <w:snapToGrid/>
        <w:spacing w:line="288" w:lineRule="auto"/>
        <w:ind w:firstLine="420" w:firstLineChars="200"/>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3CE074F5">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420649E7">
      <w:pPr>
        <w:keepNext w:val="0"/>
        <w:keepLines w:val="0"/>
        <w:pageBreakBefore w:val="0"/>
        <w:kinsoku/>
        <w:wordWrap/>
        <w:overflowPunct/>
        <w:topLinePunct w:val="0"/>
        <w:autoSpaceDE/>
        <w:autoSpaceDN/>
        <w:bidi w:val="0"/>
        <w:adjustRightInd w:val="0"/>
        <w:snapToGrid/>
        <w:spacing w:line="288" w:lineRule="auto"/>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日,就质疑事项作出了答复/没有在法定期限内作出答复。</w:t>
      </w:r>
    </w:p>
    <w:p w14:paraId="1A1C08A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0CA1C46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2EA1846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263771EF">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1974C20F">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28104D91">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36FA2321">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4591EECD">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21EDD306">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746CC63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609EC78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7FD30A0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0105817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2365488E">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b/>
          <w:color w:val="auto"/>
          <w:sz w:val="21"/>
          <w:szCs w:val="21"/>
          <w:highlight w:val="none"/>
        </w:rPr>
      </w:pPr>
    </w:p>
    <w:p w14:paraId="105D0D7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b/>
          <w:color w:val="auto"/>
          <w:sz w:val="21"/>
          <w:szCs w:val="21"/>
          <w:highlight w:val="none"/>
        </w:rPr>
      </w:pPr>
    </w:p>
    <w:p w14:paraId="1957B5BD">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3B3AFCCE">
      <w:pPr>
        <w:keepNext w:val="0"/>
        <w:keepLines w:val="0"/>
        <w:pageBreakBefore w:val="0"/>
        <w:widowControl/>
        <w:kinsoku/>
        <w:wordWrap/>
        <w:overflowPunct/>
        <w:topLinePunct w:val="0"/>
        <w:autoSpaceDE/>
        <w:autoSpaceDN/>
        <w:bidi w:val="0"/>
        <w:adjustRightInd w:val="0"/>
        <w:snapToGrid/>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7F0AA796">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5E2FB24C">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7ED48AEC">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1457D8EA">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6B569D56">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0CE12278">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kern w:val="0"/>
          <w:sz w:val="24"/>
          <w:highlight w:val="none"/>
        </w:rPr>
      </w:pPr>
      <w:r>
        <w:rPr>
          <w:rFonts w:hint="eastAsia" w:ascii="宋体" w:hAnsi="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1758F46C">
      <w:pPr>
        <w:keepNext w:val="0"/>
        <w:keepLines w:val="0"/>
        <w:pageBreakBefore w:val="0"/>
        <w:widowControl w:val="0"/>
        <w:kinsoku/>
        <w:wordWrap/>
        <w:overflowPunct/>
        <w:topLinePunct w:val="0"/>
        <w:autoSpaceDE w:val="0"/>
        <w:autoSpaceDN w:val="0"/>
        <w:bidi w:val="0"/>
        <w:adjustRightInd w:val="0"/>
        <w:snapToGrid/>
        <w:jc w:val="center"/>
        <w:textAlignment w:val="auto"/>
        <w:outlineLvl w:val="2"/>
        <w:rPr>
          <w:rFonts w:ascii="宋体" w:hAnsi="宋体" w:cs="宋体"/>
          <w:b/>
          <w:bCs/>
          <w:color w:val="auto"/>
          <w:sz w:val="21"/>
          <w:szCs w:val="21"/>
          <w:highlight w:val="none"/>
        </w:rPr>
      </w:pPr>
      <w:r>
        <w:rPr>
          <w:rFonts w:hint="eastAsia" w:ascii="宋体" w:hAnsi="宋体" w:cs="宋体"/>
          <w:b/>
          <w:color w:val="auto"/>
          <w:spacing w:val="6"/>
          <w:sz w:val="32"/>
          <w:szCs w:val="32"/>
          <w:highlight w:val="none"/>
        </w:rPr>
        <w:br w:type="column"/>
      </w:r>
      <w:r>
        <w:rPr>
          <w:rFonts w:hint="eastAsia" w:ascii="宋体" w:hAnsi="宋体" w:cs="宋体"/>
          <w:b/>
          <w:color w:val="auto"/>
          <w:spacing w:val="6"/>
          <w:sz w:val="21"/>
          <w:szCs w:val="21"/>
          <w:highlight w:val="none"/>
        </w:rPr>
        <w:t>附件4：</w:t>
      </w:r>
      <w:r>
        <w:rPr>
          <w:rFonts w:hint="eastAsia" w:ascii="宋体" w:hAnsi="宋体" w:cs="宋体"/>
          <w:b/>
          <w:bCs/>
          <w:color w:val="auto"/>
          <w:sz w:val="21"/>
          <w:szCs w:val="21"/>
          <w:highlight w:val="none"/>
        </w:rPr>
        <w:t>业务专用章使用说明函</w:t>
      </w:r>
    </w:p>
    <w:p w14:paraId="4B172A01">
      <w:pPr>
        <w:spacing w:line="360" w:lineRule="auto"/>
        <w:rPr>
          <w:rFonts w:ascii="宋体" w:hAnsi="宋体" w:cs="宋体"/>
          <w:color w:val="auto"/>
          <w:sz w:val="21"/>
          <w:szCs w:val="21"/>
          <w:highlight w:val="none"/>
          <w:u w:val="single"/>
        </w:rPr>
      </w:pPr>
    </w:p>
    <w:p w14:paraId="087CF04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中共杭州市钱塘区委宣传部</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浙江求是招标代理有限公司</w:t>
      </w:r>
      <w:r>
        <w:rPr>
          <w:rFonts w:hint="eastAsia" w:ascii="宋体" w:hAnsi="宋体" w:cs="宋体"/>
          <w:color w:val="auto"/>
          <w:sz w:val="21"/>
          <w:szCs w:val="21"/>
          <w:highlight w:val="none"/>
          <w:u w:val="single"/>
        </w:rPr>
        <w:t>：</w:t>
      </w:r>
    </w:p>
    <w:p w14:paraId="2E20CA2E">
      <w:pPr>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(投标人全称)是中华人民共和国依法登记注册的合法企业，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lang w:eastAsia="zh-CN"/>
        </w:rPr>
        <w:t>社会热点信息报送服务项目(重新招标)</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QTCG-GK-2024-289(2)</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1296F48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2789CC35">
      <w:pPr>
        <w:spacing w:line="360" w:lineRule="auto"/>
        <w:ind w:firstLine="494"/>
        <w:rPr>
          <w:rFonts w:ascii="宋体" w:hAnsi="宋体" w:cs="宋体"/>
          <w:color w:val="auto"/>
          <w:sz w:val="21"/>
          <w:szCs w:val="21"/>
          <w:highlight w:val="none"/>
        </w:rPr>
      </w:pPr>
    </w:p>
    <w:p w14:paraId="6E1B0945">
      <w:pPr>
        <w:spacing w:line="360" w:lineRule="auto"/>
        <w:ind w:firstLine="494"/>
        <w:rPr>
          <w:rFonts w:ascii="宋体" w:hAnsi="宋体" w:cs="宋体"/>
          <w:color w:val="auto"/>
          <w:sz w:val="21"/>
          <w:szCs w:val="21"/>
          <w:highlight w:val="none"/>
        </w:rPr>
      </w:pPr>
    </w:p>
    <w:p w14:paraId="26659E17">
      <w:pPr>
        <w:spacing w:line="360" w:lineRule="auto"/>
        <w:ind w:firstLine="494"/>
        <w:rPr>
          <w:rFonts w:ascii="宋体" w:hAnsi="宋体" w:cs="宋体"/>
          <w:color w:val="auto"/>
          <w:sz w:val="21"/>
          <w:szCs w:val="21"/>
          <w:highlight w:val="none"/>
        </w:rPr>
      </w:pPr>
    </w:p>
    <w:p w14:paraId="37A7C51A">
      <w:pPr>
        <w:spacing w:line="360" w:lineRule="auto"/>
        <w:ind w:firstLine="494"/>
        <w:rPr>
          <w:rFonts w:ascii="宋体" w:hAnsi="宋体" w:cs="宋体"/>
          <w:color w:val="auto"/>
          <w:sz w:val="21"/>
          <w:szCs w:val="21"/>
          <w:highlight w:val="none"/>
        </w:rPr>
      </w:pPr>
    </w:p>
    <w:p w14:paraId="1FCCC8B7">
      <w:pPr>
        <w:spacing w:line="360" w:lineRule="auto"/>
        <w:ind w:right="480" w:firstLine="3570" w:firstLineChars="1700"/>
        <w:rPr>
          <w:rFonts w:ascii="宋体" w:hAnsi="宋体" w:cs="宋体"/>
          <w:color w:val="auto"/>
          <w:sz w:val="21"/>
          <w:szCs w:val="21"/>
          <w:highlight w:val="none"/>
        </w:rPr>
      </w:pPr>
      <w:r>
        <w:rPr>
          <w:rFonts w:hint="eastAsia" w:ascii="宋体" w:hAnsi="宋体" w:cs="宋体"/>
          <w:color w:val="auto"/>
          <w:sz w:val="21"/>
          <w:szCs w:val="21"/>
          <w:highlight w:val="none"/>
        </w:rPr>
        <w:t>投标单位（法定名称章）：</w:t>
      </w:r>
    </w:p>
    <w:p w14:paraId="43BA528F">
      <w:pPr>
        <w:ind w:right="1440" w:firstLine="494"/>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6A7360A0">
      <w:pPr>
        <w:rPr>
          <w:rFonts w:ascii="宋体" w:hAnsi="宋体" w:cs="宋体"/>
          <w:color w:val="auto"/>
          <w:sz w:val="21"/>
          <w:szCs w:val="21"/>
          <w:highlight w:val="none"/>
        </w:rPr>
      </w:pPr>
      <w:r>
        <w:rPr>
          <w:rFonts w:hint="eastAsia" w:ascii="宋体" w:hAnsi="宋体" w:cs="宋体"/>
          <w:b/>
          <w:bCs/>
          <w:color w:val="auto"/>
          <w:sz w:val="21"/>
          <w:szCs w:val="21"/>
          <w:highlight w:val="none"/>
        </w:rPr>
        <w:t>附：</w:t>
      </w:r>
    </w:p>
    <w:p w14:paraId="5E0C440C">
      <w:pPr>
        <w:spacing w:line="360" w:lineRule="auto"/>
        <w:rPr>
          <w:rFonts w:ascii="宋体" w:hAnsi="宋体" w:cs="宋体"/>
          <w:bCs/>
          <w:color w:val="auto"/>
          <w:sz w:val="21"/>
          <w:szCs w:val="21"/>
          <w:highlight w:val="none"/>
        </w:rPr>
      </w:pPr>
      <w:r>
        <w:rPr>
          <w:rFonts w:hint="eastAsia" w:ascii="宋体" w:hAnsi="宋体" w:cs="宋体"/>
          <w:b/>
          <w:bCs/>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1"/>
          <w:szCs w:val="21"/>
          <w:highlight w:val="none"/>
        </w:rPr>
        <w:t>投标单位法定名称章（印模）                投标单位“XX专用章”（印模）</w:t>
      </w:r>
    </w:p>
    <w:p w14:paraId="325E8DEC">
      <w:pPr>
        <w:autoSpaceDE w:val="0"/>
        <w:autoSpaceDN w:val="0"/>
        <w:jc w:val="center"/>
        <w:rPr>
          <w:rFonts w:ascii="宋体" w:hAnsi="宋体" w:cs="宋体"/>
          <w:b/>
          <w:color w:val="auto"/>
          <w:spacing w:val="6"/>
          <w:sz w:val="21"/>
          <w:szCs w:val="21"/>
          <w:highlight w:val="none"/>
        </w:rPr>
      </w:pPr>
    </w:p>
    <w:p w14:paraId="535B94DA">
      <w:pPr>
        <w:autoSpaceDE w:val="0"/>
        <w:autoSpaceDN w:val="0"/>
        <w:jc w:val="center"/>
        <w:rPr>
          <w:rFonts w:ascii="宋体" w:hAnsi="宋体" w:cs="宋体"/>
          <w:b/>
          <w:color w:val="auto"/>
          <w:spacing w:val="6"/>
          <w:sz w:val="21"/>
          <w:szCs w:val="21"/>
          <w:highlight w:val="none"/>
        </w:rPr>
      </w:pPr>
    </w:p>
    <w:p w14:paraId="3C32CABE">
      <w:pPr>
        <w:autoSpaceDE w:val="0"/>
        <w:autoSpaceDN w:val="0"/>
        <w:jc w:val="center"/>
        <w:rPr>
          <w:rFonts w:ascii="宋体" w:hAnsi="宋体" w:cs="宋体"/>
          <w:b/>
          <w:color w:val="auto"/>
          <w:spacing w:val="6"/>
          <w:sz w:val="21"/>
          <w:szCs w:val="21"/>
          <w:highlight w:val="none"/>
        </w:rPr>
      </w:pPr>
    </w:p>
    <w:p w14:paraId="1C8E3BEB">
      <w:pPr>
        <w:autoSpaceDE w:val="0"/>
        <w:autoSpaceDN w:val="0"/>
        <w:jc w:val="center"/>
        <w:rPr>
          <w:rFonts w:ascii="宋体" w:hAnsi="宋体" w:cs="宋体"/>
          <w:b/>
          <w:color w:val="auto"/>
          <w:spacing w:val="6"/>
          <w:sz w:val="21"/>
          <w:szCs w:val="21"/>
          <w:highlight w:val="none"/>
        </w:rPr>
      </w:pPr>
    </w:p>
    <w:p w14:paraId="1F37AD86">
      <w:pPr>
        <w:autoSpaceDE w:val="0"/>
        <w:autoSpaceDN w:val="0"/>
        <w:jc w:val="center"/>
        <w:rPr>
          <w:rFonts w:ascii="宋体" w:hAnsi="宋体" w:cs="宋体"/>
          <w:b/>
          <w:color w:val="auto"/>
          <w:spacing w:val="6"/>
          <w:sz w:val="21"/>
          <w:szCs w:val="21"/>
          <w:highlight w:val="none"/>
        </w:rPr>
      </w:pPr>
    </w:p>
    <w:p w14:paraId="0FC3ACC8">
      <w:pPr>
        <w:autoSpaceDE w:val="0"/>
        <w:autoSpaceDN w:val="0"/>
        <w:jc w:val="center"/>
        <w:rPr>
          <w:rFonts w:ascii="宋体" w:hAnsi="宋体" w:cs="宋体"/>
          <w:b/>
          <w:color w:val="auto"/>
          <w:spacing w:val="6"/>
          <w:sz w:val="21"/>
          <w:szCs w:val="21"/>
          <w:highlight w:val="none"/>
        </w:rPr>
      </w:pPr>
    </w:p>
    <w:p w14:paraId="2C76DD53">
      <w:pPr>
        <w:autoSpaceDE w:val="0"/>
        <w:autoSpaceDN w:val="0"/>
        <w:jc w:val="center"/>
        <w:rPr>
          <w:rFonts w:ascii="宋体" w:hAnsi="宋体" w:cs="宋体"/>
          <w:b/>
          <w:color w:val="auto"/>
          <w:spacing w:val="6"/>
          <w:sz w:val="21"/>
          <w:szCs w:val="21"/>
          <w:highlight w:val="none"/>
        </w:rPr>
      </w:pPr>
    </w:p>
    <w:p w14:paraId="2443815B">
      <w:pPr>
        <w:autoSpaceDE w:val="0"/>
        <w:autoSpaceDN w:val="0"/>
        <w:jc w:val="center"/>
        <w:rPr>
          <w:rFonts w:ascii="宋体" w:hAnsi="宋体" w:cs="宋体"/>
          <w:b/>
          <w:color w:val="auto"/>
          <w:spacing w:val="6"/>
          <w:sz w:val="21"/>
          <w:szCs w:val="21"/>
          <w:highlight w:val="none"/>
        </w:rPr>
      </w:pPr>
    </w:p>
    <w:p w14:paraId="0B4C4100">
      <w:pPr>
        <w:autoSpaceDE w:val="0"/>
        <w:autoSpaceDN w:val="0"/>
        <w:jc w:val="center"/>
        <w:rPr>
          <w:rFonts w:ascii="宋体" w:hAnsi="宋体" w:cs="宋体"/>
          <w:b/>
          <w:color w:val="auto"/>
          <w:spacing w:val="6"/>
          <w:sz w:val="21"/>
          <w:szCs w:val="21"/>
          <w:highlight w:val="none"/>
        </w:rPr>
      </w:pPr>
    </w:p>
    <w:p w14:paraId="5FF1BD2E">
      <w:pPr>
        <w:autoSpaceDE w:val="0"/>
        <w:autoSpaceDN w:val="0"/>
        <w:jc w:val="center"/>
        <w:rPr>
          <w:rFonts w:ascii="宋体" w:hAnsi="宋体" w:cs="宋体"/>
          <w:b/>
          <w:color w:val="auto"/>
          <w:spacing w:val="6"/>
          <w:sz w:val="32"/>
          <w:szCs w:val="32"/>
          <w:highlight w:val="none"/>
        </w:rPr>
      </w:pPr>
    </w:p>
    <w:p w14:paraId="2A78C3AD">
      <w:pPr>
        <w:autoSpaceDE w:val="0"/>
        <w:autoSpaceDN w:val="0"/>
        <w:jc w:val="center"/>
        <w:rPr>
          <w:rFonts w:ascii="宋体" w:hAnsi="宋体" w:cs="宋体"/>
          <w:b/>
          <w:color w:val="auto"/>
          <w:spacing w:val="6"/>
          <w:sz w:val="32"/>
          <w:szCs w:val="32"/>
          <w:highlight w:val="none"/>
        </w:rPr>
      </w:pPr>
    </w:p>
    <w:p w14:paraId="7A731E42">
      <w:pPr>
        <w:autoSpaceDE w:val="0"/>
        <w:autoSpaceDN w:val="0"/>
        <w:jc w:val="center"/>
        <w:rPr>
          <w:rFonts w:ascii="宋体" w:hAnsi="宋体" w:cs="宋体"/>
          <w:b/>
          <w:color w:val="auto"/>
          <w:spacing w:val="6"/>
          <w:sz w:val="32"/>
          <w:szCs w:val="32"/>
          <w:highlight w:val="none"/>
        </w:rPr>
      </w:pPr>
    </w:p>
    <w:p w14:paraId="30A44D6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19DDA6E">
      <w:pPr>
        <w:keepNext w:val="0"/>
        <w:keepLines w:val="0"/>
        <w:pageBreakBefore w:val="0"/>
        <w:widowControl w:val="0"/>
        <w:kinsoku/>
        <w:wordWrap/>
        <w:overflowPunct/>
        <w:topLinePunct w:val="0"/>
        <w:autoSpaceDE w:val="0"/>
        <w:autoSpaceDN w:val="0"/>
        <w:bidi w:val="0"/>
        <w:adjustRightInd w:val="0"/>
        <w:snapToGrid/>
        <w:jc w:val="center"/>
        <w:textAlignment w:val="auto"/>
        <w:outlineLvl w:val="2"/>
        <w:rPr>
          <w:rFonts w:ascii="宋体" w:hAnsi="宋体" w:cs="宋体"/>
          <w:b/>
          <w:color w:val="auto"/>
          <w:kern w:val="0"/>
          <w:sz w:val="21"/>
          <w:szCs w:val="21"/>
          <w:highlight w:val="none"/>
          <w:lang w:val="zh-CN"/>
        </w:rPr>
      </w:pPr>
      <w:r>
        <w:rPr>
          <w:rFonts w:hint="eastAsia" w:ascii="宋体" w:hAnsi="宋体" w:cs="宋体"/>
          <w:b/>
          <w:color w:val="auto"/>
          <w:spacing w:val="6"/>
          <w:sz w:val="21"/>
          <w:szCs w:val="21"/>
          <w:highlight w:val="none"/>
        </w:rPr>
        <w:t>附件</w:t>
      </w:r>
      <w:r>
        <w:rPr>
          <w:rFonts w:ascii="宋体" w:hAnsi="宋体" w:cs="宋体"/>
          <w:b/>
          <w:color w:val="auto"/>
          <w:spacing w:val="6"/>
          <w:sz w:val="21"/>
          <w:szCs w:val="21"/>
          <w:highlight w:val="none"/>
        </w:rPr>
        <w:t>5</w:t>
      </w:r>
      <w:r>
        <w:rPr>
          <w:rFonts w:hint="eastAsia" w:ascii="宋体" w:hAnsi="宋体" w:cs="宋体"/>
          <w:b/>
          <w:color w:val="auto"/>
          <w:spacing w:val="6"/>
          <w:sz w:val="21"/>
          <w:szCs w:val="21"/>
          <w:highlight w:val="none"/>
        </w:rPr>
        <w:t>：</w:t>
      </w:r>
      <w:r>
        <w:rPr>
          <w:rFonts w:hint="eastAsia" w:ascii="宋体" w:hAnsi="宋体" w:cs="宋体"/>
          <w:b/>
          <w:color w:val="auto"/>
          <w:kern w:val="0"/>
          <w:sz w:val="21"/>
          <w:szCs w:val="21"/>
          <w:highlight w:val="none"/>
          <w:lang w:val="zh-CN"/>
        </w:rPr>
        <w:t>联合协议</w:t>
      </w:r>
    </w:p>
    <w:p w14:paraId="49D29CEA">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（以联合体形式投标的，提供联合协议；本项目不接受联合体投标或者投标人不以联合体形式投标的，则不需要提供）</w:t>
      </w:r>
    </w:p>
    <w:p w14:paraId="13BB038F">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组成一个联合体，以一个投标人的身份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lang w:eastAsia="zh-CN"/>
        </w:rPr>
        <w:t>社会热点信息报送服务项目(重新招标)</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QTCG-GK-2024-289(2)</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投标。 </w:t>
      </w:r>
    </w:p>
    <w:p w14:paraId="399F110C">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31DB810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14:paraId="1D90DD79">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三、本次联合投标中，分工如下：</w:t>
      </w:r>
    </w:p>
    <w:p w14:paraId="52A90B4D">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6C476B8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1EBBF71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p w14:paraId="283C9FEE">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3B228590">
      <w:pPr>
        <w:snapToGrid w:val="0"/>
        <w:spacing w:line="360" w:lineRule="auto"/>
        <w:ind w:firstLine="576"/>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w:t>
      </w:r>
      <w:bookmarkStart w:id="400" w:name="_Hlk101131882"/>
      <w:r>
        <w:rPr>
          <w:rFonts w:hint="eastAsia" w:ascii="宋体" w:hAnsi="宋体" w:cs="宋体"/>
          <w:color w:val="auto"/>
          <w:kern w:val="0"/>
          <w:sz w:val="21"/>
          <w:szCs w:val="21"/>
          <w:highlight w:val="none"/>
          <w:u w:val="single"/>
        </w:rPr>
        <w:t>联合体成员X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w:t>
      </w:r>
      <w:bookmarkEnd w:id="400"/>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提供的服务由小微企业承接，其合同份额占到合同总金额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w:t>
      </w:r>
      <w:bookmarkStart w:id="401" w:name="_Hlk101133598"/>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1"/>
          <w:szCs w:val="21"/>
          <w:highlight w:val="none"/>
        </w:rPr>
        <w:t>拟享受以上价格扣除政策的，填写有关内容。</w:t>
      </w:r>
      <w:bookmarkEnd w:id="401"/>
      <w:r>
        <w:rPr>
          <w:rFonts w:hint="eastAsia" w:ascii="宋体" w:hAnsi="宋体" w:cs="宋体"/>
          <w:b/>
          <w:color w:val="auto"/>
          <w:kern w:val="0"/>
          <w:sz w:val="21"/>
          <w:szCs w:val="21"/>
          <w:highlight w:val="none"/>
          <w:lang w:val="zh-CN"/>
        </w:rPr>
        <w:t>）</w:t>
      </w:r>
    </w:p>
    <w:p w14:paraId="0F423F6E">
      <w:pPr>
        <w:spacing w:line="360"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w:t>
      </w:r>
      <w:bookmarkStart w:id="402" w:name="_Hlk101133173"/>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bookmarkEnd w:id="402"/>
    </w:p>
    <w:p w14:paraId="6488E30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五、如果中标，</w:t>
      </w:r>
      <w:r>
        <w:rPr>
          <w:rFonts w:hint="eastAsia" w:ascii="宋体" w:hAnsi="宋体" w:cs="宋体"/>
          <w:color w:val="auto"/>
          <w:sz w:val="21"/>
          <w:szCs w:val="21"/>
          <w:highlight w:val="none"/>
        </w:rPr>
        <w:t>联合体各成员方共同与采购人签订合同，并就采购合同约定的事项对采购人承担连带责任。</w:t>
      </w:r>
    </w:p>
    <w:p w14:paraId="1CB93EFA">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六、有关本次联合投标的其他事宜：</w:t>
      </w:r>
    </w:p>
    <w:p w14:paraId="12F01E35">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4427926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074D3983">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01CE4124">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6FA2BB45">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0B53158E">
      <w:pPr>
        <w:snapToGrid w:val="0"/>
        <w:spacing w:line="360" w:lineRule="auto"/>
        <w:ind w:right="960"/>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5539624D">
      <w:pPr>
        <w:snapToGrid w:val="0"/>
        <w:spacing w:line="360"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695625D1">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94B1BF3">
      <w:pPr>
        <w:autoSpaceDE w:val="0"/>
        <w:autoSpaceDN w:val="0"/>
        <w:jc w:val="center"/>
        <w:rPr>
          <w:rFonts w:ascii="宋体" w:hAnsi="宋体" w:cs="宋体"/>
          <w:b/>
          <w:color w:val="auto"/>
          <w:spacing w:val="6"/>
          <w:sz w:val="21"/>
          <w:szCs w:val="21"/>
          <w:highlight w:val="none"/>
        </w:rPr>
      </w:pPr>
    </w:p>
    <w:p w14:paraId="6C784C3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宋体" w:hAnsi="宋体" w:cs="宋体"/>
          <w:b/>
          <w:color w:val="auto"/>
          <w:kern w:val="0"/>
          <w:sz w:val="21"/>
          <w:szCs w:val="21"/>
          <w:highlight w:val="none"/>
        </w:rPr>
      </w:pPr>
      <w:r>
        <w:rPr>
          <w:rFonts w:hint="eastAsia" w:ascii="宋体" w:hAnsi="宋体" w:cs="宋体"/>
          <w:b/>
          <w:color w:val="auto"/>
          <w:spacing w:val="6"/>
          <w:sz w:val="21"/>
          <w:szCs w:val="21"/>
          <w:highlight w:val="none"/>
        </w:rPr>
        <w:br w:type="column"/>
      </w:r>
      <w:r>
        <w:rPr>
          <w:rFonts w:hint="eastAsia" w:ascii="宋体" w:hAnsi="宋体" w:cs="宋体"/>
          <w:b/>
          <w:color w:val="auto"/>
          <w:spacing w:val="6"/>
          <w:sz w:val="21"/>
          <w:szCs w:val="21"/>
          <w:highlight w:val="none"/>
        </w:rPr>
        <w:t>附件</w:t>
      </w:r>
      <w:r>
        <w:rPr>
          <w:rFonts w:ascii="宋体" w:hAnsi="宋体" w:cs="宋体"/>
          <w:b/>
          <w:color w:val="auto"/>
          <w:spacing w:val="6"/>
          <w:sz w:val="21"/>
          <w:szCs w:val="21"/>
          <w:highlight w:val="none"/>
        </w:rPr>
        <w:t>6</w:t>
      </w:r>
      <w:r>
        <w:rPr>
          <w:rFonts w:hint="eastAsia" w:ascii="宋体" w:hAnsi="宋体" w:cs="宋体"/>
          <w:b/>
          <w:color w:val="auto"/>
          <w:spacing w:val="6"/>
          <w:sz w:val="21"/>
          <w:szCs w:val="21"/>
          <w:highlight w:val="none"/>
        </w:rPr>
        <w:t>：</w:t>
      </w:r>
      <w:r>
        <w:rPr>
          <w:rFonts w:hint="eastAsia" w:ascii="宋体" w:hAnsi="宋体" w:cs="宋体"/>
          <w:b/>
          <w:color w:val="auto"/>
          <w:kern w:val="0"/>
          <w:sz w:val="21"/>
          <w:szCs w:val="21"/>
          <w:highlight w:val="none"/>
        </w:rPr>
        <w:t>分包意向协议</w:t>
      </w:r>
    </w:p>
    <w:p w14:paraId="3CBBA2F2">
      <w:pPr>
        <w:widowControl/>
        <w:spacing w:line="360" w:lineRule="auto"/>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1"/>
          <w:szCs w:val="21"/>
          <w:highlight w:val="none"/>
        </w:rPr>
        <w:t>）</w:t>
      </w:r>
    </w:p>
    <w:p w14:paraId="39DC4945">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lang w:eastAsia="zh-CN"/>
        </w:rPr>
        <w:t>社会热点信息报送服务项目(重新招标)</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QTCG-GK-2024-289(2)</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的中标供应商，将依法采取分包方式履行合同。</w:t>
      </w: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39300587">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0FBA55E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将</w:t>
      </w:r>
      <w:r>
        <w:rPr>
          <w:rFonts w:hint="eastAsia" w:ascii="宋体" w:hAnsi="宋体" w:cs="宋体"/>
          <w:color w:val="auto"/>
          <w:sz w:val="21"/>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（分包供应商2名称），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09FEA58B">
      <w:pPr>
        <w:bidi w:val="0"/>
        <w:rPr>
          <w:color w:val="auto"/>
          <w:highlight w:val="none"/>
        </w:rPr>
      </w:pPr>
      <w:r>
        <w:rPr>
          <w:rFonts w:hint="eastAsia"/>
          <w:color w:val="auto"/>
          <w:highlight w:val="none"/>
        </w:rPr>
        <w:t>……</w:t>
      </w:r>
    </w:p>
    <w:p w14:paraId="05362F02">
      <w:pPr>
        <w:rPr>
          <w:color w:val="auto"/>
          <w:sz w:val="21"/>
          <w:szCs w:val="21"/>
          <w:highlight w:val="none"/>
        </w:rPr>
      </w:pPr>
      <w:r>
        <w:rPr>
          <w:rFonts w:hint="eastAsia"/>
          <w:color w:val="auto"/>
          <w:sz w:val="21"/>
          <w:szCs w:val="21"/>
          <w:highlight w:val="none"/>
          <w:lang w:val="zh-CN"/>
        </w:rPr>
        <w:t xml:space="preserve"> </w:t>
      </w:r>
    </w:p>
    <w:p w14:paraId="4719D73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二、分包供应商中小企业合同份额</w:t>
      </w:r>
    </w:p>
    <w:p w14:paraId="2FE379A1">
      <w:pPr>
        <w:snapToGrid w:val="0"/>
        <w:spacing w:line="360" w:lineRule="auto"/>
        <w:ind w:firstLine="576"/>
        <w:rPr>
          <w:rFonts w:ascii="宋体" w:hAnsi="宋体" w:cs="宋体"/>
          <w:b/>
          <w:color w:val="auto"/>
          <w:kern w:val="0"/>
          <w:sz w:val="21"/>
          <w:szCs w:val="21"/>
          <w:highlight w:val="none"/>
          <w:lang w:val="zh-CN"/>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u w:val="single"/>
        </w:rPr>
        <w:t>（分包供应商X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……）提供的服务全部由小微企业承接，</w:t>
      </w:r>
      <w:r>
        <w:rPr>
          <w:rFonts w:hint="eastAsia" w:ascii="宋体" w:hAnsi="宋体" w:cs="宋体"/>
          <w:color w:val="auto"/>
          <w:kern w:val="0"/>
          <w:sz w:val="21"/>
          <w:szCs w:val="21"/>
          <w:highlight w:val="none"/>
        </w:rPr>
        <w:t>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sz w:val="21"/>
          <w:szCs w:val="21"/>
          <w:highlight w:val="none"/>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2AD5BC52">
      <w:pPr>
        <w:spacing w:line="360"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 w:val="21"/>
          <w:szCs w:val="21"/>
          <w:highlight w:val="none"/>
          <w:lang w:val="zh-CN"/>
        </w:rPr>
        <w:t>分包意向协议</w:t>
      </w:r>
      <w:r>
        <w:rPr>
          <w:rFonts w:hint="eastAsia" w:ascii="宋体" w:hAnsi="宋体" w:cs="宋体"/>
          <w:b/>
          <w:bCs/>
          <w:color w:val="auto"/>
          <w:sz w:val="21"/>
          <w:szCs w:val="21"/>
          <w:highlight w:val="none"/>
        </w:rPr>
        <w:t>中中小企业、小微企业合同金额应当达到的比例要求填写。</w:t>
      </w:r>
      <w:r>
        <w:rPr>
          <w:rFonts w:hint="eastAsia" w:ascii="宋体" w:hAnsi="宋体" w:cs="宋体"/>
          <w:b/>
          <w:bCs/>
          <w:color w:val="auto"/>
          <w:kern w:val="0"/>
          <w:sz w:val="21"/>
          <w:szCs w:val="21"/>
          <w:highlight w:val="none"/>
          <w:lang w:val="zh-CN"/>
        </w:rPr>
        <w:t>）</w:t>
      </w:r>
    </w:p>
    <w:p w14:paraId="0DE7B81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三、分包工作履行期限、地点、方式</w:t>
      </w:r>
    </w:p>
    <w:p w14:paraId="518ED98A">
      <w:pPr>
        <w:snapToGrid w:val="0"/>
        <w:spacing w:line="360" w:lineRule="auto"/>
        <w:ind w:firstLine="576"/>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p>
    <w:p w14:paraId="292D098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四、质量</w:t>
      </w:r>
    </w:p>
    <w:p w14:paraId="087896CE">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769AAB7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五、价款或者报酬</w:t>
      </w:r>
    </w:p>
    <w:p w14:paraId="7CAE4206">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6F556791">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六、违约责任</w:t>
      </w:r>
    </w:p>
    <w:p w14:paraId="77BA203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652F9775">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七、争议解决的办法</w:t>
      </w:r>
    </w:p>
    <w:p w14:paraId="497B384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6151046C">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八、其他</w:t>
      </w:r>
    </w:p>
    <w:p w14:paraId="02AEE4CF">
      <w:pPr>
        <w:snapToGrid w:val="0"/>
        <w:spacing w:line="360" w:lineRule="auto"/>
        <w:ind w:left="5128" w:leftChars="342" w:hanging="4410" w:hangingChars="2100"/>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  。                                           投标人名称(电子签名)：</w:t>
      </w:r>
    </w:p>
    <w:p w14:paraId="22198500">
      <w:pPr>
        <w:snapToGrid w:val="0"/>
        <w:spacing w:line="360"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分包供应商名称(电子签名/公章)：</w:t>
      </w:r>
    </w:p>
    <w:p w14:paraId="37F25468">
      <w:pPr>
        <w:snapToGrid w:val="0"/>
        <w:spacing w:line="360" w:lineRule="auto"/>
        <w:ind w:firstLine="5040" w:firstLineChars="24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5C15975F">
      <w:pPr>
        <w:snapToGrid w:val="0"/>
        <w:spacing w:line="360" w:lineRule="auto"/>
        <w:ind w:left="5128" w:leftChars="342" w:hanging="4410" w:hanging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45A91A23">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B4A589D">
      <w:pPr>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14:paraId="5F93CFE1">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2"/>
        <w:rPr>
          <w:rFonts w:ascii="宋体" w:hAnsi="宋体" w:cs="宋体"/>
          <w:b/>
          <w:color w:val="auto"/>
          <w:sz w:val="21"/>
          <w:szCs w:val="21"/>
          <w:highlight w:val="none"/>
        </w:rPr>
      </w:pPr>
      <w:r>
        <w:rPr>
          <w:rFonts w:hint="eastAsia" w:ascii="宋体" w:hAnsi="宋体" w:cs="宋体"/>
          <w:b/>
          <w:color w:val="auto"/>
          <w:sz w:val="21"/>
          <w:szCs w:val="21"/>
          <w:highlight w:val="none"/>
        </w:rPr>
        <w:t>附件</w:t>
      </w:r>
      <w:r>
        <w:rPr>
          <w:rFonts w:ascii="宋体" w:hAnsi="宋体" w:cs="宋体"/>
          <w:b/>
          <w:color w:val="auto"/>
          <w:sz w:val="21"/>
          <w:szCs w:val="21"/>
          <w:highlight w:val="none"/>
        </w:rPr>
        <w:t>7</w:t>
      </w:r>
      <w:r>
        <w:rPr>
          <w:rFonts w:hint="eastAsia" w:ascii="宋体" w:hAnsi="宋体" w:cs="宋体"/>
          <w:b/>
          <w:color w:val="auto"/>
          <w:sz w:val="21"/>
          <w:szCs w:val="21"/>
          <w:highlight w:val="none"/>
        </w:rPr>
        <w:t>：中小企业声明函</w:t>
      </w:r>
    </w:p>
    <w:p w14:paraId="0BB6B1AC">
      <w:pPr>
        <w:spacing w:line="360" w:lineRule="auto"/>
        <w:jc w:val="center"/>
        <w:rPr>
          <w:rFonts w:ascii="宋体" w:hAnsi="宋体" w:cs="宋体"/>
          <w:color w:val="auto"/>
          <w:sz w:val="21"/>
          <w:szCs w:val="21"/>
          <w:highlight w:val="none"/>
          <w:u w:val="single"/>
        </w:rPr>
      </w:pPr>
    </w:p>
    <w:p w14:paraId="614E7D4A">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中小企业声明函（服务）</w:t>
      </w:r>
    </w:p>
    <w:p w14:paraId="69CCED51">
      <w:pPr>
        <w:spacing w:line="360" w:lineRule="auto"/>
        <w:ind w:firstLine="315" w:firstLineChars="15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本公司（联合体）郑重声明，根据《政府采购促进中小企业发展管理办法》（财库﹝2020﹞46 号）的规定，本公司（联合体）参加 </w:t>
      </w:r>
      <w:r>
        <w:rPr>
          <w:rFonts w:hint="eastAsia" w:ascii="宋体" w:hAnsi="宋体" w:cs="宋体"/>
          <w:color w:val="auto"/>
          <w:sz w:val="21"/>
          <w:szCs w:val="21"/>
          <w:highlight w:val="none"/>
          <w:u w:val="single"/>
          <w:lang w:eastAsia="zh-CN"/>
        </w:rPr>
        <w:t>中共杭州市钱塘区委宣传部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社会热点信息报送服务项目(重新招标)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采购活动，服务全部由符合政策要求的中小企业承接。相关企业（含联合体中的中小企业、签订分包意向协议的中小企业）的具体情况如下：</w:t>
      </w:r>
    </w:p>
    <w:p w14:paraId="3FAC8FD7">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1. </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社会热点信息报送服务项目(重新招标)</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rPr>
        <w:t xml:space="preserve"> （租赁和商务服务业）</w:t>
      </w:r>
      <w:r>
        <w:rPr>
          <w:rFonts w:hint="eastAsia" w:ascii="宋体" w:hAnsi="宋体" w:cs="宋体"/>
          <w:color w:val="auto"/>
          <w:sz w:val="21"/>
          <w:szCs w:val="21"/>
          <w:highlight w:val="none"/>
        </w:rPr>
        <w:t xml:space="preserve"> ；承建（承接）企业为 </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 xml:space="preserve"> ，从业人员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 xml:space="preserve"> （中型企业、小型企业、微型企业） </w:t>
      </w:r>
      <w:r>
        <w:rPr>
          <w:rFonts w:hint="eastAsia" w:ascii="宋体" w:hAnsi="宋体" w:cs="宋体"/>
          <w:color w:val="auto"/>
          <w:sz w:val="21"/>
          <w:szCs w:val="21"/>
          <w:highlight w:val="none"/>
        </w:rPr>
        <w:t>；</w:t>
      </w:r>
    </w:p>
    <w:p w14:paraId="110958E1">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w:t>
      </w:r>
    </w:p>
    <w:p w14:paraId="15F89636">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2DD37AC0">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2CF9C23D">
      <w:pPr>
        <w:spacing w:line="360" w:lineRule="auto"/>
        <w:ind w:right="1760"/>
        <w:jc w:val="right"/>
        <w:rPr>
          <w:rFonts w:ascii="宋体" w:hAnsi="宋体" w:cs="宋体"/>
          <w:color w:val="auto"/>
          <w:sz w:val="21"/>
          <w:szCs w:val="21"/>
          <w:highlight w:val="none"/>
        </w:rPr>
      </w:pPr>
      <w:r>
        <w:rPr>
          <w:rFonts w:hint="eastAsia" w:ascii="宋体" w:hAnsi="宋体" w:cs="宋体"/>
          <w:color w:val="auto"/>
          <w:sz w:val="21"/>
          <w:szCs w:val="21"/>
          <w:highlight w:val="none"/>
        </w:rPr>
        <w:t>投标人名称（电子签名）：</w:t>
      </w:r>
    </w:p>
    <w:p w14:paraId="50275BAE">
      <w:pPr>
        <w:spacing w:line="360" w:lineRule="auto"/>
        <w:ind w:right="176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61EBF765">
      <w:pPr>
        <w:spacing w:line="360" w:lineRule="auto"/>
        <w:ind w:firstLine="310" w:firstLineChars="147"/>
        <w:jc w:val="left"/>
        <w:rPr>
          <w:rFonts w:ascii="宋体" w:hAnsi="宋体" w:cs="宋体"/>
          <w:b/>
          <w:color w:val="auto"/>
          <w:sz w:val="21"/>
          <w:szCs w:val="21"/>
          <w:highlight w:val="none"/>
        </w:rPr>
      </w:pPr>
      <w:r>
        <w:rPr>
          <w:rFonts w:hint="eastAsia" w:ascii="宋体" w:hAnsi="宋体" w:cs="宋体"/>
          <w:b/>
          <w:color w:val="auto"/>
          <w:sz w:val="21"/>
          <w:szCs w:val="21"/>
          <w:highlight w:val="none"/>
        </w:rPr>
        <w:t>从业人员、营业收入、资产总额填报上一年度数据，无上一年度数据的新成立企业可不填报。</w:t>
      </w:r>
    </w:p>
    <w:p w14:paraId="4BF07922">
      <w:pPr>
        <w:spacing w:line="360" w:lineRule="auto"/>
        <w:ind w:right="420"/>
        <w:rPr>
          <w:rFonts w:ascii="宋体" w:hAnsi="宋体" w:cs="宋体"/>
          <w:color w:val="auto"/>
          <w:sz w:val="21"/>
          <w:szCs w:val="21"/>
          <w:highlight w:val="none"/>
        </w:rPr>
      </w:pPr>
    </w:p>
    <w:p w14:paraId="56FA8CF9">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 xml:space="preserve">   注：</w:t>
      </w:r>
    </w:p>
    <w:p w14:paraId="0A3AD61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42ED1CF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74FE119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1CC3C30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5F3B7D8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14:paraId="2551A1C4">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34973D6A">
      <w:pPr>
        <w:spacing w:line="360" w:lineRule="auto"/>
        <w:ind w:right="420" w:firstLine="630" w:firstLineChars="300"/>
        <w:rPr>
          <w:rFonts w:ascii="宋体" w:hAnsi="宋体" w:cs="宋体"/>
          <w:color w:val="auto"/>
          <w:sz w:val="21"/>
          <w:szCs w:val="21"/>
          <w:highlight w:val="none"/>
        </w:rPr>
      </w:pPr>
    </w:p>
    <w:p w14:paraId="16163A89">
      <w:pPr>
        <w:spacing w:line="360" w:lineRule="auto"/>
        <w:rPr>
          <w:rFonts w:ascii="宋体" w:hAnsi="宋体" w:cs="宋体"/>
          <w:bCs/>
          <w:color w:val="auto"/>
          <w:sz w:val="21"/>
          <w:szCs w:val="21"/>
          <w:highlight w:val="none"/>
        </w:rPr>
      </w:pPr>
    </w:p>
    <w:sectPr>
      <w:headerReference r:id="rId21" w:type="first"/>
      <w:footerReference r:id="rId24" w:type="first"/>
      <w:headerReference r:id="rId20" w:type="default"/>
      <w:footerReference r:id="rId22" w:type="default"/>
      <w:footerReference r:id="rId23" w:type="even"/>
      <w:pgSz w:w="11906" w:h="16838"/>
      <w:pgMar w:top="1247" w:right="1247" w:bottom="1247"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ingFang SC Regular">
    <w:altName w:val="微软雅黑"/>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B5B6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97A6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61462">
    <w:pPr>
      <w:pStyle w:val="40"/>
      <w:framePr w:wrap="around" w:vAnchor="text" w:hAnchor="margin" w:xAlign="right" w:y="1"/>
      <w:rPr>
        <w:rStyle w:val="72"/>
      </w:rPr>
    </w:pPr>
    <w:r>
      <w:fldChar w:fldCharType="begin"/>
    </w:r>
    <w:r>
      <w:rPr>
        <w:rStyle w:val="72"/>
      </w:rPr>
      <w:instrText xml:space="preserve">PAGE  </w:instrText>
    </w:r>
    <w:r>
      <w:fldChar w:fldCharType="end"/>
    </w:r>
  </w:p>
  <w:p w14:paraId="6F497105">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AE3A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3" w:name="_Toc91899912"/>
    <w:bookmarkStart w:id="404" w:name="_Toc36110187"/>
    <w:bookmarkStart w:id="405" w:name="_Toc164085800"/>
    <w:bookmarkStart w:id="406" w:name="_Toc131845147"/>
    <w:r>
      <w:rPr>
        <w:rFonts w:hint="eastAsia" w:ascii="仿宋_GB2312" w:eastAsia="仿宋_GB2312"/>
        <w:kern w:val="0"/>
        <w:szCs w:val="21"/>
      </w:rPr>
      <w:t xml:space="preserve"> 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5F7BD">
    <w:pPr>
      <w:pStyle w:val="40"/>
      <w:framePr w:wrap="around" w:vAnchor="text" w:hAnchor="margin" w:xAlign="right" w:y="1"/>
      <w:rPr>
        <w:rStyle w:val="72"/>
      </w:rPr>
    </w:pPr>
    <w:r>
      <w:fldChar w:fldCharType="begin"/>
    </w:r>
    <w:r>
      <w:rPr>
        <w:rStyle w:val="72"/>
      </w:rPr>
      <w:instrText xml:space="preserve">PAGE  </w:instrText>
    </w:r>
    <w:r>
      <w:fldChar w:fldCharType="end"/>
    </w:r>
  </w:p>
  <w:p w14:paraId="1E900C6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2ABE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B204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EB1636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E8E6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A5AFAB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7B25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84C89C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D53C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6EAE0E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8912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ED8C96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AAA7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EB3884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26AB1">
    <w:pPr>
      <w:pStyle w:val="41"/>
      <w:pBdr>
        <w:bottom w:val="single" w:color="auto" w:sz="6" w:space="4"/>
      </w:pBdr>
      <w:jc w:val="right"/>
    </w:pPr>
    <w:r>
      <w:t></w:t>
    </w:r>
    <w:r>
      <w:rPr>
        <w:rFonts w:hint="eastAsia"/>
      </w:rPr>
      <w:t xml:space="preserve">             </w:t>
    </w:r>
    <w:r>
      <w:t>杭州市政府采购公开招标文件</w:t>
    </w:r>
  </w:p>
  <w:p w14:paraId="394838E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DBBC8">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FBCDF">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8FA72">
    <w:pPr>
      <w:pStyle w:val="41"/>
      <w:rPr>
        <w:rFonts w:ascii="仿宋_GB2312" w:eastAsia="仿宋_GB2312"/>
        <w:b/>
        <w:i/>
        <w:u w:val="single"/>
      </w:rPr>
    </w:pPr>
    <w:r>
      <w:t></w:t>
    </w:r>
    <w:r>
      <w:rPr>
        <w:rFonts w:hint="eastAsia"/>
      </w:rPr>
      <w:t xml:space="preserve">                                                  </w:t>
    </w:r>
    <w:r>
      <w:t xml:space="preserve">             杭州市政府采购公开招标文件</w:t>
    </w:r>
  </w:p>
  <w:p w14:paraId="0D17800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8B682">
    <w:pPr>
      <w:pStyle w:val="41"/>
    </w:pPr>
    <w:r>
      <w:t></w:t>
    </w:r>
    <w:r>
      <w:rPr>
        <w:rFonts w:hint="eastAsia"/>
      </w:rPr>
      <w:t xml:space="preserve">         </w:t>
    </w:r>
  </w:p>
  <w:p w14:paraId="32535C13">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EF8C4">
    <w:pPr>
      <w:pStyle w:val="41"/>
      <w:rPr>
        <w:rFonts w:ascii="仿宋_GB2312" w:eastAsia="仿宋_GB2312"/>
        <w:b/>
        <w:i/>
        <w:u w:val="single"/>
      </w:rPr>
    </w:pPr>
    <w:r>
      <w:t></w:t>
    </w:r>
    <w:r>
      <w:rPr>
        <w:rFonts w:hint="eastAsia"/>
      </w:rPr>
      <w:t xml:space="preserve">                                                  </w:t>
    </w:r>
    <w:r>
      <w:t>杭州市政府采购公开招标文件</w:t>
    </w:r>
  </w:p>
  <w:p w14:paraId="78B0DE6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8E558">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79C0A">
    <w:pPr>
      <w:pStyle w:val="41"/>
      <w:jc w:val="right"/>
      <w:rPr>
        <w:rFonts w:ascii="仿宋_GB2312" w:eastAsia="仿宋_GB2312"/>
        <w:b/>
        <w:i/>
        <w:u w:val="single"/>
      </w:rPr>
    </w:pPr>
    <w:r>
      <w:rPr>
        <w:rFonts w:hint="eastAsia"/>
      </w:rPr>
      <w:t xml:space="preserve">                                  </w:t>
    </w:r>
    <w:r>
      <w:t>杭州市政府采购公开招标文件</w:t>
    </w:r>
  </w:p>
  <w:p w14:paraId="63B91FD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90899">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51DD2">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0DF580"/>
    <w:multiLevelType w:val="singleLevel"/>
    <w:tmpl w:val="E00DF580"/>
    <w:lvl w:ilvl="0" w:tentative="0">
      <w:start w:val="14"/>
      <w:numFmt w:val="decimal"/>
      <w:suff w:val="space"/>
      <w:lvlText w:val="%1."/>
      <w:lvlJc w:val="left"/>
    </w:lvl>
  </w:abstractNum>
  <w:abstractNum w:abstractNumId="1">
    <w:nsid w:val="EE5DC128"/>
    <w:multiLevelType w:val="singleLevel"/>
    <w:tmpl w:val="EE5DC128"/>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MTFkMDI3ZjBmZjczM2Q3M2EwOGI5M2VjYzUzMD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4FE"/>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681FF0"/>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652A31"/>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A01A5"/>
    <w:rsid w:val="0D4A7419"/>
    <w:rsid w:val="0D827401"/>
    <w:rsid w:val="0D84094E"/>
    <w:rsid w:val="0D8A00E9"/>
    <w:rsid w:val="0D8D589E"/>
    <w:rsid w:val="0DA01C73"/>
    <w:rsid w:val="0DD63300"/>
    <w:rsid w:val="0DF50604"/>
    <w:rsid w:val="0DF702FE"/>
    <w:rsid w:val="0E060E51"/>
    <w:rsid w:val="0E5604B2"/>
    <w:rsid w:val="0E67321C"/>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355FB"/>
    <w:rsid w:val="10646583"/>
    <w:rsid w:val="107D4B15"/>
    <w:rsid w:val="108A3C80"/>
    <w:rsid w:val="10C26171"/>
    <w:rsid w:val="10F33360"/>
    <w:rsid w:val="10FC16EA"/>
    <w:rsid w:val="110F1D40"/>
    <w:rsid w:val="11266F33"/>
    <w:rsid w:val="118963A1"/>
    <w:rsid w:val="11C6522A"/>
    <w:rsid w:val="11E104CC"/>
    <w:rsid w:val="11E20309"/>
    <w:rsid w:val="12255233"/>
    <w:rsid w:val="122D02D9"/>
    <w:rsid w:val="123F000C"/>
    <w:rsid w:val="12530213"/>
    <w:rsid w:val="127723A9"/>
    <w:rsid w:val="12862074"/>
    <w:rsid w:val="12883966"/>
    <w:rsid w:val="129E45B4"/>
    <w:rsid w:val="12D81596"/>
    <w:rsid w:val="13072A44"/>
    <w:rsid w:val="135F4BE2"/>
    <w:rsid w:val="139B1A0A"/>
    <w:rsid w:val="139D25C7"/>
    <w:rsid w:val="13B50586"/>
    <w:rsid w:val="13BF3CE4"/>
    <w:rsid w:val="141008D8"/>
    <w:rsid w:val="14125FE6"/>
    <w:rsid w:val="146D271E"/>
    <w:rsid w:val="14982588"/>
    <w:rsid w:val="149A5AD9"/>
    <w:rsid w:val="14A7619D"/>
    <w:rsid w:val="150536C3"/>
    <w:rsid w:val="150C1963"/>
    <w:rsid w:val="151447A0"/>
    <w:rsid w:val="154A6454"/>
    <w:rsid w:val="15762120"/>
    <w:rsid w:val="15A958E4"/>
    <w:rsid w:val="16A8729C"/>
    <w:rsid w:val="16B33777"/>
    <w:rsid w:val="16BC70A7"/>
    <w:rsid w:val="16C6339E"/>
    <w:rsid w:val="172F2D79"/>
    <w:rsid w:val="17557BEF"/>
    <w:rsid w:val="17B72CBA"/>
    <w:rsid w:val="17D349C1"/>
    <w:rsid w:val="1830729E"/>
    <w:rsid w:val="1870062C"/>
    <w:rsid w:val="18817102"/>
    <w:rsid w:val="18830A15"/>
    <w:rsid w:val="18852B28"/>
    <w:rsid w:val="188B5321"/>
    <w:rsid w:val="18DE3896"/>
    <w:rsid w:val="19932372"/>
    <w:rsid w:val="19A20DD5"/>
    <w:rsid w:val="19AE03F1"/>
    <w:rsid w:val="1A071A03"/>
    <w:rsid w:val="1A1F16AE"/>
    <w:rsid w:val="1A3B5C77"/>
    <w:rsid w:val="1A6D48A8"/>
    <w:rsid w:val="1A984BAD"/>
    <w:rsid w:val="1AB8220E"/>
    <w:rsid w:val="1AE4166C"/>
    <w:rsid w:val="1AF06CFB"/>
    <w:rsid w:val="1AF11B8D"/>
    <w:rsid w:val="1B11359C"/>
    <w:rsid w:val="1B2A271F"/>
    <w:rsid w:val="1B505038"/>
    <w:rsid w:val="1B530544"/>
    <w:rsid w:val="1B713184"/>
    <w:rsid w:val="1BA209CF"/>
    <w:rsid w:val="1BB4777D"/>
    <w:rsid w:val="1BD75AB8"/>
    <w:rsid w:val="1C0459C2"/>
    <w:rsid w:val="1C136BED"/>
    <w:rsid w:val="1C1B3B4A"/>
    <w:rsid w:val="1C88086E"/>
    <w:rsid w:val="1D266CE1"/>
    <w:rsid w:val="1D3963AF"/>
    <w:rsid w:val="1D6A673C"/>
    <w:rsid w:val="1D8D60CF"/>
    <w:rsid w:val="1D9247AE"/>
    <w:rsid w:val="1DB567EC"/>
    <w:rsid w:val="1DF51A98"/>
    <w:rsid w:val="1E3D060F"/>
    <w:rsid w:val="1E3F7D2E"/>
    <w:rsid w:val="1E4134E4"/>
    <w:rsid w:val="1E432C32"/>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963C78"/>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BC05FD"/>
    <w:rsid w:val="28333E1D"/>
    <w:rsid w:val="28454BD6"/>
    <w:rsid w:val="28455253"/>
    <w:rsid w:val="28551971"/>
    <w:rsid w:val="285B1C53"/>
    <w:rsid w:val="289F7086"/>
    <w:rsid w:val="28C32028"/>
    <w:rsid w:val="28CC490F"/>
    <w:rsid w:val="28DE40AA"/>
    <w:rsid w:val="29345E77"/>
    <w:rsid w:val="294C65AD"/>
    <w:rsid w:val="29567CBD"/>
    <w:rsid w:val="29806583"/>
    <w:rsid w:val="298B3C4C"/>
    <w:rsid w:val="29F26D24"/>
    <w:rsid w:val="2A15033F"/>
    <w:rsid w:val="2A1662C1"/>
    <w:rsid w:val="2A1C7367"/>
    <w:rsid w:val="2A2815FA"/>
    <w:rsid w:val="2A6D6092"/>
    <w:rsid w:val="2A7D76B4"/>
    <w:rsid w:val="2B0D0850"/>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9E4C99"/>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26EF0"/>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20CA1"/>
    <w:rsid w:val="43174B3D"/>
    <w:rsid w:val="43286171"/>
    <w:rsid w:val="434B790E"/>
    <w:rsid w:val="4360274F"/>
    <w:rsid w:val="4392593E"/>
    <w:rsid w:val="43977AB6"/>
    <w:rsid w:val="43A3342B"/>
    <w:rsid w:val="43C77C27"/>
    <w:rsid w:val="43DE09EE"/>
    <w:rsid w:val="44002FAD"/>
    <w:rsid w:val="441B4C5A"/>
    <w:rsid w:val="44663053"/>
    <w:rsid w:val="449101DD"/>
    <w:rsid w:val="44DE1391"/>
    <w:rsid w:val="451B225C"/>
    <w:rsid w:val="452410C9"/>
    <w:rsid w:val="45317DFB"/>
    <w:rsid w:val="454F5231"/>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7D3F15"/>
    <w:rsid w:val="5389510F"/>
    <w:rsid w:val="5397158E"/>
    <w:rsid w:val="53B006A7"/>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24BA5"/>
    <w:rsid w:val="566B6D1E"/>
    <w:rsid w:val="56933A4F"/>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F467B"/>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F55C12"/>
    <w:rsid w:val="5E006862"/>
    <w:rsid w:val="5E0207B9"/>
    <w:rsid w:val="5E1834A1"/>
    <w:rsid w:val="5E261785"/>
    <w:rsid w:val="5E4A7017"/>
    <w:rsid w:val="5E552BBA"/>
    <w:rsid w:val="5E611C10"/>
    <w:rsid w:val="5E794ACD"/>
    <w:rsid w:val="5E7A0F3F"/>
    <w:rsid w:val="5EFC7377"/>
    <w:rsid w:val="5F06174D"/>
    <w:rsid w:val="5F3A3602"/>
    <w:rsid w:val="5F45733B"/>
    <w:rsid w:val="5F6277C6"/>
    <w:rsid w:val="5F6D0B1D"/>
    <w:rsid w:val="5F8D0B82"/>
    <w:rsid w:val="5FCA6AE7"/>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283FFB"/>
    <w:rsid w:val="624F3E49"/>
    <w:rsid w:val="62632286"/>
    <w:rsid w:val="628004D4"/>
    <w:rsid w:val="62885958"/>
    <w:rsid w:val="62F40B65"/>
    <w:rsid w:val="62FC2CFE"/>
    <w:rsid w:val="63024505"/>
    <w:rsid w:val="635600A5"/>
    <w:rsid w:val="635B1DB5"/>
    <w:rsid w:val="63711FED"/>
    <w:rsid w:val="63880DDC"/>
    <w:rsid w:val="638D750D"/>
    <w:rsid w:val="63AC6CC0"/>
    <w:rsid w:val="64055776"/>
    <w:rsid w:val="64240056"/>
    <w:rsid w:val="64395C36"/>
    <w:rsid w:val="643E143A"/>
    <w:rsid w:val="64491666"/>
    <w:rsid w:val="644B5969"/>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C41FD2"/>
    <w:rsid w:val="6ADE0BD1"/>
    <w:rsid w:val="6AE96859"/>
    <w:rsid w:val="6B147746"/>
    <w:rsid w:val="6B24787C"/>
    <w:rsid w:val="6B524A69"/>
    <w:rsid w:val="6B573233"/>
    <w:rsid w:val="6B5B6274"/>
    <w:rsid w:val="6B935D53"/>
    <w:rsid w:val="6C196F71"/>
    <w:rsid w:val="6C226FCB"/>
    <w:rsid w:val="6C31226F"/>
    <w:rsid w:val="6C552F0B"/>
    <w:rsid w:val="6C8C67B7"/>
    <w:rsid w:val="6C9D744C"/>
    <w:rsid w:val="6D167928"/>
    <w:rsid w:val="6D26299B"/>
    <w:rsid w:val="6D4772EC"/>
    <w:rsid w:val="6D68133A"/>
    <w:rsid w:val="6D9078AF"/>
    <w:rsid w:val="6DAA3FEF"/>
    <w:rsid w:val="6DC0172B"/>
    <w:rsid w:val="6DCB690C"/>
    <w:rsid w:val="6DD41A5B"/>
    <w:rsid w:val="6DF43C2E"/>
    <w:rsid w:val="6DF51CA3"/>
    <w:rsid w:val="6E604D8C"/>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D6520F"/>
    <w:rsid w:val="73C0646E"/>
    <w:rsid w:val="742222F5"/>
    <w:rsid w:val="7443665D"/>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082561"/>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06423"/>
    <w:rsid w:val="7A3E5150"/>
    <w:rsid w:val="7A3E58FC"/>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0"/>
    <w:qFormat/>
    <w:uiPriority w:val="0"/>
    <w:pPr>
      <w:adjustRightInd/>
      <w:spacing w:after="120" w:line="240" w:lineRule="auto"/>
      <w:ind w:left="420" w:leftChars="200" w:firstLine="210"/>
    </w:pPr>
    <w:rPr>
      <w:sz w:val="21"/>
    </w:rPr>
  </w:style>
  <w:style w:type="paragraph" w:styleId="3">
    <w:name w:val="Body Text Indent"/>
    <w:basedOn w:val="1"/>
    <w:next w:val="1"/>
    <w:link w:val="264"/>
    <w:qFormat/>
    <w:uiPriority w:val="0"/>
    <w:pPr>
      <w:spacing w:line="480" w:lineRule="exact"/>
      <w:ind w:firstLine="480" w:firstLineChars="200"/>
    </w:pPr>
    <w:rPr>
      <w:rFonts w:ascii="宋体" w:hAnsi="宋体"/>
      <w:sz w:val="24"/>
    </w:rPr>
  </w:style>
  <w:style w:type="paragraph" w:styleId="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qFormat/>
    <w:uiPriority w:val="0"/>
    <w:rPr>
      <w:b/>
      <w:bCs/>
    </w:rPr>
  </w:style>
  <w:style w:type="paragraph" w:styleId="61">
    <w:name w:val="Body Text First Indent"/>
    <w:basedOn w:val="25"/>
    <w:link w:val="320"/>
    <w:qFormat/>
    <w:uiPriority w:val="0"/>
    <w:pPr>
      <w:ind w:firstLine="420"/>
    </w:pPr>
    <w:rPr>
      <w:rFonts w:hAnsi="Calibri" w:cs="Times New Roman"/>
      <w:snapToGrid/>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2"/>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10"/>
    <w:autoRedefine/>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5"/>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3"/>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8"/>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3"/>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9"/>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1"/>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1"/>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8"/>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autoRedefine/>
    <w:qFormat/>
    <w:uiPriority w:val="99"/>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7"/>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默认"/>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hint="default"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55</Pages>
  <Words>15548</Words>
  <Characters>16715</Characters>
  <Lines>281</Lines>
  <Paragraphs>79</Paragraphs>
  <TotalTime>1</TotalTime>
  <ScaleCrop>false</ScaleCrop>
  <LinksUpToDate>false</LinksUpToDate>
  <CharactersWithSpaces>17083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陈培特</cp:lastModifiedBy>
  <cp:lastPrinted>2021-12-27T11:06:00Z</cp:lastPrinted>
  <dcterms:modified xsi:type="dcterms:W3CDTF">2025-01-08T02:12:05Z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CF137B3FA3114E9AA43B1B94C40C1A0B_13</vt:lpwstr>
  </property>
  <property fmtid="{D5CDD505-2E9C-101B-9397-08002B2CF9AE}" pid="5" name="KSOTemplateDocerSaveRecord">
    <vt:lpwstr>eyJoZGlkIjoiNDgyMzY5NWQ1ODliZTBkZGU1M2NmOTVhMGFiMjFkOWQiLCJ1c2VySWQiOiIxNjExOTk5NzE0In0=</vt:lpwstr>
  </property>
</Properties>
</file>