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hint="eastAsia" w:ascii="楷体" w:hAnsi="楷体" w:eastAsia="楷体" w:cs="Times New Roman"/>
          <w:b/>
          <w:color w:val="auto"/>
          <w:spacing w:val="-6"/>
          <w:sz w:val="44"/>
          <w:szCs w:val="44"/>
          <w:highlight w:val="none"/>
        </w:rPr>
      </w:pPr>
    </w:p>
    <w:p w14:paraId="3B037FE7">
      <w:pPr>
        <w:adjustRightInd w:val="0"/>
        <w:snapToGrid w:val="0"/>
        <w:spacing w:line="288" w:lineRule="auto"/>
        <w:rPr>
          <w:rFonts w:hint="eastAsia" w:ascii="楷体" w:hAnsi="楷体" w:eastAsia="楷体" w:cs="Times New Roman"/>
          <w:b/>
          <w:color w:val="auto"/>
          <w:spacing w:val="-6"/>
          <w:sz w:val="44"/>
          <w:szCs w:val="44"/>
          <w:highlight w:val="none"/>
        </w:rPr>
      </w:pPr>
    </w:p>
    <w:p w14:paraId="11F59468">
      <w:pPr>
        <w:adjustRightInd w:val="0"/>
        <w:snapToGrid w:val="0"/>
        <w:spacing w:line="288" w:lineRule="auto"/>
        <w:rPr>
          <w:rFonts w:hint="eastAsia"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浙江农林大学</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新农科教育教学中心建设项目交叉中心报告厅系统设备</w:t>
      </w:r>
    </w:p>
    <w:p w14:paraId="3D528ABB">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hint="eastAsia"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hint="eastAsia"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hint="eastAsia" w:ascii="楷体" w:hAnsi="楷体" w:eastAsia="楷体" w:cs="Times New Roman"/>
          <w:color w:val="auto"/>
          <w:sz w:val="44"/>
          <w:szCs w:val="44"/>
          <w:highlight w:val="none"/>
        </w:rPr>
      </w:pPr>
    </w:p>
    <w:p w14:paraId="3B6505C4">
      <w:pPr>
        <w:adjustRightInd w:val="0"/>
        <w:snapToGrid w:val="0"/>
        <w:spacing w:line="288" w:lineRule="auto"/>
        <w:jc w:val="center"/>
        <w:rPr>
          <w:rFonts w:hint="eastAsia"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新农科教育教学中心建设项目交叉中心报告厅系统设备</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QSZB-Z(H)-B25041(GK)</w:t>
      </w:r>
    </w:p>
    <w:p w14:paraId="5ACAB285">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人：浙江农林大学</w:t>
      </w:r>
    </w:p>
    <w:p w14:paraId="641C9789">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[2025]2415号</w:t>
      </w:r>
    </w:p>
    <w:p w14:paraId="43139F7B">
      <w:pPr>
        <w:adjustRightInd w:val="0"/>
        <w:snapToGrid w:val="0"/>
        <w:spacing w:line="288" w:lineRule="auto"/>
        <w:rPr>
          <w:rFonts w:hint="eastAsia" w:ascii="楷体" w:hAnsi="楷体" w:eastAsia="楷体" w:cs="Times New Roman"/>
          <w:b/>
          <w:color w:val="auto"/>
          <w:szCs w:val="21"/>
          <w:highlight w:val="none"/>
        </w:rPr>
      </w:pPr>
    </w:p>
    <w:p w14:paraId="0BBC8E51">
      <w:pPr>
        <w:adjustRightInd w:val="0"/>
        <w:snapToGrid w:val="0"/>
        <w:spacing w:line="288" w:lineRule="auto"/>
        <w:rPr>
          <w:rFonts w:hint="eastAsia"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hint="eastAsia"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hint="eastAsia"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hint="eastAsia"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hint="eastAsia" w:ascii="宋体" w:hAnsi="宋体" w:eastAsia="宋体" w:cs="Times New Roman"/>
          <w:color w:val="auto"/>
          <w:szCs w:val="21"/>
          <w:highlight w:val="none"/>
        </w:rPr>
      </w:pPr>
    </w:p>
    <w:p w14:paraId="0FEB5494">
      <w:pPr>
        <w:widowControl/>
        <w:adjustRightInd w:val="0"/>
        <w:snapToGrid w:val="0"/>
        <w:spacing w:line="288" w:lineRule="auto"/>
        <w:jc w:val="left"/>
        <w:rPr>
          <w:rFonts w:hint="eastAsia"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新农科教育教学中心建设项目交叉中心报告厅系统设备</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2025年2月17日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hint="eastAsia" w:ascii="宋体" w:hAnsi="宋体" w:eastAsia="宋体" w:cs="宋体"/>
          <w:b/>
          <w:color w:val="auto"/>
          <w:szCs w:val="21"/>
          <w:highlight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QSZB-Z(H)-B25041(GK)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新农科教育教学中心建设项目交叉中心报告厅系统设备</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2100000元</w:t>
      </w:r>
    </w:p>
    <w:p w14:paraId="11D1D49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.最高限价：2100000元</w:t>
      </w:r>
    </w:p>
    <w:p w14:paraId="4BF7EF97">
      <w:pPr>
        <w:adjustRightInd w:val="0"/>
        <w:snapToGrid w:val="0"/>
        <w:spacing w:line="288"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.合同履约期限：自合同签订之日起60日内交付</w:t>
      </w:r>
    </w:p>
    <w:p w14:paraId="48CBA4CF">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621B590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74516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3F41730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777CB7B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09FA19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14:paraId="3EF00FF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新农科教育教学中心建设项目交叉中心报告厅系统设备</w:t>
            </w:r>
          </w:p>
        </w:tc>
        <w:tc>
          <w:tcPr>
            <w:tcW w:w="708" w:type="dxa"/>
            <w:tcBorders>
              <w:tl2br w:val="nil"/>
              <w:tr2bl w:val="nil"/>
            </w:tcBorders>
            <w:vAlign w:val="center"/>
          </w:tcPr>
          <w:p w14:paraId="11BD2EF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294F0C6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14:paraId="494058C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14:paraId="0FAC6A8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0D505C25">
      <w:pPr>
        <w:adjustRightInd w:val="0"/>
        <w:snapToGrid w:val="0"/>
        <w:spacing w:line="288" w:lineRule="auto"/>
        <w:rPr>
          <w:rFonts w:hint="eastAsia" w:ascii="宋体" w:hAnsi="宋体" w:eastAsia="宋体" w:cs="宋体"/>
          <w:b/>
          <w:color w:val="auto"/>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45E95296">
      <w:pPr>
        <w:adjustRightInd w:val="0"/>
        <w:snapToGrid w:val="0"/>
        <w:spacing w:line="288" w:lineRule="auto"/>
        <w:rPr>
          <w:rFonts w:hint="eastAsia"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2025年2月17日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hint="eastAsia"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2025年2月17日</w:t>
      </w:r>
      <w:r>
        <w:rPr>
          <w:rFonts w:hint="eastAsia" w:ascii="宋体" w:hAnsi="宋体" w:eastAsia="宋体" w:cs="Times New Roman"/>
          <w:bCs/>
          <w:color w:val="auto"/>
          <w:szCs w:val="21"/>
          <w:highlight w:val="none"/>
        </w:rPr>
        <w:t>9:00:00（北京时间）</w:t>
      </w:r>
    </w:p>
    <w:p w14:paraId="556DA842">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2025年2月17日</w:t>
      </w:r>
      <w:r>
        <w:rPr>
          <w:rFonts w:hint="eastAsia" w:ascii="宋体" w:hAnsi="宋体" w:eastAsia="宋体" w:cs="Times New Roman"/>
          <w:bCs/>
          <w:color w:val="auto"/>
          <w:szCs w:val="21"/>
          <w:highlight w:val="none"/>
        </w:rPr>
        <w:t>9:00:00（北京时间）</w:t>
      </w:r>
    </w:p>
    <w:p w14:paraId="13CDD20E">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15287A77">
      <w:pPr>
        <w:adjustRightInd w:val="0"/>
        <w:snapToGrid w:val="0"/>
        <w:spacing w:line="288" w:lineRule="auto"/>
        <w:rPr>
          <w:rFonts w:hint="eastAsia" w:ascii="宋体" w:hAnsi="宋体" w:eastAsia="宋体" w:cs="宋体"/>
          <w:b/>
          <w:color w:val="auto"/>
          <w:szCs w:val="21"/>
          <w:highlight w:val="none"/>
        </w:rPr>
      </w:pPr>
      <w:bookmarkStart w:id="19" w:name="_Toc28359084"/>
      <w:bookmarkStart w:id="20" w:name="_Toc35393794"/>
      <w:bookmarkStart w:id="21" w:name="_Toc28359007"/>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hint="eastAsia"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hint="eastAsia" w:ascii="宋体" w:hAnsi="宋体" w:eastAsia="宋体" w:cs="Times New Roman"/>
          <w:b/>
          <w:color w:val="auto"/>
          <w:szCs w:val="21"/>
          <w:highlight w:val="none"/>
        </w:rPr>
      </w:pPr>
      <w:bookmarkStart w:id="29" w:name="_Toc28359008"/>
      <w:bookmarkStart w:id="30" w:name="_Toc35393796"/>
      <w:bookmarkStart w:id="31" w:name="_Toc28359085"/>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96B027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7B097FF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名称：浙江农林大学</w:t>
      </w:r>
    </w:p>
    <w:p w14:paraId="7C91A7D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地址：杭州市临安区武肃街666号</w:t>
      </w:r>
    </w:p>
    <w:p w14:paraId="6458F35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AB60061">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王老师</w:t>
      </w:r>
    </w:p>
    <w:p w14:paraId="16B7AA9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项目联系方式（询问）：0571-63732951</w:t>
      </w:r>
    </w:p>
    <w:p w14:paraId="7AE7289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质疑联系人：王老师</w:t>
      </w:r>
    </w:p>
    <w:p w14:paraId="73FB08B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质疑联系方式：0571-63740897</w:t>
      </w:r>
    </w:p>
    <w:p w14:paraId="1637E152">
      <w:pPr>
        <w:adjustRightInd w:val="0"/>
        <w:snapToGrid w:val="0"/>
        <w:spacing w:line="288" w:lineRule="auto"/>
        <w:ind w:firstLine="424" w:firstLineChars="202"/>
        <w:rPr>
          <w:rFonts w:hint="eastAsia" w:ascii="宋体" w:hAnsi="宋体" w:eastAsia="宋体" w:cs="Times New Roman"/>
          <w:color w:val="auto"/>
          <w:szCs w:val="21"/>
          <w:highlight w:val="none"/>
        </w:rPr>
      </w:pPr>
    </w:p>
    <w:p w14:paraId="3C32CE7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陈应俭、俞炳</w:t>
      </w:r>
    </w:p>
    <w:p w14:paraId="070B094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4E57AE3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7066E04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adjustRightInd w:val="0"/>
        <w:snapToGrid w:val="0"/>
        <w:spacing w:line="288" w:lineRule="auto"/>
        <w:ind w:firstLine="424" w:firstLineChars="202"/>
        <w:rPr>
          <w:rFonts w:hint="eastAsia"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2BDFC675">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7B51A4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1481026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1E8D6B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4D7CAC4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6555F44C">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6E78E74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0D8E9AD9">
      <w:pPr>
        <w:adjustRightInd w:val="0"/>
        <w:snapToGrid w:val="0"/>
        <w:spacing w:line="288" w:lineRule="auto"/>
        <w:ind w:firstLine="370"/>
        <w:rPr>
          <w:rFonts w:hint="eastAsia"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hint="eastAsia"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647ED319">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A10FB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5DFD78B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A198D3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3E9A8A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DB57D5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0D00EB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2C2499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020485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92085F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0A5565D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BB804B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0E3B064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6FB9FA8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B56365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2EAB4A2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749510F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DF543B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37CDBD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153CE66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76B3C0EC">
      <w:pPr>
        <w:adjustRightInd w:val="0"/>
        <w:snapToGrid w:val="0"/>
        <w:spacing w:line="288" w:lineRule="auto"/>
        <w:rPr>
          <w:rFonts w:hint="eastAsia" w:ascii="宋体" w:hAnsi="宋体" w:eastAsia="宋体" w:cs="Times New Roman"/>
          <w:b/>
          <w:color w:val="auto"/>
          <w:spacing w:val="-4"/>
          <w:szCs w:val="21"/>
          <w:highlight w:val="none"/>
        </w:rPr>
      </w:pPr>
    </w:p>
    <w:p w14:paraId="47046090">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52B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963BD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44CBEA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hint="default"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1EE2300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7F7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2A5737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9CC27DF">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hint="default"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hint="default"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hint="default"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hint="default"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1AC7C24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5"/>
    </w:tbl>
    <w:p w14:paraId="0554BEF9">
      <w:pPr>
        <w:adjustRightInd w:val="0"/>
        <w:snapToGrid w:val="0"/>
        <w:spacing w:line="288" w:lineRule="auto"/>
        <w:rPr>
          <w:rFonts w:hint="eastAsia" w:ascii="宋体" w:hAnsi="宋体" w:eastAsia="宋体" w:cs="Times New Roman"/>
          <w:color w:val="auto"/>
          <w:spacing w:val="-4"/>
          <w:szCs w:val="21"/>
          <w:highlight w:val="none"/>
        </w:rPr>
      </w:pPr>
    </w:p>
    <w:p w14:paraId="1EC90AF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9E2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C7BF35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A6B25D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自合同签订之日起60日内交付</w:t>
            </w:r>
          </w:p>
        </w:tc>
      </w:tr>
      <w:tr w14:paraId="28D10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E478F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141D12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2144A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3196A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743105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3D3B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1829AB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E7B9F9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3D6FC94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200BBA4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4949B3C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00448B5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14:paraId="322A67E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14:paraId="150FEBC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若需上门维修，则在：6小时内到达现场并进行维修；不超过2个工作日解决故障。</w:t>
            </w:r>
          </w:p>
        </w:tc>
      </w:tr>
      <w:tr w14:paraId="7F5E2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223418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4E6110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6E97D45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E2D84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4FC9FC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09DEF87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2EAEEE7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86EC5F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054882D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46BF0B6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2BC445F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9BF294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290418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7680E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66F7EA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6E28CB1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14:paraId="4F7384B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76AE813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60D67DF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0B1CC46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61816B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6C3086E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3D56E1B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3708BA6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384D8DC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755B7A6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33EB3A0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14:paraId="0F24338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1E216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728CB2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4E1438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1B32A02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545F726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064D368C">
      <w:pPr>
        <w:adjustRightInd w:val="0"/>
        <w:snapToGrid w:val="0"/>
        <w:spacing w:line="288" w:lineRule="auto"/>
        <w:rPr>
          <w:rFonts w:hint="eastAsia" w:ascii="宋体" w:hAnsi="宋体" w:eastAsia="宋体" w:cs="Times New Roman"/>
          <w:b/>
          <w:color w:val="auto"/>
          <w:szCs w:val="21"/>
          <w:highlight w:val="none"/>
        </w:rPr>
      </w:pPr>
    </w:p>
    <w:p w14:paraId="155758D7">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549893B5">
      <w:pPr>
        <w:adjustRightInd w:val="0"/>
        <w:snapToGrid w:val="0"/>
        <w:spacing w:line="288" w:lineRule="auto"/>
        <w:rPr>
          <w:rFonts w:hint="eastAsia"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20BAC3DF">
      <w:pPr>
        <w:adjustRightInd w:val="0"/>
        <w:snapToGrid w:val="0"/>
        <w:spacing w:line="288"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.需实现的功能或者目标：满足新农科教育教学中心建设项目交叉中心报告厅系统设备的使用需求。</w:t>
      </w:r>
    </w:p>
    <w:p w14:paraId="052E21C8">
      <w:pPr>
        <w:adjustRightInd w:val="0"/>
        <w:snapToGrid w:val="0"/>
        <w:spacing w:line="288" w:lineRule="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26269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14:paraId="3B9DB4B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14:paraId="601BB26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14:paraId="302F457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69" w:type="dxa"/>
            <w:vAlign w:val="center"/>
          </w:tcPr>
          <w:p w14:paraId="7F7ED66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3B415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810" w:type="dxa"/>
            <w:vAlign w:val="center"/>
          </w:tcPr>
          <w:p w14:paraId="7B87FBF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视频显示系统</w:t>
            </w:r>
          </w:p>
          <w:p w14:paraId="2F9DD2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（核心产品）</w:t>
            </w:r>
          </w:p>
        </w:tc>
        <w:tc>
          <w:tcPr>
            <w:tcW w:w="661" w:type="dxa"/>
            <w:vAlign w:val="center"/>
          </w:tcPr>
          <w:p w14:paraId="77DC8D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66A5AD6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6269" w:type="dxa"/>
            <w:vAlign w:val="center"/>
          </w:tcPr>
          <w:p w14:paraId="7050402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一、室内主屏（28.16m</w:t>
            </w:r>
            <w:r>
              <w:rPr>
                <w:rFonts w:hint="eastAsia" w:ascii="宋体" w:hAnsi="宋体" w:eastAsia="宋体" w:cs="宋体"/>
                <w:b/>
                <w:bCs/>
                <w:color w:val="auto"/>
                <w:szCs w:val="21"/>
                <w:highlight w:val="none"/>
                <w:vertAlign w:val="superscript"/>
              </w:rPr>
              <w:t>2</w:t>
            </w:r>
            <w:r>
              <w:rPr>
                <w:rFonts w:hint="eastAsia" w:ascii="宋体" w:hAnsi="宋体" w:eastAsia="宋体" w:cs="宋体"/>
                <w:b/>
                <w:bCs/>
                <w:color w:val="auto"/>
                <w:szCs w:val="21"/>
                <w:highlight w:val="none"/>
              </w:rPr>
              <w:t>）：</w:t>
            </w:r>
          </w:p>
          <w:p w14:paraId="236BC80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1.屏体尺寸≥7.04m*4m，像素间距≤1.86mm；</w:t>
            </w:r>
          </w:p>
          <w:p w14:paraId="6FCA4C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2.箱体尺寸：640mm*480mm，模组尺寸：320*160mm，箱体采用压铸铝合金，整体压铸，一次成型；</w:t>
            </w:r>
          </w:p>
          <w:p w14:paraId="16AF28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3.模组平整度：≤0.1m</w:t>
            </w:r>
          </w:p>
          <w:p w14:paraId="6DD4C8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4.模组电源接口采用4P接插头，免工具维护；具备防呆设计，预防接错电源线短路而导致的烧毁模组行为；</w:t>
            </w:r>
          </w:p>
          <w:p w14:paraId="57C8534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5.支持单点亮度校正，通过调整流入每个LED的电流控制像素亮度，从而实现整屏一致的亮度；</w:t>
            </w:r>
          </w:p>
          <w:p w14:paraId="000874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★6.支持智能除湿功能，通过预热灯珠，蒸发掉灯珠内部湿气；</w:t>
            </w:r>
          </w:p>
          <w:p w14:paraId="4A15372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★7.采用抗消隐设计，无“毛毛虫”“鬼影”跟随现象；</w:t>
            </w:r>
          </w:p>
          <w:p w14:paraId="12745ED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★8.具备单模数据组存储功能、校正数据自动回读技术；</w:t>
            </w:r>
          </w:p>
          <w:p w14:paraId="7FFC9F0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9.白平衡亮度≥600cd/㎡；</w:t>
            </w:r>
          </w:p>
          <w:p w14:paraId="3CBC131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★10.色温可调范围：3000k~15000k，并可自定义色温值；</w:t>
            </w:r>
          </w:p>
          <w:p w14:paraId="446979F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11.对比度：5000:1；</w:t>
            </w:r>
          </w:p>
          <w:p w14:paraId="504345C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12.视角：水平视角≥160°，垂直视角≥140°；</w:t>
            </w:r>
          </w:p>
          <w:p w14:paraId="5965980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13.刷新频率：≥3840HZ；</w:t>
            </w:r>
          </w:p>
          <w:p w14:paraId="257AFA5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14.换帧频率：50&amp;60HZ；</w:t>
            </w:r>
          </w:p>
          <w:p w14:paraId="2FAE45F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15.灰度：100%亮度16bit灰度，20%亮度12bit灰度；</w:t>
            </w:r>
          </w:p>
          <w:p w14:paraId="410AB24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16.模组亮度均匀性：≥97%；</w:t>
            </w:r>
          </w:p>
          <w:p w14:paraId="03CDE69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17.峰值功耗：≤460W/㎡、平均功耗：≤155W/㎡；</w:t>
            </w:r>
          </w:p>
          <w:p w14:paraId="3761EC1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18.寿命典型值：≥100000小时、平均无故障时间：≥100000小时；</w:t>
            </w:r>
          </w:p>
          <w:p w14:paraId="1852F5A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19.电源冗余备份，具智能节电功能，软件自动报警功能；</w:t>
            </w:r>
          </w:p>
          <w:p w14:paraId="29AE22E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20.满足盐雾10级要求；</w:t>
            </w:r>
          </w:p>
          <w:p w14:paraId="428265A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21.IP等级：IP5X；</w:t>
            </w:r>
          </w:p>
          <w:p w14:paraId="5A23972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22.抗紫外UV 辐射：5 级；</w:t>
            </w:r>
          </w:p>
          <w:p w14:paraId="1246EB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23.工作温度范围-30℃-40℃；</w:t>
            </w:r>
          </w:p>
          <w:p w14:paraId="697E37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24.稳定性：支持7*24H连续工作；</w:t>
            </w:r>
          </w:p>
          <w:p w14:paraId="28D6013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25.抗电强度：U=1500VAC；T=60S；</w:t>
            </w:r>
          </w:p>
          <w:p w14:paraId="0533C77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26.对地漏电电流：≤3.5mA；</w:t>
            </w:r>
          </w:p>
          <w:p w14:paraId="177C8ED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27.包含屏体内线材及备用件；</w:t>
            </w:r>
          </w:p>
          <w:p w14:paraId="49E319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28.室内屏体钢结构：采用镀锌管及镀锌方钢制作；</w:t>
            </w:r>
          </w:p>
          <w:p w14:paraId="7095256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29.采用不锈钢包边。</w:t>
            </w:r>
          </w:p>
          <w:p w14:paraId="00F5DA2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宋体"/>
                <w:color w:val="auto"/>
                <w:sz w:val="21"/>
                <w:szCs w:val="20"/>
                <w:highlight w:val="none"/>
                <w:lang w:eastAsia="zh-CN"/>
              </w:rPr>
            </w:pPr>
            <w:r>
              <w:rPr>
                <w:rFonts w:hint="eastAsia" w:ascii="宋体" w:hAnsi="宋体" w:cs="宋体"/>
                <w:color w:val="auto"/>
                <w:sz w:val="21"/>
                <w:szCs w:val="16"/>
                <w:highlight w:val="none"/>
              </w:rPr>
              <w:t>★</w:t>
            </w:r>
            <w:r>
              <w:rPr>
                <w:rFonts w:hint="eastAsia" w:ascii="宋体" w:hAnsi="宋体" w:cs="宋体"/>
                <w:color w:val="auto"/>
                <w:sz w:val="21"/>
                <w:szCs w:val="16"/>
                <w:highlight w:val="none"/>
                <w:lang w:val="en-US" w:eastAsia="zh-CN"/>
              </w:rPr>
              <w:t>30.</w:t>
            </w:r>
            <w:r>
              <w:rPr>
                <w:rFonts w:hint="eastAsia" w:ascii="宋体" w:hAnsi="宋体" w:cs="宋体"/>
                <w:color w:val="auto"/>
                <w:sz w:val="21"/>
                <w:szCs w:val="16"/>
                <w:highlight w:val="none"/>
                <w:lang w:eastAsia="zh-CN"/>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p>
          <w:p w14:paraId="485917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二、接收卡（1批）：</w:t>
            </w:r>
          </w:p>
          <w:p w14:paraId="796974C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★1.具有2路HDMI输入，支持2K@60HZ或4K@60HZ信号内自定义分辨率；2路HDMI输出，支持2K@60HZ或4K@60HZ信号及级联，单机带载≥32万像素，级联带载≥230万像素；</w:t>
            </w:r>
          </w:p>
          <w:p w14:paraId="26FDC76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集成一体式主控，外部信号源与控制器之间无需任何其他信号发送或打包发送转换和信号接收转换节点，支持与LED/LCD显示单元直接连接，减少故障节点，提高系统稳定性和降低数据传输延时及数据丢失、损耗，具有减少故障节点，提高系统稳定性和降低数据传输延时及数据丢失、损耗的功能；</w:t>
            </w:r>
          </w:p>
          <w:p w14:paraId="3554D51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★3.支持标准的HDMI协议和HDMI接口，传输无压缩的高分辨率音视频信号，以及在信号传送前无需进行数/模或者模/数转换；</w:t>
            </w:r>
          </w:p>
          <w:p w14:paraId="4486336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4.支持网格星链式的级联结构，多路HDMI接口自备份，每相邻控制器之间可以一个主输入，一个副输入，一个主输出，一个副输出，实现一主一备功能；同时HDMI输出接口具有信号环通输出功能；</w:t>
            </w:r>
          </w:p>
          <w:p w14:paraId="72C43F6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5.单个控制器具备数据储存功能；无需设置屏幕的起始坐标，支持每个控制器能自动识别自身坐标，自动定位，大屏拼接，无需设置数据链路的连线方式，上电即可使用，随意更换位置。</w:t>
            </w:r>
          </w:p>
          <w:p w14:paraId="7BAB553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p>
          <w:p w14:paraId="689195C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三、视频处理器（1台）：</w:t>
            </w:r>
          </w:p>
          <w:p w14:paraId="05AB012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★1.输入接口：1920*1200@60Hz≥4个，4k@60Hz≥1个。输出接口：1920*1200@60Hz≥4个；</w:t>
            </w:r>
          </w:p>
          <w:p w14:paraId="2D290A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★2.采用3U金属结构机箱，插卡式设计，支持扩展；外壳防护等级符合GB/T 4208-2017中IP20等级的要求；</w:t>
            </w:r>
          </w:p>
          <w:p w14:paraId="77ED4B3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3.单台设备同时最大支持44路2K输入及40路2K输出。单台设备同时最大支持11路4K60@Hz输入及10路4K@60Hz输出；</w:t>
            </w:r>
          </w:p>
          <w:p w14:paraId="71E650C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4.单板卡支持2路4K60Hz输入或2路4K60Hz输出；</w:t>
            </w:r>
          </w:p>
          <w:p w14:paraId="78E3931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5.单板卡支持8路2K60Hz输入或8路HDMI2K60HZ输出；</w:t>
            </w:r>
          </w:p>
          <w:p w14:paraId="4AAC9AA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6.输入板卡类型：HDMI2.1、DP1.4、HDMI2.0、DP1.2、12G-SDI、HDMI1.4、HDMI1.3、DVI、3G-SDI、IP、HDBaseT、CVBS、VGA等；</w:t>
            </w:r>
          </w:p>
          <w:p w14:paraId="669D80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7.支持HDMI2.1及DP1.3输入，最大分辨率8K@30Hz；</w:t>
            </w:r>
          </w:p>
          <w:p w14:paraId="3636EB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★8.设备最大支持48个图层，可跨输出口显示、支持任意叠加，大小可任意设置；</w:t>
            </w:r>
          </w:p>
          <w:p w14:paraId="29A304E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9.单一输出口可实现16个图层同时显示，支持任意叠加，大小可任意设置；</w:t>
            </w:r>
          </w:p>
          <w:p w14:paraId="2BD662E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10.4K输入（HDMI2.0、DP1.2）支持4096*2160@60Hz或7680*1080@60Hz、RGB444、Ycbcr444、YCbCr422视频格式；</w:t>
            </w:r>
          </w:p>
          <w:p w14:paraId="4032860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11.支持测试画面图像，且支持间距、速度、亮度调节，无需接入有效视频源，即可快速检验物理输出接口是否正常；</w:t>
            </w:r>
          </w:p>
          <w:p w14:paraId="510006A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12.HDMI2.0、DP1.2、HDMI1.4、HDMI1.3输出板卡支持3.5mm音频接口输出；</w:t>
            </w:r>
          </w:p>
          <w:p w14:paraId="3AC572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13.支持图层参数设置，包括图层画面截取、冻结、叠加、图层优先级、无极缩放、图层全屏和自适应接口全屏；</w:t>
            </w:r>
          </w:p>
          <w:p w14:paraId="247E720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14.HDMI 1.3/DVI输出板卡视频输出接口输出分辨率自定义宽度或高度最大支持4096像素；</w:t>
            </w:r>
          </w:p>
          <w:p w14:paraId="7D6001F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15.支持字幕叠加功能，可在视频图像上叠加文字，用户可设置字体大小、叠加位置、字体间距、滚动方向及滚动速度等参数。单屏幕最大支持8个字幕，单屏幕支持对联形字幕；</w:t>
            </w:r>
          </w:p>
          <w:p w14:paraId="755066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16.支持输入字符叠加功能，可在各个输入信号中嵌入字符，对输入信号进行标识，画面显示输入信号的同时显示嵌入的字符，用户可设置字符的位置、背景等参数；</w:t>
            </w:r>
          </w:p>
          <w:p w14:paraId="1CE7275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★17.支持视频输入接和输出接口的EDID管理，包括预设分辨率设置、自定义分辨率设置、EDID模板导入导出、高级时序设置；</w:t>
            </w:r>
          </w:p>
          <w:p w14:paraId="2CE6EFA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18.设备可满足低温极限工作温度-25℃（可冷启动正常），高温极限工作温度65℃；</w:t>
            </w:r>
          </w:p>
          <w:p w14:paraId="3C16A75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19.支持多路输入信号组合轮巡功能，可以将多路输入信号组合成单路信号，以完成组合信号开窗、切换操作；</w:t>
            </w:r>
          </w:p>
          <w:p w14:paraId="0DB5931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20.内嵌B/S拼接器配置软件，无需安装应用程序，支持在Windows、MAC、麒麟（Kylin）、iOS、Android、Linux操作系统环境下进行操作,实现跨平台、跨系统的交互与访问控制；</w:t>
            </w:r>
          </w:p>
          <w:p w14:paraId="258A5D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21.可通过移动终端进行无线控制，实现配屏、图层编辑、信号切换、场景保存/调取、场景轮巡等操作；</w:t>
            </w:r>
          </w:p>
          <w:p w14:paraId="6803A74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22.场景切换支持无缝切换，调用响应时间≤60ms；</w:t>
            </w:r>
          </w:p>
          <w:p w14:paraId="10371E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23.无需外加监视卡可回显所有输入，用户可通过PC端或移动端APP，可实时查看当前设备输出画面内容以及所有输入信号画面内容；</w:t>
            </w:r>
          </w:p>
          <w:p w14:paraId="031F7E9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24.支持控制卡备份支持输入板卡、输出板卡的热插拔功能，设备无需关机重启和设置，更换板卡后快速恢复之前图层数据，保证画面正常播放</w:t>
            </w:r>
            <w:r>
              <w:rPr>
                <w:rFonts w:hint="eastAsia" w:ascii="宋体" w:hAnsi="宋体" w:eastAsia="宋体" w:cs="宋体"/>
                <w:color w:val="auto"/>
                <w:szCs w:val="21"/>
                <w:highlight w:val="none"/>
                <w:lang w:eastAsia="zh-CN"/>
              </w:rPr>
              <w:t>；</w:t>
            </w:r>
          </w:p>
          <w:p w14:paraId="5A7A188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r>
              <w:rPr>
                <w:rFonts w:hint="eastAsia" w:ascii="宋体" w:hAnsi="宋体" w:cs="宋体"/>
                <w:color w:val="auto"/>
                <w:kern w:val="2"/>
                <w:sz w:val="21"/>
                <w:szCs w:val="21"/>
                <w:highlight w:val="none"/>
                <w:lang w:val="en-US" w:eastAsia="zh-CN" w:bidi="ar-SA"/>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r>
              <w:rPr>
                <w:rFonts w:hint="eastAsia" w:ascii="宋体" w:hAnsi="宋体" w:eastAsia="宋体" w:cs="宋体"/>
                <w:color w:val="auto"/>
                <w:kern w:val="2"/>
                <w:sz w:val="21"/>
                <w:szCs w:val="21"/>
                <w:highlight w:val="none"/>
                <w:lang w:val="en-US" w:eastAsia="zh-CN" w:bidi="ar-SA"/>
              </w:rPr>
              <w:t>。</w:t>
            </w:r>
          </w:p>
          <w:p w14:paraId="04250C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四、协作平台（1套）：</w:t>
            </w:r>
          </w:p>
          <w:p w14:paraId="394D70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1.支持单屏多画面，且多画面布局可设置，最大支持四画面布局；</w:t>
            </w:r>
          </w:p>
          <w:p w14:paraId="376056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2.内置Wi-Fi模块，提供Airplay、Miracast和USB、HDMI 、Type-c dongle、软件等无线接入方式；</w:t>
            </w:r>
          </w:p>
          <w:p w14:paraId="225C7A0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3.软件投屏支持平台：MacOSX、Windows、Android；</w:t>
            </w:r>
          </w:p>
          <w:p w14:paraId="4961511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4.全屏显示和多画面显示均支持快速无缝切换，支持最高4K@60Hz的HDMI输出分辨率，可通过Web服务器调节分辨率向下兼容；</w:t>
            </w:r>
          </w:p>
          <w:p w14:paraId="23C2FF1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5.配备4个USB3.0-A、2个Type-C端口接入USB外设，通过HDMI、Type-c dongle无线共享，例如麦克风，摄像头，并且在显示器右上角出现图标状态显示；</w:t>
            </w:r>
          </w:p>
          <w:p w14:paraId="5E1CCB8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7.支持通过触摸屏反向控制信号源电脑内容；</w:t>
            </w:r>
          </w:p>
          <w:p w14:paraId="3BE1129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8.前面板配置USB口进行Dongle匹配以及软件、操作说明自动下载；</w:t>
            </w:r>
          </w:p>
          <w:p w14:paraId="58A482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9.支持双网口配置，POE供电，可进行有线、无线的方式组网，实现软件无线投屏；</w:t>
            </w:r>
          </w:p>
          <w:p w14:paraId="4976A40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10.支持流媒体矩阵（IPAV）功能：可通过网络使多台主机级联，实现多个HDMI输出；</w:t>
            </w:r>
          </w:p>
          <w:p w14:paraId="420C73C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11.简易中控功能：双向RS232，可通过Web写入被控设备代码，通过信号侦测控制第三方设备；</w:t>
            </w:r>
          </w:p>
          <w:p w14:paraId="286747F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12.支持配置OSD菜单，可通过OSD菜单调用白板、设置、信号、设备状态等；</w:t>
            </w:r>
          </w:p>
          <w:p w14:paraId="213389E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13.支持可视化预览输入信号源，通过触摸屏进行控制信号源的上下屏及切换、布局；</w:t>
            </w:r>
          </w:p>
          <w:p w14:paraId="356324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14.支持白板书写功能，可即时进行内容批注。可通过二维码下载会议记录（批注截图）；</w:t>
            </w:r>
          </w:p>
          <w:p w14:paraId="5FAEB9A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15.支持三种安全等级设置，支持AES-256Bit、RSA-1024Bit数据加密方式；</w:t>
            </w:r>
          </w:p>
          <w:p w14:paraId="7C94FB4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16.支持Web访问进行配置，可接入第三方控制，RS232串口（波特率可自定义），RJ45网口（Telnet）；</w:t>
            </w:r>
          </w:p>
          <w:p w14:paraId="097E67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17.支持音频输出模式选择，立体声、HDMI和立体声&amp;HDMI；</w:t>
            </w:r>
          </w:p>
          <w:p w14:paraId="4FAC4D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18.支持接入码配置更改，可设置按时间更改或者从不改变；</w:t>
            </w:r>
          </w:p>
          <w:p w14:paraId="5ACD5856">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19.开放Telnet-API，支持接入第三方控制。</w:t>
            </w:r>
          </w:p>
          <w:p w14:paraId="69FF22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五、配套内容：</w:t>
            </w:r>
          </w:p>
          <w:p w14:paraId="44AAF3CA">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1.30KW智能配电柜（1台）：采用交流配电柜，配电系统为三相五线制供电，配电系统保证三相平衡，尽量减少对电网的冲击影响，同时还应配备过流、短路、断路、过压、欠压、温度过高等保护措施，以及相应的故障指示装置；</w:t>
            </w:r>
          </w:p>
          <w:p w14:paraId="4BC1FD2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2.播放软件（1套）：</w:t>
            </w:r>
          </w:p>
          <w:p w14:paraId="38C677E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支持载入配置、设置输入源、点亮显示屏、显示屏连接设置、冗余备份设置、启用3D设置、工作模式设置、性能参数设置；</w:t>
            </w:r>
          </w:p>
          <w:p w14:paraId="0FE02FC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可连接多媒体播放器，调试与媒体播放器的屏体参数。支持升级接收卡、发送卡的硬件程序，支持密码修改；</w:t>
            </w:r>
          </w:p>
          <w:p w14:paraId="5D1E3DD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对智能配电柜PLC模块实行远程控制，控制屏体的开关状态。主界面具有画质引擎设置功能；</w:t>
            </w:r>
          </w:p>
          <w:p w14:paraId="1BE889B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支持添加100个显示屏，分别对其进行控制管理。支持检测显示屏LED灯珠的工作状态软件显示点检状态，显示问题点位置；</w:t>
            </w:r>
          </w:p>
          <w:p w14:paraId="795F05F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支持选中灯板并且给灯板设置ID。支持将液晶模块显示的接收卡运行时间清零；</w:t>
            </w:r>
          </w:p>
          <w:p w14:paraId="279CE3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支持通过软件对灯点进行亮度校正；</w:t>
            </w:r>
          </w:p>
          <w:p w14:paraId="7CFEB09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软件具备误码率检测功能；在关于界面中可以查看软件的版本信息和更新日志；</w:t>
            </w:r>
          </w:p>
          <w:p w14:paraId="66CEA27C">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2.8 支持为发送卡设置除湿模式，使控制系统上电后屏体亮度逐渐变化到目标值；</w:t>
            </w:r>
          </w:p>
          <w:p w14:paraId="3E987F5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3.导播一体机（1套）：</w:t>
            </w:r>
          </w:p>
          <w:p w14:paraId="210A4A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输入通道数量：4路HDMI；</w:t>
            </w:r>
          </w:p>
          <w:p w14:paraId="7B94C0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输出通道数量：2路HDMI；</w:t>
            </w:r>
          </w:p>
          <w:p w14:paraId="7EBCF1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内嵌数字混音声卡，用于多通道外部音频信号输入和输出；</w:t>
            </w:r>
          </w:p>
          <w:p w14:paraId="5BDE7BF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支持音视频信号采集输入输出接口连接独立显卡输出接口，拓展使用；</w:t>
            </w:r>
          </w:p>
          <w:p w14:paraId="64748C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支持多通道录制录制；</w:t>
            </w:r>
          </w:p>
          <w:p w14:paraId="4E3D4E2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支持音乐输入，图片输入，视频输入，RTMP推流以及信号拉流；</w:t>
            </w:r>
          </w:p>
          <w:p w14:paraId="73BEF26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支持图文包装等功能；</w:t>
            </w:r>
          </w:p>
          <w:p w14:paraId="266753F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支持导播切换功能；</w:t>
            </w:r>
          </w:p>
          <w:p w14:paraId="52F754CF">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3.9 支持视频回放功能；</w:t>
            </w:r>
          </w:p>
          <w:p w14:paraId="1C8AFE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4.流动返显电视机（2台）：</w:t>
            </w:r>
          </w:p>
          <w:p w14:paraId="6AD83E8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65寸电视机，分辨率：≥3840*2160，支持多路HDMI输入；</w:t>
            </w:r>
          </w:p>
          <w:p w14:paraId="33F2542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配套流动支架，带可以锁定的万向轮；</w:t>
            </w:r>
          </w:p>
          <w:p w14:paraId="57606F1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4.3 提供有效的节能产品认证证书扫描件。</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006D6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810" w:type="dxa"/>
            <w:vAlign w:val="center"/>
          </w:tcPr>
          <w:p w14:paraId="38CC1B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会议扩声系统</w:t>
            </w:r>
          </w:p>
        </w:tc>
        <w:tc>
          <w:tcPr>
            <w:tcW w:w="661" w:type="dxa"/>
            <w:vAlign w:val="center"/>
          </w:tcPr>
          <w:p w14:paraId="14E34F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3D057C6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6269" w:type="dxa"/>
            <w:vAlign w:val="center"/>
          </w:tcPr>
          <w:p w14:paraId="1609DAD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一、舞台会议拾音系统（1套）：</w:t>
            </w:r>
          </w:p>
          <w:p w14:paraId="7C36A0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1.无线话筒套装（含无线手持话筒4套，无线领夹话筒2套，无线头戴话筒2套）：</w:t>
            </w:r>
          </w:p>
          <w:p w14:paraId="408B158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无线频段：宽于或等于668MHz~698MHz；</w:t>
            </w:r>
          </w:p>
          <w:p w14:paraId="73F776A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采用数字编码技术；</w:t>
            </w:r>
          </w:p>
          <w:p w14:paraId="5B74F9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采用一拖二真分集设计；</w:t>
            </w:r>
          </w:p>
          <w:p w14:paraId="2D2DE69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采用高精度锁相环频率合成PLL技术；</w:t>
            </w:r>
          </w:p>
          <w:p w14:paraId="5687947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具备红外线自动对频功能，发射接收一键即可自动匹配；</w:t>
            </w:r>
          </w:p>
          <w:p w14:paraId="1683C0F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综合信噪比：≥105dB；</w:t>
            </w:r>
          </w:p>
          <w:p w14:paraId="38D0068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≥30M工作带宽；</w:t>
            </w:r>
          </w:p>
          <w:p w14:paraId="65FB64C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可采用干电池或锂电池混合供电；</w:t>
            </w:r>
          </w:p>
          <w:p w14:paraId="7A75813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 使用时间：干电池：≥5小时，锂电池：≥15小时；</w:t>
            </w:r>
          </w:p>
          <w:p w14:paraId="1EAAB6A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音头：动圈式/心型指向性；</w:t>
            </w:r>
          </w:p>
          <w:p w14:paraId="4F3E1041">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1.11 </w:t>
            </w:r>
            <w:r>
              <w:rPr>
                <w:rFonts w:hint="eastAsia" w:ascii="宋体" w:hAnsi="宋体" w:eastAsia="宋体" w:cs="宋体"/>
                <w:color w:val="auto"/>
                <w:szCs w:val="21"/>
                <w:highlight w:val="none"/>
                <w:lang w:eastAsia="zh-CN"/>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r>
              <w:rPr>
                <w:rFonts w:hint="eastAsia" w:ascii="宋体" w:hAnsi="宋体" w:eastAsia="宋体" w:cs="宋体"/>
                <w:color w:val="auto"/>
                <w:szCs w:val="21"/>
                <w:highlight w:val="none"/>
              </w:rPr>
              <w:t>。</w:t>
            </w:r>
          </w:p>
          <w:p w14:paraId="0B2005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2.天线放大器（4套）：</w:t>
            </w:r>
          </w:p>
          <w:p w14:paraId="4199B0E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支持1-4台无线系统的应用，同时可为无线设备提供供电；</w:t>
            </w:r>
          </w:p>
          <w:p w14:paraId="4AF73ED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天线为单指向对称周期天线，工作频带宽，高增益；</w:t>
            </w:r>
          </w:p>
          <w:p w14:paraId="5DD2D9D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频率范围：宽于或等于470MHz--950MHz；</w:t>
            </w:r>
          </w:p>
          <w:p w14:paraId="30B9AB2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驻波比≤2.0且放大器底噪≤3.5dB；</w:t>
            </w:r>
          </w:p>
          <w:p w14:paraId="10BC37F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天线增益：≥6dBi；</w:t>
            </w:r>
          </w:p>
          <w:p w14:paraId="31B0B5B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2.6 </w:t>
            </w:r>
            <w:r>
              <w:rPr>
                <w:rFonts w:hint="eastAsia" w:ascii="宋体" w:hAnsi="宋体" w:eastAsia="宋体" w:cs="宋体"/>
                <w:color w:val="auto"/>
                <w:szCs w:val="21"/>
                <w:highlight w:val="none"/>
                <w:lang w:eastAsia="zh-CN"/>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r>
              <w:rPr>
                <w:rFonts w:hint="eastAsia" w:ascii="宋体" w:hAnsi="宋体" w:eastAsia="宋体" w:cs="宋体"/>
                <w:color w:val="auto"/>
                <w:szCs w:val="21"/>
                <w:highlight w:val="none"/>
              </w:rPr>
              <w:t>。</w:t>
            </w:r>
          </w:p>
          <w:p w14:paraId="0559A2C6">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3.分线器（2台）：可以将1个RF信号分割2个RF信号输出,也可以将2个RF信号集合成1个RF信号输出；</w:t>
            </w:r>
          </w:p>
          <w:p w14:paraId="507B71A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4.智能会议中心（1套）：</w:t>
            </w:r>
          </w:p>
          <w:p w14:paraId="40ABC34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采用UHF数字无线音频通信频段，抗干扰音频通信技术；</w:t>
            </w:r>
          </w:p>
          <w:p w14:paraId="723C8D0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同时开启单元数量不少于5支，支持自定义主席机配置功能，可根据现场需要，可将任意一只设为主席机；</w:t>
            </w:r>
          </w:p>
          <w:p w14:paraId="291BCA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天线信号传输距离半径可达0-20m；</w:t>
            </w:r>
          </w:p>
          <w:p w14:paraId="5F1C853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支持对会前.会中.会后对会议现场无线信号进行实时检测；</w:t>
            </w:r>
          </w:p>
          <w:p w14:paraId="63070F5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 配备≥2.7英寸LCD，中.英文菜单显示，显示屏可显示系统菜单和主机状态等信息；</w:t>
            </w:r>
          </w:p>
          <w:p w14:paraId="4CBE93A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 多种话筒管理模式，满足各类会议需求：数量限制、先进先出、申请发言、声控启动、自由模式；</w:t>
            </w:r>
          </w:p>
          <w:p w14:paraId="5B5B3E9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 系统主机可设IP地址，与控制电脑之间采用TCP/IP连接控制方式，可以实现会议系统的后台控制；</w:t>
            </w:r>
          </w:p>
          <w:p w14:paraId="0281BD2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4.8 系统具有自动修复功能，支持线路的“热插拔”；</w:t>
            </w:r>
          </w:p>
          <w:p w14:paraId="7AB11F3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4.9 输入接口：音频输入：不少于XLR×1；</w:t>
            </w:r>
          </w:p>
          <w:p w14:paraId="15127C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 输出接口：音频输出：不少于XLR×2，phoenix×2；</w:t>
            </w:r>
          </w:p>
          <w:p w14:paraId="2745F0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 控制接口：具有RS485/RS232接口，支持连接中控，可实现集控会议系统；</w:t>
            </w:r>
          </w:p>
          <w:p w14:paraId="7198CED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 通信频段：≥650MHz~700MHz数据通信。≥5组通信频段可选，互不干扰；</w:t>
            </w:r>
          </w:p>
          <w:p w14:paraId="2B36A3E0">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4.13 天线接口：≥4路DIN；</w:t>
            </w:r>
          </w:p>
          <w:p w14:paraId="59DB107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5.无线专用天线（1套）：</w:t>
            </w:r>
          </w:p>
          <w:p w14:paraId="29F31E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采用UHF数字无线通信频段，结合数字会议系统架构；</w:t>
            </w:r>
          </w:p>
          <w:p w14:paraId="5050BB2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通信频段：宽于或等于650MHz~700MHz；</w:t>
            </w:r>
          </w:p>
          <w:p w14:paraId="0B8D785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≥5组通信频段可选，互不干扰；</w:t>
            </w:r>
          </w:p>
          <w:p w14:paraId="35498D3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天线信号传输距离半径：0-20m左右；</w:t>
            </w:r>
          </w:p>
          <w:p w14:paraId="2C6336EA">
            <w:pPr>
              <w:keepNext w:val="0"/>
              <w:keepLines w:val="0"/>
              <w:suppressLineNumbers w:val="0"/>
              <w:adjustRightInd w:val="0"/>
              <w:snapToGrid w:val="0"/>
              <w:spacing w:before="0" w:beforeAutospacing="0" w:after="0" w:afterAutospacing="0" w:line="288" w:lineRule="auto"/>
              <w:ind w:left="0" w:right="0"/>
              <w:jc w:val="left"/>
              <w:rPr>
                <w:rFonts w:hint="eastAsia"/>
                <w:color w:val="auto"/>
                <w:highlight w:val="none"/>
              </w:rPr>
            </w:pPr>
            <w:r>
              <w:rPr>
                <w:rFonts w:hint="eastAsia" w:ascii="宋体" w:hAnsi="宋体" w:eastAsia="宋体" w:cs="宋体"/>
                <w:color w:val="auto"/>
                <w:szCs w:val="21"/>
                <w:highlight w:val="none"/>
              </w:rPr>
              <w:t>5.5 支持吸顶安装形式；</w:t>
            </w:r>
          </w:p>
          <w:p w14:paraId="7259922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6.无线会议单元（8套）：</w:t>
            </w:r>
          </w:p>
          <w:p w14:paraId="10B8214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采用UHF数字无线通信频段，无线抗干扰音频通信技术；</w:t>
            </w:r>
          </w:p>
          <w:p w14:paraId="7F44842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≥5组通信频段可选，互不干扰；</w:t>
            </w:r>
          </w:p>
          <w:p w14:paraId="51CE802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电池容量：内置锂聚合物电池，持续发言时间可达≥48小时，1A充电电流可快速充电；</w:t>
            </w:r>
          </w:p>
          <w:p w14:paraId="23C26B6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系统自动为单元分配发言通道，屏蔽较差的通信频率；</w:t>
            </w:r>
          </w:p>
          <w:p w14:paraId="7124DF1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支持话筒开启关闭指示灯状态显示；</w:t>
            </w:r>
          </w:p>
          <w:p w14:paraId="1309F2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具备音量调节和电池电量指示按钮，可以方便调节音量和查看当前电池电量；</w:t>
            </w:r>
          </w:p>
          <w:p w14:paraId="6B42D53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6.7 自定义主席机配置功能，可根据现场需要，临时定义任一单元为主席单元；</w:t>
            </w:r>
          </w:p>
          <w:p w14:paraId="61CAFC4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6.8 拾音咪头及指向性：内置不低于1个14毫米直径镀金电容式收音头，满足超指向性收音效果；</w:t>
            </w:r>
          </w:p>
          <w:p w14:paraId="5C4F202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6.9 灵敏度：≥-28dB；</w:t>
            </w:r>
          </w:p>
          <w:p w14:paraId="5E3E80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 频率响应：≥30Hz-18KHz；</w:t>
            </w:r>
          </w:p>
          <w:p w14:paraId="7A628685">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6.11 最大声压级：≥130dB(THD&lt;3%)；</w:t>
            </w:r>
          </w:p>
          <w:p w14:paraId="5DDCF63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7.无线话筒通用充电箱（1套）：</w:t>
            </w:r>
          </w:p>
          <w:p w14:paraId="00E53FB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话筒充电箱可同时为≥8台无线单元充电；</w:t>
            </w:r>
          </w:p>
          <w:p w14:paraId="664424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具有充电保护和指示功能；</w:t>
            </w:r>
          </w:p>
          <w:p w14:paraId="6949336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功率≥30W；</w:t>
            </w:r>
          </w:p>
          <w:p w14:paraId="036B59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充电箱可收纳话筒；</w:t>
            </w:r>
          </w:p>
          <w:p w14:paraId="79E5A9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充满电时间≤5小时；</w:t>
            </w:r>
          </w:p>
          <w:p w14:paraId="25AF0358">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8.会议系统公－公主缆（40米）：会议系统屏蔽线缆，线缆直径≥7.8mm。</w:t>
            </w:r>
          </w:p>
          <w:p w14:paraId="0BD0CB0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二、控制处理系统（1套）：</w:t>
            </w:r>
          </w:p>
          <w:p w14:paraId="73672F7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1.数字调音台（1台）：</w:t>
            </w:r>
          </w:p>
          <w:p w14:paraId="2DBB4E9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输入：≥24路mic输入，≥3组立体声输入；</w:t>
            </w:r>
          </w:p>
          <w:p w14:paraId="48ADE9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输出：≥14AUX输出；</w:t>
            </w:r>
          </w:p>
          <w:p w14:paraId="4C9B1C2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支持USB立体声数字录音功能；</w:t>
            </w:r>
          </w:p>
          <w:p w14:paraId="4AE02F7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集成反馈抑制器管理；</w:t>
            </w:r>
          </w:p>
          <w:p w14:paraId="0B41085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支持多8个DAC编组，支持多8个静音编组；</w:t>
            </w:r>
          </w:p>
          <w:p w14:paraId="0BB3D9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支持≥10.1寸高清电容触摸显示屏，分辨率≥1280*800；</w:t>
            </w:r>
          </w:p>
          <w:p w14:paraId="788B736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支持多8个用户自定义按键，内置≥4个独立的DSP效果器；</w:t>
            </w:r>
          </w:p>
          <w:p w14:paraId="0C2380F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集成自动混音功能；</w:t>
            </w:r>
          </w:p>
          <w:p w14:paraId="0B8B31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 支持≥26个100mm电动推杆；</w:t>
            </w:r>
          </w:p>
          <w:p w14:paraId="4E889B5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支持≥1寸通道液晶引导显示，通道名字需支持中文；</w:t>
            </w:r>
          </w:p>
          <w:p w14:paraId="3F2E704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支持≥100个场景存储，可自定义场景名字，支持中文输入；</w:t>
            </w:r>
          </w:p>
          <w:p w14:paraId="74D4BD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支持RS232端口，实现与第三方控制系统对接；</w:t>
            </w:r>
          </w:p>
          <w:p w14:paraId="118E579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支持双机同步数据备份；</w:t>
            </w:r>
          </w:p>
          <w:p w14:paraId="1B05D1B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支持MIDI接口；</w:t>
            </w:r>
          </w:p>
          <w:p w14:paraId="2FFBBB2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 支持≥2个AES接口；</w:t>
            </w:r>
          </w:p>
          <w:p w14:paraId="0AB0F5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支持≥3个网络端口，用于扩展接口箱，连接无线路由器，支持电脑端软件控制；</w:t>
            </w:r>
          </w:p>
          <w:p w14:paraId="56C03797">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1.17 失真度：≤0.0003%，动态范围：112dB；</w:t>
            </w:r>
          </w:p>
          <w:p w14:paraId="1F7A1D7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2.接口箱（1台）：</w:t>
            </w:r>
          </w:p>
          <w:p w14:paraId="4C666D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≥16路MIC/Line输入；</w:t>
            </w:r>
          </w:p>
          <w:p w14:paraId="3C7D9E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≥8路输出；</w:t>
            </w:r>
          </w:p>
          <w:p w14:paraId="6A1D5ED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支持≥2个网口与调音台网线连接用于扩展调音台接口；</w:t>
            </w:r>
          </w:p>
          <w:p w14:paraId="58BBF62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使用网线与调音台连接，线缆长度≥80m；</w:t>
            </w:r>
          </w:p>
          <w:p w14:paraId="0E1873F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输入阻抗：≥7KΩ；</w:t>
            </w:r>
          </w:p>
          <w:p w14:paraId="295B4B6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动态范围：≥112dB；</w:t>
            </w:r>
          </w:p>
          <w:p w14:paraId="2EFC85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失真度：≤0.0003%；</w:t>
            </w:r>
          </w:p>
          <w:p w14:paraId="4AA15458">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ascii="宋体" w:hAnsi="宋体" w:eastAsia="宋体" w:cs="宋体"/>
                <w:color w:val="auto"/>
                <w:szCs w:val="21"/>
                <w:highlight w:val="none"/>
              </w:rPr>
              <w:t>2.8 信噪比：XLR≥92db,TRS≥82db；</w:t>
            </w:r>
          </w:p>
          <w:p w14:paraId="26CB80A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3.网络音频处理器（2台）：</w:t>
            </w:r>
          </w:p>
          <w:p w14:paraId="3D72B31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开放式架构可编程处理器，软件采用拖拽式界面可以进行自由灵活设计；</w:t>
            </w:r>
          </w:p>
          <w:p w14:paraId="541D2A7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支持中文版编程控制软件；</w:t>
            </w:r>
          </w:p>
          <w:p w14:paraId="02EE9B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支持UCI界面（用户控制界面），可根据用户需求自定义界面内容；</w:t>
            </w:r>
          </w:p>
          <w:p w14:paraId="7F41B66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支持≥16*16路网络音频通道，兼容AES67标准，可与第三方网络音频协议互联互通；</w:t>
            </w:r>
          </w:p>
          <w:p w14:paraId="056C279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支持≥8路模拟音频输入，均可以配置成麦克风\线路电平模拟通道，≥8路模拟音频输出；</w:t>
            </w:r>
          </w:p>
          <w:p w14:paraId="45B6E75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支持≥2个千兆太网端口，用于网络音频级连方式、网络备份连接、软件控制连接；</w:t>
            </w:r>
          </w:p>
          <w:p w14:paraId="694C892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支持RS232、RS485控制接口用于第三方中控控制或控制第三方设备；</w:t>
            </w:r>
          </w:p>
          <w:p w14:paraId="3315F22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支持≥4个GPI接口及≥4个GPO接口，可被第三方设备控制或控制第三方设备；</w:t>
            </w:r>
          </w:p>
          <w:p w14:paraId="7181C0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 支持移频啸叫抑制模块，支持陷波啸叫抑制模块；</w:t>
            </w:r>
          </w:p>
          <w:p w14:paraId="63953FF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3.10 支持≥8个可分配、可路由的AEC处理器模块；</w:t>
            </w:r>
          </w:p>
          <w:p w14:paraId="27D79D0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支持前面板≥3.12寸OLED显示屏，可查看输入、输出电平，查看IP地址等信息；</w:t>
            </w:r>
          </w:p>
          <w:p w14:paraId="35B6789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支持不低于32*32混音模块，并能调节输入、输出端口的端口增益与静音开关；</w:t>
            </w:r>
          </w:p>
          <w:p w14:paraId="653567A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动态范围：≥104dB；</w:t>
            </w:r>
          </w:p>
          <w:p w14:paraId="09F73A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 信噪比：≥105dB；</w:t>
            </w:r>
          </w:p>
          <w:p w14:paraId="71988A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 支持宽电压，电压范围：宽于或等于88-265V；</w:t>
            </w:r>
          </w:p>
          <w:p w14:paraId="3F2267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3.16 </w:t>
            </w:r>
            <w:r>
              <w:rPr>
                <w:rFonts w:hint="eastAsia" w:ascii="宋体" w:hAnsi="宋体" w:eastAsia="宋体" w:cs="宋体"/>
                <w:color w:val="auto"/>
                <w:szCs w:val="21"/>
                <w:highlight w:val="none"/>
                <w:lang w:eastAsia="zh-CN"/>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p>
          <w:p w14:paraId="2E08155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4.监听音箱（2只）：</w:t>
            </w:r>
          </w:p>
          <w:p w14:paraId="045463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喇叭单元：≥5英寸中低音+2寸丝膜高音；</w:t>
            </w:r>
          </w:p>
          <w:p w14:paraId="5657B3D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箱体材质：高密度实木板材；</w:t>
            </w:r>
          </w:p>
          <w:p w14:paraId="2D04515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功率：≥2*50W(RMS)；</w:t>
            </w:r>
          </w:p>
          <w:p w14:paraId="5C43A9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信噪比：≥80dB；</w:t>
            </w:r>
          </w:p>
          <w:p w14:paraId="3798742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 频响范围：65Hz-20KHz；</w:t>
            </w:r>
          </w:p>
          <w:p w14:paraId="441A5B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 失真度：≤1%,1W。</w:t>
            </w:r>
          </w:p>
          <w:p w14:paraId="0B0DC9B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三、还音系统（1套）：</w:t>
            </w:r>
          </w:p>
          <w:p w14:paraId="2627B42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1.线阵全频音箱（2只）：</w:t>
            </w:r>
          </w:p>
          <w:p w14:paraId="0AF2873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内置≥2*8寸低音单元，≥3寸低音单元；</w:t>
            </w:r>
          </w:p>
          <w:p w14:paraId="7C32657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频率范围不劣于：65Hz-18KHz；</w:t>
            </w:r>
          </w:p>
          <w:p w14:paraId="60CC36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灵敏度≥101dB；</w:t>
            </w:r>
          </w:p>
          <w:p w14:paraId="5F30D0B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输入阻抗≤8Ω；</w:t>
            </w:r>
          </w:p>
          <w:p w14:paraId="26590AD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额定功率≥550W；</w:t>
            </w:r>
          </w:p>
          <w:p w14:paraId="554715F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最大声压级≥127dB；</w:t>
            </w:r>
          </w:p>
          <w:p w14:paraId="5DBC8A8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覆盖范围（H*V）：≥110°*10°；</w:t>
            </w:r>
          </w:p>
          <w:p w14:paraId="2545C0C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2.线阵超低音箱（2只）：</w:t>
            </w:r>
          </w:p>
          <w:p w14:paraId="47E283F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≥18寸低音单元；</w:t>
            </w:r>
          </w:p>
          <w:p w14:paraId="572300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频率范围不劣于：35Hz-250Hz；</w:t>
            </w:r>
          </w:p>
          <w:p w14:paraId="442D64E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灵敏度≥99dB；</w:t>
            </w:r>
          </w:p>
          <w:p w14:paraId="52B822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输入阻抗≥8Ω；</w:t>
            </w:r>
          </w:p>
          <w:p w14:paraId="5BC1C98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额定功率≥600W；</w:t>
            </w:r>
          </w:p>
          <w:p w14:paraId="0E83FD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最大声压级≥125dB；</w:t>
            </w:r>
          </w:p>
          <w:p w14:paraId="4A0ED4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3.专业功放（3台）：</w:t>
            </w:r>
          </w:p>
          <w:p w14:paraId="271911F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额定功率：≥8Ω1000W*4，≥4Ω1700W*4，≥2Ω2890W*4，≥桥接8Ω3400W*2；</w:t>
            </w:r>
          </w:p>
          <w:p w14:paraId="6C22532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信噪比≥105dB；</w:t>
            </w:r>
          </w:p>
          <w:p w14:paraId="0ACA61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失真度THD：0.01%；</w:t>
            </w:r>
          </w:p>
          <w:p w14:paraId="31638B2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输入阻抗：20kΩ(平衡)，10kΩ(非平衡)；</w:t>
            </w:r>
          </w:p>
          <w:p w14:paraId="30252E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频率响应：20HZ-20KHz；</w:t>
            </w:r>
          </w:p>
          <w:p w14:paraId="352A74D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阻尼系数：≥5000；</w:t>
            </w:r>
          </w:p>
          <w:p w14:paraId="3F3FAD3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支持电源欠压保护、功放输出直流保护、过热保护、温度功率控制、过载功率控制；</w:t>
            </w:r>
          </w:p>
          <w:p w14:paraId="1CA9635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采用D类数字放大电路；</w:t>
            </w:r>
          </w:p>
          <w:p w14:paraId="6B2D2D9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4.线阵田字架（2只）：配套线阵音箱使用；</w:t>
            </w:r>
          </w:p>
          <w:p w14:paraId="6B094F8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5.音箱：</w:t>
            </w:r>
          </w:p>
          <w:p w14:paraId="21A777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内置≥10" 低音单元，≥1"高音单元；</w:t>
            </w:r>
          </w:p>
          <w:p w14:paraId="0163086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频率响应不劣于：85Hz-18KHz；</w:t>
            </w:r>
          </w:p>
          <w:p w14:paraId="51068D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额定功率≥350W；</w:t>
            </w:r>
          </w:p>
          <w:p w14:paraId="6927280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灵敏度≥95dB/W/M；</w:t>
            </w:r>
          </w:p>
          <w:p w14:paraId="59EC4A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5.5 覆盖角度（H*V）：≥100°*70°(可旋转)；</w:t>
            </w:r>
          </w:p>
          <w:p w14:paraId="3185326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5.6 阻抗≥8Ω；</w:t>
            </w:r>
          </w:p>
          <w:p w14:paraId="4B211A9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5.7 最大声压级≥120dB；</w:t>
            </w:r>
          </w:p>
          <w:p w14:paraId="7234FF2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5.8 配套壁挂安装支架；</w:t>
            </w:r>
          </w:p>
          <w:p w14:paraId="074FA05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6.全频音箱（2只）：</w:t>
            </w:r>
          </w:p>
          <w:p w14:paraId="320BFA1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≥8" 低音单元，≥1.35"高音单元；</w:t>
            </w:r>
          </w:p>
          <w:p w14:paraId="6FAB2BC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频率响应不劣于：70Hz-18KHz；</w:t>
            </w:r>
          </w:p>
          <w:p w14:paraId="5A660A3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额定功率：≥200W；</w:t>
            </w:r>
          </w:p>
          <w:p w14:paraId="0B28535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灵敏度：≥93dB/W/M；</w:t>
            </w:r>
          </w:p>
          <w:p w14:paraId="42A09DF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覆盖角度（H*V）：≥90°*50°；</w:t>
            </w:r>
          </w:p>
          <w:p w14:paraId="2D4B6F8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阻抗：≥8Ω；</w:t>
            </w:r>
          </w:p>
          <w:p w14:paraId="4A10B2B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6.7 最大声压级：≥116dB；</w:t>
            </w:r>
          </w:p>
          <w:p w14:paraId="2B05DCC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7.专业功放（3台）：</w:t>
            </w:r>
          </w:p>
          <w:p w14:paraId="31AE2BF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额定功率：≥8Ω450W*2，≥4Ω765W*2，≥2Ω1300W*2，≥桥接8Ω1530W*1；</w:t>
            </w:r>
          </w:p>
          <w:p w14:paraId="27A23DC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信噪比：≥105dB；</w:t>
            </w:r>
          </w:p>
          <w:p w14:paraId="4A291B2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失真度：THD≤0.01%；</w:t>
            </w:r>
          </w:p>
          <w:p w14:paraId="75B9177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输入阻抗：20kΩ(平衡)，10kΩ(非平衡)；</w:t>
            </w:r>
          </w:p>
          <w:p w14:paraId="1488296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频率响应：20HZ-20KHz；</w:t>
            </w:r>
          </w:p>
          <w:p w14:paraId="6D4D17D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7.6 阻尼系数：≥5000；</w:t>
            </w:r>
          </w:p>
          <w:p w14:paraId="0E12CFD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7.7 支持电源欠压保护、功放输出直流保护、过热保护、温度功率控制、过载功率控制；</w:t>
            </w:r>
          </w:p>
          <w:p w14:paraId="0D9343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7.8 采用ClassD技术,转换效率≥90%。</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7029D8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810" w:type="dxa"/>
            <w:vAlign w:val="center"/>
          </w:tcPr>
          <w:p w14:paraId="340E25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矩阵传输控制系统</w:t>
            </w:r>
          </w:p>
        </w:tc>
        <w:tc>
          <w:tcPr>
            <w:tcW w:w="661" w:type="dxa"/>
            <w:vAlign w:val="center"/>
          </w:tcPr>
          <w:p w14:paraId="784C717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35D5DB7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6269" w:type="dxa"/>
            <w:vAlign w:val="center"/>
          </w:tcPr>
          <w:p w14:paraId="78FAB54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一、高清会议摄像机（3台）：</w:t>
            </w:r>
          </w:p>
          <w:p w14:paraId="7F32A81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1.具备≥20倍光学变倍镜头，支持≥16倍数字变焦；采用1/2.8英寸、≥207万有效像素的HD CMOS传感器；</w:t>
            </w:r>
          </w:p>
          <w:p w14:paraId="7BC13B8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2.镜头：f4.42mm~88.5mm,F1.8~F2.8；</w:t>
            </w:r>
          </w:p>
          <w:p w14:paraId="7CAA77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3.支持多达255个预置位，预置位精度：0.1°；</w:t>
            </w:r>
          </w:p>
          <w:p w14:paraId="6177FFA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4.支持SDI、HDMI、USB 3.0和网络音视频输出；</w:t>
            </w:r>
          </w:p>
          <w:p w14:paraId="11C71CB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5.内置双麦克风阵列，麦克风频响不劣于100Hz至16KHz；</w:t>
            </w:r>
          </w:p>
          <w:p w14:paraId="689D4B4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6.具备全接口低延迟技术，所有视频输出接口均达到低延迟指标，同时支持4口同出且均支持1080P60；</w:t>
            </w:r>
          </w:p>
          <w:p w14:paraId="059BD91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7.支持H.264/H.265视频编码标准、YUY2/MJPEG/H.264视频输出格式、AAC音频压缩标准、VISCA/Pelco-D/Pelco-P协议；</w:t>
            </w:r>
          </w:p>
          <w:p w14:paraId="46067CF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8.支持NDI｜HX, TCP/IP, HTTP, RTSP, RTMP, Onvif, DHCP, 组播,SRT,GB/T28281网络协议；</w:t>
            </w:r>
          </w:p>
          <w:p w14:paraId="7FD6B2C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9.≥1路USB 3.0、≥1路HDMI、≥1路3G-SD、≥1路RJ45网口、≥1路3.5mm 音频接口、≥1路RS232、≥1路RS485；</w:t>
            </w:r>
          </w:p>
          <w:p w14:paraId="614A92C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10.最大广角（水平视角）≥60 度，水平转动范围：±170°。</w:t>
            </w:r>
          </w:p>
          <w:p w14:paraId="672ED12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二、分布式终端接口机（6台）：</w:t>
            </w:r>
          </w:p>
          <w:p w14:paraId="62BB759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1.采用Linux系统分布式架构设计，去中心化构架，可扩展任意数量节点；</w:t>
            </w:r>
          </w:p>
          <w:p w14:paraId="775D37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2.一体化输入节点，分辨率≥3840*2160@30Hz(向下兼容)；</w:t>
            </w:r>
          </w:p>
          <w:p w14:paraId="1EC76FE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3.具备≥2路3.5mm音频接口，≥3路USB 2.0接口，≥1路网口，≥1路光口，≥2路HDMI输入输出接口，≥1路RS-232接口，≥1路RS-485接口，≥3路IR/IO5.接口；</w:t>
            </w:r>
          </w:p>
          <w:p w14:paraId="693922A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4.USB数据可实现USB数据远程传输，如U盘或者USB硬盘的数据拷贝，远程U盾认证接入应用；</w:t>
            </w:r>
          </w:p>
          <w:p w14:paraId="14D96D0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5.音频接口同时具备声学回声消除功能(AEC)、背景噪声抑制功能(ANS)、自动增益控制功能(AGC)；</w:t>
            </w:r>
          </w:p>
          <w:p w14:paraId="06DAFD7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6.网络备份支持RJ45网口和SFP光口网络备份，支持标准POE供电；</w:t>
            </w:r>
          </w:p>
          <w:p w14:paraId="7A2D2E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7.网络通讯支持节点音频(HDMI所含音频及音频接口音频)码流与音频系统码流直接网络通讯，不需要外接音频线；</w:t>
            </w:r>
          </w:p>
          <w:p w14:paraId="2512B1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布式系统平台支持四级多套分布式系统级联组网应用，实现音视频及控制融合，组建音/视/控汇聚资源池，媒体源列表支持显示本级和全局的所有资源，实现四级多套分布式系统之间音视频与控制的互联互通，统一可视化管控；</w:t>
            </w:r>
          </w:p>
          <w:p w14:paraId="02833E8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操作功能具备预先操作功能，预操作信号源支持节点图像、对接的监控平台图像及对接的视频会议MCU会场图像，预操作显示支持投影、电视、LED大屏、LCD大屏等类型，大屏显示画面和开窗布局支持调整过程中无实时输出显示，调整后支持一键将调整好的开窗布局和图像上屏显示</w:t>
            </w:r>
            <w:r>
              <w:rPr>
                <w:rFonts w:hint="eastAsia" w:ascii="宋体" w:hAnsi="宋体" w:eastAsia="宋体" w:cs="宋体"/>
                <w:color w:val="auto"/>
                <w:szCs w:val="21"/>
                <w:highlight w:val="none"/>
                <w:lang w:eastAsia="zh-CN"/>
              </w:rPr>
              <w:t>；</w:t>
            </w:r>
          </w:p>
          <w:p w14:paraId="2CB62D1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cs="宋体"/>
                <w:color w:val="auto"/>
                <w:kern w:val="2"/>
                <w:sz w:val="21"/>
                <w:szCs w:val="21"/>
                <w:highlight w:val="none"/>
                <w:lang w:val="en-US" w:eastAsia="zh-CN" w:bidi="ar-SA"/>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r>
              <w:rPr>
                <w:rFonts w:hint="eastAsia" w:ascii="宋体" w:hAnsi="宋体" w:eastAsia="宋体" w:cs="宋体"/>
                <w:color w:val="auto"/>
                <w:kern w:val="2"/>
                <w:sz w:val="21"/>
                <w:szCs w:val="21"/>
                <w:highlight w:val="none"/>
                <w:lang w:val="en-US" w:eastAsia="zh-CN" w:bidi="ar-SA"/>
              </w:rPr>
              <w:t>。</w:t>
            </w:r>
          </w:p>
          <w:p w14:paraId="0EC4AF8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三、分布式终端接口机（5台）：</w:t>
            </w:r>
          </w:p>
          <w:p w14:paraId="1EE12AA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1.采用Linux系统分布式架构设计，去中心化构架，可扩展任意数量节点,分辨率≥3840x2160@30Hz(向下兼容)；</w:t>
            </w:r>
          </w:p>
          <w:p w14:paraId="77068B3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2.拼接功能支持大屏拼接功能：支持LCD液晶屏/LED屏/DLP屏等类型屏拼接显示，高精度同步校准分布式节点同步误差≤0.01ms；</w:t>
            </w:r>
          </w:p>
          <w:p w14:paraId="41A9B1C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3.具备≥1路3.5mm音频接口，≥1路MIC输入接口，≥3路USB 2.0接口，≥1路网口，≥1路光口，≥2路HDMI输入输出接口，≥1路RS-232接口，≥1路RS-485接口，≥3路IR/IO5.接口；</w:t>
            </w:r>
          </w:p>
          <w:p w14:paraId="469524D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4.单节点单节点支持同时开设不少于64个活动窗口；</w:t>
            </w:r>
          </w:p>
          <w:p w14:paraId="61F898F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5.音频接口同时具备声学回声消除功能(AEC)、背景噪声抑制功能(ANS)、自动增益控制功能(AGC)；</w:t>
            </w:r>
          </w:p>
          <w:p w14:paraId="40DB19B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6.网络备份支持RJ45网口和SFP光口网络备份，支持标准POE供电；</w:t>
            </w:r>
          </w:p>
          <w:p w14:paraId="4274509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7.网络通讯支持节点音频(HDMI所含音频及音频接口音频)码流与音频系统码流直接网络通讯，不需要外接音频线；</w:t>
            </w:r>
          </w:p>
          <w:p w14:paraId="55A10DC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布式系统平台支持四级多套分布式系统级联组网应用，实现音视频及控制融合，组建音/视/控汇聚资源池，媒体源列表支持显示本级和全局的所有资源，实现四级多套分布式系统之间音视频与控制的互联互通，统一可视化管控；</w:t>
            </w:r>
          </w:p>
          <w:p w14:paraId="0B5A385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操作功能具备预先操作功能，预操作信号源支持节点图像、对接的监控平台图像及对接的视频会议MCU会场图像，预操作显示支持投影、电视、LED大屏、LCD大屏等类型，大屏显示画面和开窗布局支持调整过程中无实时输出显示，调整后支持一键将调整好的开窗布局和图像上屏显示。</w:t>
            </w:r>
          </w:p>
          <w:p w14:paraId="737E01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四、分布式综合管理系统控制软件（1套）：</w:t>
            </w:r>
          </w:p>
          <w:p w14:paraId="15DBF85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1.支持自由操控，通过手指简单拖拽即可完成上屏操作，实现所有视频信号源的视窗管理、拼接、任意缩放、画中画、画面漫游等功能；</w:t>
            </w:r>
          </w:p>
          <w:p w14:paraId="0699DA8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2.支持大屏开窗时既可2*2、3*3等规则开窗，也可通过手动拖动随意分割窗布局进行不规则开窗；</w:t>
            </w:r>
          </w:p>
          <w:p w14:paraId="50228C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3.支持虚拟屏与大屏实时预览，可根据实际需求进行标清、高清、超清的选择；</w:t>
            </w:r>
          </w:p>
          <w:p w14:paraId="08140AD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无限多路的预案实时保存、实时调用、任意设定时间定时轮巡，可定义不同场景切换效果及场景名称，场景切换响应时间短，超低延时，画面极致流畅，窗口操作即时响应，也可不借助任何设备及插件在平板端实现语音调取预案上屏功能；</w:t>
            </w:r>
          </w:p>
          <w:p w14:paraId="48693B5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5.支持LED、DID、LCD、DLP 拼接、漫游、拖拽、自定义分割、多图层叠加显示，单屏同时支持16路视频显示及叠加；标准分辨率输出，实现无缝拼接；</w:t>
            </w:r>
          </w:p>
          <w:p w14:paraId="7347B60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6.支持视频传输RTSP、RTMP协议、私有协议；音频AAC、G.711、G.726，支持音视频同步以及异步切换；最大支持16路音频混音播放；</w:t>
            </w:r>
          </w:p>
          <w:p w14:paraId="364152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7.支持H.264和H.265的IPC编码摄像机，IPC网络摄像机机信号接入直接输出显示到大屏，无需第三方转码服务器；</w:t>
            </w:r>
          </w:p>
          <w:p w14:paraId="14100AE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8.支持多平台实时预览操作、不同终端操作实时同步操作、操作软件可运行于PC端、移动端（IOS、Andriod）、不同分辨率(模拟/标清/高清)，多平台下配置不依赖服务器情况下自动同步状态；</w:t>
            </w:r>
          </w:p>
          <w:p w14:paraId="661C575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9.支持在IOS端进行远程电脑桌面控制，远程开机、关机，pad端和远程电脑之间网络隔离；</w:t>
            </w:r>
          </w:p>
          <w:p w14:paraId="34FA971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10.支持软件界面自定义，可通过编辑器用鼠标简单拖拽的方式自定义软件界面和风格；</w:t>
            </w:r>
          </w:p>
          <w:p w14:paraId="62BDAB8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11.支持预览信号裁剪，裁剪后的信号自动显示到预览列表中，可作为独立信号上屏；</w:t>
            </w:r>
          </w:p>
          <w:p w14:paraId="67BC2A3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信号分组管理，信号权限管理；支持对信号源分类分组及排序管理功能，可以对所有信号源进行三级分组管理，以树状形式显示，也可按名称、IP、自定义的方式进行排序；客户端软件支持不少于50路实时动态图像预览显示；</w:t>
            </w:r>
          </w:p>
          <w:p w14:paraId="2CDC76F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13.支持组合信号（例：4个信号组合成一个信号），组合信号可整体移动，上屏，保存到场景等，也可以直接对组合信号进行远程控制；</w:t>
            </w:r>
          </w:p>
          <w:p w14:paraId="003EBCB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14.支持上屏模式的设置，可根据实际需求设置四种上屏模式：普通、互斥、无限、覆盖；</w:t>
            </w:r>
          </w:p>
          <w:p w14:paraId="5548876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15.支持OSD滚动字幕,字体、颜色、大小等设置,支持高清底图；支持双台标，可台标进行文字修改；</w:t>
            </w:r>
          </w:p>
          <w:p w14:paraId="2C5236B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16.支持云台的拉近，推远，左右旋转，音量控制等；</w:t>
            </w:r>
          </w:p>
          <w:p w14:paraId="71B8B6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17.支持预操作模式，支持在虚拟屏区进行布局，画面调整过程不会在大屏实时显示。点击推屏按钮时，可将调整好的布局一键上屏显示，防止误操作产生；</w:t>
            </w:r>
          </w:p>
          <w:p w14:paraId="5AD988A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18.可在软件端绑定好网页，只在软件端登录网页，查询资料；</w:t>
            </w:r>
          </w:p>
          <w:p w14:paraId="4F57A5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19.支持音频可视化管理，可用滑条对节点的输出音量大小进行控制，也可以对其中的某路音频进行单独控制；支持音频能量条展示，用动画效果展示节点的音频状态；</w:t>
            </w:r>
          </w:p>
          <w:p w14:paraId="23DA54B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20.支持环境控制模块，可无需借助中控等设备，直接通过RS232.RS485等串口对灯光、窗帘等环境进行控制；</w:t>
            </w:r>
          </w:p>
          <w:p w14:paraId="3A3E394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21.支持中文、英文等多语言显示。</w:t>
            </w:r>
          </w:p>
          <w:p w14:paraId="623FCB9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五、分布式编程软件（2套）：</w:t>
            </w:r>
          </w:p>
          <w:p w14:paraId="1B4F8E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1.可用于节点的运行状态的查看、修改、参数配置以及IU界面的设计配置；</w:t>
            </w:r>
          </w:p>
          <w:p w14:paraId="63321D1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2.支持在线对节点的名称、类型、网关、IP地址等进行实时批量修改；</w:t>
            </w:r>
          </w:p>
          <w:p w14:paraId="26AD5D1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3.支持在线对节点的版本进行批量升级，输入输出可以互相升级，以适应项目数量的不确定，灵活配置；</w:t>
            </w:r>
          </w:p>
          <w:p w14:paraId="484E734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4.支持自定义修改输出分辨率，以适应LED屏的特殊分辨率输出；</w:t>
            </w:r>
          </w:p>
          <w:p w14:paraId="2996C06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5.支持输入节点OSD的设置，可以设置显示输入节点的名称、时间、台标等，支持双台标显示；</w:t>
            </w:r>
          </w:p>
          <w:p w14:paraId="328F074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6.支持输入输出的音频设置，可选择音频输入输出接口类型，编码类型，混音等；</w:t>
            </w:r>
          </w:p>
          <w:p w14:paraId="5D9D2DA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7.支持设置大屏输出节点的IP显示，方便查看每个屏幕所对应的IP地址；</w:t>
            </w:r>
          </w:p>
          <w:p w14:paraId="26F9DE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8.支持设置输出节点的色彩调整：亮度、对比度、色度、饱和度等；</w:t>
            </w:r>
          </w:p>
          <w:p w14:paraId="2FC7E4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9.支持EDID扩展显示标识自动识别；</w:t>
            </w:r>
          </w:p>
          <w:p w14:paraId="7B382F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10.支持输出节点原始底图的修改，可设置任意底图，以便于项目的展示；</w:t>
            </w:r>
          </w:p>
          <w:p w14:paraId="0136F3E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11.支持在线对所有的节点的重启，恢复出厂设置。可直接配置ipc的rtsp地址进行对ipc的取流；</w:t>
            </w:r>
          </w:p>
          <w:p w14:paraId="5C54D7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12.可通过拖拽式的方式对管控平台以及运维系统的IU界面、功能进行任意修改配置，以便于项目现场多变的需求。</w:t>
            </w:r>
          </w:p>
          <w:p w14:paraId="3974FAB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六、分布式中控主机（1台）：</w:t>
            </w:r>
          </w:p>
          <w:p w14:paraId="5EC9809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1.采用Linux系统分布式架构设计，去中心化构架，可扩展任意数量节点无需服务器和主控节点，每个节点节点独立不互相干扰；</w:t>
            </w:r>
          </w:p>
          <w:p w14:paraId="00BE55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2.无风扇静音设计,支持1U机柜独立安装或同时并排安装2台；</w:t>
            </w:r>
          </w:p>
          <w:p w14:paraId="523AB9A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3.每个节点单元均采用H.265数据流编解码芯片并向下兼容，保证系统运行的流畅性；</w:t>
            </w:r>
          </w:p>
          <w:p w14:paraId="701F7AA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4.视频输入：支持RTSP、RTMP协议,私有协议，2路HDMI,内嵌音频同步或异步输入,支持端口备份;支持1路编码，1路HDMI环出；</w:t>
            </w:r>
          </w:p>
          <w:p w14:paraId="5D7F4E0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5.音频输入：支持AAC、G.711.G.726,私有协议，支持CBR/VBR,支持帧率可调1-60fps，音频输入接口,内嵌音频同步或异步输入,支持音量调节,支持同步、异步和混音三种方式；支持多路音频混音播放，且无损音质；</w:t>
            </w:r>
          </w:p>
          <w:p w14:paraId="1C9B9D2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6.支持音频可视化分模块管理，用滑条对各路节点的输出音量大小进行控制，可对音频进行能量条展示，用动画效果展示节点的音频状态；</w:t>
            </w:r>
          </w:p>
          <w:p w14:paraId="7C20E13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7.具备1个电源指示灯、1个视频信号指示灯、1 个网络状态及信号传输状态灯、1个恢复出厂设置按键、3个USB 2.0接口、1个千兆网口，1路千兆光口，2路HDMI视频输入输出接口、2路3.5mm音频输入输出接口，1路RS232接口，1路RS485接口，3路IR/IO。</w:t>
            </w:r>
          </w:p>
          <w:p w14:paraId="6976B8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8.支持HDMI，DVI、VGA等各种信号，输入信号分辨率最高支持3840*2160@30Hz（向下兼容）；</w:t>
            </w:r>
          </w:p>
          <w:p w14:paraId="5ABBFB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9.支持定码率传输,可调范围：128kbps~40Mbps；</w:t>
            </w:r>
          </w:p>
          <w:p w14:paraId="0650756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10.支持单播和组播；</w:t>
            </w:r>
          </w:p>
          <w:p w14:paraId="370C212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11.支持H.264和H.265的IPC编码摄像机，IPC网络摄像机信号接入直接输出显示到大屏，无需第三方转码服务器，支持云台的拉近，推远，左右旋转等；</w:t>
            </w:r>
          </w:p>
          <w:p w14:paraId="471D97A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12.系统场景能提供一键恢复功能；节点设备具备可编程存储能力，可在断电重启后自动恢复系统到断电前状态，如：音量大小、大屏开关、信号位置、灯光环境等；</w:t>
            </w:r>
          </w:p>
          <w:p w14:paraId="081679D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13.支持对信号源分类分组及排序管理功能，可以对所有信号源进行三级分组管理，以树状形式显示，也可按名称、IP、自定义的方式进行排序；客户端软件支持不少于50路实时动态图像预览显示；</w:t>
            </w:r>
          </w:p>
          <w:p w14:paraId="3DBDAF9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14.支持设备名称、时间、台标等OSD叠加显示；支持双台标，可台标进行文字修改；</w:t>
            </w:r>
          </w:p>
          <w:p w14:paraId="35581C6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15.支持环境控制模块，可无需借助中控等设备，直接通过RS232.RS485等串口对灯光、窗帘等环境进行控制；</w:t>
            </w:r>
          </w:p>
          <w:p w14:paraId="16A8FCD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16.支持OSD字幕叠加,支持高清底图；</w:t>
            </w:r>
          </w:p>
          <w:p w14:paraId="552E60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17.支持EDID扩展显示标识自动识别,支持HDCP；</w:t>
            </w:r>
          </w:p>
          <w:p w14:paraId="39E1761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18.支持POE与外部供电双供电模式；</w:t>
            </w:r>
          </w:p>
          <w:p w14:paraId="4E5EF1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19.支持通过网络对编码设备进行升级操作；</w:t>
            </w:r>
          </w:p>
          <w:p w14:paraId="1DEEAB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20.支持光网热备份；</w:t>
            </w:r>
          </w:p>
          <w:p w14:paraId="5CCF09D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21.支持节点液晶显示屏状态显示，可以显示节点名称、ip地址、运行状态等。</w:t>
            </w:r>
          </w:p>
          <w:p w14:paraId="786F3DE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七、音视频管理平台（1套）：</w:t>
            </w:r>
          </w:p>
          <w:p w14:paraId="2B25EBF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该系统可通过音频综合管理平台软件进行统一管理，为了方便项目音频设备统一管理，要求音频综合管理平台软件集成全数字会议系统软件模块、电子桌牌软件模块、反馈抑制器软件模块、智能混音器软件模块、数字音频处理器软件模块、智控数字专业功放软件模块，各模块打开呈现在状态栏窗口，可快速管理和调用，并支持自动检测音频处理器、智能混音器、反馈抑制器、数字功放设备最新固件版本、软件最新版本；</w:t>
            </w:r>
          </w:p>
          <w:p w14:paraId="717F3E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了方便项目音频设备统一管理，支持扫描硬件设备功能（包括全数字会议系统、电子桌牌系统、音频处理器、智能混音器、反馈抑制器、数字功放等系统硬件设备），可以通过平台扫描所有在线设备，并显示设备硬件名称、硬件型号、硬件IP地址、在线、离线状态等信息；可以针对不同硬件类型选择适用软件版本，并直接下载或打开；</w:t>
            </w:r>
          </w:p>
          <w:p w14:paraId="1797EC3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3.具有检测设备固件版本以及版本升级功能；通过检测在线设备硬件版本，检测到有新版本时提供更新提示，用户可以对固件进行升级；</w:t>
            </w:r>
          </w:p>
          <w:p w14:paraId="5B47DE2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应用列表显示，支持显示已下载的软件（包括全数字会议系统软件模块、电子桌牌软件模块、反馈抑制器软件模块、智能混音器软件模块、数字音频处理器软件模块、智控数字专业功放软件模块），可以选择打开应用、卸载应用，应用上移、下移功能；</w:t>
            </w:r>
          </w:p>
          <w:p w14:paraId="399229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软件配置信息备份及还原功能（包括全数字会议系统软件模块、反馈抑制器软件模块、智能混音器软件模块、数字音频处理器软件模块、智控数字专业功放软件模块），支持将软件配置信息上传云端或保存本地，用户可以选择备份数据一键还原；</w:t>
            </w:r>
          </w:p>
          <w:p w14:paraId="2F1D9F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6.具有全数字会议系统软件模块，软件具有签到、表决、话筒管理、会议管理、语音激励、模拟排位、摄像跟踪、译员机语种及多语言版本等功能；</w:t>
            </w:r>
          </w:p>
          <w:p w14:paraId="2797466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具有电子桌牌软件模块，软件支持铭牌设置及更新、中英俄多语言版本选择、集中控制、自定义投票表决、无线表决器人员设置、模拟排位、签到表决、IP设置、多服务器大屏投影、一键关机、息屏、清屏、亮屏功能；</w:t>
            </w:r>
          </w:p>
          <w:p w14:paraId="7011BDF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8.具有反馈抑制器软件模块，软件支持反馈抑制AFC、场景切换及导入导出、在线固件升级、多设备管理、用户管理、信号选择、模拟输入、模拟输出、陷波器、噪声门、限幅器音频参数配置功能；</w:t>
            </w:r>
          </w:p>
          <w:p w14:paraId="41DF8D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9.具有智能混音器软件模块，软件支持多设备管理、≥4场景切换、在线批量升级，分组设置、数据备份、自定义通道名称、自动混音、矩阵、分频器、均衡器、闪避器等音频参数配置调节；</w:t>
            </w:r>
          </w:p>
          <w:p w14:paraId="65B3640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具有数字音频处理器软件模块，软件支持多设备管理、≥8场景切换、在线批量升级、用户管理，恢复出厂设置、备份还原、摄像跟踪、、实时啸叫点检测、深度可调陷波器、高精度移频、自动混音、回声消除、限幅器、均衡器、延时器、GPIO设置、串口设置等音频参数配置功能；</w:t>
            </w:r>
          </w:p>
          <w:p w14:paraId="57BEF25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具有智控数字专业功放软件模块，软件支持多设备管理、通道复制、桥接模式、灵敏度设置、在线固件批量升级、音量调节、正反向切换、矩阵、输入输出、扩展器、压缩器、限幅器、均衡器、分频器音频参数调节功能。</w:t>
            </w:r>
          </w:p>
          <w:p w14:paraId="3551D18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八、24口千兆交换机（4万兆）（1台）：</w:t>
            </w:r>
            <w:r>
              <w:rPr>
                <w:rFonts w:hint="eastAsia" w:ascii="宋体" w:hAnsi="宋体" w:eastAsia="宋体" w:cs="宋体"/>
                <w:color w:val="auto"/>
                <w:szCs w:val="21"/>
                <w:highlight w:val="none"/>
              </w:rPr>
              <w:t>≥24个千兆电口,≥4个万兆口光口。</w:t>
            </w:r>
          </w:p>
          <w:p w14:paraId="0BB6FC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九、数字高清信号源（1台）：</w:t>
            </w:r>
            <w:r>
              <w:rPr>
                <w:rFonts w:hint="eastAsia" w:ascii="宋体" w:hAnsi="宋体" w:eastAsia="宋体" w:cs="宋体"/>
                <w:color w:val="auto"/>
                <w:szCs w:val="21"/>
                <w:highlight w:val="none"/>
              </w:rPr>
              <w:t>配置不低于：十六核二十四线程CPU，32G内存，980G固态硬盘，RTX A2000显卡，具备EDID管理功能，支持不少于4路HDMI输入采集。</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558900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1810" w:type="dxa"/>
            <w:vAlign w:val="center"/>
          </w:tcPr>
          <w:p w14:paraId="1E3BA6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灯光系统</w:t>
            </w:r>
          </w:p>
        </w:tc>
        <w:tc>
          <w:tcPr>
            <w:tcW w:w="661" w:type="dxa"/>
            <w:vAlign w:val="center"/>
          </w:tcPr>
          <w:p w14:paraId="71B0D58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07D4C0B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6269" w:type="dxa"/>
            <w:vAlign w:val="center"/>
          </w:tcPr>
          <w:p w14:paraId="1E54350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一、COB光源成像灯（8套）：</w:t>
            </w:r>
          </w:p>
          <w:p w14:paraId="06E64AB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1.采用COB白光200W LED 3200K光源；</w:t>
            </w:r>
          </w:p>
          <w:p w14:paraId="226FBC7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2.具备19°光学角度，具有调光、手动调焦功能；</w:t>
            </w:r>
          </w:p>
          <w:p w14:paraId="1ADA072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3.具有3000k色温，Ra≥90显色指数；</w:t>
            </w:r>
          </w:p>
          <w:p w14:paraId="6E2B627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4.具有散热功能，采用铜管散热器风向引流与温度智能监控技术，根据灯具不同位置的温度高低，自动驱动灯具里面不同部位的冷却风扇，对灯具部件进行冷却；</w:t>
            </w:r>
          </w:p>
          <w:p w14:paraId="6D8315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5.具备DMX512接口，支持RDM协议，通过DMX数据线升级；</w:t>
            </w:r>
          </w:p>
          <w:p w14:paraId="1FA1AA0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6.支持DMX控制通道数量为2通道；</w:t>
            </w:r>
          </w:p>
          <w:p w14:paraId="3743CA1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二、控台（1台）：</w:t>
            </w:r>
          </w:p>
          <w:p w14:paraId="61AFE2E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1.具备256个DMX控制通道，一路光电隔离信号输出；</w:t>
            </w:r>
          </w:p>
          <w:p w14:paraId="02208BC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2.具备16台电脑灯或64路调光；</w:t>
            </w:r>
          </w:p>
          <w:p w14:paraId="3765031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3.具备自动生成灯库；</w:t>
            </w:r>
          </w:p>
          <w:p w14:paraId="218B733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4.采用背光LCD显示屏，可中英文切换显示界面；</w:t>
            </w:r>
          </w:p>
          <w:p w14:paraId="4152A57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5.具备35个内置图形；</w:t>
            </w:r>
          </w:p>
          <w:p w14:paraId="23626E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6.可独立设置图形参数；</w:t>
            </w:r>
          </w:p>
          <w:p w14:paraId="681306B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7.可储存80个重演场景，支持每个多步场景最多可储存100个单步；</w:t>
            </w:r>
          </w:p>
          <w:p w14:paraId="77F9E63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8.具备16个重演场景，可同时输出和运行；</w:t>
            </w:r>
          </w:p>
          <w:p w14:paraId="3DD09BA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9.具备16根集控推杆，按键点控和推杆集控兼容；</w:t>
            </w:r>
          </w:p>
          <w:p w14:paraId="222A7CC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10.具备关机或者突发断电等情况数据可记忆保持；</w:t>
            </w:r>
          </w:p>
          <w:p w14:paraId="772983D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11.具备U盘可备份控台数据，支持重新导入到控台使用，同型号控台数据可共享；</w:t>
            </w:r>
          </w:p>
          <w:p w14:paraId="743B970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12.支持远程软件升级；</w:t>
            </w:r>
          </w:p>
          <w:p w14:paraId="4B2009D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13.具备预置推杆可控制电脑灯的属性；</w:t>
            </w:r>
          </w:p>
          <w:p w14:paraId="02CCA53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14.支持立即黑场。</w:t>
            </w:r>
          </w:p>
          <w:p w14:paraId="1BA4E6D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三、直通箱（1台）：</w:t>
            </w:r>
          </w:p>
          <w:p w14:paraId="4AF0737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1.具备过载与短路双重保护高分断空气开关；</w:t>
            </w:r>
          </w:p>
          <w:p w14:paraId="2BEB388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2.支持12路×4kW功率输出；</w:t>
            </w:r>
          </w:p>
          <w:p w14:paraId="68BF8E2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3.支持A.B.C三相工作指示灯；</w:t>
            </w:r>
          </w:p>
          <w:p w14:paraId="6DF3007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4.支持两脚和三脚万能用插座；</w:t>
            </w:r>
          </w:p>
          <w:p w14:paraId="67D8B1F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四、信号放大器（1台）：</w:t>
            </w:r>
          </w:p>
          <w:p w14:paraId="5D3EE8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1.支持DMX512公母接口输入；</w:t>
            </w:r>
          </w:p>
          <w:p w14:paraId="11064F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2.支持输入输出光电隔离；</w:t>
            </w:r>
          </w:p>
          <w:p w14:paraId="259F27E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3.支持8路独立放大驱动输出；</w:t>
            </w:r>
          </w:p>
          <w:p w14:paraId="3D8D17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4.具备信号放大整形功能，延长信号传输距离；</w:t>
            </w:r>
          </w:p>
          <w:p w14:paraId="15EDFDF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5.具备增强数据总线接入设备数量的能力；</w:t>
            </w:r>
          </w:p>
          <w:p w14:paraId="79FB8BC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6.支持独立的LED信号指示。</w:t>
            </w:r>
          </w:p>
          <w:p w14:paraId="6720CB1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五、多功能灯勾（8套）：</w:t>
            </w:r>
            <w:r>
              <w:rPr>
                <w:rFonts w:hint="eastAsia" w:ascii="宋体" w:hAnsi="宋体" w:eastAsia="宋体" w:cs="宋体"/>
                <w:color w:val="auto"/>
                <w:szCs w:val="21"/>
                <w:highlight w:val="none"/>
              </w:rPr>
              <w:t>≥30mm厚，承重≥150kg，卡管：44-52mm，</w:t>
            </w:r>
          </w:p>
          <w:p w14:paraId="147C0B4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六、安全绳（16台）：</w:t>
            </w:r>
            <w:r>
              <w:rPr>
                <w:rFonts w:hint="eastAsia" w:ascii="宋体" w:hAnsi="宋体" w:eastAsia="宋体" w:cs="宋体"/>
                <w:color w:val="auto"/>
                <w:szCs w:val="21"/>
                <w:highlight w:val="none"/>
              </w:rPr>
              <w:t>直径≥4.0mm，总长850mm，承重≥150kg；</w:t>
            </w:r>
          </w:p>
          <w:p w14:paraId="121FE1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七、固定灯杆（1道）：</w:t>
            </w:r>
            <w:r>
              <w:rPr>
                <w:rFonts w:hint="eastAsia" w:ascii="宋体" w:hAnsi="宋体" w:eastAsia="宋体" w:cs="宋体"/>
                <w:color w:val="auto"/>
                <w:szCs w:val="21"/>
                <w:highlight w:val="none"/>
              </w:rPr>
              <w:t>根据现场情况定制。</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0E439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1810" w:type="dxa"/>
            <w:vAlign w:val="center"/>
          </w:tcPr>
          <w:p w14:paraId="104A9E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辅助系统</w:t>
            </w:r>
          </w:p>
        </w:tc>
        <w:tc>
          <w:tcPr>
            <w:tcW w:w="661" w:type="dxa"/>
            <w:vAlign w:val="center"/>
          </w:tcPr>
          <w:p w14:paraId="6BB3C9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14:paraId="41388A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6269" w:type="dxa"/>
            <w:vAlign w:val="center"/>
          </w:tcPr>
          <w:p w14:paraId="7D47D1B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一、智慧讲台（1套）：</w:t>
            </w:r>
          </w:p>
          <w:p w14:paraId="7FA52E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1.整机屏幕采用LED液晶屏，显示尺寸≥27英寸，屏幕使用4K A级硬屏。显示比例16:9，屏幕图像分辨率达3840*2160，可视角度178°，对比度≥1000:1，亮度≥350cd/㎡；</w:t>
            </w:r>
          </w:p>
          <w:p w14:paraId="3FF0228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★2.采用一体化设计，除电源线外，外部无任何内部功能模块的连接线。讲台带电动升降系统，满足不同演讲者的需求，可支持1130mm-1326mm范围升降；</w:t>
            </w:r>
          </w:p>
          <w:p w14:paraId="73B1271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3.采用电容触摸屏，支持20点触控，响应时间≤14ms；</w:t>
            </w:r>
          </w:p>
          <w:p w14:paraId="3A8E679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4.整机采用全贴合技术，钢化玻璃和液晶显示层无间隙，减少显示面板与玻璃间的偏光、散射；</w:t>
            </w:r>
          </w:p>
          <w:p w14:paraId="494F7E5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5.采用不低于Andriod 12.0触控大屏操作系统，CPU不低于8核，RAM≥8G，ROM≥64G；</w:t>
            </w:r>
          </w:p>
          <w:p w14:paraId="2515235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6.支持蓝牙功能，可通过外接蓝牙设备实现蓝牙传输；</w:t>
            </w:r>
          </w:p>
          <w:p w14:paraId="7E0CB4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7.整机内置无线WIFI模组，双WIFI设定，共模双频，一路作为WIFI连接网络，另一路作为热点投屏，且两路WIFI支持2.4G/5.8G双频段。整机内置隐藏天线，无外置显露天线，保证使用安全；</w:t>
            </w:r>
          </w:p>
          <w:p w14:paraId="7A8D1D0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8.内置2个鹅颈麦，可满足会场或教学拾音需求，无损声音传输；</w:t>
            </w:r>
          </w:p>
          <w:p w14:paraId="068BCE4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★9.为方便使用，面板上设置电源键，支持一键开关机待机；麦克风按键，支持一键开关麦克风，方便使用；具备电动升降按键；</w:t>
            </w:r>
          </w:p>
          <w:p w14:paraId="69AEE99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10.为方便使用，整机上配备书本托，避免滑落；整机上配备杯架，可放置水杯，闲置时可翻转收回；</w:t>
            </w:r>
          </w:p>
          <w:p w14:paraId="5B1AE4E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11.整机接口：Type-C≥1，USB 3.0≥2，HDMI IN≥1，HDMI OUT≥1，LAN≥1，DC IN≥1；</w:t>
            </w:r>
          </w:p>
          <w:p w14:paraId="48A701A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12.通过飞享应用，可实现手机传输图片、视频、文档等给智慧讲台，并可在智慧讲台进行打开、保存、插入白板等操作；</w:t>
            </w:r>
          </w:p>
          <w:p w14:paraId="7C6559A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13.多屏扩展显示：实现信号环接功能，支持HDMI通道画面输出，将画面信号传输到其它设备上显示，支持会议平板、智慧黑板、拼接屏等配合使用；</w:t>
            </w:r>
          </w:p>
          <w:p w14:paraId="1A0AAE9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★14.侧边栏：显示屏两侧均有可显示/可隐藏/可切换为悬浮球的侧边栏，支持手势呼出功能，实现返回，切回主页，设置，任意通道批注，进程管理等系统操作；</w:t>
            </w:r>
          </w:p>
          <w:p w14:paraId="082B6B3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★15.本地会议白板功能：</w:t>
            </w:r>
          </w:p>
          <w:p w14:paraId="3674C7B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支持单点书写，多点书写，笔锋书写，可自由切换书写模式；</w:t>
            </w:r>
          </w:p>
          <w:p w14:paraId="119D8C3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 具备漫游功能，根据手势识别功能可扩大或缩小书写区域；</w:t>
            </w:r>
          </w:p>
          <w:p w14:paraId="3E3A764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具备笔迹识别功能，可将手写文字转换为宋体或行书，支持中文、英文和中英混写；</w:t>
            </w:r>
          </w:p>
          <w:p w14:paraId="6CB467C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 手势识别：单点接触书写，两点放大缩小，多点漫游，面接触自动识别板擦功能，如手背贴在屏幕上时，自动识别橡皮擦功能，快速擦除书写内容；</w:t>
            </w:r>
          </w:p>
          <w:p w14:paraId="3DE7617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 支持6种图形插入，图片插入，图片插入可自定义插入路径；</w:t>
            </w:r>
          </w:p>
          <w:p w14:paraId="4B61AC3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15.6 具备智能图形绘制功能，可手绘圆型、矩形、三角形、直线、虚线和箭头并识别为标准图形；</w:t>
            </w:r>
          </w:p>
          <w:p w14:paraId="190267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15.7 具备智能表格功能，可默认插入2*2的表格，通过划线可增删行列，行高列宽根据书写内容自适应，可手动拖动行高列宽，可一键自适应内容；</w:t>
            </w:r>
          </w:p>
          <w:p w14:paraId="7D7AAF9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 支持流程图绘制，可插入圆角矩形、菱形、矩形和连接箭头；</w:t>
            </w:r>
          </w:p>
          <w:p w14:paraId="40ACCBA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 书写时可以增加多个页面，并可对每个页面内容进行编辑，最多支持99个页面保存；</w:t>
            </w:r>
          </w:p>
          <w:p w14:paraId="5A3865B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15.10 支持手机扫码保存、U盘保存、本地保存（可自定义命名、自定义目录、自定义保存文件格式）；</w:t>
            </w:r>
          </w:p>
          <w:p w14:paraId="2DAEA73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 支持白板文件直接打印，无需转化PDF等其他格式文件；</w:t>
            </w:r>
          </w:p>
          <w:p w14:paraId="267F53B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15.12 具备搜索功能，可插入百度搜索页面。还可配合笔迹识别、选择等功能实现直接对手写体文字进行关键词搜索；</w:t>
            </w:r>
          </w:p>
          <w:p w14:paraId="3CEA6E9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15.13 文件保存有三种格式可选择：图片、PDF、白板文件；</w:t>
            </w:r>
          </w:p>
          <w:p w14:paraId="5421AA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15.14 支持白板文件二次编辑；</w:t>
            </w:r>
          </w:p>
          <w:p w14:paraId="28DA07B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15.15 支持无书写加页；</w:t>
            </w:r>
          </w:p>
          <w:p w14:paraId="5A0F7A4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15.16 支持退出时可选择是否保存白板；</w:t>
            </w:r>
          </w:p>
          <w:p w14:paraId="5275818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可将插入的图片进行角度翻转；</w:t>
            </w:r>
          </w:p>
          <w:p w14:paraId="5CCF1BB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 支持插入4K视频；</w:t>
            </w:r>
          </w:p>
          <w:p w14:paraId="7D732F5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15.19 支持白板隔页复制功能，可将当前页选中内容复制到其他页；</w:t>
            </w:r>
          </w:p>
          <w:p w14:paraId="25AD47D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15.20 支持白板文字图钉功能，选中内容可在每页相同位置显示；</w:t>
            </w:r>
          </w:p>
          <w:p w14:paraId="54B9811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16.支持文件演示，视频播放，可直接打开U盘或者本地保存的PPT，Word，Excel，图片，4K视频，PPT演示过程中可翻页，在线编辑，批注，批注可以截图的形式保存；</w:t>
            </w:r>
          </w:p>
          <w:p w14:paraId="7AACEA5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17.任意通道批注，支持十点书写批注，方便多人同步演示，批注内容可以截图的形式保存在白板中，实现二次批注；</w:t>
            </w:r>
          </w:p>
          <w:p w14:paraId="5391F1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18.欢迎界面：内置多种背景模板，方便多种场景快速开启欢迎模式，支持插入背景音乐，渲染会场气氛，一键开启签名墙模式，禁止修改书写内容，防止后人签名时擦除前人的笔记，支持保存签名文件；</w:t>
            </w:r>
          </w:p>
          <w:p w14:paraId="16171DE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19.文件管理器能自动识别文件格式并进行分类，方便查找</w:t>
            </w:r>
            <w:r>
              <w:rPr>
                <w:rFonts w:hint="eastAsia" w:ascii="宋体" w:hAnsi="宋体" w:eastAsia="宋体" w:cs="宋体"/>
                <w:color w:val="auto"/>
                <w:szCs w:val="21"/>
                <w:highlight w:val="none"/>
                <w:lang w:eastAsia="zh-CN"/>
              </w:rPr>
              <w:t>；</w:t>
            </w:r>
          </w:p>
          <w:p w14:paraId="73107B8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中标后提供产品具有CMA或CNAS标识的相关检测报告及产品品牌方原厂针对本项目出具盖章质保函作为验收参考材料，不能提供有效质保函或检测报告参数低于招标参数的视为虚假响应，中标人应承担虚假响应导致的一切索赔责任。</w:t>
            </w:r>
          </w:p>
          <w:p w14:paraId="3492B8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二、笔记本电脑（2套）：</w:t>
            </w:r>
          </w:p>
          <w:p w14:paraId="78BF678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配置不低于：</w:t>
            </w:r>
            <w:r>
              <w:rPr>
                <w:rFonts w:hint="eastAsia" w:ascii="宋体" w:hAnsi="宋体" w:eastAsia="宋体" w:cs="宋体"/>
                <w:color w:val="auto"/>
                <w:szCs w:val="21"/>
                <w:highlight w:val="none"/>
              </w:rPr>
              <w:t>不少于14核心20线程CPU，32G 3200Mhz内存，500G固态硬盘，8GB GDDR6显存独立显卡，GPU频率不低于2350MHz，等效运算单元或CUDA数量不少于3000个，显示屏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15英寸；</w:t>
            </w:r>
          </w:p>
          <w:p w14:paraId="66F7BB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2.提供有效的节能产品认证证书扫描件。</w:t>
            </w:r>
          </w:p>
          <w:p w14:paraId="7371F90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三、投屏设备（1套）：</w:t>
            </w:r>
          </w:p>
          <w:p w14:paraId="4B85BC8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1.支持HDMI输出接口，最大支持3840*2160p@60Hz，向下兼容；</w:t>
            </w:r>
          </w:p>
          <w:p w14:paraId="0BB6DA5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2.支持3.5mm音频输出接口支持硬件投屏和软件投屏；</w:t>
            </w:r>
          </w:p>
          <w:p w14:paraId="3EA3D1C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3.支持有线和无线桥接网络投屏；</w:t>
            </w:r>
          </w:p>
          <w:p w14:paraId="3A8F07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4.支持一收多发，多画面分屏显示，可支持4画面显示；</w:t>
            </w:r>
          </w:p>
          <w:p w14:paraId="658738E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5.支持触控回传，实现PC投屏过程中反控操作；</w:t>
            </w:r>
          </w:p>
          <w:p w14:paraId="385DC82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6.支持设置定时开关机；</w:t>
            </w:r>
          </w:p>
          <w:p w14:paraId="4FC2199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7.支持设置90°倍数旋转投屏画面；</w:t>
            </w:r>
          </w:p>
          <w:p w14:paraId="4BE574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8.支持电子白板；</w:t>
            </w:r>
          </w:p>
          <w:p w14:paraId="2E79DEB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9.支持外接键鼠、U盘、USB 天线，最远传输距离70米；</w:t>
            </w:r>
          </w:p>
          <w:p w14:paraId="473CDFB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10.支持Windows、Mac os、安卓、iOS等系统。</w:t>
            </w:r>
          </w:p>
          <w:p w14:paraId="16E778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四、控制设备（1台）：</w:t>
            </w:r>
          </w:p>
          <w:p w14:paraId="642B8E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1.≥11寸屏幕，≥2.8K分辨率高刷屏幕，最大刷新频率≥144Hz，亮度≥500尼特，具备无频闪硬件低蓝光技术及护眼模式；</w:t>
            </w:r>
          </w:p>
          <w:p w14:paraId="0C29EB8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2.具备不少于4天线分布，支持WIFI6；</w:t>
            </w:r>
          </w:p>
          <w:p w14:paraId="0F9C8F4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3.具备≥8000mAh电池系统；待机时长≥30天；</w:t>
            </w:r>
          </w:p>
          <w:p w14:paraId="3478BA3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4.系统配置≥8G内存和≥128G存储空间；</w:t>
            </w:r>
          </w:p>
          <w:p w14:paraId="4B79FEA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5.支持≥4个麦克风阵列及前后摄像头，支持OFFICE系统及会议实时录音转写纪要功能。支持PC互联互通及多屏协作系统</w:t>
            </w:r>
            <w:r>
              <w:rPr>
                <w:rFonts w:hint="eastAsia" w:ascii="宋体" w:hAnsi="宋体" w:eastAsia="宋体" w:cs="宋体"/>
                <w:color w:val="auto"/>
                <w:szCs w:val="21"/>
                <w:highlight w:val="none"/>
                <w:lang w:eastAsia="zh-CN"/>
              </w:rPr>
              <w:t>。</w:t>
            </w:r>
          </w:p>
          <w:p w14:paraId="236376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五、智慧演播大厅播控管理系统（1套）：</w:t>
            </w:r>
          </w:p>
          <w:p w14:paraId="4C6FB0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1.具备智慧演播大厅内灯光、舞美、音响、显示设备、节目内容、时序编排、演播预案等控制模式；</w:t>
            </w:r>
          </w:p>
          <w:p w14:paraId="02ED830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2.支持设备发布投屏；</w:t>
            </w:r>
          </w:p>
          <w:p w14:paraId="583F01D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3.具备遥控触发、网页触摸、手机触发、电脑触发等多种管理控制方式；</w:t>
            </w:r>
          </w:p>
          <w:p w14:paraId="40731B0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4.可根据演播大厅用途，对多媒体文档、视频、PPT、程序等多信号源、多类型内容进行无缝切换并控制；</w:t>
            </w:r>
          </w:p>
          <w:p w14:paraId="25047F3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5.智慧演播大厅控制系统用户端UI定制：</w:t>
            </w:r>
          </w:p>
          <w:p w14:paraId="3215C7C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支持背景图制作，体现展厅主题元素，贴切展厅概念；</w:t>
            </w:r>
          </w:p>
          <w:p w14:paraId="725157B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支持UI子页面制作，子页面按照展区流程制作合理，具有页面调转逻辑性；</w:t>
            </w:r>
          </w:p>
          <w:p w14:paraId="4263AD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支持采购人元素制作，页面及LOGO标志灯应充分体现采购人所在地的人文、行业、展厅类型等元素；</w:t>
            </w:r>
          </w:p>
          <w:p w14:paraId="14DA7FB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支持动态视觉效果制作，动态效果体现展厅氛围，体现动态展示效果；</w:t>
            </w:r>
          </w:p>
          <w:p w14:paraId="5DEF898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6.智慧控制系统内容管理模块：</w:t>
            </w:r>
          </w:p>
          <w:p w14:paraId="72774FF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提供图片的新增、删除、重命名、多层目录、查找等功能；</w:t>
            </w:r>
          </w:p>
          <w:p w14:paraId="6B101AC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提供视频的新增、删除、重命名、多层目录、查找等功能；</w:t>
            </w:r>
          </w:p>
          <w:p w14:paraId="66FE484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提供office文档的新增、删除、重命名、多层目录、查找等功能，文档包含PPT、word、excel、PDF等格式；</w:t>
            </w:r>
          </w:p>
          <w:p w14:paraId="05DEDDB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桌面采集源注册，名称自定义、删除等功能；</w:t>
            </w:r>
          </w:p>
          <w:p w14:paraId="1E7BF53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支持素材上传及编辑制作；</w:t>
            </w:r>
          </w:p>
          <w:p w14:paraId="55CCD31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支持节目一键发送至屏幕端；</w:t>
            </w:r>
          </w:p>
          <w:p w14:paraId="69F109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7.智慧控制系统PAD端：</w:t>
            </w:r>
          </w:p>
          <w:p w14:paraId="6536EB6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支持通过权限账号登录，实现所有设备一键全开、一键全关；</w:t>
            </w:r>
          </w:p>
          <w:p w14:paraId="6AC4520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支持设备单独控制、灯光控制</w:t>
            </w:r>
          </w:p>
          <w:p w14:paraId="173D11D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支持节目发布，含单个发布.编组发布</w:t>
            </w:r>
          </w:p>
          <w:p w14:paraId="5A2CC4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支持对任意屏幕进行节目切换.程序切换.投屏控制</w:t>
            </w:r>
          </w:p>
          <w:p w14:paraId="0FE32B4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支持设备开关.节目切换.音量.节目源等切换；</w:t>
            </w:r>
          </w:p>
          <w:p w14:paraId="0F1A9F8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8.智慧控制系统终端管理模块：</w:t>
            </w:r>
          </w:p>
          <w:p w14:paraId="21FCAE6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终端状态查询：提供终端分辨率、IP地址、类型、版本、在线状态等状态信息；</w:t>
            </w:r>
          </w:p>
          <w:p w14:paraId="3F81C76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终端分组：支持根据需求进行终端的分组管理；包括分组的创建、删除、修改、名称自定义；</w:t>
            </w:r>
          </w:p>
          <w:p w14:paraId="79EDFA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终端管理：支持终端投屏动态码的开启和关闭，终端可控的开启和关闭，终端二维码的开启和关闭；</w:t>
            </w:r>
          </w:p>
          <w:p w14:paraId="100457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8.4 终端编辑：支持终端的名称自定义、添加、删除等操作；</w:t>
            </w:r>
          </w:p>
          <w:p w14:paraId="07A6E4A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9.智慧控制系统场景管理模块：</w:t>
            </w:r>
          </w:p>
          <w:p w14:paraId="318BE00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预制场景：支持提前将显示资源和显示终端建立关联关系，需要时实现多个屏幕内容的一键式切换；</w:t>
            </w:r>
          </w:p>
          <w:p w14:paraId="330621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动态场景：支持将一组图片在指定的一组屏幕上按照固定时间间隔同步切换，实现类似连环画的效果。该功能须容器服务器配合支持；</w:t>
            </w:r>
          </w:p>
          <w:p w14:paraId="177BBF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应用预显：支持根据自定义分辨率提前在后台打开应用程序，用于系统管理或可视化应用快速调用；应用预显可作为独立的显示资源在各种显示策略中直接调用，该功能须配备容器服务器；</w:t>
            </w:r>
          </w:p>
          <w:p w14:paraId="246E91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9.4 画面墙：支持按照自定义分辨率建立分屏模式，每个子屏可以独立选择显示资源和进行控制；</w:t>
            </w:r>
          </w:p>
          <w:p w14:paraId="0182AAE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9.5 轮巡：支持根据时间把显示资源组合为一个列表作为一种显示资源进行调用，支持所有种类显示资源，每个显示资源展示时间支持自定义；</w:t>
            </w:r>
          </w:p>
          <w:p w14:paraId="2518DC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9.6 快捷列表：支持建立一个多类型的显示资源列表和显示终端绑定，用于单屏控制状态下显示资源的快速切换；</w:t>
            </w:r>
          </w:p>
          <w:p w14:paraId="2C00AD1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9.7 计划：支持根据指定时间启动某个预制场景；</w:t>
            </w:r>
          </w:p>
          <w:p w14:paraId="73F34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9.8 待机背景更换：上传用户自定义的屏幕背景图片，在没有资源显示时进行默认展示，须提供横屏和竖屏两种模式下背景图片；</w:t>
            </w:r>
          </w:p>
          <w:p w14:paraId="5D61E8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10.智慧控制系统播放控制模块：</w:t>
            </w:r>
          </w:p>
          <w:p w14:paraId="028326C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支持开机自动播放及默认播放列表；</w:t>
            </w:r>
          </w:p>
          <w:p w14:paraId="4518F96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支持控制PAD或手机扫描控制或WEB端控制播放，如跳转视频、插播图片、打开指定程序等；</w:t>
            </w:r>
          </w:p>
          <w:p w14:paraId="4D289C4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支持自定义分辨率，支持图层叠加，支持窗口拼接，如多个视频.图片第三方网页同屏同时显示；</w:t>
            </w:r>
          </w:p>
          <w:p w14:paraId="61DDA9C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支持对视频进行快进，暂停，音量大小控制，静音，自定义快捷键等功能；</w:t>
            </w:r>
          </w:p>
          <w:p w14:paraId="1B5D6DF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11.智慧控制系统系统场景联动模块：</w:t>
            </w:r>
          </w:p>
          <w:p w14:paraId="1CE8853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中控设备设置：支持强电控制、串口服务器、第三方中控平台的接入，同时支持通过TCP/IP、UDP协议对第三方设备下发操作指令；</w:t>
            </w:r>
          </w:p>
          <w:p w14:paraId="226FED8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中控场景：支持预制场景.中控设备进行组合式的定义，形成情景式展厅场景切换按钮；</w:t>
            </w:r>
          </w:p>
          <w:p w14:paraId="0E11C9E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触发器设置：支持通过键盘快捷键、指定设备开关机、红外设备、遥控、物理按键等动作或方式触发中控场景；</w:t>
            </w:r>
          </w:p>
          <w:p w14:paraId="26FD12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支持设备开关、节目切换、音量、节目源等切换；</w:t>
            </w:r>
          </w:p>
          <w:p w14:paraId="1BB78D9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12.智慧控制系统系统灯光控制模块：</w:t>
            </w:r>
          </w:p>
          <w:p w14:paraId="45AFC92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可控制展厅内所有灯光一键开启/关闭；</w:t>
            </w:r>
          </w:p>
          <w:p w14:paraId="2EE5865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支持单独区域内灯光的控制；</w:t>
            </w:r>
          </w:p>
          <w:p w14:paraId="6741D66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13.智慧控制系统权限管理模块：</w:t>
            </w:r>
          </w:p>
          <w:p w14:paraId="0591731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高级用户管理：提供用户组的添加、删除功能，用户的添加、删除等功能。支持显示资源的分配；</w:t>
            </w:r>
          </w:p>
          <w:p w14:paraId="301D1A8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容器管理：支持容器的名称自定义.删除，容器硬件资源信息及使用状况查询，容器迁移操作；</w:t>
            </w:r>
          </w:p>
          <w:p w14:paraId="3BE7E7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升级管理：支持升级包的上传及升级管理；</w:t>
            </w:r>
          </w:p>
          <w:p w14:paraId="602E84C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13.4授权管理：支持显示终端、容器、管理服务器等授权信息的查询及授权执行和更新操作；</w:t>
            </w:r>
          </w:p>
          <w:p w14:paraId="44CBCA7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 日志：提供系统的操作日志查询、重置等功能，默认保留一个月的系统操作及展示操作日志；</w:t>
            </w:r>
          </w:p>
          <w:p w14:paraId="3E14548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远程协作：提供桌面源的远程控制功能；</w:t>
            </w:r>
          </w:p>
          <w:p w14:paraId="52989F2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14.智慧控制系统管理系统服务端：</w:t>
            </w:r>
          </w:p>
          <w:p w14:paraId="7309774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系统支持windows及linux系统部署，基于BS架构开发；</w:t>
            </w:r>
          </w:p>
          <w:p w14:paraId="1E9EE5C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支持终端列表式管理；</w:t>
            </w:r>
          </w:p>
          <w:p w14:paraId="3A57178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支持终端名称自定义、分组，实时显示终端分辨率、IP地址、开关机、前端可控、显示\桌面模式切换等远程控制；</w:t>
            </w:r>
          </w:p>
          <w:p w14:paraId="243D744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支持用户分级用户权限管理，每个用户可自行上传及管理自己的显示资源，可以根据用户进行显示终端授权；</w:t>
            </w:r>
          </w:p>
          <w:p w14:paraId="627AD9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 支持各类显示内容管理，视频.图片.PDF.office文档用户仅需要在管理平台上传.删除等，支持文件分组，显示内容数量不限；</w:t>
            </w:r>
          </w:p>
          <w:p w14:paraId="319E92D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 支持B/S程序.exe应用程序统一管理，仅需要在管理平台添加http链接.exe路径即可实现程序统一管理，B/S程序打开支持chrome或ie；</w:t>
            </w:r>
          </w:p>
          <w:p w14:paraId="2826249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 支持终端快捷列表定义，快捷列表仅需要在后台和终端绑定，绑定的终端前端支持在列表范围内进行切换（终端为可控模式），后台更新快捷列表终端列表实时更新；</w:t>
            </w:r>
          </w:p>
          <w:p w14:paraId="0FDD347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 支持对安装有采集端的桌面进行远程管理，实时显示终端类型、IP地址、版本、状态等桌面源实时信息；</w:t>
            </w:r>
          </w:p>
          <w:p w14:paraId="20228F3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14.9 支持预制场景功能，多个屏幕可以进行组合式显示，每个屏幕可以预制相同或不同显示内容，一键切换，场景定义数量不限；</w:t>
            </w:r>
          </w:p>
          <w:p w14:paraId="2F24D7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14.10 支持计划定义，屏幕可以在不同时间点显示不同的显示组合；</w:t>
            </w:r>
          </w:p>
          <w:p w14:paraId="59F1D81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14.11 终端（接收端）背景可自定义，用户可自行上传终端在线.离线状态下的默认显示背景；</w:t>
            </w:r>
          </w:p>
          <w:p w14:paraId="487D60A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14.12 支持授权管理、版本更新、软件下载等管理功能；</w:t>
            </w:r>
          </w:p>
          <w:p w14:paraId="53C01D5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14.13 支持HA或集群式部署，实现平台的无限扩容；</w:t>
            </w:r>
          </w:p>
          <w:p w14:paraId="080E66D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14.14 软件显示功能实现包括文档投放、图片投放、视频投放、网页投放、应用程序投放、桌面源投放、播放策略、快捷列表、同屏功能、基本信息、预置场景、列表轮循、实时互动、动态码投屏、实时屏幕、多屏幕画面监控、计划任务、画面墙、原生态投屏等功能；</w:t>
            </w:r>
          </w:p>
          <w:p w14:paraId="5E0F23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14.15 软件内容管理功能包括文档管理、网页管理、快捷列表管理等功能；</w:t>
            </w:r>
          </w:p>
          <w:p w14:paraId="54988D3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14.16 部署及管理包括管理平台、终端背景、日志记录、播放控制、内容同步管理等；</w:t>
            </w:r>
          </w:p>
          <w:p w14:paraId="41E5F3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14.17 权限管理包括用户登录注销、用户管理、用户组管理等</w:t>
            </w:r>
            <w:r>
              <w:rPr>
                <w:rFonts w:hint="eastAsia" w:ascii="宋体" w:hAnsi="宋体" w:eastAsia="宋体" w:cs="宋体"/>
                <w:color w:val="auto"/>
                <w:szCs w:val="21"/>
                <w:highlight w:val="none"/>
                <w:lang w:eastAsia="zh-CN"/>
              </w:rPr>
              <w:t>；</w:t>
            </w:r>
          </w:p>
          <w:p w14:paraId="63705C0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14.18 可</w:t>
            </w:r>
            <w:r>
              <w:rPr>
                <w:rFonts w:hint="eastAsia" w:ascii="宋体" w:hAnsi="宋体" w:eastAsia="宋体" w:cs="宋体"/>
                <w:color w:val="auto"/>
                <w:szCs w:val="21"/>
                <w:highlight w:val="none"/>
              </w:rPr>
              <w:t>操作管理后台发布图片、视频素材、PAD端素材同步更新、欢迎图片界面切换等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w:t>
            </w:r>
            <w:r>
              <w:rPr>
                <w:rFonts w:hint="eastAsia" w:ascii="宋体" w:hAnsi="宋体" w:eastAsia="宋体" w:cs="宋体"/>
                <w:color w:val="auto"/>
                <w:szCs w:val="21"/>
                <w:highlight w:val="none"/>
              </w:rPr>
              <w:t>及播放控制展示；</w:t>
            </w:r>
          </w:p>
          <w:p w14:paraId="688851A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14.19 支持</w:t>
            </w:r>
            <w:r>
              <w:rPr>
                <w:rFonts w:hint="eastAsia" w:ascii="宋体" w:hAnsi="宋体" w:eastAsia="宋体" w:cs="宋体"/>
                <w:color w:val="auto"/>
                <w:szCs w:val="21"/>
                <w:highlight w:val="none"/>
              </w:rPr>
              <w:t>PAD或电脑端直接控制大屏与网页互动、文字内容输入、通过PAD或电脑端直接控制网页进行任意连接点击、滚动、返回等操作；</w:t>
            </w:r>
          </w:p>
          <w:p w14:paraId="1ED81A29">
            <w:pPr>
              <w:keepNext w:val="0"/>
              <w:keepLines w:val="0"/>
              <w:suppressLineNumbers w:val="0"/>
              <w:adjustRightInd w:val="0"/>
              <w:snapToGrid w:val="0"/>
              <w:spacing w:before="0" w:beforeAutospacing="0" w:after="0" w:afterAutospacing="0" w:line="288" w:lineRule="auto"/>
              <w:ind w:left="0" w:right="0"/>
              <w:jc w:val="left"/>
              <w:rPr>
                <w:rFonts w:hint="eastAsia" w:eastAsia="宋体"/>
                <w:color w:val="auto"/>
                <w:highlight w:val="none"/>
                <w:lang w:eastAsia="zh-CN"/>
              </w:rPr>
            </w:pPr>
            <w:r>
              <w:rPr>
                <w:rFonts w:hint="eastAsia" w:ascii="宋体" w:hAnsi="宋体" w:eastAsia="宋体" w:cs="宋体"/>
                <w:color w:val="auto"/>
                <w:szCs w:val="21"/>
                <w:highlight w:val="none"/>
                <w:lang w:val="en-US" w:eastAsia="zh-CN"/>
              </w:rPr>
              <w:t>14.20 支持</w:t>
            </w:r>
            <w:r>
              <w:rPr>
                <w:rFonts w:hint="eastAsia" w:ascii="宋体" w:hAnsi="宋体" w:eastAsia="宋体" w:cs="宋体"/>
                <w:color w:val="auto"/>
                <w:szCs w:val="21"/>
                <w:highlight w:val="none"/>
              </w:rPr>
              <w:t>通过PAD或电脑端端进行PPT交互、激光笔控制中控系统播放、暂停、切换、翻页等功能，中控调用数字孪生互动或3D可视化等</w:t>
            </w:r>
            <w:r>
              <w:rPr>
                <w:rFonts w:hint="eastAsia" w:ascii="宋体" w:hAnsi="宋体" w:eastAsia="宋体" w:cs="宋体"/>
                <w:color w:val="auto"/>
                <w:szCs w:val="21"/>
                <w:highlight w:val="none"/>
                <w:lang w:eastAsia="zh-CN"/>
              </w:rPr>
              <w:t>。</w:t>
            </w:r>
          </w:p>
          <w:p w14:paraId="5669CEB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六、其他辅助设备（1批）：</w:t>
            </w:r>
          </w:p>
          <w:p w14:paraId="110A52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1.功放机柜：1台；</w:t>
            </w:r>
          </w:p>
          <w:p w14:paraId="579D1B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2.控制机柜：1台；</w:t>
            </w:r>
          </w:p>
          <w:p w14:paraId="6DB2DD7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3.电源管理器（4台）：</w:t>
            </w:r>
          </w:p>
          <w:p w14:paraId="55CDE79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可控制电源：8路外加2路输出辅助通道,10chs；</w:t>
            </w:r>
          </w:p>
          <w:p w14:paraId="6F03F9C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额定输出电压：交流220V 50Hz；</w:t>
            </w:r>
          </w:p>
          <w:p w14:paraId="4E254B0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每路动作延时时间：0-999秒；</w:t>
            </w:r>
          </w:p>
          <w:p w14:paraId="0649750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单路额定输出电流：13A；</w:t>
            </w:r>
          </w:p>
          <w:p w14:paraId="3342987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额定总输出电流：30A；</w:t>
            </w:r>
          </w:p>
          <w:p w14:paraId="055DDB1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状态显示：≥2寸彩色液晶实时显示当前电压、日期、时间、每路开关状态；</w:t>
            </w:r>
          </w:p>
          <w:p w14:paraId="4344567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RS232串口、TCP/IP网口，支持通信自建及电源安全自检；</w:t>
            </w:r>
          </w:p>
          <w:p w14:paraId="3F4D1B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额定总功率6000W，最大总功率8000W，单路最大功率2000W；</w:t>
            </w:r>
          </w:p>
          <w:p w14:paraId="58CCA8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4.多媒体盒：舞台多媒体盒2台；</w:t>
            </w:r>
          </w:p>
          <w:p w14:paraId="2E2C34F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5.流动反视盒：舞台多媒体盒2台；</w:t>
            </w:r>
          </w:p>
          <w:p w14:paraId="56E4513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6.舞台主持位地盒：舞台多媒体盒1台；</w:t>
            </w:r>
          </w:p>
          <w:p w14:paraId="2A14C8B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7.RVJF2*2.5护套音箱线1批；</w:t>
            </w:r>
          </w:p>
          <w:p w14:paraId="14A43EC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8.RVJF2*4护套音箱线1批；</w:t>
            </w:r>
          </w:p>
          <w:p w14:paraId="3DC461C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9.SYV50Ω-5同轴电缆1批；</w:t>
            </w:r>
          </w:p>
          <w:p w14:paraId="15571C4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10.RVVP2*0.37专业护套话筒线1批；</w:t>
            </w:r>
          </w:p>
          <w:p w14:paraId="67828FB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11.CAT6网线1批；</w:t>
            </w:r>
          </w:p>
          <w:p w14:paraId="77E9A17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12.SPOKEN连接头、XLR公连接头、XLR母连接头、1/4"TRS连接头、RCA连接头等1批；</w:t>
            </w:r>
          </w:p>
          <w:p w14:paraId="550D8A2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13.3*4mm²舞台灯光阻燃电缆1批；</w:t>
            </w:r>
          </w:p>
          <w:p w14:paraId="45323FA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14.3*2.5mm²灯尾线1批；</w:t>
            </w:r>
          </w:p>
          <w:p w14:paraId="2BF6A67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15.RVVP2*0.3DMX信号线缆1批；</w:t>
            </w:r>
          </w:p>
          <w:p w14:paraId="1AC3F71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16.各类弯通1批；</w:t>
            </w:r>
          </w:p>
          <w:p w14:paraId="347D4BB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17.JDG25/JDG32线管1批。</w:t>
            </w:r>
          </w:p>
        </w:tc>
      </w:tr>
    </w:tbl>
    <w:p w14:paraId="5DE164CA">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宋体"/>
          <w:b/>
          <w:bCs/>
          <w:color w:val="auto"/>
          <w:szCs w:val="21"/>
          <w:highlight w:val="none"/>
        </w:rPr>
        <w:t>4.演示：</w:t>
      </w:r>
    </w:p>
    <w:p w14:paraId="148E8687">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▲4.1 供应商演示内容需为真人操作真实软件录制的视频进行，未提供任何演示内容的</w:t>
      </w:r>
      <w:r>
        <w:rPr>
          <w:rFonts w:ascii="宋体" w:hAnsi="宋体" w:eastAsia="宋体" w:cs="Times New Roman"/>
          <w:b/>
          <w:bCs/>
          <w:color w:val="auto"/>
          <w:szCs w:val="21"/>
          <w:highlight w:val="none"/>
        </w:rPr>
        <w:t>投标无效</w:t>
      </w:r>
      <w:r>
        <w:rPr>
          <w:rFonts w:hint="eastAsia" w:ascii="宋体" w:hAnsi="宋体" w:eastAsia="宋体" w:cs="Times New Roman"/>
          <w:b/>
          <w:bCs/>
          <w:color w:val="auto"/>
          <w:szCs w:val="21"/>
          <w:highlight w:val="none"/>
        </w:rPr>
        <w:t>。</w:t>
      </w:r>
    </w:p>
    <w:p w14:paraId="313C35F6">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▲4.2 以PPT、非真人操作真实软件录制的视频、图片等视同未演示，</w:t>
      </w:r>
      <w:r>
        <w:rPr>
          <w:rFonts w:ascii="宋体" w:hAnsi="宋体" w:eastAsia="宋体" w:cs="Times New Roman"/>
          <w:b/>
          <w:bCs/>
          <w:color w:val="auto"/>
          <w:szCs w:val="21"/>
          <w:highlight w:val="none"/>
        </w:rPr>
        <w:t>投标无效</w:t>
      </w:r>
      <w:r>
        <w:rPr>
          <w:rFonts w:hint="eastAsia" w:ascii="宋体" w:hAnsi="宋体" w:eastAsia="宋体" w:cs="Times New Roman"/>
          <w:b/>
          <w:bCs/>
          <w:color w:val="auto"/>
          <w:szCs w:val="21"/>
          <w:highlight w:val="none"/>
        </w:rPr>
        <w:t>。</w:t>
      </w:r>
    </w:p>
    <w:p w14:paraId="59AF5E81">
      <w:pPr>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4.3 演示内容如下</w:t>
      </w:r>
      <w:r>
        <w:rPr>
          <w:rFonts w:hint="eastAsia" w:ascii="宋体" w:hAnsi="宋体" w:eastAsia="宋体" w:cs="Times New Roman"/>
          <w:b/>
          <w:bCs/>
          <w:color w:val="auto"/>
          <w:szCs w:val="21"/>
          <w:highlight w:val="none"/>
          <w:lang w:eastAsia="zh-CN"/>
        </w:rPr>
        <w:t>（智慧演播大厅播控管理系统）</w:t>
      </w:r>
      <w:r>
        <w:rPr>
          <w:rFonts w:hint="eastAsia" w:ascii="宋体" w:hAnsi="宋体" w:eastAsia="宋体" w:cs="Times New Roman"/>
          <w:b/>
          <w:bCs/>
          <w:color w:val="auto"/>
          <w:szCs w:val="21"/>
          <w:highlight w:val="none"/>
        </w:rPr>
        <w:t>：</w:t>
      </w:r>
    </w:p>
    <w:p w14:paraId="0AF3E3A2">
      <w:pPr>
        <w:spacing w:line="288" w:lineRule="auto"/>
        <w:ind w:firstLine="420" w:firstLineChars="200"/>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可操作管理后台发布图片、视频素材、PAD端素材同步更新、欢迎图片界面切换等，以及播放控制展示；</w:t>
      </w:r>
    </w:p>
    <w:p w14:paraId="3400114A">
      <w:pPr>
        <w:spacing w:line="288" w:lineRule="auto"/>
        <w:ind w:firstLine="420" w:firstLineChars="200"/>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2</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支持PAD或电脑端直接控制大屏与网页互动、文字内容输入、通过PAD或电脑端直接控制网页进行任意连接点击、滚动、返回等操作；</w:t>
      </w:r>
    </w:p>
    <w:p w14:paraId="5127501B">
      <w:pPr>
        <w:spacing w:line="288"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支持通过PAD或电脑端端进行PPT交互、激光笔控制中控系统播放、暂停、切换、翻页等功能，中控调用数字孪生互动或3D可视化等。</w:t>
      </w:r>
    </w:p>
    <w:p w14:paraId="00E814A3">
      <w:pPr>
        <w:spacing w:line="28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4.4 演示U盘：</w:t>
      </w:r>
    </w:p>
    <w:p w14:paraId="0062FA1F">
      <w:pPr>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（1）根据“电子交易/不见面开评标”原则，供应商需将以上演示及讲解过程录制视频，演示时长不超过10分钟以.mp4格式存储于U盘。</w:t>
      </w:r>
    </w:p>
    <w:p w14:paraId="468BB9EB">
      <w:pPr>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（2）演示U盘可以EMS或顺丰邮寄形式在响应截止时间前递交，演示U盘应当密封包装并在包装上标注演示U盘、响应项目名称、投标人名称并加盖公章。</w:t>
      </w:r>
    </w:p>
    <w:p w14:paraId="7B77ED2F">
      <w:pPr>
        <w:adjustRightInd w:val="0"/>
        <w:snapToGrid w:val="0"/>
        <w:spacing w:line="288" w:lineRule="auto"/>
        <w:rPr>
          <w:rFonts w:hint="eastAsia" w:ascii="宋体" w:hAnsi="宋体" w:eastAsia="宋体" w:cs="Times New Roman"/>
          <w:b/>
          <w:bCs/>
          <w:color w:val="auto"/>
          <w:szCs w:val="21"/>
          <w:highlight w:val="none"/>
        </w:rPr>
      </w:pPr>
      <w:r>
        <w:rPr>
          <w:rFonts w:hint="eastAsia" w:ascii="宋体" w:hAnsi="宋体" w:eastAsia="宋体" w:cs="宋体"/>
          <w:bCs/>
          <w:color w:val="auto"/>
          <w:spacing w:val="-4"/>
          <w:szCs w:val="21"/>
          <w:highlight w:val="none"/>
        </w:rPr>
        <w:t>（3）未按招标文件要求提供演示U盘造成专家无法正常评审的风险由供应商自行承担。</w:t>
      </w:r>
    </w:p>
    <w:p w14:paraId="2A83C00D">
      <w:pPr>
        <w:widowControl/>
        <w:adjustRightInd w:val="0"/>
        <w:snapToGrid w:val="0"/>
        <w:spacing w:line="288"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本招标文件适用于浙江农林大学</w:t>
            </w:r>
            <w:r>
              <w:rPr>
                <w:rFonts w:hint="eastAsia" w:ascii="宋体" w:hAnsi="宋体" w:eastAsia="宋体"/>
                <w:color w:val="auto"/>
                <w:szCs w:val="21"/>
                <w:highlight w:val="none"/>
                <w:lang w:eastAsia="zh-CN"/>
              </w:rPr>
              <w:t>新农科教育教学中心建设项目交叉中心报告厅系统设备</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（格式详见招标文件第六章）和授权代表社保缴纳证明（2024年7月（含）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6E1B27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7115FA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1.05</w:t>
                  </w:r>
                </w:p>
              </w:tc>
            </w:tr>
            <w:tr w14:paraId="0E276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2DBC1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0B407DD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0.77</w:t>
                  </w:r>
                </w:p>
              </w:tc>
            </w:tr>
          </w:tbl>
          <w:p w14:paraId="1073C95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keepNext w:val="0"/>
              <w:keepLines w:val="0"/>
              <w:suppressLineNumbers w:val="0"/>
              <w:adjustRightInd w:val="0"/>
              <w:snapToGrid w:val="0"/>
              <w:spacing w:before="0" w:beforeAutospacing="0" w:after="0" w:afterAutospacing="0" w:line="288" w:lineRule="auto"/>
              <w:ind w:left="0" w:right="-105" w:rightChars="-50"/>
              <w:jc w:val="center"/>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货物运输</w:t>
            </w:r>
            <w:r>
              <w:rPr>
                <w:rFonts w:hint="default" w:ascii="宋体" w:hAnsi="宋体" w:eastAsia="宋体"/>
                <w:color w:val="auto"/>
                <w:szCs w:val="21"/>
                <w:highlight w:val="none"/>
                <w:u w:val="single"/>
              </w:rPr>
              <w:t>。</w:t>
            </w:r>
          </w:p>
          <w:p w14:paraId="6381749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4964E36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147D2E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563C928">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p w14:paraId="57C3B98D">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75D18B7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hint="eastAsia" w:ascii="宋体" w:hAnsi="宋体" w:eastAsia="宋体"/>
          <w:color w:val="auto"/>
          <w:szCs w:val="21"/>
          <w:highlight w:val="none"/>
        </w:rPr>
      </w:pPr>
    </w:p>
    <w:p w14:paraId="764296F0">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本招标文件适用于浙江农林大学</w:t>
      </w:r>
      <w:r>
        <w:rPr>
          <w:rFonts w:hint="eastAsia" w:ascii="宋体" w:hAnsi="宋体" w:eastAsia="宋体" w:cs="Times New Roman"/>
          <w:color w:val="auto"/>
          <w:spacing w:val="-6"/>
          <w:szCs w:val="21"/>
          <w:highlight w:val="none"/>
          <w:lang w:eastAsia="zh-CN"/>
        </w:rPr>
        <w:t>新农科教育教学中心建设项目交叉中心报告厅系统设备</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”系指浙江农林大学；</w:t>
      </w:r>
    </w:p>
    <w:p w14:paraId="09A897C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F3557A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298DC70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1.05</w:t>
            </w:r>
          </w:p>
        </w:tc>
      </w:tr>
      <w:tr w14:paraId="3155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262BAB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14:paraId="1DED9CD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0.77</w:t>
            </w:r>
          </w:p>
        </w:tc>
      </w:tr>
    </w:tbl>
    <w:p w14:paraId="7610818C">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adjustRightInd w:val="0"/>
        <w:snapToGrid w:val="0"/>
        <w:spacing w:line="288" w:lineRule="auto"/>
        <w:ind w:firstLine="424" w:firstLineChars="202"/>
        <w:jc w:val="left"/>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w:t>
      </w:r>
    </w:p>
    <w:p w14:paraId="1B2B8CA9">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79E3587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4501DE1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5C320AD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5D9D45AB">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6C3BAD54">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175C04F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35360C5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64B4764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5B139B5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6E72C019">
      <w:pPr>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bookmarkEnd w:id="43"/>
    <w:p w14:paraId="7474DE30">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hint="eastAsia"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670A9DC1">
      <w:pPr>
        <w:adjustRightInd w:val="0"/>
        <w:snapToGrid w:val="0"/>
        <w:spacing w:line="288" w:lineRule="auto"/>
        <w:ind w:firstLine="422" w:firstLineChars="200"/>
        <w:jc w:val="left"/>
        <w:rPr>
          <w:rFonts w:hint="eastAsia"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hint="eastAsia"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adjustRightInd w:val="0"/>
        <w:snapToGrid w:val="0"/>
        <w:spacing w:line="288" w:lineRule="auto"/>
        <w:ind w:firstLine="420" w:firstLineChars="200"/>
        <w:rPr>
          <w:rFonts w:hint="eastAsia"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789BD74C">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27ACA854">
      <w:pPr>
        <w:pStyle w:val="13"/>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bookmarkEnd w:id="47"/>
    <w:p w14:paraId="58DE03B4">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int="eastAsia"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hint="eastAsia"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74CFCC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7D321A3">
      <w:pPr>
        <w:adjustRightInd w:val="0"/>
        <w:snapToGrid w:val="0"/>
        <w:spacing w:line="288" w:lineRule="auto"/>
        <w:ind w:firstLine="398" w:firstLineChars="20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5.参与同一个采购包（标项）的供应商存在下列情形之一的，其投标文件无效：</w:t>
      </w:r>
    </w:p>
    <w:p w14:paraId="09C5DE94">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（1）不同供应商的电子投标文件上传计算机的网卡MAC地址、CPU序列号或硬盘序列号等硬件信息相同的；</w:t>
      </w:r>
    </w:p>
    <w:p w14:paraId="7220E2B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4779D55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（3）不同供应商的投标文件的内容存在三处（含）以上错误一致，且无法合理解释的；</w:t>
      </w:r>
    </w:p>
    <w:p w14:paraId="4E5DC95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（4）不同供应商联系人为同一人或不同联系人的联系电话一致，且无法合理解释的。</w:t>
      </w:r>
    </w:p>
    <w:p w14:paraId="044C60B1">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hint="eastAsia"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hint="eastAsia"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hint="eastAsia"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5F683B83">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hint="eastAsia"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6E863AD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3DA4F4F">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2D9C70D8">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hint="eastAsia"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hint="eastAsia"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9D0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6F646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1E362C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41B7A6C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6BCD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889EE4A">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价格分（30）</w:t>
            </w:r>
          </w:p>
        </w:tc>
      </w:tr>
      <w:tr w14:paraId="6424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FA604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2693C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C6794E5">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32E79F98">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678D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9849FDB">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w:t>
            </w:r>
          </w:p>
        </w:tc>
      </w:tr>
      <w:tr w14:paraId="4967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6632DE8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693129D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2BB0F41D">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【客观分】投标人提供自2021年1月1日以来（以合同签订时间为准）同类合同业绩（以提供的中标通知书、合同扫描件为准，缺项不得分）：每提供1份合同业绩得1分，最高得3分。</w:t>
            </w:r>
          </w:p>
        </w:tc>
      </w:tr>
      <w:tr w14:paraId="108A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86646C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投标人信誉</w:t>
            </w:r>
          </w:p>
        </w:tc>
        <w:tc>
          <w:tcPr>
            <w:tcW w:w="654" w:type="dxa"/>
            <w:vAlign w:val="center"/>
          </w:tcPr>
          <w:p w14:paraId="4C560C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0BC4F25C">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8C338CB">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投标人具有有效的质量管理体系认证证书的得1分（提供证书扫描件、国家认证认可监督管理委员会官网（http://www.cnca.gov.cn/）查询截图，不提供不得分）。</w:t>
            </w:r>
          </w:p>
        </w:tc>
      </w:tr>
      <w:tr w14:paraId="1198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8718FE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0B61BB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2F88FF92">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【客观分】投标产品属于品目清单范围且提供国家确定的认证机构出具的有效的节能产品认证证书（扫描件加盖公章）的得1分；</w:t>
            </w:r>
          </w:p>
          <w:p w14:paraId="3D43AEED">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投标产品属于品目清单范围且提供国家确定的认证机构出具的有效的环境标志产品认证证书（扫描件加盖公章）的得1分；</w:t>
            </w:r>
          </w:p>
          <w:p w14:paraId="2E7BA02F">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3CDB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B1C7268">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技术分（6</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p>
        </w:tc>
      </w:tr>
      <w:tr w14:paraId="5E85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5E6FB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6457ADC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4</w:t>
            </w:r>
          </w:p>
        </w:tc>
        <w:tc>
          <w:tcPr>
            <w:tcW w:w="7072" w:type="dxa"/>
            <w:vAlign w:val="center"/>
          </w:tcPr>
          <w:p w14:paraId="5A1D5F7E">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【客观分】不符合（负偏离）技术要求中标注“▲”条款（不可偏离）的响应无效；</w:t>
            </w:r>
          </w:p>
          <w:p w14:paraId="39F4409B">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3C76EE0C">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技术条款低于技术要求（负偏离）的每项扣1分；</w:t>
            </w:r>
          </w:p>
          <w:p w14:paraId="6D60D6C0">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负偏离1</w:t>
            </w:r>
            <w:r>
              <w:rPr>
                <w:rFonts w:hint="eastAsia" w:ascii="宋体" w:hAnsi="宋体" w:eastAsia="宋体" w:cs="宋体"/>
                <w:color w:val="auto"/>
                <w:szCs w:val="21"/>
                <w:highlight w:val="none"/>
                <w:lang w:val="en-US" w:eastAsia="zh-CN"/>
              </w:rPr>
              <w:t>4</w:t>
            </w:r>
            <w:bookmarkStart w:id="61" w:name="_GoBack"/>
            <w:bookmarkEnd w:id="61"/>
            <w:r>
              <w:rPr>
                <w:rFonts w:hint="eastAsia" w:ascii="宋体" w:hAnsi="宋体" w:eastAsia="宋体" w:cs="宋体"/>
                <w:color w:val="auto"/>
                <w:szCs w:val="21"/>
                <w:highlight w:val="none"/>
              </w:rPr>
              <w:t>项及以上的视为采购人不能接受的附加条件。</w:t>
            </w:r>
          </w:p>
        </w:tc>
      </w:tr>
      <w:tr w14:paraId="6C38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Merge w:val="restart"/>
            <w:tcBorders>
              <w:top w:val="single" w:color="auto" w:sz="4" w:space="0"/>
              <w:left w:val="single" w:color="auto" w:sz="4" w:space="0"/>
              <w:right w:val="single" w:color="auto" w:sz="4" w:space="0"/>
            </w:tcBorders>
            <w:vAlign w:val="center"/>
          </w:tcPr>
          <w:p w14:paraId="4FF34C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3DFB1D6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3BBFFB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【主观分】投标产品功能满足项目特点和实际需要，功能先进，后续维护成本低（评分范围：5,4,3,2,1,0）。</w:t>
            </w:r>
          </w:p>
        </w:tc>
      </w:tr>
      <w:tr w14:paraId="62EE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324EB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18FA8C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422C2A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【主观分】投标产品配置合理，兼容性强（评分范围：5,4,3,2,1,0）。</w:t>
            </w:r>
          </w:p>
        </w:tc>
      </w:tr>
      <w:tr w14:paraId="336F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3AEF0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619D67A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AA0721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【主观分】投标人针对本项目提供科学合理的实施方案，进度计划、保障措施是否切实可行等情况打分。包括货物采购阶段管理方案等（评分范围：5,4,3,2,1,0）。</w:t>
            </w:r>
          </w:p>
        </w:tc>
      </w:tr>
      <w:tr w14:paraId="7AE3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438362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4D7A8F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E9FD1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【主观分】安装、调试方法或方案详细完整，各种措施合理可行，有助于项目实施（评分范围：5,4,3,2,1,0）。</w:t>
            </w:r>
          </w:p>
        </w:tc>
      </w:tr>
      <w:tr w14:paraId="3EFE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4703158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390777D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33EA09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【主观分】售后服务方案、售后服务承诺可行，服务承诺落实的保障措施强（评分范围：5,4,3,2,1,0）。</w:t>
            </w:r>
          </w:p>
        </w:tc>
      </w:tr>
      <w:tr w14:paraId="216D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751E0BA7">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color w:val="auto"/>
                <w:szCs w:val="21"/>
                <w:highlight w:val="none"/>
                <w:lang w:bidi="ar"/>
              </w:rPr>
            </w:pPr>
            <w:r>
              <w:rPr>
                <w:rFonts w:hint="eastAsia" w:ascii="宋体" w:hAnsi="宋体" w:eastAsia="宋体" w:cs="宋体"/>
                <w:b/>
                <w:bCs/>
                <w:color w:val="auto"/>
                <w:kern w:val="2"/>
                <w:sz w:val="21"/>
                <w:szCs w:val="21"/>
                <w:highlight w:val="none"/>
                <w:lang w:val="en-US" w:eastAsia="zh-CN" w:bidi="ar"/>
              </w:rPr>
              <w:t>技术团队</w:t>
            </w:r>
          </w:p>
        </w:tc>
        <w:tc>
          <w:tcPr>
            <w:tcW w:w="654" w:type="dxa"/>
            <w:tcBorders>
              <w:top w:val="single" w:color="auto" w:sz="4" w:space="0"/>
              <w:left w:val="single" w:color="auto" w:sz="4" w:space="0"/>
              <w:bottom w:val="single" w:color="auto" w:sz="4" w:space="0"/>
              <w:right w:val="single" w:color="auto" w:sz="4" w:space="0"/>
            </w:tcBorders>
            <w:vAlign w:val="center"/>
          </w:tcPr>
          <w:p w14:paraId="7300A103">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color w:val="auto"/>
                <w:szCs w:val="21"/>
                <w:highlight w:val="none"/>
                <w:lang w:bidi="ar"/>
              </w:rPr>
            </w:pPr>
            <w:r>
              <w:rPr>
                <w:rFonts w:hint="eastAsia" w:ascii="宋体" w:hAnsi="宋体" w:eastAsia="宋体" w:cs="宋体"/>
                <w:b/>
                <w:bCs/>
                <w:color w:val="auto"/>
                <w:kern w:val="2"/>
                <w:sz w:val="21"/>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67921EBB">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p w14:paraId="3D62AC92">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rPr>
              <w:t>项目负责人、技术负责人具有高级工程师职称的，每有1人得1.5分，最高得3分（提供证书扫描件、投标人本单位近3个月任意一月为其缴纳社保的证明材料，不提供不得分）。</w:t>
            </w:r>
          </w:p>
        </w:tc>
      </w:tr>
      <w:tr w14:paraId="4175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35BD24C">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
              </w:rPr>
            </w:pPr>
          </w:p>
        </w:tc>
        <w:tc>
          <w:tcPr>
            <w:tcW w:w="654" w:type="dxa"/>
            <w:tcBorders>
              <w:top w:val="single" w:color="auto" w:sz="4" w:space="0"/>
              <w:left w:val="single" w:color="auto" w:sz="4" w:space="0"/>
              <w:bottom w:val="single" w:color="auto" w:sz="4" w:space="0"/>
              <w:right w:val="single" w:color="auto" w:sz="4" w:space="0"/>
            </w:tcBorders>
            <w:vAlign w:val="center"/>
          </w:tcPr>
          <w:p w14:paraId="62D025D2">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vAlign w:val="center"/>
          </w:tcPr>
          <w:p w14:paraId="78E4156C">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项目组实施人员（除项目负责人、技术负责人外）的专业技术人员组成、人员资质证书、专业素质、技术能力、经验等（提供相关证明材料复印件、投标人本单位近3个月任意一月为其缴纳社保的证明材料，不提供不得分）（评分范围：2,1,0.5,0）。</w:t>
            </w:r>
          </w:p>
        </w:tc>
      </w:tr>
      <w:tr w14:paraId="3B7D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774F0E1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4FD8B60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78B79C7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【主观分】服务力量和服务保障措施强，培训计划内容、培训范围完整且有针对性（评分范围：3,2,1,0）。</w:t>
            </w:r>
          </w:p>
        </w:tc>
      </w:tr>
      <w:tr w14:paraId="236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681504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2AD87E8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14833E7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【主观分】质保期满后配件、附件、备品备件的收费标准合理，配件、附件、备品备件的保障措施强（评分范围：2,1,0.5,0）。</w:t>
            </w:r>
          </w:p>
        </w:tc>
      </w:tr>
      <w:tr w14:paraId="547E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1BD4DF3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61AD96E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15</w:t>
            </w:r>
          </w:p>
        </w:tc>
        <w:tc>
          <w:tcPr>
            <w:tcW w:w="7072" w:type="dxa"/>
            <w:tcBorders>
              <w:top w:val="single" w:color="auto" w:sz="4" w:space="0"/>
              <w:left w:val="single" w:color="auto" w:sz="4" w:space="0"/>
              <w:bottom w:val="single" w:color="auto" w:sz="4" w:space="0"/>
              <w:right w:val="single" w:color="auto" w:sz="4" w:space="0"/>
            </w:tcBorders>
            <w:vAlign w:val="center"/>
          </w:tcPr>
          <w:p w14:paraId="6B4F90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【主观分】投标人根据第二章 采购需求“4.演示”的要求进行演示，根据演示内容和演示要求的契合程度（每项评分范围：5,4,3,2,1,0）。</w:t>
            </w:r>
          </w:p>
        </w:tc>
      </w:tr>
    </w:tbl>
    <w:p w14:paraId="35933540">
      <w:pPr>
        <w:adjustRightInd w:val="0"/>
        <w:snapToGrid w:val="0"/>
        <w:spacing w:line="288" w:lineRule="auto"/>
        <w:jc w:val="left"/>
        <w:rPr>
          <w:rFonts w:hint="eastAsia" w:ascii="宋体" w:hAnsi="宋体" w:eastAsia="宋体" w:cs="Times New Roman"/>
          <w:b/>
          <w:color w:val="auto"/>
          <w:szCs w:val="21"/>
          <w:highlight w:val="none"/>
        </w:rPr>
      </w:pPr>
    </w:p>
    <w:p w14:paraId="686566D3">
      <w:pPr>
        <w:adjustRightInd w:val="0"/>
        <w:snapToGrid w:val="0"/>
        <w:spacing w:line="288"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的规定：对符合规定的小微企业报价给予10%的扣除后计算价格得分。</w:t>
      </w:r>
    </w:p>
    <w:p w14:paraId="69D78B5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hint="eastAsia"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3B547C36">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hint="eastAsia" w:ascii="宋体" w:hAnsi="宋体" w:eastAsia="宋体" w:cs="宋体"/>
          <w:b/>
          <w:color w:val="auto"/>
          <w:spacing w:val="-6"/>
          <w:szCs w:val="21"/>
          <w:highlight w:val="none"/>
        </w:rPr>
      </w:pPr>
    </w:p>
    <w:p w14:paraId="204B6AE9">
      <w:pPr>
        <w:snapToGrid w:val="0"/>
        <w:spacing w:line="288" w:lineRule="auto"/>
        <w:ind w:firstLine="458" w:firstLineChars="200"/>
        <w:jc w:val="center"/>
        <w:rPr>
          <w:rFonts w:hint="eastAsia" w:ascii="宋体" w:hAnsi="宋体" w:eastAsia="宋体" w:cs="Times New Roman"/>
          <w:b/>
          <w:color w:val="auto"/>
          <w:spacing w:val="-6"/>
          <w:sz w:val="24"/>
          <w:szCs w:val="24"/>
          <w:highlight w:val="none"/>
        </w:rPr>
      </w:pPr>
      <w:r>
        <w:rPr>
          <w:rFonts w:hint="eastAsia" w:ascii="宋体" w:hAnsi="宋体" w:eastAsia="宋体" w:cs="Times New Roman"/>
          <w:b/>
          <w:color w:val="auto"/>
          <w:spacing w:val="-6"/>
          <w:sz w:val="24"/>
          <w:szCs w:val="24"/>
          <w:highlight w:val="none"/>
        </w:rPr>
        <w:t>浙江农林大学</w:t>
      </w:r>
      <w:r>
        <w:rPr>
          <w:rFonts w:hint="eastAsia" w:ascii="宋体" w:hAnsi="宋体" w:eastAsia="宋体" w:cs="Times New Roman"/>
          <w:b/>
          <w:color w:val="auto"/>
          <w:spacing w:val="-6"/>
          <w:sz w:val="24"/>
          <w:szCs w:val="24"/>
          <w:highlight w:val="none"/>
          <w:lang w:eastAsia="zh-CN"/>
        </w:rPr>
        <w:t>新农科教育教学中心建设项目交叉中心报告厅系统设备</w:t>
      </w:r>
      <w:r>
        <w:rPr>
          <w:rFonts w:hint="eastAsia" w:ascii="宋体" w:hAnsi="宋体" w:eastAsia="宋体" w:cs="Times New Roman"/>
          <w:b/>
          <w:color w:val="auto"/>
          <w:spacing w:val="-6"/>
          <w:sz w:val="24"/>
          <w:szCs w:val="24"/>
          <w:highlight w:val="none"/>
        </w:rPr>
        <w:t>项目</w:t>
      </w:r>
      <w:r>
        <w:rPr>
          <w:rFonts w:ascii="宋体" w:hAnsi="宋体" w:eastAsia="宋体" w:cs="Times New Roman"/>
          <w:b/>
          <w:color w:val="auto"/>
          <w:spacing w:val="-6"/>
          <w:sz w:val="24"/>
          <w:szCs w:val="24"/>
          <w:highlight w:val="none"/>
        </w:rPr>
        <w:t>合同</w:t>
      </w:r>
    </w:p>
    <w:p w14:paraId="47F3AB2B">
      <w:pPr>
        <w:snapToGrid w:val="0"/>
        <w:spacing w:line="288" w:lineRule="auto"/>
        <w:ind w:firstLine="458" w:firstLineChars="200"/>
        <w:jc w:val="center"/>
        <w:rPr>
          <w:rFonts w:hint="eastAsia" w:ascii="宋体" w:hAnsi="宋体" w:eastAsia="宋体" w:cs="Times New Roman"/>
          <w:b/>
          <w:color w:val="auto"/>
          <w:spacing w:val="-6"/>
          <w:sz w:val="24"/>
          <w:szCs w:val="24"/>
          <w:highlight w:val="none"/>
        </w:rPr>
      </w:pPr>
      <w:r>
        <w:rPr>
          <w:rFonts w:hint="eastAsia" w:ascii="宋体" w:hAnsi="宋体" w:eastAsia="宋体" w:cs="Times New Roman"/>
          <w:b/>
          <w:color w:val="auto"/>
          <w:spacing w:val="-6"/>
          <w:sz w:val="24"/>
          <w:szCs w:val="24"/>
          <w:highlight w:val="none"/>
        </w:rPr>
        <w:t>（国产合同）</w:t>
      </w:r>
    </w:p>
    <w:p w14:paraId="6054A00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合同编号：             </w:t>
      </w:r>
    </w:p>
    <w:p w14:paraId="03269CB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采购编号：                                                </w:t>
      </w:r>
    </w:p>
    <w:p w14:paraId="5AED479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确认书号：</w:t>
      </w:r>
    </w:p>
    <w:p w14:paraId="2E5F63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甲方：浙江农林大学</w:t>
      </w:r>
    </w:p>
    <w:p w14:paraId="43165DA1">
      <w:pPr>
        <w:spacing w:line="288"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乙方：</w:t>
      </w:r>
    </w:p>
    <w:p w14:paraId="62590F7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采购代理机构：浙江求是招标代理有限公司</w:t>
      </w:r>
    </w:p>
    <w:p w14:paraId="068384F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签约时间、地点：2025年  月  日，浙江农林大学</w:t>
      </w:r>
    </w:p>
    <w:p w14:paraId="1A5E66FE">
      <w:pPr>
        <w:spacing w:line="288"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浙江求是招标代理有限公司受浙江农林大学委托公开招标浙江农林大学</w:t>
      </w:r>
      <w:r>
        <w:rPr>
          <w:rFonts w:hint="eastAsia" w:ascii="宋体" w:hAnsi="宋体" w:eastAsia="宋体" w:cs="宋体"/>
          <w:color w:val="auto"/>
          <w:szCs w:val="21"/>
          <w:highlight w:val="none"/>
          <w:lang w:eastAsia="zh-CN"/>
        </w:rPr>
        <w:t>新农科教育教学中心建设项目交叉中心报告厅系统设备</w:t>
      </w:r>
      <w:r>
        <w:rPr>
          <w:rFonts w:hint="eastAsia" w:ascii="宋体" w:hAnsi="宋体" w:eastAsia="宋体" w:cs="宋体"/>
          <w:color w:val="auto"/>
          <w:szCs w:val="21"/>
          <w:highlight w:val="none"/>
        </w:rPr>
        <w:t>，经过招标，确定      为供货单位。经协商双方就本采购事项达成以下条款：</w:t>
      </w:r>
    </w:p>
    <w:p w14:paraId="13B84D0D">
      <w:pPr>
        <w:spacing w:line="28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第一条：采购产品内容及合同价格</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2D0F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3E653DA6">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7" w:type="dxa"/>
            <w:vAlign w:val="center"/>
          </w:tcPr>
          <w:p w14:paraId="29198A93">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1941" w:type="dxa"/>
            <w:vAlign w:val="center"/>
          </w:tcPr>
          <w:p w14:paraId="2135FB41">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型号和规格</w:t>
            </w:r>
          </w:p>
        </w:tc>
        <w:tc>
          <w:tcPr>
            <w:tcW w:w="477" w:type="dxa"/>
            <w:vAlign w:val="center"/>
          </w:tcPr>
          <w:p w14:paraId="4A21180E">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49" w:type="dxa"/>
            <w:vAlign w:val="center"/>
          </w:tcPr>
          <w:p w14:paraId="0E0B6F92">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品牌及厂家</w:t>
            </w:r>
          </w:p>
        </w:tc>
        <w:tc>
          <w:tcPr>
            <w:tcW w:w="855" w:type="dxa"/>
            <w:vAlign w:val="center"/>
          </w:tcPr>
          <w:p w14:paraId="6C9BAD3E">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755" w:type="dxa"/>
            <w:vAlign w:val="center"/>
          </w:tcPr>
          <w:p w14:paraId="7C05E51D">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人民币单价</w:t>
            </w:r>
          </w:p>
        </w:tc>
        <w:tc>
          <w:tcPr>
            <w:tcW w:w="1812" w:type="dxa"/>
            <w:vAlign w:val="center"/>
          </w:tcPr>
          <w:p w14:paraId="75430B20">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人民币小计</w:t>
            </w:r>
          </w:p>
        </w:tc>
      </w:tr>
      <w:tr w14:paraId="2847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2732EEC0">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7" w:type="dxa"/>
            <w:vAlign w:val="center"/>
          </w:tcPr>
          <w:p w14:paraId="21599FAD">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941" w:type="dxa"/>
            <w:vAlign w:val="center"/>
          </w:tcPr>
          <w:p w14:paraId="048C16F5">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477" w:type="dxa"/>
            <w:vAlign w:val="center"/>
          </w:tcPr>
          <w:p w14:paraId="33853A3D">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049" w:type="dxa"/>
            <w:vAlign w:val="center"/>
          </w:tcPr>
          <w:p w14:paraId="6A4681F2">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855" w:type="dxa"/>
            <w:vAlign w:val="center"/>
          </w:tcPr>
          <w:p w14:paraId="67C78BAC">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755" w:type="dxa"/>
            <w:vAlign w:val="center"/>
          </w:tcPr>
          <w:p w14:paraId="79447536">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1812" w:type="dxa"/>
            <w:vAlign w:val="center"/>
          </w:tcPr>
          <w:p w14:paraId="4D90ACBE">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r>
      <w:tr w14:paraId="5B4F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987BC5E">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67" w:type="dxa"/>
            <w:vAlign w:val="center"/>
          </w:tcPr>
          <w:p w14:paraId="7C635F8F">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941" w:type="dxa"/>
            <w:vAlign w:val="center"/>
          </w:tcPr>
          <w:p w14:paraId="487E7AAF">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477" w:type="dxa"/>
            <w:vAlign w:val="center"/>
          </w:tcPr>
          <w:p w14:paraId="03E5BF40">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049" w:type="dxa"/>
            <w:vAlign w:val="center"/>
          </w:tcPr>
          <w:p w14:paraId="4AC8BE56">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855" w:type="dxa"/>
            <w:vAlign w:val="center"/>
          </w:tcPr>
          <w:p w14:paraId="7E89A81C">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755" w:type="dxa"/>
            <w:vAlign w:val="center"/>
          </w:tcPr>
          <w:p w14:paraId="202FF611">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1812" w:type="dxa"/>
            <w:vAlign w:val="center"/>
          </w:tcPr>
          <w:p w14:paraId="6AE408DD">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r>
      <w:tr w14:paraId="7051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30E3EFE">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67" w:type="dxa"/>
            <w:vAlign w:val="center"/>
          </w:tcPr>
          <w:p w14:paraId="33174A32">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941" w:type="dxa"/>
            <w:vAlign w:val="center"/>
          </w:tcPr>
          <w:p w14:paraId="744A5271">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477" w:type="dxa"/>
            <w:vAlign w:val="center"/>
          </w:tcPr>
          <w:p w14:paraId="72A1D19B">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049" w:type="dxa"/>
            <w:vAlign w:val="center"/>
          </w:tcPr>
          <w:p w14:paraId="46757B83">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855" w:type="dxa"/>
            <w:vAlign w:val="center"/>
          </w:tcPr>
          <w:p w14:paraId="7A3AE680">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755" w:type="dxa"/>
            <w:vAlign w:val="center"/>
          </w:tcPr>
          <w:p w14:paraId="2069C870">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1812" w:type="dxa"/>
            <w:vAlign w:val="center"/>
          </w:tcPr>
          <w:p w14:paraId="5D1CADB8">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r>
      <w:tr w14:paraId="12CD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FA4BD9C">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67" w:type="dxa"/>
            <w:vAlign w:val="center"/>
          </w:tcPr>
          <w:p w14:paraId="10875827">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941" w:type="dxa"/>
            <w:vAlign w:val="center"/>
          </w:tcPr>
          <w:p w14:paraId="6A84FF51">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477" w:type="dxa"/>
            <w:vAlign w:val="center"/>
          </w:tcPr>
          <w:p w14:paraId="35C60525">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049" w:type="dxa"/>
            <w:vAlign w:val="center"/>
          </w:tcPr>
          <w:p w14:paraId="4D8C5D66">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855" w:type="dxa"/>
            <w:vAlign w:val="center"/>
          </w:tcPr>
          <w:p w14:paraId="39CAFE37">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c>
          <w:tcPr>
            <w:tcW w:w="1755" w:type="dxa"/>
            <w:vAlign w:val="center"/>
          </w:tcPr>
          <w:p w14:paraId="2100BBBD">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p>
        </w:tc>
        <w:tc>
          <w:tcPr>
            <w:tcW w:w="1812" w:type="dxa"/>
            <w:vAlign w:val="center"/>
          </w:tcPr>
          <w:p w14:paraId="62639D85">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p>
        </w:tc>
      </w:tr>
      <w:tr w14:paraId="44BC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714901A6">
            <w:pPr>
              <w:keepNext w:val="0"/>
              <w:keepLines w:val="0"/>
              <w:suppressLineNumbers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合计：人民币           元整（￥          ）</w:t>
            </w:r>
          </w:p>
        </w:tc>
      </w:tr>
    </w:tbl>
    <w:p w14:paraId="170CDF6A">
      <w:pPr>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详细配置清单详见投标文件和承诺表。</w:t>
      </w:r>
    </w:p>
    <w:p w14:paraId="6DAF0A2B">
      <w:pPr>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以上合同总价包括将货物运抵浙江农林大学校区指定地点的运费及安装调试等一切费用。</w:t>
      </w:r>
    </w:p>
    <w:p w14:paraId="6DAF64F2">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第二条：质量保证及售后服务</w:t>
      </w:r>
    </w:p>
    <w:p w14:paraId="221AEAAD">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1.乙方应按公开招标文件规定的货物性能、技术要求、质量标准向甲方提供未经使用的全新产品，符合国家法律规定和技术规格、质量标准的出厂原装合格产品。</w:t>
      </w:r>
    </w:p>
    <w:p w14:paraId="3D939092">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2.乙方提供的货物在质保期内因货物本身的质量问题发生故障，乙方应负责免费更换。对达不到技术要求者，根据实际情况，经双方协商，可按以下办法处理：</w:t>
      </w:r>
    </w:p>
    <w:p w14:paraId="7C784587">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⑴更换：由乙方承担所发生的全部费用。</w:t>
      </w:r>
    </w:p>
    <w:p w14:paraId="71270316">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⑵贬值处理：由甲乙双方合议定价。</w:t>
      </w:r>
    </w:p>
    <w:p w14:paraId="1615E064">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⑶退货处理：乙方应退还甲方支付的合同款，同时应承担该货物的直接费用（运输、保险、检验、货款利息及银行手续费等）。</w:t>
      </w:r>
    </w:p>
    <w:p w14:paraId="5B7A377A">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3.在质保期内，乙方应对货物出现的质量及安全问题负责处理解决并承担一切费用。人为破坏因素、自然因素等不可抗拒因素除外。</w:t>
      </w:r>
    </w:p>
    <w:p w14:paraId="7D3FA1BD">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4.上述的货物中</w:t>
      </w:r>
      <w:r>
        <w:rPr>
          <w:rFonts w:hint="eastAsia" w:ascii="宋体" w:hAnsi="宋体" w:eastAsia="宋体" w:cs="Times New Roman"/>
          <w:color w:val="auto"/>
          <w:spacing w:val="-6"/>
          <w:szCs w:val="21"/>
          <w:highlight w:val="none"/>
        </w:rPr>
        <w:t>原厂售后质量保证期为     年，从交货验收合格后开始计算</w:t>
      </w:r>
      <w:r>
        <w:rPr>
          <w:rFonts w:hint="eastAsia" w:ascii="宋体" w:hAnsi="宋体" w:eastAsia="宋体" w:cs="宋体"/>
          <w:color w:val="auto"/>
          <w:spacing w:val="-6"/>
          <w:szCs w:val="21"/>
          <w:highlight w:val="none"/>
        </w:rPr>
        <w:t>，</w:t>
      </w:r>
      <w:r>
        <w:rPr>
          <w:rFonts w:hint="eastAsia" w:ascii="宋体" w:hAnsi="宋体" w:eastAsia="宋体" w:cs="Times New Roman"/>
          <w:color w:val="auto"/>
          <w:szCs w:val="21"/>
          <w:highlight w:val="none"/>
        </w:rPr>
        <w:t>如在使用过程中发生质量问题，乙方维修响应时间：1小时以内；电话技术支持时间：2小时以内；若需上门维修，则在：6小时内到达现场并进行维修；不超过2个工作日解决故障。质保期内，乙方须提供每年至少2次的上门服务，服务内容包括但不限于设备巡检等。质保期内因货物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溯；乙方应制定项目回访制度，检查设备运行状况，解决使用者遇到的问题，对项目的实施提供参考意见和建议；当货物出现故障，需要到现场进行抢修处理时，将安排进行应急抢修，彻底解决排除故障。</w:t>
      </w:r>
      <w:r>
        <w:rPr>
          <w:rFonts w:hint="eastAsia" w:ascii="宋体" w:hAnsi="宋体" w:eastAsia="宋体" w:cs="宋体"/>
          <w:color w:val="auto"/>
          <w:spacing w:val="-6"/>
          <w:szCs w:val="21"/>
          <w:highlight w:val="none"/>
        </w:rPr>
        <w:t>其余保修条款详见投标文件和承诺表。</w:t>
      </w:r>
    </w:p>
    <w:p w14:paraId="6B7D535F">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第三条：技术资料</w:t>
      </w:r>
    </w:p>
    <w:p w14:paraId="4E0D9E7A">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乙方应按公开招标文件规定的时间向甲方提供使用货物的有关技术资料。</w:t>
      </w:r>
    </w:p>
    <w:p w14:paraId="27D9FED3">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第四条：交货时间、地点</w:t>
      </w:r>
    </w:p>
    <w:p w14:paraId="452716EE">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1.交货时间：自合同签订之日起   日内交付；</w:t>
      </w:r>
    </w:p>
    <w:p w14:paraId="04311AFA">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2.交货地点：甲方指定地点。</w:t>
      </w:r>
    </w:p>
    <w:p w14:paraId="66EBE780">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第五条：培训、安装调试与验收</w:t>
      </w:r>
    </w:p>
    <w:p w14:paraId="1014A209">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1.培训：</w:t>
      </w:r>
    </w:p>
    <w:p w14:paraId="72CE671B">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乙方应对甲方的操作人员、维修人员免费进行培训。</w:t>
      </w:r>
    </w:p>
    <w:p w14:paraId="1FCBE109">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乙方应提供相应的培训计划。</w:t>
      </w:r>
    </w:p>
    <w:p w14:paraId="196E981A">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乙方应对上述内容的实现方式、地点、人数、时间在投标文件中详细说明。</w:t>
      </w:r>
    </w:p>
    <w:p w14:paraId="627BCE83">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2.技术支持：</w:t>
      </w:r>
    </w:p>
    <w:p w14:paraId="5BB22611">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乙方应及时免费提供合同货物软件的升级，免费提供合同货物新功能和应用的资料。</w:t>
      </w:r>
    </w:p>
    <w:p w14:paraId="4CFC8975">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3.安装调试（若需要安装调试）：乙方在规定时间内安装、调试仪器，费用由乙方承担。</w:t>
      </w:r>
    </w:p>
    <w:p w14:paraId="130154F5">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安装地点：甲方指定地点。</w:t>
      </w:r>
    </w:p>
    <w:p w14:paraId="5FF6B072">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安装完成时间：接到甲方通知后在7日内完成安装和调试，如在规定的时间内由于乙方的原因不能完成安装和调试，乙方应承担由此给甲方造成的损失。</w:t>
      </w:r>
    </w:p>
    <w:p w14:paraId="1B470EB3">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安装标准：符合我国国家有关技术规范要求和技术标准，所有的软件和硬件必须保证同时安装到位。</w:t>
      </w:r>
    </w:p>
    <w:p w14:paraId="2D096521">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乙方免费提供合同货物的安装服务。</w:t>
      </w:r>
    </w:p>
    <w:p w14:paraId="2F10E43B">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乙方在投标文件中应提供安装调试计划、对安装场地和环境的要求。</w:t>
      </w:r>
    </w:p>
    <w:p w14:paraId="08AA3C3F">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02AF2C5A">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6BDB43D6">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35CA4EC6">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7.如乙方委托国内代理（或其他机构）负责安装或配合安装，应在签约时指明，但乙方仍要对合同货物及其安装质量负全部责任。</w:t>
      </w:r>
    </w:p>
    <w:p w14:paraId="0A6F6CC3">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8.甲方对乙方提供的货物在使用前进行调试时，乙方需负责安装并培训甲方的使用操作人员，并协助甲方一起调试，直到符合技术要求，甲方才做最终验收。</w:t>
      </w:r>
    </w:p>
    <w:p w14:paraId="1AA78513">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9.对技术复杂的货物，甲方应请国家认可的专业检测机构参与初步验收及最终验收，并由其出具质量检测报告。</w:t>
      </w:r>
    </w:p>
    <w:p w14:paraId="256A8C4E">
      <w:pPr>
        <w:autoSpaceDE w:val="0"/>
        <w:autoSpaceDN w:val="0"/>
        <w:adjustRightInd w:val="0"/>
        <w:snapToGrid w:val="0"/>
        <w:spacing w:line="288"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10.验收时乙方必须在现场，验收完毕后作出验收结果报告。</w:t>
      </w:r>
    </w:p>
    <w:p w14:paraId="69C8DBA3">
      <w:pPr>
        <w:autoSpaceDE w:val="0"/>
        <w:autoSpaceDN w:val="0"/>
        <w:adjustRightInd w:val="0"/>
        <w:snapToGrid w:val="0"/>
        <w:spacing w:line="288" w:lineRule="auto"/>
        <w:ind w:firstLine="420" w:firstLineChars="200"/>
        <w:textAlignment w:val="bottom"/>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565BA6A">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第六条：货款的支付</w:t>
      </w:r>
    </w:p>
    <w:p w14:paraId="76FB90D6">
      <w:pPr>
        <w:snapToGrid w:val="0"/>
        <w:spacing w:line="288" w:lineRule="auto"/>
        <w:ind w:firstLine="398" w:firstLineChars="200"/>
        <w:rPr>
          <w:rFonts w:ascii="Times New Roman" w:hAnsi="Times New Roman" w:eastAsia="宋体" w:cs="Times New Roman"/>
          <w:color w:val="auto"/>
          <w:spacing w:val="-6"/>
          <w:szCs w:val="21"/>
          <w:highlight w:val="none"/>
        </w:rPr>
      </w:pPr>
      <w:r>
        <w:rPr>
          <w:rFonts w:hint="eastAsia" w:ascii="宋体" w:hAnsi="宋体" w:eastAsia="宋体" w:cs="Times New Roman"/>
          <w:b/>
          <w:color w:val="auto"/>
          <w:spacing w:val="-6"/>
          <w:szCs w:val="21"/>
          <w:highlight w:val="none"/>
        </w:rPr>
        <w:t>1.履约保证金：</w:t>
      </w:r>
      <w:r>
        <w:rPr>
          <w:rFonts w:hint="eastAsia" w:ascii="Times New Roman" w:hAnsi="Times New Roman" w:eastAsia="宋体" w:cs="Times New Roman"/>
          <w:color w:val="auto"/>
          <w:spacing w:val="-6"/>
          <w:szCs w:val="21"/>
          <w:highlight w:val="none"/>
        </w:rPr>
        <w:t>合同签订后一周内，乙方向甲方提交合同总价1%的履约保证金，履约保证金在合同履约期间无违约情形的，项目验收结束后，于一周内退还（不计息）；提交方式：支票、汇票、本票或金融机构、担保机构出具的保函等非现金形式。</w:t>
      </w:r>
    </w:p>
    <w:p w14:paraId="42C0E331">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Times New Roman"/>
          <w:b/>
          <w:color w:val="auto"/>
          <w:spacing w:val="-6"/>
          <w:szCs w:val="21"/>
          <w:highlight w:val="none"/>
        </w:rPr>
        <w:t>2.付款方式：</w:t>
      </w:r>
      <w:r>
        <w:rPr>
          <w:rFonts w:hint="eastAsia" w:ascii="Times New Roman" w:hAnsi="Times New Roman" w:eastAsia="宋体" w:cs="Times New Roman"/>
          <w:color w:val="auto"/>
          <w:spacing w:val="-6"/>
          <w:szCs w:val="21"/>
          <w:highlight w:val="none"/>
        </w:rPr>
        <w:t>合同生效以及具备实施条件后7个工作日内，且乙方已向采购人提交银行、保险公司等金融机构出具的预付款保函的，甲方向乙方支付合同总价的40%；项目履约完成，经甲方验收合格后，收到发票后7个工作日内，甲方向乙方支付合同总价的60%。</w:t>
      </w:r>
    </w:p>
    <w:p w14:paraId="76DEAC84">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第七条：违约责任</w:t>
      </w:r>
    </w:p>
    <w:p w14:paraId="63859CB3">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1.乙方逾期履行合同的，自逾期之日起，向甲方每周偿付合同总价千分之五的滞纳金。</w:t>
      </w:r>
    </w:p>
    <w:p w14:paraId="30172338">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2.甲方逾期支付货款的，自逾期之日起，向乙方每周偿付未付价款千分之五的滞纳金。</w:t>
      </w:r>
    </w:p>
    <w:p w14:paraId="6569CADB">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3.如验收不能达到质量功能（性能）标准，应及时处理直至验收合格，所需费用由乙方承担。</w:t>
      </w:r>
    </w:p>
    <w:p w14:paraId="713BA61C">
      <w:pPr>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w:t>
      </w:r>
      <w:r>
        <w:rPr>
          <w:rFonts w:hint="eastAsia" w:ascii="Times New Roman" w:hAnsi="Times New Roman" w:eastAsia="宋体" w:cs="Times New Roman"/>
          <w:color w:val="auto"/>
          <w:szCs w:val="21"/>
          <w:highlight w:val="none"/>
        </w:rPr>
        <w:t>如甲方未能按合同规定向乙方付款，在乙方书面通知30天内仍不付款，乙方有权终止履行合同并要求甲方支付已完成的未付工程量价款。</w:t>
      </w:r>
    </w:p>
    <w:p w14:paraId="3926B456">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bidi="ar"/>
        </w:rPr>
        <w:t>第八条：</w:t>
      </w:r>
      <w:r>
        <w:rPr>
          <w:rFonts w:hint="eastAsia" w:ascii="宋体" w:hAnsi="宋体" w:eastAsia="宋体" w:cs="宋体"/>
          <w:b/>
          <w:color w:val="auto"/>
          <w:spacing w:val="-6"/>
          <w:szCs w:val="21"/>
          <w:highlight w:val="none"/>
        </w:rPr>
        <w:t>不可抗力事件处理</w:t>
      </w:r>
    </w:p>
    <w:p w14:paraId="6A7CFBB5">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1.在合同有效期内，任何一方因不可抗力事件导致不能履行合同，则合同履行期可延长，其延长期与不可抗力影响期相同。</w:t>
      </w:r>
    </w:p>
    <w:p w14:paraId="4F0CE55C">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2.不可抗力事件延续120天以上，双方应通过友好协商，确定是否继续履行合同。</w:t>
      </w:r>
    </w:p>
    <w:p w14:paraId="57327A5B">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第九条：争议解决</w:t>
      </w:r>
    </w:p>
    <w:p w14:paraId="44028DB9">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本合同未尽事宜由三方协商解决，如协商不成，三方同意将本合同引起的争议提交杭州仲裁委员会仲裁解决，仲裁为终局。</w:t>
      </w:r>
    </w:p>
    <w:p w14:paraId="25F1E802">
      <w:pPr>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第十条：合同生效</w:t>
      </w:r>
    </w:p>
    <w:p w14:paraId="7601FB69">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1.合同经双方法定代表人或授权代表签字并加盖单位公章后生效。</w:t>
      </w:r>
    </w:p>
    <w:p w14:paraId="447CC674">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2.合同执行中涉及采购资金和采购内容修改或补充的，须经财政部门审批，并签书面补充协议报政府采购监督管理部门备案，方可作为主合同不可分割的一部分。</w:t>
      </w:r>
    </w:p>
    <w:p w14:paraId="34178BF2">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3.本合同未尽事宜，遵照《民法典》有关条文执行。</w:t>
      </w:r>
    </w:p>
    <w:p w14:paraId="0F289782">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4.本合同一式柒份，乙方、采购代理机构各执壹份，甲方执伍份，经三方签字、盖公章后生效。</w:t>
      </w:r>
    </w:p>
    <w:p w14:paraId="63F2CF13">
      <w:pPr>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5.相关招标文件、投标文件、询标承诺等与本合同具有同等法律效力。</w:t>
      </w:r>
    </w:p>
    <w:p w14:paraId="08ADC296">
      <w:pPr>
        <w:spacing w:line="288" w:lineRule="auto"/>
        <w:rPr>
          <w:rFonts w:hint="eastAsia" w:ascii="宋体" w:hAnsi="宋体" w:eastAsia="宋体" w:cs="宋体"/>
          <w:b/>
          <w:color w:val="auto"/>
          <w:spacing w:val="20"/>
          <w:szCs w:val="21"/>
          <w:highlight w:val="none"/>
        </w:rPr>
      </w:pPr>
    </w:p>
    <w:p w14:paraId="5A3F458E">
      <w:pPr>
        <w:spacing w:line="288" w:lineRule="auto"/>
        <w:ind w:firstLine="422" w:firstLineChars="200"/>
        <w:rPr>
          <w:rFonts w:hint="eastAsia" w:ascii="宋体" w:hAnsi="宋体" w:eastAsia="宋体" w:cs="宋体"/>
          <w:bCs/>
          <w:color w:val="auto"/>
          <w:kern w:val="1"/>
          <w:szCs w:val="21"/>
          <w:highlight w:val="none"/>
        </w:rPr>
      </w:pPr>
      <w:r>
        <w:rPr>
          <w:rFonts w:hint="eastAsia" w:ascii="宋体" w:hAnsi="宋体" w:eastAsia="宋体" w:cs="宋体"/>
          <w:b/>
          <w:color w:val="auto"/>
          <w:kern w:val="1"/>
          <w:szCs w:val="21"/>
          <w:highlight w:val="none"/>
        </w:rPr>
        <w:t>甲方（盖章）</w:t>
      </w:r>
      <w:r>
        <w:rPr>
          <w:rFonts w:hint="eastAsia" w:ascii="宋体" w:hAnsi="宋体" w:eastAsia="宋体" w:cs="宋体"/>
          <w:bCs/>
          <w:color w:val="auto"/>
          <w:kern w:val="1"/>
          <w:szCs w:val="21"/>
          <w:highlight w:val="none"/>
        </w:rPr>
        <w:t xml:space="preserve">：浙江农林大学                       </w:t>
      </w:r>
      <w:r>
        <w:rPr>
          <w:rFonts w:hint="eastAsia" w:ascii="宋体" w:hAnsi="宋体" w:eastAsia="宋体" w:cs="宋体"/>
          <w:b/>
          <w:color w:val="auto"/>
          <w:kern w:val="1"/>
          <w:szCs w:val="21"/>
          <w:highlight w:val="none"/>
        </w:rPr>
        <w:t>乙方（盖章）</w:t>
      </w:r>
      <w:r>
        <w:rPr>
          <w:rFonts w:hint="eastAsia" w:ascii="宋体" w:hAnsi="宋体" w:eastAsia="宋体" w:cs="宋体"/>
          <w:bCs/>
          <w:color w:val="auto"/>
          <w:kern w:val="1"/>
          <w:szCs w:val="21"/>
          <w:highlight w:val="none"/>
        </w:rPr>
        <w:t>：</w:t>
      </w:r>
    </w:p>
    <w:p w14:paraId="33F3B6CE">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法定代表人或受委托人：                           法定代表人或受委托人：</w:t>
      </w:r>
    </w:p>
    <w:p w14:paraId="03FB8B2D">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（签字）                                        （签字）</w:t>
      </w:r>
    </w:p>
    <w:p w14:paraId="7EE38F44">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地址：浙江省杭州市临安区武肃街666号              地址：</w:t>
      </w:r>
    </w:p>
    <w:p w14:paraId="77B7681D">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邮编：311300                                     邮编：</w:t>
      </w:r>
    </w:p>
    <w:p w14:paraId="53D856B2">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电话：0571-63740897                              电话：</w:t>
      </w:r>
    </w:p>
    <w:p w14:paraId="39B49757">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 xml:space="preserve">户名：浙江农林大学                               户名： </w:t>
      </w:r>
    </w:p>
    <w:p w14:paraId="5D94BC61">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开户银行：建行临安支行（行号：105331024007）     开户银行：</w:t>
      </w:r>
    </w:p>
    <w:p w14:paraId="5CE7A004">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账号：3300 1617 3350 5001 8761                   账号：</w:t>
      </w:r>
    </w:p>
    <w:p w14:paraId="042C6FB8">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纳税人识别号（统一社会信用代码）：                纳税人识别号（统一社会信用代码）：</w:t>
      </w:r>
    </w:p>
    <w:p w14:paraId="5D80BF2E">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123300004700050170</w:t>
      </w:r>
    </w:p>
    <w:p w14:paraId="3E374AC9">
      <w:pPr>
        <w:spacing w:line="288" w:lineRule="auto"/>
        <w:ind w:firstLine="420" w:firstLineChars="200"/>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（注：所有发票需开“增值税专用发票”）</w:t>
      </w:r>
    </w:p>
    <w:p w14:paraId="17C2CBED">
      <w:pPr>
        <w:spacing w:line="288" w:lineRule="auto"/>
        <w:ind w:firstLine="422" w:firstLineChars="200"/>
        <w:rPr>
          <w:rFonts w:hint="eastAsia" w:ascii="宋体" w:hAnsi="宋体" w:eastAsia="宋体" w:cs="宋体"/>
          <w:b/>
          <w:color w:val="auto"/>
          <w:kern w:val="1"/>
          <w:szCs w:val="21"/>
          <w:highlight w:val="none"/>
        </w:rPr>
      </w:pPr>
    </w:p>
    <w:p w14:paraId="64051878">
      <w:pPr>
        <w:spacing w:line="288" w:lineRule="auto"/>
        <w:ind w:firstLine="422" w:firstLineChars="200"/>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采购代理机构：</w:t>
      </w:r>
      <w:r>
        <w:rPr>
          <w:rFonts w:hint="eastAsia" w:ascii="宋体" w:hAnsi="宋体" w:eastAsia="宋体" w:cs="宋体"/>
          <w:color w:val="auto"/>
          <w:kern w:val="1"/>
          <w:szCs w:val="21"/>
          <w:highlight w:val="none"/>
        </w:rPr>
        <w:t>浙江求是招标代理有限公司</w:t>
      </w:r>
    </w:p>
    <w:p w14:paraId="7FB5D7D3">
      <w:pPr>
        <w:spacing w:line="288" w:lineRule="auto"/>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地址：杭州市西湖区玉古路173号中田大厦21楼求是招标</w:t>
      </w:r>
    </w:p>
    <w:p w14:paraId="0BD9EFE0">
      <w:pPr>
        <w:spacing w:line="288" w:lineRule="auto"/>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电话：0571-87670302</w:t>
      </w:r>
    </w:p>
    <w:p w14:paraId="52C0C68E">
      <w:pPr>
        <w:spacing w:line="288" w:lineRule="auto"/>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授权代表：</w:t>
      </w:r>
    </w:p>
    <w:p w14:paraId="61BF745C">
      <w:pPr>
        <w:spacing w:line="288" w:lineRule="auto"/>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鉴证时间：</w:t>
      </w:r>
    </w:p>
    <w:p w14:paraId="2D064DA3">
      <w:pPr>
        <w:spacing w:line="288" w:lineRule="auto"/>
        <w:ind w:firstLine="396" w:firstLineChars="200"/>
        <w:rPr>
          <w:rFonts w:hint="eastAsia" w:ascii="宋体" w:hAnsi="宋体" w:eastAsia="宋体" w:cs="宋体"/>
          <w:color w:val="auto"/>
          <w:szCs w:val="21"/>
          <w:highlight w:val="none"/>
          <w:lang w:val="zh-CN"/>
        </w:rPr>
      </w:pPr>
      <w:r>
        <w:rPr>
          <w:rFonts w:hint="eastAsia" w:ascii="宋体" w:hAnsi="Courier New" w:eastAsia="宋体" w:cs="宋体"/>
          <w:color w:val="auto"/>
          <w:spacing w:val="-6"/>
          <w:szCs w:val="21"/>
          <w:highlight w:val="none"/>
        </w:rPr>
        <w:t>2025年</w:t>
      </w:r>
      <w:r>
        <w:rPr>
          <w:rFonts w:ascii="宋体" w:hAnsi="Courier New" w:eastAsia="宋体" w:cs="宋体"/>
          <w:color w:val="auto"/>
          <w:spacing w:val="-6"/>
          <w:szCs w:val="21"/>
          <w:highlight w:val="none"/>
        </w:rPr>
        <w:t xml:space="preserve">    月    日</w:t>
      </w:r>
    </w:p>
    <w:p w14:paraId="1A737154">
      <w:pPr>
        <w:adjustRightInd w:val="0"/>
        <w:snapToGrid w:val="0"/>
        <w:spacing w:line="288" w:lineRule="auto"/>
        <w:ind w:firstLine="420" w:firstLineChars="200"/>
        <w:jc w:val="center"/>
        <w:rPr>
          <w:rFonts w:hint="eastAsia"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hint="eastAsia"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hint="eastAsia"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hint="eastAsia"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2593EBF4">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hint="eastAsia"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FA1CDA2">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50E6AA7E">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2E255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3869BA3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14:paraId="6A396650">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hint="eastAsia"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5" w:name="_Hlk81815656"/>
      <w:r>
        <w:rPr>
          <w:rFonts w:hint="eastAsia" w:ascii="宋体" w:hAnsi="宋体" w:eastAsia="宋体" w:cs="Times New Roman"/>
          <w:color w:val="auto"/>
          <w:spacing w:val="-6"/>
          <w:szCs w:val="21"/>
          <w:highlight w:val="none"/>
        </w:rPr>
        <w:t>（若属于中小企业）</w:t>
      </w:r>
      <w:bookmarkEnd w:id="55"/>
    </w:p>
    <w:p w14:paraId="2B87741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6" w:name="_Hlk81815359"/>
      <w:r>
        <w:rPr>
          <w:rFonts w:hint="eastAsia" w:ascii="宋体" w:hAnsi="宋体" w:eastAsia="宋体" w:cs="Times New Roman"/>
          <w:color w:val="auto"/>
          <w:spacing w:val="-6"/>
          <w:szCs w:val="21"/>
          <w:highlight w:val="none"/>
        </w:rPr>
        <w:t>（若属于监狱企业）</w:t>
      </w:r>
      <w:bookmarkEnd w:id="56"/>
    </w:p>
    <w:p w14:paraId="52033B6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7" w:name="OLE_LINK13"/>
      <w:bookmarkStart w:id="58" w:name="OLE_LINK14"/>
      <w:r>
        <w:rPr>
          <w:rFonts w:hint="eastAsia" w:ascii="宋体" w:hAnsi="宋体" w:eastAsia="宋体" w:cs="Times New Roman"/>
          <w:color w:val="auto"/>
          <w:spacing w:val="-6"/>
          <w:szCs w:val="21"/>
          <w:highlight w:val="none"/>
        </w:rPr>
        <w:t>残疾人福利性单位声明函</w:t>
      </w:r>
      <w:bookmarkEnd w:id="57"/>
      <w:bookmarkEnd w:id="58"/>
      <w:bookmarkStart w:id="59" w:name="_Hlk81815372"/>
      <w:r>
        <w:rPr>
          <w:rFonts w:hint="eastAsia" w:ascii="宋体" w:hAnsi="宋体" w:eastAsia="宋体" w:cs="Times New Roman"/>
          <w:color w:val="auto"/>
          <w:spacing w:val="-6"/>
          <w:szCs w:val="21"/>
          <w:highlight w:val="none"/>
        </w:rPr>
        <w:t>（若属于残疾人福利性单位）</w:t>
      </w:r>
      <w:bookmarkEnd w:id="59"/>
    </w:p>
    <w:p w14:paraId="3BDB16B3">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A5AE29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eastAsia"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1010DE0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0337F3B1">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73D256A9">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67A061C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426CFB7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5EBFEBE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5371260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396CDE4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6418174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5CCE44B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3DA606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17C8CD8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01E23A0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498B1CA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41DEED4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0"/>
                <w:szCs w:val="21"/>
                <w:highlight w:val="none"/>
              </w:rPr>
            </w:pPr>
          </w:p>
        </w:tc>
        <w:tc>
          <w:tcPr>
            <w:tcW w:w="2091" w:type="dxa"/>
            <w:vAlign w:val="center"/>
          </w:tcPr>
          <w:p w14:paraId="5DBBAE7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0"/>
                <w:szCs w:val="21"/>
                <w:highlight w:val="none"/>
              </w:rPr>
            </w:pPr>
          </w:p>
        </w:tc>
        <w:tc>
          <w:tcPr>
            <w:tcW w:w="709" w:type="dxa"/>
            <w:vAlign w:val="center"/>
          </w:tcPr>
          <w:p w14:paraId="18E2C73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0"/>
                <w:szCs w:val="21"/>
                <w:highlight w:val="none"/>
              </w:rPr>
            </w:pPr>
          </w:p>
        </w:tc>
        <w:tc>
          <w:tcPr>
            <w:tcW w:w="3040" w:type="dxa"/>
            <w:vAlign w:val="center"/>
          </w:tcPr>
          <w:p w14:paraId="0CDB96F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kern w:val="0"/>
                <w:szCs w:val="21"/>
                <w:highlight w:val="none"/>
              </w:rPr>
            </w:pPr>
          </w:p>
        </w:tc>
        <w:tc>
          <w:tcPr>
            <w:tcW w:w="967" w:type="dxa"/>
            <w:vAlign w:val="center"/>
          </w:tcPr>
          <w:p w14:paraId="7F7F7B2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p>
        </w:tc>
        <w:tc>
          <w:tcPr>
            <w:tcW w:w="1053" w:type="dxa"/>
            <w:vAlign w:val="center"/>
          </w:tcPr>
          <w:p w14:paraId="24ED60E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p>
        </w:tc>
        <w:tc>
          <w:tcPr>
            <w:tcW w:w="882" w:type="dxa"/>
          </w:tcPr>
          <w:p w14:paraId="6FF943A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4988AA1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4350FAB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2634BDF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6B7DCA0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1CDE8DF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467F5E3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0EF8607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4FC54D0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6EC772B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75267D5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7DF7BCF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6BB0689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4CA70FF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12895C5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2531E7D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62D5DBC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1A21794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2D7FFB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5A03575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086885C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12C7B4F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1BADE94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5C96540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325212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09105D1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787A7F5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6B782F1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5726B91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1A9517C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54B47A9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756F83F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0D7F238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36B1C84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6E2D045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242841C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4E2E8E7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4F0247A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76FEA05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3B596F6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0F8DCEC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74BD4DD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43CCDCD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2091" w:type="dxa"/>
            <w:vAlign w:val="center"/>
          </w:tcPr>
          <w:p w14:paraId="07EB2B5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709" w:type="dxa"/>
            <w:vAlign w:val="center"/>
          </w:tcPr>
          <w:p w14:paraId="204746E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3040" w:type="dxa"/>
            <w:vAlign w:val="center"/>
          </w:tcPr>
          <w:p w14:paraId="597B3C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c>
          <w:tcPr>
            <w:tcW w:w="967" w:type="dxa"/>
            <w:vAlign w:val="center"/>
          </w:tcPr>
          <w:p w14:paraId="0574F4C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1053" w:type="dxa"/>
            <w:vAlign w:val="center"/>
          </w:tcPr>
          <w:p w14:paraId="36E7D01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c>
          <w:tcPr>
            <w:tcW w:w="882" w:type="dxa"/>
          </w:tcPr>
          <w:p w14:paraId="57667B7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pacing w:val="-6"/>
                <w:szCs w:val="21"/>
                <w:highlight w:val="none"/>
              </w:rPr>
            </w:pPr>
          </w:p>
        </w:tc>
      </w:tr>
    </w:tbl>
    <w:p w14:paraId="67490BE6">
      <w:pPr>
        <w:adjustRightInd w:val="0"/>
        <w:snapToGrid w:val="0"/>
        <w:spacing w:line="288" w:lineRule="auto"/>
        <w:rPr>
          <w:rFonts w:hint="eastAsia" w:ascii="宋体" w:hAnsi="宋体" w:eastAsia="宋体" w:cs="Times New Roman"/>
          <w:color w:val="auto"/>
          <w:spacing w:val="-6"/>
          <w:szCs w:val="21"/>
          <w:highlight w:val="none"/>
        </w:rPr>
      </w:pPr>
    </w:p>
    <w:p w14:paraId="7CEAFD55">
      <w:pPr>
        <w:widowControl/>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hint="eastAsia" w:ascii="宋体" w:hAnsi="宋体" w:eastAsia="宋体" w:cs="宋体"/>
          <w:b/>
          <w:bCs/>
          <w:color w:val="auto"/>
          <w:sz w:val="24"/>
          <w:szCs w:val="24"/>
          <w:highlight w:val="none"/>
        </w:rPr>
      </w:pPr>
    </w:p>
    <w:p w14:paraId="1C71A8AA">
      <w:pPr>
        <w:adjustRightInd w:val="0"/>
        <w:snapToGrid w:val="0"/>
        <w:spacing w:line="288" w:lineRule="auto"/>
        <w:jc w:val="center"/>
        <w:rPr>
          <w:rFonts w:hint="eastAsia" w:ascii="宋体" w:hAnsi="宋体" w:eastAsia="宋体" w:cs="宋体"/>
          <w:b/>
          <w:bCs/>
          <w:color w:val="auto"/>
          <w:sz w:val="24"/>
          <w:szCs w:val="24"/>
          <w:highlight w:val="none"/>
        </w:rPr>
      </w:pPr>
    </w:p>
    <w:p w14:paraId="2BED115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hint="eastAsia" w:ascii="宋体" w:hAnsi="宋体" w:eastAsia="宋体" w:cs="Times New Roman"/>
          <w:bCs/>
          <w:color w:val="auto"/>
          <w:spacing w:val="-6"/>
          <w:szCs w:val="21"/>
          <w:highlight w:val="none"/>
        </w:rPr>
      </w:pPr>
    </w:p>
    <w:p w14:paraId="4C6928BE">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hint="eastAsia" w:ascii="宋体" w:hAnsi="宋体" w:eastAsia="宋体" w:cs="Times New Roman"/>
          <w:b/>
          <w:bCs/>
          <w:color w:val="auto"/>
          <w:spacing w:val="-6"/>
          <w:szCs w:val="21"/>
          <w:highlight w:val="none"/>
        </w:rPr>
      </w:pPr>
    </w:p>
    <w:p w14:paraId="09AC6A6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致：浙江农林大学、浙江求是招标代理有限公司</w:t>
      </w:r>
    </w:p>
    <w:p w14:paraId="5619E85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hint="eastAsia" w:ascii="宋体" w:hAnsi="宋体" w:eastAsia="宋体" w:cs="Times New Roman"/>
          <w:color w:val="auto"/>
          <w:szCs w:val="21"/>
          <w:highlight w:val="none"/>
        </w:rPr>
      </w:pPr>
    </w:p>
    <w:p w14:paraId="03BE7C8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hint="eastAsia" w:ascii="宋体" w:hAnsi="宋体" w:eastAsia="宋体" w:cs="宋体"/>
          <w:b/>
          <w:color w:val="auto"/>
          <w:spacing w:val="-6"/>
          <w:szCs w:val="21"/>
          <w:highlight w:val="none"/>
        </w:rPr>
      </w:pPr>
    </w:p>
    <w:p w14:paraId="5155161B">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154B1F3">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hint="eastAsia"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hint="eastAsia" w:ascii="宋体" w:hAnsi="宋体" w:eastAsia="宋体" w:cs="Times New Roman"/>
          <w:color w:val="auto"/>
          <w:spacing w:val="-6"/>
          <w:szCs w:val="21"/>
          <w:highlight w:val="none"/>
        </w:rPr>
      </w:pPr>
    </w:p>
    <w:p w14:paraId="42C97822">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致：浙江农林大学、浙江求是招标代理有限公司</w:t>
      </w:r>
    </w:p>
    <w:p w14:paraId="7C4DBB8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浙江农林大学</w:t>
      </w:r>
      <w:r>
        <w:rPr>
          <w:rFonts w:hint="eastAsia" w:ascii="宋体" w:hAnsi="宋体" w:eastAsia="宋体" w:cs="Times New Roman"/>
          <w:bCs/>
          <w:color w:val="auto"/>
          <w:spacing w:val="-6"/>
          <w:szCs w:val="21"/>
          <w:highlight w:val="none"/>
          <w:u w:val="single"/>
          <w:lang w:eastAsia="zh-CN"/>
        </w:rPr>
        <w:t>新农科教育教学中心建设项目交叉中心报告厅系统设备</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QSZB-Z(H)-B25041(GK)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p>
        </w:tc>
      </w:tr>
    </w:tbl>
    <w:p w14:paraId="69CF19CB">
      <w:pPr>
        <w:adjustRightInd w:val="0"/>
        <w:snapToGrid w:val="0"/>
        <w:spacing w:line="288" w:lineRule="auto"/>
        <w:rPr>
          <w:rFonts w:hint="eastAsia" w:ascii="宋体" w:hAnsi="宋体" w:eastAsia="宋体" w:cs="Times New Roman"/>
          <w:color w:val="auto"/>
          <w:spacing w:val="-6"/>
          <w:szCs w:val="21"/>
          <w:highlight w:val="none"/>
        </w:rPr>
      </w:pPr>
    </w:p>
    <w:p w14:paraId="260DE583">
      <w:pPr>
        <w:adjustRightInd w:val="0"/>
        <w:snapToGrid w:val="0"/>
        <w:spacing w:line="288" w:lineRule="auto"/>
        <w:rPr>
          <w:rFonts w:hint="eastAsia" w:ascii="宋体" w:hAnsi="宋体" w:eastAsia="宋体" w:cs="Times New Roman"/>
          <w:color w:val="auto"/>
          <w:spacing w:val="-6"/>
          <w:szCs w:val="21"/>
          <w:highlight w:val="none"/>
        </w:rPr>
      </w:pPr>
    </w:p>
    <w:p w14:paraId="318AB8CC">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hint="eastAsia" w:ascii="宋体" w:hAnsi="宋体" w:eastAsia="宋体" w:cs="Times New Roman"/>
          <w:b/>
          <w:bCs/>
          <w:color w:val="auto"/>
          <w:spacing w:val="-6"/>
          <w:szCs w:val="21"/>
          <w:highlight w:val="none"/>
        </w:rPr>
      </w:pPr>
    </w:p>
    <w:p w14:paraId="66F419B9">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致：浙江农林大学、浙江求是招标代理有限公司</w:t>
      </w:r>
    </w:p>
    <w:p w14:paraId="3E15F18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浙江农林大学</w:t>
      </w:r>
      <w:r>
        <w:rPr>
          <w:rFonts w:hint="eastAsia" w:ascii="宋体" w:hAnsi="宋体" w:eastAsia="宋体" w:cs="Times New Roman"/>
          <w:bCs/>
          <w:color w:val="auto"/>
          <w:spacing w:val="-6"/>
          <w:szCs w:val="21"/>
          <w:highlight w:val="none"/>
          <w:lang w:eastAsia="zh-CN"/>
        </w:rPr>
        <w:t>新农科教育教学中心建设项目交叉中心报告厅系统设备</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QSZB-Z(H)-B25041(GK)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▲提供授权代表社保缴纳证明（2024年7月（含）以后任意一月）。</w:t>
      </w:r>
    </w:p>
    <w:p w14:paraId="2E89BE72">
      <w:pPr>
        <w:adjustRightInd w:val="0"/>
        <w:snapToGrid w:val="0"/>
        <w:spacing w:line="288" w:lineRule="auto"/>
        <w:rPr>
          <w:rFonts w:hint="eastAsia" w:ascii="宋体" w:hAnsi="宋体" w:eastAsia="宋体" w:cs="Times New Roman"/>
          <w:color w:val="auto"/>
          <w:spacing w:val="-6"/>
          <w:szCs w:val="21"/>
          <w:highlight w:val="none"/>
        </w:rPr>
      </w:pPr>
    </w:p>
    <w:p w14:paraId="279324C9">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hint="eastAsia" w:ascii="宋体" w:hAnsi="宋体" w:eastAsia="宋体" w:cs="Times New Roman"/>
          <w:color w:val="auto"/>
          <w:szCs w:val="21"/>
          <w:highlight w:val="none"/>
        </w:rPr>
      </w:pPr>
    </w:p>
    <w:p w14:paraId="244DAF51">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hint="eastAsia" w:ascii="宋体" w:hAnsi="宋体" w:eastAsia="宋体" w:cs="Times New Roman"/>
          <w:color w:val="auto"/>
          <w:szCs w:val="21"/>
          <w:highlight w:val="none"/>
        </w:rPr>
      </w:pPr>
    </w:p>
    <w:p w14:paraId="60691A99">
      <w:pPr>
        <w:adjustRightInd w:val="0"/>
        <w:snapToGrid w:val="0"/>
        <w:spacing w:line="288" w:lineRule="auto"/>
        <w:rPr>
          <w:rFonts w:hint="eastAsia" w:ascii="宋体" w:hAnsi="宋体" w:eastAsia="宋体" w:cs="Times New Roman"/>
          <w:color w:val="auto"/>
          <w:szCs w:val="21"/>
          <w:highlight w:val="none"/>
        </w:rPr>
      </w:pPr>
    </w:p>
    <w:p w14:paraId="6543E901">
      <w:pP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附：授权代表社保缴纳证明（2024年7月（含）以后任意一月）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r>
    </w:tbl>
    <w:p w14:paraId="7BB882B0">
      <w:pPr>
        <w:adjustRightInd w:val="0"/>
        <w:snapToGrid w:val="0"/>
        <w:spacing w:line="288" w:lineRule="auto"/>
        <w:rPr>
          <w:rFonts w:hint="eastAsia" w:ascii="宋体" w:hAnsi="宋体" w:eastAsia="宋体" w:cs="Times New Roman"/>
          <w:color w:val="auto"/>
          <w:szCs w:val="21"/>
          <w:highlight w:val="none"/>
        </w:rPr>
      </w:pPr>
    </w:p>
    <w:p w14:paraId="0A2D736E">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hint="eastAsia" w:ascii="宋体" w:hAnsi="宋体" w:eastAsia="宋体" w:cs="Times New Roman"/>
          <w:color w:val="auto"/>
          <w:spacing w:val="-6"/>
          <w:szCs w:val="21"/>
          <w:highlight w:val="none"/>
        </w:rPr>
      </w:pPr>
    </w:p>
    <w:p w14:paraId="6E3DE3F5">
      <w:pPr>
        <w:adjustRightInd w:val="0"/>
        <w:snapToGrid w:val="0"/>
        <w:spacing w:line="288" w:lineRule="auto"/>
        <w:rPr>
          <w:rFonts w:hint="eastAsia" w:ascii="宋体" w:hAnsi="宋体" w:eastAsia="宋体" w:cs="Times New Roman"/>
          <w:color w:val="auto"/>
          <w:spacing w:val="-6"/>
          <w:szCs w:val="21"/>
          <w:highlight w:val="none"/>
        </w:rPr>
      </w:pPr>
    </w:p>
    <w:p w14:paraId="1F46849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hint="eastAsia"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人：浙江农林大学</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新农科教育教学中心建设项目交叉中心报告厅系统设备</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QSZB-Z(H)-B25041(GK)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574" w:type="dxa"/>
            <w:vAlign w:val="center"/>
          </w:tcPr>
          <w:p w14:paraId="702CD0E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124" w:type="dxa"/>
            <w:vAlign w:val="center"/>
          </w:tcPr>
          <w:p w14:paraId="602EFA5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574" w:type="dxa"/>
            <w:vAlign w:val="center"/>
          </w:tcPr>
          <w:p w14:paraId="3887E5E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124" w:type="dxa"/>
            <w:vAlign w:val="center"/>
          </w:tcPr>
          <w:p w14:paraId="376258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574" w:type="dxa"/>
            <w:vAlign w:val="center"/>
          </w:tcPr>
          <w:p w14:paraId="2E78998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124" w:type="dxa"/>
            <w:vAlign w:val="center"/>
          </w:tcPr>
          <w:p w14:paraId="2374EA9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c>
          <w:tcPr>
            <w:tcW w:w="2574" w:type="dxa"/>
            <w:vAlign w:val="center"/>
          </w:tcPr>
          <w:p w14:paraId="4AB6CD2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c>
          <w:tcPr>
            <w:tcW w:w="2124" w:type="dxa"/>
            <w:vAlign w:val="center"/>
          </w:tcPr>
          <w:p w14:paraId="69A44C6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c>
          <w:tcPr>
            <w:tcW w:w="2574" w:type="dxa"/>
            <w:vAlign w:val="center"/>
          </w:tcPr>
          <w:p w14:paraId="5AC095D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c>
          <w:tcPr>
            <w:tcW w:w="2124" w:type="dxa"/>
            <w:vAlign w:val="center"/>
          </w:tcPr>
          <w:p w14:paraId="4981936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c>
          <w:tcPr>
            <w:tcW w:w="2574" w:type="dxa"/>
            <w:vAlign w:val="center"/>
          </w:tcPr>
          <w:p w14:paraId="1BB8933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c>
          <w:tcPr>
            <w:tcW w:w="2124" w:type="dxa"/>
            <w:vAlign w:val="center"/>
          </w:tcPr>
          <w:p w14:paraId="4EFFEE2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574" w:type="dxa"/>
            <w:vAlign w:val="center"/>
          </w:tcPr>
          <w:p w14:paraId="58B8E02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124" w:type="dxa"/>
            <w:vAlign w:val="center"/>
          </w:tcPr>
          <w:p w14:paraId="4091EEC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574" w:type="dxa"/>
            <w:vAlign w:val="center"/>
          </w:tcPr>
          <w:p w14:paraId="486C04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124" w:type="dxa"/>
            <w:vAlign w:val="center"/>
          </w:tcPr>
          <w:p w14:paraId="558791D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574" w:type="dxa"/>
            <w:vAlign w:val="center"/>
          </w:tcPr>
          <w:p w14:paraId="1C372D0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c>
          <w:tcPr>
            <w:tcW w:w="2124" w:type="dxa"/>
            <w:vAlign w:val="center"/>
          </w:tcPr>
          <w:p w14:paraId="0680D77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p>
        </w:tc>
      </w:tr>
    </w:tbl>
    <w:p w14:paraId="49E53099">
      <w:pPr>
        <w:adjustRightInd w:val="0"/>
        <w:snapToGrid w:val="0"/>
        <w:spacing w:line="288" w:lineRule="auto"/>
        <w:rPr>
          <w:rFonts w:hint="eastAsia" w:ascii="宋体" w:hAnsi="宋体" w:eastAsia="宋体" w:cs="Times New Roman"/>
          <w:b/>
          <w:bCs/>
          <w:color w:val="auto"/>
          <w:spacing w:val="-6"/>
          <w:szCs w:val="21"/>
          <w:highlight w:val="none"/>
        </w:rPr>
      </w:pPr>
    </w:p>
    <w:p w14:paraId="59B65B82">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hint="eastAsia" w:ascii="宋体" w:hAnsi="宋体" w:eastAsia="宋体" w:cs="Times New Roman"/>
          <w:color w:val="auto"/>
          <w:spacing w:val="-6"/>
          <w:szCs w:val="21"/>
          <w:highlight w:val="none"/>
        </w:rPr>
      </w:pPr>
    </w:p>
    <w:p w14:paraId="40D95B4E">
      <w:pPr>
        <w:adjustRightInd w:val="0"/>
        <w:snapToGrid w:val="0"/>
        <w:spacing w:line="288" w:lineRule="auto"/>
        <w:rPr>
          <w:rFonts w:hint="eastAsia" w:ascii="宋体" w:hAnsi="宋体" w:eastAsia="宋体" w:cs="Times New Roman"/>
          <w:color w:val="auto"/>
          <w:spacing w:val="-6"/>
          <w:szCs w:val="21"/>
          <w:highlight w:val="none"/>
        </w:rPr>
      </w:pPr>
    </w:p>
    <w:p w14:paraId="48C4EFB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87788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bl>
    <w:p w14:paraId="620AEB82">
      <w:pPr>
        <w:adjustRightInd w:val="0"/>
        <w:snapToGrid w:val="0"/>
        <w:spacing w:line="288" w:lineRule="auto"/>
        <w:rPr>
          <w:rFonts w:hint="eastAsia"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p>
    <w:p w14:paraId="4244FB24">
      <w:pPr>
        <w:adjustRightInd w:val="0"/>
        <w:snapToGrid w:val="0"/>
        <w:spacing w:line="288" w:lineRule="auto"/>
        <w:rPr>
          <w:rFonts w:hint="eastAsia" w:ascii="宋体" w:hAnsi="宋体" w:eastAsia="宋体" w:cs="宋体"/>
          <w:color w:val="auto"/>
          <w:szCs w:val="21"/>
          <w:highlight w:val="none"/>
        </w:rPr>
      </w:pPr>
    </w:p>
    <w:p w14:paraId="3CF17650">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A3D20F3">
      <w:pPr>
        <w:adjustRightInd w:val="0"/>
        <w:snapToGrid w:val="0"/>
        <w:spacing w:line="288" w:lineRule="auto"/>
        <w:rPr>
          <w:rFonts w:hint="eastAsia" w:ascii="宋体" w:hAnsi="宋体" w:eastAsia="宋体" w:cs="宋体"/>
          <w:b/>
          <w:color w:val="auto"/>
          <w:spacing w:val="-6"/>
          <w:szCs w:val="21"/>
          <w:highlight w:val="none"/>
        </w:rPr>
      </w:pPr>
    </w:p>
    <w:p w14:paraId="59067040">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E107322">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7AA3B0DC">
      <w:pPr>
        <w:adjustRightInd w:val="0"/>
        <w:snapToGrid w:val="0"/>
        <w:spacing w:line="288" w:lineRule="auto"/>
        <w:rPr>
          <w:rFonts w:hint="eastAsia" w:ascii="宋体" w:hAnsi="宋体" w:eastAsia="宋体" w:cs="宋体"/>
          <w:b/>
          <w:color w:val="auto"/>
          <w:spacing w:val="-6"/>
          <w:szCs w:val="21"/>
          <w:highlight w:val="none"/>
        </w:rPr>
      </w:pPr>
    </w:p>
    <w:p w14:paraId="5F957607">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4DCA850A">
      <w:pPr>
        <w:adjustRightInd w:val="0"/>
        <w:snapToGrid w:val="0"/>
        <w:spacing w:line="288"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099DE916">
      <w:pPr>
        <w:adjustRightInd w:val="0"/>
        <w:snapToGrid w:val="0"/>
        <w:spacing w:line="288" w:lineRule="auto"/>
        <w:rPr>
          <w:rFonts w:hint="eastAsia" w:ascii="宋体" w:hAnsi="宋体" w:eastAsia="宋体" w:cs="Times New Roman"/>
          <w:b/>
          <w:color w:val="auto"/>
          <w:szCs w:val="21"/>
          <w:highlight w:val="none"/>
        </w:rPr>
      </w:pPr>
    </w:p>
    <w:p w14:paraId="278CC9F6">
      <w:pPr>
        <w:adjustRightInd w:val="0"/>
        <w:snapToGrid w:val="0"/>
        <w:spacing w:line="288" w:lineRule="auto"/>
        <w:rPr>
          <w:rFonts w:hint="eastAsia" w:ascii="宋体" w:hAnsi="宋体" w:eastAsia="宋体" w:cs="Times New Roman"/>
          <w:b/>
          <w:color w:val="auto"/>
          <w:szCs w:val="21"/>
          <w:highlight w:val="none"/>
        </w:rPr>
      </w:pPr>
    </w:p>
    <w:p w14:paraId="3E31F522">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4C9A83F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AB450C2">
      <w:pPr>
        <w:adjustRightInd w:val="0"/>
        <w:snapToGrid w:val="0"/>
        <w:spacing w:line="288" w:lineRule="auto"/>
        <w:rPr>
          <w:rFonts w:hint="eastAsia" w:ascii="宋体" w:hAnsi="宋体" w:eastAsia="宋体" w:cs="宋体"/>
          <w:b/>
          <w:color w:val="auto"/>
          <w:spacing w:val="-6"/>
          <w:szCs w:val="21"/>
          <w:highlight w:val="none"/>
        </w:rPr>
      </w:pPr>
    </w:p>
    <w:p w14:paraId="455EFF2B">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14:paraId="619B5759">
      <w:pPr>
        <w:widowControl/>
        <w:adjustRightInd w:val="0"/>
        <w:snapToGrid w:val="0"/>
        <w:spacing w:line="288" w:lineRule="auto"/>
        <w:jc w:val="left"/>
        <w:rPr>
          <w:rFonts w:hint="eastAsia" w:ascii="宋体" w:hAnsi="宋体" w:eastAsia="宋体" w:cs="宋体"/>
          <w:b/>
          <w:color w:val="auto"/>
          <w:spacing w:val="-6"/>
          <w:szCs w:val="21"/>
          <w:highlight w:val="none"/>
        </w:rPr>
      </w:pPr>
    </w:p>
    <w:p w14:paraId="0145D06C">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人：浙江农林大学</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新农科教育教学中心建设项目交叉中心报告厅系统设备</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QSZB-Z(H)-B25041(GK)</w:t>
      </w: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bookmarkStart w:id="60" w:name="_Hlk177717733"/>
            <w:r>
              <w:rPr>
                <w:rFonts w:hint="eastAsia" w:ascii="宋体" w:hAnsi="宋体" w:eastAsia="宋体" w:cs="宋体"/>
                <w:b/>
                <w:bCs/>
                <w:color w:val="auto"/>
                <w:szCs w:val="21"/>
                <w:highlight w:val="none"/>
              </w:rPr>
              <w:t>规格型号</w:t>
            </w:r>
          </w:p>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bookmarkEnd w:id="60"/>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33843E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视频显示系统</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615A4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9B75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3325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会议扩声系统</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B2D0F8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E681B4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3942F8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FEDA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3F715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8AF3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36CF8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4B84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DFEA26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矩阵传输控制系统</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926F8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灯光系统</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2C485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5585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29100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辅助系统</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723683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067C3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54532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32EB1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841A0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9C71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F856A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p>
        </w:tc>
      </w:tr>
    </w:tbl>
    <w:p w14:paraId="3D76638D">
      <w:pPr>
        <w:adjustRightInd w:val="0"/>
        <w:snapToGrid w:val="0"/>
        <w:spacing w:line="288" w:lineRule="auto"/>
        <w:rPr>
          <w:rFonts w:hint="eastAsia" w:ascii="宋体" w:hAnsi="宋体" w:eastAsia="宋体" w:cs="Times New Roman"/>
          <w:color w:val="auto"/>
          <w:spacing w:val="-6"/>
          <w:szCs w:val="21"/>
          <w:highlight w:val="none"/>
        </w:rPr>
      </w:pPr>
    </w:p>
    <w:p w14:paraId="42BE46D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★2.服务项目不涉及提供货物的，规格型号、品牌、制造商、产地的可不填写；</w:t>
      </w:r>
    </w:p>
    <w:p w14:paraId="56EF55D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★3.联合体其他成员承担的部分、分包单位承担的部分，应在表中列明。</w:t>
      </w:r>
    </w:p>
    <w:p w14:paraId="426939ED">
      <w:pPr>
        <w:adjustRightInd w:val="0"/>
        <w:snapToGrid w:val="0"/>
        <w:spacing w:line="288" w:lineRule="auto"/>
        <w:rPr>
          <w:rFonts w:hint="eastAsia" w:ascii="宋体" w:hAnsi="宋体" w:eastAsia="宋体" w:cs="Times New Roman"/>
          <w:color w:val="auto"/>
          <w:szCs w:val="21"/>
          <w:highlight w:val="none"/>
        </w:rPr>
      </w:pPr>
    </w:p>
    <w:p w14:paraId="3753EC2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44F3F7F">
      <w:pPr>
        <w:adjustRightInd w:val="0"/>
        <w:snapToGrid w:val="0"/>
        <w:spacing w:line="288" w:lineRule="auto"/>
        <w:ind w:firstLine="498" w:firstLineChars="236"/>
        <w:rPr>
          <w:rFonts w:hint="eastAsia" w:ascii="宋体" w:hAnsi="宋体" w:eastAsia="宋体" w:cs="Times New Roman"/>
          <w:b/>
          <w:color w:val="auto"/>
          <w:szCs w:val="21"/>
          <w:highlight w:val="none"/>
        </w:rPr>
      </w:pPr>
    </w:p>
    <w:p w14:paraId="69E4B3BC">
      <w:pPr>
        <w:adjustRightInd w:val="0"/>
        <w:snapToGrid w:val="0"/>
        <w:spacing w:line="288" w:lineRule="auto"/>
        <w:ind w:firstLine="495" w:firstLineChars="236"/>
        <w:rPr>
          <w:rFonts w:hint="eastAsia"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本公司（联合体）郑重声明，根据《政府采购促进中小企业发展管理办法》（财库</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2020</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46 号）的规定，本公司（联合体）参加</w:t>
      </w:r>
      <w:r>
        <w:rPr>
          <w:rFonts w:hint="eastAsia" w:ascii="宋体" w:hAnsi="宋体" w:eastAsia="宋体" w:cs="Times New Roman"/>
          <w:i w:val="0"/>
          <w:iCs w:val="0"/>
          <w:color w:val="auto"/>
          <w:szCs w:val="21"/>
          <w:highlight w:val="none"/>
          <w:u w:val="single"/>
          <w:lang w:val="en-US" w:eastAsia="zh-CN"/>
        </w:rPr>
        <w:t>浙江农林大学</w:t>
      </w:r>
      <w:r>
        <w:rPr>
          <w:rFonts w:ascii="宋体" w:hAnsi="宋体" w:eastAsia="宋体" w:cs="Times New Roman"/>
          <w:i w:val="0"/>
          <w:iCs w:val="0"/>
          <w:color w:val="auto"/>
          <w:szCs w:val="21"/>
          <w:highlight w:val="none"/>
        </w:rPr>
        <w:t>的</w:t>
      </w:r>
      <w:r>
        <w:rPr>
          <w:rFonts w:hint="eastAsia" w:ascii="宋体" w:hAnsi="宋体" w:eastAsia="宋体" w:cs="Times New Roman"/>
          <w:i w:val="0"/>
          <w:iCs w:val="0"/>
          <w:color w:val="auto"/>
          <w:szCs w:val="21"/>
          <w:highlight w:val="none"/>
          <w:u w:val="single"/>
        </w:rPr>
        <w:t>新农科教育教学中心建设项目交叉中心报告厅系统设备</w:t>
      </w:r>
      <w:r>
        <w:rPr>
          <w:rFonts w:ascii="宋体" w:hAnsi="宋体" w:eastAsia="宋体" w:cs="Times New Roman"/>
          <w:i w:val="0"/>
          <w:iCs w:val="0"/>
          <w:color w:val="auto"/>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hint="eastAsia"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u w:val="single"/>
        </w:rPr>
        <w:t>1.</w:t>
      </w:r>
      <w:r>
        <w:rPr>
          <w:rFonts w:hint="eastAsia" w:ascii="宋体" w:hAnsi="宋体" w:eastAsia="宋体" w:cs="Times New Roman"/>
          <w:i w:val="0"/>
          <w:iCs w:val="0"/>
          <w:color w:val="auto"/>
          <w:szCs w:val="21"/>
          <w:highlight w:val="none"/>
          <w:u w:val="single"/>
        </w:rPr>
        <w:t>视频显示系统</w:t>
      </w:r>
      <w:r>
        <w:rPr>
          <w:rFonts w:ascii="宋体" w:hAnsi="宋体" w:eastAsia="宋体" w:cs="Times New Roman"/>
          <w:i w:val="0"/>
          <w:iCs w:val="0"/>
          <w:color w:val="auto"/>
          <w:szCs w:val="21"/>
          <w:highlight w:val="none"/>
        </w:rPr>
        <w:t>，属于</w:t>
      </w:r>
      <w:r>
        <w:rPr>
          <w:rFonts w:hint="eastAsia" w:ascii="宋体" w:hAnsi="宋体" w:eastAsia="宋体" w:cs="Times New Roman"/>
          <w:i w:val="0"/>
          <w:iCs w:val="0"/>
          <w:color w:val="auto"/>
          <w:szCs w:val="21"/>
          <w:highlight w:val="none"/>
          <w:u w:val="single"/>
          <w:lang w:val="en-US" w:eastAsia="zh-CN"/>
        </w:rPr>
        <w:t>工业</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ascii="宋体" w:hAnsi="宋体" w:eastAsia="宋体" w:cs="Times New Roman"/>
          <w:i w:val="0"/>
          <w:iCs w:val="0"/>
          <w:color w:val="auto"/>
          <w:szCs w:val="21"/>
          <w:highlight w:val="none"/>
        </w:rPr>
        <w:t>；</w:t>
      </w:r>
    </w:p>
    <w:p w14:paraId="674F562F">
      <w:pPr>
        <w:adjustRightInd w:val="0"/>
        <w:snapToGrid w:val="0"/>
        <w:spacing w:line="288" w:lineRule="auto"/>
        <w:ind w:firstLine="495" w:firstLineChars="236"/>
        <w:rPr>
          <w:rFonts w:hint="eastAsia"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u w:val="single"/>
        </w:rPr>
        <w:t>2.</w:t>
      </w:r>
      <w:r>
        <w:rPr>
          <w:rFonts w:hint="eastAsia" w:ascii="宋体" w:hAnsi="宋体" w:eastAsia="宋体" w:cs="Times New Roman"/>
          <w:i w:val="0"/>
          <w:iCs w:val="0"/>
          <w:color w:val="auto"/>
          <w:szCs w:val="21"/>
          <w:highlight w:val="none"/>
          <w:u w:val="single"/>
        </w:rPr>
        <w:t>会议扩声系统</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工业</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1C075062">
      <w:pPr>
        <w:adjustRightInd w:val="0"/>
        <w:snapToGrid w:val="0"/>
        <w:spacing w:line="288" w:lineRule="auto"/>
        <w:ind w:firstLine="495" w:firstLineChars="236"/>
        <w:rPr>
          <w:rFonts w:hint="eastAsia"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u w:val="single"/>
          <w:lang w:val="en-US" w:eastAsia="zh-CN"/>
        </w:rPr>
        <w:t>3</w:t>
      </w:r>
      <w:r>
        <w:rPr>
          <w:rFonts w:ascii="宋体" w:hAnsi="宋体" w:eastAsia="宋体" w:cs="Times New Roman"/>
          <w:i w:val="0"/>
          <w:iCs w:val="0"/>
          <w:color w:val="auto"/>
          <w:szCs w:val="21"/>
          <w:highlight w:val="none"/>
          <w:u w:val="single"/>
        </w:rPr>
        <w:t>.</w:t>
      </w:r>
      <w:r>
        <w:rPr>
          <w:rFonts w:hint="eastAsia" w:ascii="宋体" w:hAnsi="宋体" w:eastAsia="宋体" w:cs="Times New Roman"/>
          <w:i w:val="0"/>
          <w:iCs w:val="0"/>
          <w:color w:val="auto"/>
          <w:szCs w:val="21"/>
          <w:highlight w:val="none"/>
          <w:u w:val="single"/>
        </w:rPr>
        <w:t>矩阵传输控制系统</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工业</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47AC66F5">
      <w:pPr>
        <w:adjustRightInd w:val="0"/>
        <w:snapToGrid w:val="0"/>
        <w:spacing w:line="288" w:lineRule="auto"/>
        <w:ind w:firstLine="495" w:firstLineChars="236"/>
        <w:rPr>
          <w:rFonts w:hint="eastAsia"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u w:val="single"/>
          <w:lang w:val="en-US" w:eastAsia="zh-CN"/>
        </w:rPr>
        <w:t>4</w:t>
      </w:r>
      <w:r>
        <w:rPr>
          <w:rFonts w:ascii="宋体" w:hAnsi="宋体" w:eastAsia="宋体" w:cs="Times New Roman"/>
          <w:i w:val="0"/>
          <w:iCs w:val="0"/>
          <w:color w:val="auto"/>
          <w:szCs w:val="21"/>
          <w:highlight w:val="none"/>
          <w:u w:val="single"/>
        </w:rPr>
        <w:t>.</w:t>
      </w:r>
      <w:r>
        <w:rPr>
          <w:rFonts w:hint="eastAsia" w:ascii="宋体" w:hAnsi="宋体" w:eastAsia="宋体" w:cs="Times New Roman"/>
          <w:i w:val="0"/>
          <w:iCs w:val="0"/>
          <w:color w:val="auto"/>
          <w:szCs w:val="21"/>
          <w:highlight w:val="none"/>
          <w:u w:val="single"/>
        </w:rPr>
        <w:t>灯光系统</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工业</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18BABFFF">
      <w:pPr>
        <w:adjustRightInd w:val="0"/>
        <w:snapToGrid w:val="0"/>
        <w:spacing w:line="288" w:lineRule="auto"/>
        <w:ind w:firstLine="495" w:firstLineChars="236"/>
        <w:rPr>
          <w:rFonts w:hint="eastAsia" w:ascii="宋体" w:hAnsi="宋体" w:eastAsia="宋体" w:cs="Times New Roman"/>
          <w:i w:val="0"/>
          <w:iCs w:val="0"/>
          <w:color w:val="auto"/>
          <w:szCs w:val="21"/>
          <w:highlight w:val="none"/>
          <w:lang w:eastAsia="zh-CN"/>
        </w:rPr>
      </w:pPr>
      <w:r>
        <w:rPr>
          <w:rFonts w:hint="eastAsia" w:ascii="宋体" w:hAnsi="宋体" w:eastAsia="宋体" w:cs="Times New Roman"/>
          <w:i w:val="0"/>
          <w:iCs w:val="0"/>
          <w:color w:val="auto"/>
          <w:szCs w:val="21"/>
          <w:highlight w:val="none"/>
          <w:u w:val="single"/>
          <w:lang w:val="en-US" w:eastAsia="zh-CN"/>
        </w:rPr>
        <w:t>5</w:t>
      </w:r>
      <w:r>
        <w:rPr>
          <w:rFonts w:ascii="宋体" w:hAnsi="宋体" w:eastAsia="宋体" w:cs="Times New Roman"/>
          <w:i w:val="0"/>
          <w:iCs w:val="0"/>
          <w:color w:val="auto"/>
          <w:szCs w:val="21"/>
          <w:highlight w:val="none"/>
          <w:u w:val="single"/>
        </w:rPr>
        <w:t>.</w:t>
      </w:r>
      <w:r>
        <w:rPr>
          <w:rFonts w:hint="eastAsia" w:ascii="宋体" w:hAnsi="宋体" w:eastAsia="宋体" w:cs="Times New Roman"/>
          <w:i w:val="0"/>
          <w:iCs w:val="0"/>
          <w:color w:val="auto"/>
          <w:szCs w:val="21"/>
          <w:highlight w:val="none"/>
          <w:u w:val="single"/>
        </w:rPr>
        <w:t>辅助系统</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工业</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lang w:eastAsia="zh-CN"/>
        </w:rPr>
        <w:t>。</w:t>
      </w:r>
    </w:p>
    <w:p w14:paraId="76933DCB">
      <w:pPr>
        <w:adjustRightInd w:val="0"/>
        <w:snapToGrid w:val="0"/>
        <w:spacing w:line="288" w:lineRule="auto"/>
        <w:ind w:firstLine="495" w:firstLineChars="236"/>
        <w:rPr>
          <w:rFonts w:hint="eastAsia"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hint="eastAsia" w:ascii="宋体" w:hAnsi="宋体" w:eastAsia="宋体" w:cs="Times New Roman"/>
          <w:color w:val="auto"/>
          <w:szCs w:val="21"/>
          <w:highlight w:val="none"/>
        </w:rPr>
      </w:pPr>
    </w:p>
    <w:p w14:paraId="0619F3D2">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hint="eastAsia" w:ascii="宋体" w:hAnsi="宋体" w:eastAsia="宋体" w:cs="Times New Roman"/>
          <w:color w:val="auto"/>
          <w:szCs w:val="21"/>
          <w:highlight w:val="none"/>
        </w:rPr>
      </w:pPr>
    </w:p>
    <w:p w14:paraId="000631ED">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2D715C97">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0CA62DDE">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3.制造商，货物由中小企业制造，即货物由中小企业生产且使用该中小企业商号或者注册商标；</w:t>
      </w:r>
    </w:p>
    <w:p w14:paraId="6668044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3231D2C9">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hint="eastAsia"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hint="eastAsia" w:ascii="宋体" w:hAnsi="宋体" w:eastAsia="宋体" w:cs="宋体"/>
          <w:color w:val="auto"/>
          <w:kern w:val="0"/>
          <w:szCs w:val="21"/>
          <w:highlight w:val="none"/>
        </w:rPr>
      </w:pPr>
    </w:p>
    <w:p w14:paraId="5B8617AF">
      <w:pPr>
        <w:adjustRightInd w:val="0"/>
        <w:snapToGrid w:val="0"/>
        <w:spacing w:line="288" w:lineRule="auto"/>
        <w:ind w:firstLine="373" w:firstLineChars="177"/>
        <w:rPr>
          <w:rFonts w:hint="eastAsia"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hint="eastAsia" w:ascii="宋体" w:hAnsi="宋体" w:eastAsia="宋体"/>
          <w:color w:val="auto"/>
          <w:szCs w:val="21"/>
          <w:highlight w:val="none"/>
        </w:rPr>
      </w:pPr>
    </w:p>
    <w:p w14:paraId="68D881FA">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hint="eastAsia"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E704B56">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hint="eastAsia" w:ascii="宋体" w:hAnsi="宋体" w:eastAsia="宋体"/>
          <w:color w:val="auto"/>
          <w:szCs w:val="21"/>
          <w:highlight w:val="none"/>
        </w:rPr>
      </w:pPr>
    </w:p>
    <w:p w14:paraId="194EFBD5">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hint="eastAsia" w:ascii="宋体" w:hAnsi="宋体" w:eastAsia="宋体" w:cs="仿宋_GB2312"/>
          <w:color w:val="auto"/>
          <w:szCs w:val="21"/>
          <w:highlight w:val="none"/>
          <w:u w:val="single"/>
        </w:rPr>
      </w:pPr>
    </w:p>
    <w:p w14:paraId="06230838">
      <w:pPr>
        <w:snapToGrid w:val="0"/>
        <w:spacing w:line="288" w:lineRule="auto"/>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hint="eastAsia" w:ascii="宋体" w:hAnsi="宋体" w:eastAsia="宋体" w:cs="宋体"/>
          <w:b/>
          <w:bCs/>
          <w:color w:val="auto"/>
          <w:szCs w:val="21"/>
          <w:highlight w:val="none"/>
        </w:rPr>
      </w:pPr>
    </w:p>
    <w:p w14:paraId="299B8C33">
      <w:pPr>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74C0703D">
      <w:pPr>
        <w:snapToGrid w:val="0"/>
        <w:spacing w:line="288" w:lineRule="auto"/>
        <w:rPr>
          <w:rFonts w:hint="eastAsia"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hint="eastAsia"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50157048">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27595E15">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hint="eastAsia" w:ascii="宋体" w:hAnsi="宋体" w:eastAsia="宋体" w:cs="Times New Roman"/>
          <w:b/>
          <w:bCs/>
          <w:color w:val="auto"/>
          <w:szCs w:val="21"/>
          <w:highlight w:val="none"/>
        </w:rPr>
      </w:pPr>
    </w:p>
    <w:p w14:paraId="77AF9BFF">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hint="eastAsia"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hint="eastAsia"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hint="eastAsia" w:ascii="宋体" w:hAnsi="宋体" w:eastAsia="宋体" w:cs="仿宋_GB2312"/>
          <w:color w:val="auto"/>
          <w:kern w:val="0"/>
          <w:szCs w:val="21"/>
          <w:highlight w:val="none"/>
          <w:lang w:val="zh-CN"/>
        </w:rPr>
      </w:pPr>
    </w:p>
    <w:p w14:paraId="1D16F0E5">
      <w:pPr>
        <w:snapToGrid w:val="0"/>
        <w:spacing w:line="288" w:lineRule="auto"/>
        <w:ind w:firstLine="422" w:firstLineChars="200"/>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hint="eastAsia"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hint="eastAsia" w:ascii="等线" w:hAnsi="等线" w:eastAsia="等线" w:cs="Times New Roman"/>
          <w:color w:val="auto"/>
          <w:highlight w:val="none"/>
        </w:rPr>
      </w:pPr>
    </w:p>
    <w:p w14:paraId="650A653D">
      <w:pPr>
        <w:adjustRightInd w:val="0"/>
        <w:snapToGrid w:val="0"/>
        <w:spacing w:line="288" w:lineRule="auto"/>
        <w:rPr>
          <w:rFonts w:hint="eastAsia"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rP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C6BF5"/>
    <w:rsid w:val="000D0B38"/>
    <w:rsid w:val="000D107B"/>
    <w:rsid w:val="000D4121"/>
    <w:rsid w:val="000D763B"/>
    <w:rsid w:val="000E0B46"/>
    <w:rsid w:val="000E12A8"/>
    <w:rsid w:val="000E158D"/>
    <w:rsid w:val="000E3384"/>
    <w:rsid w:val="000E473A"/>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29"/>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A79"/>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21B1"/>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5C16"/>
    <w:rsid w:val="00756626"/>
    <w:rsid w:val="007572BE"/>
    <w:rsid w:val="00763093"/>
    <w:rsid w:val="00764B19"/>
    <w:rsid w:val="00765853"/>
    <w:rsid w:val="0076760A"/>
    <w:rsid w:val="007709F6"/>
    <w:rsid w:val="0077108F"/>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5F28"/>
    <w:rsid w:val="007D736C"/>
    <w:rsid w:val="007D77F6"/>
    <w:rsid w:val="007D7DBA"/>
    <w:rsid w:val="007E0063"/>
    <w:rsid w:val="007E008C"/>
    <w:rsid w:val="007E13AE"/>
    <w:rsid w:val="007E1841"/>
    <w:rsid w:val="007E5BC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6FB"/>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16C"/>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C68"/>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476A5"/>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931933"/>
    <w:rsid w:val="0A8F0E99"/>
    <w:rsid w:val="0AB57677"/>
    <w:rsid w:val="0B4A1776"/>
    <w:rsid w:val="0BD50265"/>
    <w:rsid w:val="0BEC010D"/>
    <w:rsid w:val="0C786503"/>
    <w:rsid w:val="0D1A04C9"/>
    <w:rsid w:val="0DA43FD6"/>
    <w:rsid w:val="0E5235D4"/>
    <w:rsid w:val="0F220EF1"/>
    <w:rsid w:val="10757130"/>
    <w:rsid w:val="112B34AD"/>
    <w:rsid w:val="11FF5827"/>
    <w:rsid w:val="18090C43"/>
    <w:rsid w:val="18F01115"/>
    <w:rsid w:val="18FB5F15"/>
    <w:rsid w:val="1B321622"/>
    <w:rsid w:val="1D6B604B"/>
    <w:rsid w:val="1E090819"/>
    <w:rsid w:val="1E0C612E"/>
    <w:rsid w:val="1E452027"/>
    <w:rsid w:val="1E786C21"/>
    <w:rsid w:val="1EEB1A56"/>
    <w:rsid w:val="1F8F618E"/>
    <w:rsid w:val="1F9C38D3"/>
    <w:rsid w:val="1FE37605"/>
    <w:rsid w:val="20767551"/>
    <w:rsid w:val="212705BE"/>
    <w:rsid w:val="217310D4"/>
    <w:rsid w:val="21DB64E2"/>
    <w:rsid w:val="221C4C30"/>
    <w:rsid w:val="22A70B6C"/>
    <w:rsid w:val="22AD65CC"/>
    <w:rsid w:val="23C14303"/>
    <w:rsid w:val="23FF4622"/>
    <w:rsid w:val="26886099"/>
    <w:rsid w:val="27432BC1"/>
    <w:rsid w:val="27F0275A"/>
    <w:rsid w:val="28580092"/>
    <w:rsid w:val="28BC23D4"/>
    <w:rsid w:val="29705BC3"/>
    <w:rsid w:val="298E0509"/>
    <w:rsid w:val="2AA10ED5"/>
    <w:rsid w:val="2ADA0518"/>
    <w:rsid w:val="2C921974"/>
    <w:rsid w:val="2D8868B3"/>
    <w:rsid w:val="2DBE14C9"/>
    <w:rsid w:val="2E2B31E3"/>
    <w:rsid w:val="2F380CDF"/>
    <w:rsid w:val="2F6A64D8"/>
    <w:rsid w:val="30616EA9"/>
    <w:rsid w:val="31A44D82"/>
    <w:rsid w:val="32BE120D"/>
    <w:rsid w:val="330C0EF9"/>
    <w:rsid w:val="33506DE6"/>
    <w:rsid w:val="335C7F45"/>
    <w:rsid w:val="34004E73"/>
    <w:rsid w:val="346223EA"/>
    <w:rsid w:val="35194EAC"/>
    <w:rsid w:val="35A54CED"/>
    <w:rsid w:val="36593393"/>
    <w:rsid w:val="37362089"/>
    <w:rsid w:val="37534CA7"/>
    <w:rsid w:val="37D824F1"/>
    <w:rsid w:val="3B0C4DFA"/>
    <w:rsid w:val="3C4D26C6"/>
    <w:rsid w:val="3D044EFC"/>
    <w:rsid w:val="3E6946AD"/>
    <w:rsid w:val="3EAF1173"/>
    <w:rsid w:val="3EB60CB3"/>
    <w:rsid w:val="3EC436F9"/>
    <w:rsid w:val="3F740895"/>
    <w:rsid w:val="3FB93DC6"/>
    <w:rsid w:val="402A691C"/>
    <w:rsid w:val="422E66F3"/>
    <w:rsid w:val="4275164D"/>
    <w:rsid w:val="430A3262"/>
    <w:rsid w:val="46A824B9"/>
    <w:rsid w:val="46BB170B"/>
    <w:rsid w:val="47510906"/>
    <w:rsid w:val="495D70F7"/>
    <w:rsid w:val="498C1364"/>
    <w:rsid w:val="4B7D5F80"/>
    <w:rsid w:val="4BF40741"/>
    <w:rsid w:val="4C5E019B"/>
    <w:rsid w:val="4F64249F"/>
    <w:rsid w:val="4F6E1200"/>
    <w:rsid w:val="4FEE189E"/>
    <w:rsid w:val="500B7C38"/>
    <w:rsid w:val="5345653C"/>
    <w:rsid w:val="53D465D7"/>
    <w:rsid w:val="53F038EA"/>
    <w:rsid w:val="549F2962"/>
    <w:rsid w:val="54E01333"/>
    <w:rsid w:val="59BA69E3"/>
    <w:rsid w:val="5A345AD3"/>
    <w:rsid w:val="5A370D85"/>
    <w:rsid w:val="5A661DF4"/>
    <w:rsid w:val="5ACF0178"/>
    <w:rsid w:val="5C3E17F9"/>
    <w:rsid w:val="5C483ABC"/>
    <w:rsid w:val="5C6619CD"/>
    <w:rsid w:val="5CC8698A"/>
    <w:rsid w:val="5D3A6920"/>
    <w:rsid w:val="5D7B6470"/>
    <w:rsid w:val="5D8135CC"/>
    <w:rsid w:val="5DF10A2F"/>
    <w:rsid w:val="5ED57F57"/>
    <w:rsid w:val="5EF534F9"/>
    <w:rsid w:val="5FF07C2F"/>
    <w:rsid w:val="600446EC"/>
    <w:rsid w:val="600D2EE6"/>
    <w:rsid w:val="621760F6"/>
    <w:rsid w:val="62246B60"/>
    <w:rsid w:val="62780B83"/>
    <w:rsid w:val="644F1ACD"/>
    <w:rsid w:val="67060D39"/>
    <w:rsid w:val="67FF1998"/>
    <w:rsid w:val="680D1D99"/>
    <w:rsid w:val="69431270"/>
    <w:rsid w:val="6A7F4F75"/>
    <w:rsid w:val="6ACA16F9"/>
    <w:rsid w:val="6B16774A"/>
    <w:rsid w:val="6B8E43A4"/>
    <w:rsid w:val="6C467142"/>
    <w:rsid w:val="6ECE2681"/>
    <w:rsid w:val="6ED12033"/>
    <w:rsid w:val="708D75BD"/>
    <w:rsid w:val="72340F9C"/>
    <w:rsid w:val="758B5AD6"/>
    <w:rsid w:val="763243C9"/>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2"/>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2"/>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43299</Words>
  <Characters>48179</Characters>
  <Lines>1</Lines>
  <Paragraphs>1</Paragraphs>
  <TotalTime>8</TotalTime>
  <ScaleCrop>false</ScaleCrop>
  <LinksUpToDate>false</LinksUpToDate>
  <CharactersWithSpaces>49018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2025-01-09T15:25:00Z</dcterms:created>
  <dc:creator>hj j</dc:creator>
  <cp:lastModifiedBy>俞炳</cp:lastModifiedBy>
  <cp:lastPrinted>2022-10-31T00:58:00Z</cp:lastPrinted>
  <dcterms:modified xsi:type="dcterms:W3CDTF">2025-01-24T03:12:45Z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EFD303F2CDF740CDBC11DE6EB9D6E1EA_13</vt:lpwstr>
  </property>
  <property fmtid="{D5CDD505-2E9C-101B-9397-08002B2CF9AE}" pid="4" name="KSOTemplateDocerSaveRecord">
    <vt:lpwstr>eyJoZGlkIjoiNDA1NjJhY2YzNGY0NzY5M2ZmM2Y0ZjcwMmY2ODQ2YTYiLCJ1c2VySWQiOiIxNjEzNTQ4OTc4In0=</vt:lpwstr>
  </property>
</Properties>
</file>