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color w:val="auto"/>
          <w:spacing w:val="-6"/>
          <w:sz w:val="84"/>
          <w:szCs w:val="8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color w:val="auto"/>
          <w:spacing w:val="-6"/>
          <w:sz w:val="84"/>
          <w:szCs w:val="8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仿宋" w:hAnsi="仿宋" w:eastAsia="仿宋" w:cs="仿宋"/>
          <w:b/>
          <w:color w:val="auto"/>
          <w:spacing w:val="-6"/>
          <w:sz w:val="84"/>
          <w:szCs w:val="84"/>
          <w:highlight w:val="none"/>
        </w:rPr>
      </w:pPr>
      <w:r>
        <w:rPr>
          <w:rFonts w:hint="eastAsia" w:ascii="仿宋" w:hAnsi="仿宋" w:eastAsia="仿宋" w:cs="仿宋"/>
          <w:b/>
          <w:color w:val="auto"/>
          <w:spacing w:val="-6"/>
          <w:sz w:val="84"/>
          <w:szCs w:val="84"/>
          <w:highlight w:val="none"/>
        </w:rPr>
        <w:t>浙江工业大学</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color w:val="auto"/>
          <w:spacing w:val="-6"/>
          <w:sz w:val="72"/>
          <w:szCs w:val="72"/>
          <w:highlight w:val="none"/>
          <w:lang w:eastAsia="zh-CN"/>
        </w:rPr>
      </w:pPr>
      <w:r>
        <w:rPr>
          <w:rFonts w:hint="eastAsia" w:ascii="仿宋" w:hAnsi="仿宋" w:eastAsia="仿宋" w:cs="仿宋"/>
          <w:b/>
          <w:color w:val="auto"/>
          <w:spacing w:val="-6"/>
          <w:sz w:val="72"/>
          <w:szCs w:val="72"/>
          <w:highlight w:val="none"/>
          <w:lang w:eastAsia="zh-CN"/>
        </w:rPr>
        <w:t>电工综合实训考核设备等</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仿宋" w:hAnsi="仿宋" w:eastAsia="仿宋" w:cs="仿宋"/>
          <w:b/>
          <w:color w:val="auto"/>
          <w:spacing w:val="-6"/>
          <w:sz w:val="72"/>
          <w:szCs w:val="7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b/>
          <w:color w:val="auto"/>
          <w:spacing w:val="-6"/>
          <w:sz w:val="72"/>
          <w:szCs w:val="72"/>
          <w:highlight w:val="none"/>
        </w:rPr>
      </w:pPr>
      <w:r>
        <w:rPr>
          <w:rFonts w:hint="eastAsia" w:ascii="仿宋" w:hAnsi="仿宋" w:eastAsia="仿宋" w:cs="仿宋"/>
          <w:b/>
          <w:color w:val="auto"/>
          <w:spacing w:val="-6"/>
          <w:sz w:val="72"/>
          <w:szCs w:val="72"/>
          <w:highlight w:val="none"/>
        </w:rPr>
        <w:t>招 标 文 件</w:t>
      </w:r>
    </w:p>
    <w:p>
      <w:pPr>
        <w:widowControl/>
        <w:adjustRightInd w:val="0"/>
        <w:snapToGrid w:val="0"/>
        <w:spacing w:line="288" w:lineRule="auto"/>
        <w:ind w:right="-2"/>
        <w:jc w:val="center"/>
        <w:rPr>
          <w:rFonts w:ascii="仿宋" w:hAnsi="仿宋" w:eastAsia="仿宋" w:cs="仿宋"/>
          <w:b/>
          <w:color w:val="auto"/>
          <w:sz w:val="36"/>
          <w:szCs w:val="24"/>
          <w:highlight w:val="none"/>
        </w:rPr>
      </w:pPr>
      <w:r>
        <w:rPr>
          <w:rFonts w:hint="eastAsia" w:ascii="仿宋" w:hAnsi="仿宋" w:eastAsia="仿宋" w:cs="仿宋"/>
          <w:b/>
          <w:color w:val="auto"/>
          <w:sz w:val="36"/>
          <w:szCs w:val="24"/>
          <w:highlight w:val="none"/>
        </w:rPr>
        <w:t>（线上电子招投标）</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仿宋" w:hAnsi="仿宋" w:eastAsia="仿宋" w:cs="仿宋"/>
          <w:b/>
          <w:color w:val="auto"/>
          <w:spacing w:val="-6"/>
          <w:sz w:val="72"/>
          <w:szCs w:val="7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仿宋" w:hAnsi="仿宋" w:eastAsia="仿宋" w:cs="仿宋"/>
          <w:b/>
          <w:color w:val="auto"/>
          <w:spacing w:val="-6"/>
          <w:sz w:val="72"/>
          <w:szCs w:val="7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hint="eastAsia" w:ascii="仿宋" w:hAnsi="仿宋" w:eastAsia="仿宋" w:cs="仿宋"/>
          <w:b/>
          <w:color w:val="auto"/>
          <w:spacing w:val="-6"/>
          <w:sz w:val="30"/>
          <w:szCs w:val="30"/>
          <w:highlight w:val="none"/>
          <w:lang w:eastAsia="zh-CN"/>
        </w:rPr>
      </w:pPr>
      <w:r>
        <w:rPr>
          <w:rFonts w:hint="eastAsia" w:ascii="仿宋" w:hAnsi="仿宋" w:eastAsia="仿宋" w:cs="仿宋"/>
          <w:b/>
          <w:color w:val="auto"/>
          <w:spacing w:val="-6"/>
          <w:sz w:val="30"/>
          <w:szCs w:val="30"/>
          <w:highlight w:val="none"/>
        </w:rPr>
        <w:t>项目名称：</w:t>
      </w:r>
      <w:r>
        <w:rPr>
          <w:rFonts w:hint="eastAsia" w:ascii="仿宋" w:hAnsi="仿宋" w:eastAsia="仿宋" w:cs="仿宋"/>
          <w:b/>
          <w:color w:val="auto"/>
          <w:spacing w:val="-6"/>
          <w:sz w:val="30"/>
          <w:szCs w:val="30"/>
          <w:highlight w:val="none"/>
          <w:lang w:eastAsia="zh-CN"/>
        </w:rPr>
        <w:t>浙江工业大学电工综合实训考核设备等</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hint="eastAsia" w:ascii="仿宋" w:hAnsi="仿宋" w:eastAsia="仿宋" w:cs="仿宋"/>
          <w:b/>
          <w:color w:val="auto"/>
          <w:spacing w:val="-6"/>
          <w:sz w:val="30"/>
          <w:szCs w:val="30"/>
          <w:highlight w:val="none"/>
          <w:lang w:eastAsia="zh-CN"/>
        </w:rPr>
      </w:pPr>
      <w:r>
        <w:rPr>
          <w:rFonts w:hint="eastAsia" w:ascii="仿宋" w:hAnsi="仿宋" w:eastAsia="仿宋" w:cs="仿宋"/>
          <w:b/>
          <w:color w:val="auto"/>
          <w:spacing w:val="-6"/>
          <w:sz w:val="30"/>
          <w:szCs w:val="30"/>
          <w:highlight w:val="none"/>
        </w:rPr>
        <w:t>项目编号：</w:t>
      </w:r>
      <w:r>
        <w:rPr>
          <w:rFonts w:hint="eastAsia" w:ascii="仿宋" w:hAnsi="仿宋" w:eastAsia="仿宋" w:cs="仿宋"/>
          <w:b/>
          <w:color w:val="auto"/>
          <w:spacing w:val="-6"/>
          <w:sz w:val="30"/>
          <w:szCs w:val="30"/>
          <w:highlight w:val="none"/>
          <w:lang w:eastAsia="zh-CN"/>
        </w:rPr>
        <w:t>QSZB-Z(H)-H24238(GK)</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采 购 人：浙江工业大学</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采购代理机构：浙江求是招标代理有限公司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1446" w:firstLineChars="500"/>
        <w:textAlignment w:val="auto"/>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采购计划文号：</w:t>
      </w:r>
      <w:r>
        <w:rPr>
          <w:rFonts w:hint="eastAsia" w:ascii="仿宋" w:hAnsi="仿宋" w:eastAsia="仿宋" w:cs="仿宋"/>
          <w:b/>
          <w:color w:val="auto"/>
          <w:spacing w:val="-6"/>
          <w:sz w:val="30"/>
          <w:szCs w:val="30"/>
          <w:highlight w:val="none"/>
          <w:lang w:eastAsia="zh-CN"/>
        </w:rPr>
        <w:t>[2024]42019</w:t>
      </w:r>
      <w:r>
        <w:rPr>
          <w:rFonts w:hint="eastAsia" w:ascii="仿宋" w:hAnsi="仿宋" w:eastAsia="仿宋" w:cs="仿宋"/>
          <w:b/>
          <w:color w:val="auto"/>
          <w:spacing w:val="-6"/>
          <w:sz w:val="30"/>
          <w:szCs w:val="30"/>
          <w:highlight w:val="none"/>
        </w:rPr>
        <w:t>号</w:t>
      </w:r>
    </w:p>
    <w:p>
      <w:pPr>
        <w:adjustRightInd w:val="0"/>
        <w:snapToGrid w:val="0"/>
        <w:jc w:val="center"/>
        <w:rPr>
          <w:rFonts w:ascii="仿宋" w:hAnsi="仿宋" w:eastAsia="仿宋" w:cs="仿宋"/>
          <w:b/>
          <w:color w:val="auto"/>
          <w:sz w:val="32"/>
          <w:szCs w:val="32"/>
          <w:highlight w:val="none"/>
        </w:rPr>
        <w:sectPr>
          <w:headerReference r:id="rId3" w:type="default"/>
          <w:footerReference r:id="rId4" w:type="default"/>
          <w:pgSz w:w="11906" w:h="16838"/>
          <w:pgMar w:top="1440" w:right="1247" w:bottom="1440" w:left="1247" w:header="340" w:footer="850" w:gutter="0"/>
          <w:pgNumType w:start="1"/>
          <w:cols w:space="0" w:num="1"/>
          <w:rtlGutter w:val="0"/>
          <w:docGrid w:linePitch="381" w:charSpace="0"/>
        </w:sectPr>
      </w:pPr>
    </w:p>
    <w:p>
      <w:pPr>
        <w:adjustRightInd w:val="0"/>
        <w:snapToGrid w:val="0"/>
        <w:ind w:left="0" w:leftChars="0" w:right="0" w:rightChars="0" w:firstLine="0" w:firstLineChars="0"/>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目  录</w:t>
      </w:r>
    </w:p>
    <w:p>
      <w:pPr>
        <w:adjustRightInd w:val="0"/>
        <w:snapToGrid w:val="0"/>
        <w:ind w:firstLine="578" w:firstLineChars="200"/>
        <w:rPr>
          <w:rFonts w:ascii="仿宋" w:hAnsi="仿宋" w:eastAsia="仿宋" w:cs="仿宋"/>
          <w:b/>
          <w:color w:val="auto"/>
          <w:spacing w:val="-6"/>
          <w:sz w:val="30"/>
          <w:szCs w:val="30"/>
          <w:highlight w:val="none"/>
        </w:rPr>
      </w:pP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第一章  投标邀请</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第二章  采购需求</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第三章  投标人须知</w:t>
      </w:r>
    </w:p>
    <w:p>
      <w:pPr>
        <w:adjustRightInd w:val="0"/>
        <w:snapToGrid w:val="0"/>
        <w:spacing w:line="360" w:lineRule="auto"/>
        <w:ind w:firstLine="578" w:firstLineChars="200"/>
        <w:rPr>
          <w:rFonts w:hint="eastAsia" w:ascii="仿宋" w:hAnsi="仿宋" w:eastAsia="仿宋" w:cs="仿宋"/>
          <w:b/>
          <w:color w:val="auto"/>
          <w:spacing w:val="-6"/>
          <w:sz w:val="30"/>
          <w:szCs w:val="30"/>
          <w:highlight w:val="none"/>
          <w:lang w:eastAsia="zh-CN"/>
        </w:rPr>
      </w:pPr>
      <w:r>
        <w:rPr>
          <w:rFonts w:hint="eastAsia" w:ascii="仿宋" w:hAnsi="仿宋" w:eastAsia="仿宋" w:cs="仿宋"/>
          <w:b/>
          <w:color w:val="auto"/>
          <w:spacing w:val="-6"/>
          <w:sz w:val="30"/>
          <w:szCs w:val="30"/>
          <w:highlight w:val="none"/>
        </w:rPr>
        <w:t xml:space="preserve">第四章  </w:t>
      </w:r>
      <w:r>
        <w:rPr>
          <w:rFonts w:hint="eastAsia" w:ascii="仿宋" w:hAnsi="仿宋" w:eastAsia="仿宋" w:cs="仿宋"/>
          <w:b/>
          <w:color w:val="auto"/>
          <w:spacing w:val="-6"/>
          <w:sz w:val="30"/>
          <w:szCs w:val="30"/>
          <w:highlight w:val="none"/>
          <w:lang w:eastAsia="zh-CN"/>
        </w:rPr>
        <w:t>评标方法和评标标准</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第五章  拟签订的合同文本</w:t>
      </w:r>
    </w:p>
    <w:p>
      <w:pPr>
        <w:adjustRightInd w:val="0"/>
        <w:snapToGrid w:val="0"/>
        <w:spacing w:line="360" w:lineRule="auto"/>
        <w:ind w:firstLine="578" w:firstLineChars="200"/>
        <w:rPr>
          <w:rFonts w:hint="eastAsia"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第六章  投标文件格式</w:t>
      </w:r>
    </w:p>
    <w:p>
      <w:pPr>
        <w:adjustRightInd w:val="0"/>
        <w:snapToGrid w:val="0"/>
        <w:spacing w:line="360" w:lineRule="auto"/>
        <w:ind w:left="0" w:leftChars="0" w:right="0" w:rightChars="0" w:firstLine="0" w:firstLineChars="0"/>
        <w:jc w:val="center"/>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0"/>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第一章  投标邀请</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28" w:type="dxa"/>
          </w:tcPr>
          <w:p>
            <w:pPr>
              <w:adjustRightInd w:val="0"/>
              <w:snapToGrid w:val="0"/>
              <w:ind w:firstLine="422" w:firstLineChars="200"/>
              <w:rPr>
                <w:rFonts w:ascii="仿宋" w:hAnsi="仿宋" w:eastAsia="仿宋" w:cs="仿宋"/>
                <w:b/>
                <w:color w:val="auto"/>
                <w:szCs w:val="21"/>
                <w:highlight w:val="none"/>
              </w:rPr>
            </w:pPr>
            <w:bookmarkStart w:id="0" w:name="_Toc35393621"/>
            <w:bookmarkStart w:id="1" w:name="_Toc35393790"/>
            <w:bookmarkStart w:id="2" w:name="_Toc28359079"/>
            <w:bookmarkStart w:id="3" w:name="_Toc28359002"/>
            <w:bookmarkStart w:id="4" w:name="_Hlk24379207"/>
            <w:r>
              <w:rPr>
                <w:rFonts w:hint="eastAsia" w:ascii="仿宋" w:hAnsi="仿宋" w:eastAsia="仿宋" w:cs="仿宋"/>
                <w:b/>
                <w:color w:val="auto"/>
                <w:szCs w:val="21"/>
                <w:highlight w:val="none"/>
              </w:rPr>
              <w:t>项目概况</w:t>
            </w:r>
          </w:p>
          <w:p>
            <w:pPr>
              <w:adjustRightInd w:val="0"/>
              <w:snapToGrid w:val="0"/>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lang w:eastAsia="zh-CN"/>
              </w:rPr>
              <w:t>浙江工业大学电工综合实训考核设备等</w:t>
            </w:r>
            <w:r>
              <w:rPr>
                <w:rFonts w:hint="eastAsia" w:ascii="仿宋" w:hAnsi="仿宋" w:eastAsia="仿宋" w:cs="仿宋"/>
                <w:b/>
                <w:color w:val="auto"/>
                <w:szCs w:val="21"/>
                <w:highlight w:val="none"/>
              </w:rPr>
              <w:t>招标项目的潜在投标人应在政府采购云平台（https://www.zcygov.cn）获取（下载）招标文件，并于</w:t>
            </w:r>
            <w:r>
              <w:rPr>
                <w:rFonts w:hint="eastAsia" w:ascii="仿宋" w:hAnsi="仿宋" w:eastAsia="仿宋" w:cs="仿宋"/>
                <w:b/>
                <w:color w:val="auto"/>
                <w:szCs w:val="21"/>
                <w:highlight w:val="none"/>
                <w:lang w:eastAsia="zh-CN"/>
              </w:rPr>
              <w:t>2024年10月22日上午09:30:00（北京时间）</w:t>
            </w:r>
            <w:r>
              <w:rPr>
                <w:rFonts w:hint="eastAsia" w:ascii="仿宋" w:hAnsi="仿宋" w:eastAsia="仿宋" w:cs="仿宋"/>
                <w:b/>
                <w:color w:val="auto"/>
                <w:szCs w:val="21"/>
                <w:highlight w:val="none"/>
              </w:rPr>
              <w:t>前递交（上传）投标文件。</w:t>
            </w: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一、项目基本情况</w:t>
      </w:r>
      <w:bookmarkEnd w:id="0"/>
      <w:bookmarkEnd w:id="1"/>
      <w:bookmarkEnd w:id="2"/>
      <w:bookmarkEnd w:id="3"/>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项目编号：</w:t>
      </w:r>
      <w:r>
        <w:rPr>
          <w:rFonts w:hint="eastAsia" w:ascii="仿宋" w:hAnsi="仿宋" w:eastAsia="仿宋" w:cs="仿宋"/>
          <w:color w:val="auto"/>
          <w:szCs w:val="21"/>
          <w:highlight w:val="none"/>
          <w:lang w:eastAsia="zh-CN"/>
        </w:rPr>
        <w:t>QSZB-Z(H)-H24238(GK)</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项目名称：</w:t>
      </w:r>
      <w:r>
        <w:rPr>
          <w:rFonts w:hint="eastAsia" w:ascii="仿宋" w:hAnsi="仿宋" w:eastAsia="仿宋" w:cs="仿宋"/>
          <w:color w:val="auto"/>
          <w:szCs w:val="21"/>
          <w:highlight w:val="none"/>
          <w:lang w:eastAsia="zh-CN"/>
        </w:rPr>
        <w:t>浙江工业大学电工综合实训考核设备等</w:t>
      </w:r>
    </w:p>
    <w:bookmarkEnd w:id="4"/>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val="en-US" w:eastAsia="zh-CN"/>
        </w:rPr>
        <w:t>230300</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最高限价（元）：</w:t>
      </w:r>
      <w:r>
        <w:rPr>
          <w:rFonts w:hint="eastAsia" w:ascii="仿宋" w:hAnsi="仿宋" w:eastAsia="仿宋" w:cs="仿宋"/>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采购需求：</w:t>
      </w:r>
    </w:p>
    <w:tbl>
      <w:tblPr>
        <w:tblStyle w:val="26"/>
        <w:tblW w:w="96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92"/>
        <w:gridCol w:w="698"/>
        <w:gridCol w:w="698"/>
        <w:gridCol w:w="3678"/>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2" w:type="dxa"/>
            <w:tcBorders>
              <w:left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bookmarkStart w:id="5" w:name="_Toc35393622"/>
            <w:bookmarkStart w:id="6" w:name="_Toc28359080"/>
            <w:bookmarkStart w:id="7" w:name="_Toc35393791"/>
            <w:bookmarkStart w:id="8" w:name="_Toc28359003"/>
            <w:r>
              <w:rPr>
                <w:rFonts w:hint="eastAsia" w:ascii="仿宋" w:hAnsi="仿宋" w:eastAsia="仿宋" w:cs="仿宋"/>
                <w:b/>
                <w:color w:val="auto"/>
                <w:szCs w:val="21"/>
                <w:highlight w:val="none"/>
              </w:rPr>
              <w:t>名称</w:t>
            </w:r>
          </w:p>
        </w:tc>
        <w:tc>
          <w:tcPr>
            <w:tcW w:w="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数量</w:t>
            </w:r>
          </w:p>
        </w:tc>
        <w:tc>
          <w:tcPr>
            <w:tcW w:w="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单位</w:t>
            </w:r>
          </w:p>
        </w:tc>
        <w:tc>
          <w:tcPr>
            <w:tcW w:w="3678"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简要技术需求</w:t>
            </w:r>
          </w:p>
        </w:tc>
        <w:tc>
          <w:tcPr>
            <w:tcW w:w="1550"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是否允许采购</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仿宋" w:hAnsi="仿宋" w:eastAsia="仿宋" w:cs="仿宋"/>
                <w:b/>
                <w:bCs/>
                <w:color w:val="auto"/>
                <w:szCs w:val="21"/>
                <w:highlight w:val="none"/>
              </w:rPr>
            </w:pPr>
            <w:r>
              <w:rPr>
                <w:rFonts w:hint="eastAsia" w:ascii="仿宋" w:hAnsi="仿宋" w:eastAsia="仿宋" w:cs="仿宋"/>
                <w:b/>
                <w:color w:val="auto"/>
                <w:szCs w:val="21"/>
                <w:highlight w:val="none"/>
              </w:rPr>
              <w:t>进口产品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2" w:type="dxa"/>
            <w:tcBorders>
              <w:left w:val="single" w:color="auto" w:sz="4" w:space="0"/>
              <w:right w:val="single" w:color="auto" w:sz="4" w:space="0"/>
              <w:tl2br w:val="nil"/>
              <w:tr2bl w:val="nil"/>
            </w:tcBorders>
            <w:vAlign w:val="center"/>
          </w:tcPr>
          <w:p>
            <w:pPr>
              <w:ind w:left="0" w:leftChars="0" w:right="0" w:rightChars="0" w:firstLine="0" w:firstLineChars="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电工综合实训考核设备等</w:t>
            </w:r>
          </w:p>
        </w:tc>
        <w:tc>
          <w:tcPr>
            <w:tcW w:w="698" w:type="dxa"/>
            <w:tcBorders>
              <w:tl2br w:val="nil"/>
              <w:tr2bl w:val="nil"/>
            </w:tcBorders>
            <w:vAlign w:val="center"/>
          </w:tcPr>
          <w:p>
            <w:pPr>
              <w:ind w:left="0" w:leftChars="0" w:right="0" w:rightChars="0" w:firstLine="0" w:firstLineChars="0"/>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w:t>
            </w:r>
          </w:p>
        </w:tc>
        <w:tc>
          <w:tcPr>
            <w:tcW w:w="698" w:type="dxa"/>
            <w:tcBorders>
              <w:tl2br w:val="nil"/>
              <w:tr2bl w:val="nil"/>
            </w:tcBorders>
            <w:vAlign w:val="center"/>
          </w:tcPr>
          <w:p>
            <w:pPr>
              <w:ind w:left="0" w:leftChars="0" w:right="0" w:rightChars="0" w:firstLine="0" w:firstLineChars="0"/>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批</w:t>
            </w:r>
          </w:p>
        </w:tc>
        <w:tc>
          <w:tcPr>
            <w:tcW w:w="3678" w:type="dxa"/>
            <w:tcBorders>
              <w:right w:val="single" w:color="auto" w:sz="4" w:space="0"/>
              <w:tl2br w:val="nil"/>
              <w:tr2bl w:val="nil"/>
            </w:tcBorders>
            <w:vAlign w:val="center"/>
          </w:tcPr>
          <w:p>
            <w:pPr>
              <w:ind w:left="0" w:leftChars="0" w:right="0" w:rightChars="0"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教育科学与技术学院教学配套</w:t>
            </w:r>
          </w:p>
        </w:tc>
        <w:tc>
          <w:tcPr>
            <w:tcW w:w="1550"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否</w:t>
            </w:r>
          </w:p>
        </w:tc>
      </w:tr>
    </w:tbl>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r>
        <w:rPr>
          <w:rFonts w:hint="eastAsia" w:ascii="仿宋" w:hAnsi="仿宋" w:eastAsia="仿宋" w:cs="仿宋"/>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u w:val="single"/>
          <w:lang w:eastAsia="zh-CN"/>
        </w:rPr>
      </w:pPr>
      <w:r>
        <w:rPr>
          <w:rFonts w:hint="eastAsia" w:ascii="仿宋" w:hAnsi="仿宋" w:eastAsia="仿宋" w:cs="仿宋"/>
          <w:color w:val="auto"/>
          <w:szCs w:val="21"/>
          <w:highlight w:val="none"/>
        </w:rPr>
        <w:t>合同履约期限：</w:t>
      </w:r>
      <w:r>
        <w:rPr>
          <w:rFonts w:hint="eastAsia" w:ascii="仿宋" w:hAnsi="仿宋" w:eastAsia="仿宋" w:cs="仿宋"/>
          <w:szCs w:val="21"/>
          <w:highlight w:val="none"/>
          <w:lang w:eastAsia="zh-CN"/>
        </w:rPr>
        <w:t>自合同签订生效之日起40日内交付</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
          <w:color w:val="auto"/>
          <w:szCs w:val="21"/>
          <w:highlight w:val="none"/>
        </w:rPr>
      </w:pPr>
      <w:r>
        <w:rPr>
          <w:rFonts w:hint="eastAsia" w:ascii="仿宋" w:hAnsi="仿宋" w:eastAsia="仿宋" w:cs="仿宋"/>
          <w:bCs/>
          <w:color w:val="auto"/>
          <w:szCs w:val="21"/>
          <w:highlight w:val="none"/>
        </w:rPr>
        <w:t>本项目（</w:t>
      </w:r>
      <w:r>
        <w:rPr>
          <w:rFonts w:hint="eastAsia" w:ascii="仿宋" w:hAnsi="仿宋" w:eastAsia="仿宋" w:cs="仿宋"/>
          <w:bCs/>
          <w:color w:val="auto"/>
          <w:szCs w:val="21"/>
          <w:highlight w:val="none"/>
          <w:lang w:val="en-US" w:eastAsia="zh-CN"/>
        </w:rPr>
        <w:t>是</w:t>
      </w:r>
      <w:r>
        <w:rPr>
          <w:rFonts w:hint="eastAsia" w:ascii="仿宋" w:hAnsi="仿宋" w:eastAsia="仿宋" w:cs="仿宋"/>
          <w:bCs/>
          <w:color w:val="auto"/>
          <w:szCs w:val="21"/>
          <w:highlight w:val="none"/>
        </w:rPr>
        <w:t>）接受联合体投标。</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二、申请人的资格要求：</w:t>
      </w:r>
      <w:bookmarkEnd w:id="5"/>
      <w:bookmarkEnd w:id="6"/>
      <w:bookmarkEnd w:id="7"/>
      <w:bookmarkEnd w:id="8"/>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bookmarkStart w:id="9" w:name="_Toc28359081"/>
      <w:bookmarkStart w:id="10" w:name="_Toc28359004"/>
      <w:r>
        <w:rPr>
          <w:rFonts w:hint="eastAsia" w:ascii="仿宋" w:hAnsi="仿宋" w:eastAsia="仿宋" w:cs="仿宋"/>
          <w:color w:val="auto"/>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2.落实政府采购政策需满足的资格要求：</w:t>
      </w:r>
      <w:r>
        <w:rPr>
          <w:rFonts w:hint="eastAsia" w:ascii="仿宋" w:hAnsi="仿宋" w:eastAsia="仿宋" w:cs="仿宋"/>
          <w:color w:val="auto"/>
          <w:kern w:val="0"/>
          <w:szCs w:val="21"/>
          <w:highlight w:val="none"/>
        </w:rPr>
        <w:t>专</w:t>
      </w:r>
      <w:r>
        <w:rPr>
          <w:rFonts w:hint="eastAsia" w:ascii="仿宋" w:hAnsi="仿宋" w:eastAsia="仿宋" w:cs="仿宋"/>
          <w:color w:val="auto"/>
          <w:szCs w:val="21"/>
          <w:highlight w:val="none"/>
        </w:rPr>
        <w:t>门面向中小企业，货物全部由符合政策要求的中小企业制造，提供中小企业声明函。</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3.本项目的特定资格要求：无</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11" w:name="_Toc35393623"/>
      <w:bookmarkStart w:id="12" w:name="_Toc35393792"/>
      <w:r>
        <w:rPr>
          <w:rFonts w:hint="eastAsia" w:ascii="仿宋" w:hAnsi="仿宋" w:eastAsia="仿宋" w:cs="仿宋"/>
          <w:b/>
          <w:color w:val="auto"/>
          <w:szCs w:val="21"/>
          <w:highlight w:val="none"/>
        </w:rPr>
        <w:t>三、获取招标文件</w:t>
      </w:r>
      <w:bookmarkEnd w:id="9"/>
      <w:bookmarkEnd w:id="10"/>
      <w:bookmarkEnd w:id="11"/>
      <w:bookmarkEnd w:id="12"/>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bookmarkStart w:id="13" w:name="_Toc28359005"/>
      <w:bookmarkStart w:id="14" w:name="_Toc35393793"/>
      <w:bookmarkStart w:id="15" w:name="_Toc28359082"/>
      <w:bookmarkStart w:id="16" w:name="_Toc35393624"/>
      <w:r>
        <w:rPr>
          <w:rFonts w:hint="eastAsia" w:ascii="仿宋" w:hAnsi="仿宋" w:eastAsia="仿宋" w:cs="仿宋"/>
          <w:color w:val="auto"/>
          <w:szCs w:val="21"/>
          <w:highlight w:val="none"/>
        </w:rPr>
        <w:t>时间：</w:t>
      </w:r>
      <w:r>
        <w:rPr>
          <w:rFonts w:hint="eastAsia" w:ascii="仿宋" w:hAnsi="仿宋" w:eastAsia="仿宋" w:cs="仿宋"/>
          <w:color w:val="auto"/>
          <w:szCs w:val="21"/>
          <w:highlight w:val="none"/>
          <w:lang w:eastAsia="zh-CN"/>
        </w:rPr>
        <w:t>2024年</w:t>
      </w:r>
      <w:r>
        <w:rPr>
          <w:rFonts w:hint="eastAsia" w:ascii="仿宋" w:hAnsi="仿宋" w:eastAsia="仿宋" w:cs="仿宋"/>
          <w:color w:val="auto"/>
          <w:szCs w:val="21"/>
          <w:highlight w:val="none"/>
          <w:lang w:val="en-US" w:eastAsia="zh-CN"/>
        </w:rPr>
        <w:t>09</w:t>
      </w:r>
      <w:r>
        <w:rPr>
          <w:rFonts w:hint="eastAsia" w:ascii="仿宋" w:hAnsi="仿宋" w:eastAsia="仿宋" w:cs="仿宋"/>
          <w:color w:val="auto"/>
          <w:szCs w:val="21"/>
          <w:highlight w:val="none"/>
          <w:lang w:eastAsia="zh-CN"/>
        </w:rPr>
        <w:t>月</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lang w:eastAsia="zh-CN"/>
        </w:rPr>
        <w:t>日至2024年10月22日</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上午00:00至12:00，下午12:00至23:59（北京时间，线上获取法定节假日均可，线下获取文件法定节假日除外）</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地点（网址）：政府采购云平台（https://www.zcygov.cn）</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方式：供应商登录政采云平台（https://www.zcygov.cn）在线申请获取采购文件（进入“项目采购”应用，在获取采购文件菜单中选择项目，申请获取采购文件）。</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售价（元）：0</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四、</w:t>
      </w:r>
      <w:bookmarkEnd w:id="13"/>
      <w:bookmarkEnd w:id="14"/>
      <w:bookmarkEnd w:id="15"/>
      <w:bookmarkEnd w:id="16"/>
      <w:r>
        <w:rPr>
          <w:rFonts w:hint="eastAsia" w:ascii="仿宋" w:hAnsi="仿宋" w:eastAsia="仿宋" w:cs="仿宋"/>
          <w:b/>
          <w:color w:val="auto"/>
          <w:szCs w:val="21"/>
          <w:highlight w:val="none"/>
        </w:rPr>
        <w:t>提交投标文件截止时间、开标时间和地点</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Cs/>
          <w:color w:val="auto"/>
          <w:szCs w:val="21"/>
          <w:highlight w:val="none"/>
        </w:rPr>
      </w:pPr>
      <w:bookmarkStart w:id="17" w:name="_Hlk81212057"/>
      <w:r>
        <w:rPr>
          <w:rFonts w:hint="eastAsia" w:ascii="仿宋" w:hAnsi="仿宋" w:eastAsia="仿宋" w:cs="仿宋"/>
          <w:bCs/>
          <w:color w:val="auto"/>
          <w:szCs w:val="21"/>
          <w:highlight w:val="none"/>
        </w:rPr>
        <w:t>提交投标文件截止时间：</w:t>
      </w:r>
      <w:r>
        <w:rPr>
          <w:rFonts w:hint="eastAsia" w:ascii="仿宋" w:hAnsi="仿宋" w:eastAsia="仿宋" w:cs="仿宋"/>
          <w:bCs/>
          <w:color w:val="auto"/>
          <w:szCs w:val="21"/>
          <w:highlight w:val="none"/>
          <w:lang w:eastAsia="zh-CN"/>
        </w:rPr>
        <w:t>2024年10月22日上午09:30:00（北京时间）</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Cs/>
          <w:color w:val="auto"/>
          <w:szCs w:val="21"/>
          <w:highlight w:val="none"/>
        </w:rPr>
      </w:pPr>
      <w:r>
        <w:rPr>
          <w:rFonts w:hint="eastAsia" w:ascii="仿宋" w:hAnsi="仿宋" w:eastAsia="仿宋" w:cs="仿宋"/>
          <w:bCs/>
          <w:color w:val="auto"/>
          <w:szCs w:val="21"/>
          <w:highlight w:val="none"/>
        </w:rPr>
        <w:t>投标地点（网址）：</w:t>
      </w:r>
      <w:r>
        <w:rPr>
          <w:rFonts w:hint="eastAsia" w:ascii="仿宋" w:hAnsi="仿宋" w:eastAsia="仿宋" w:cs="仿宋"/>
          <w:color w:val="auto"/>
          <w:szCs w:val="21"/>
          <w:highlight w:val="none"/>
        </w:rPr>
        <w:t>政府采购云平台（https://www.zcygov.cn）</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bCs/>
          <w:color w:val="auto"/>
          <w:szCs w:val="21"/>
          <w:highlight w:val="none"/>
        </w:rPr>
      </w:pPr>
      <w:r>
        <w:rPr>
          <w:rFonts w:hint="eastAsia" w:ascii="仿宋" w:hAnsi="仿宋" w:eastAsia="仿宋" w:cs="仿宋"/>
          <w:bCs/>
          <w:color w:val="auto"/>
          <w:szCs w:val="21"/>
          <w:highlight w:val="none"/>
        </w:rPr>
        <w:t>开标时间：</w:t>
      </w:r>
      <w:r>
        <w:rPr>
          <w:rFonts w:hint="eastAsia" w:ascii="仿宋" w:hAnsi="仿宋" w:eastAsia="仿宋" w:cs="仿宋"/>
          <w:bCs/>
          <w:color w:val="auto"/>
          <w:szCs w:val="21"/>
          <w:highlight w:val="none"/>
          <w:lang w:eastAsia="zh-CN"/>
        </w:rPr>
        <w:t>2024年10月22日上午09:30:00（北京时间）</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开标地点（网址）：</w:t>
      </w:r>
      <w:r>
        <w:rPr>
          <w:rFonts w:hint="eastAsia" w:ascii="仿宋" w:hAnsi="仿宋" w:eastAsia="仿宋" w:cs="仿宋"/>
          <w:color w:val="auto"/>
          <w:szCs w:val="21"/>
          <w:highlight w:val="none"/>
          <w:lang w:eastAsia="zh-CN"/>
        </w:rPr>
        <w:t>政府采购云平台（https://www.zcygov.cn）/杭州市西湖区玉古路173号中田大厦21楼求是招标会议室</w:t>
      </w:r>
      <w:r>
        <w:rPr>
          <w:rFonts w:hint="eastAsia" w:ascii="仿宋" w:hAnsi="仿宋" w:eastAsia="仿宋" w:cs="仿宋"/>
          <w:color w:val="auto"/>
          <w:szCs w:val="21"/>
          <w:highlight w:val="none"/>
          <w:lang w:val="en-US" w:eastAsia="zh-CN"/>
        </w:rPr>
        <w:t>4</w:t>
      </w:r>
      <w:bookmarkStart w:id="51" w:name="_GoBack"/>
      <w:bookmarkEnd w:id="51"/>
    </w:p>
    <w:bookmarkEnd w:id="17"/>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18" w:name="_Toc35393794"/>
      <w:bookmarkStart w:id="19" w:name="_Toc28359007"/>
      <w:bookmarkStart w:id="20" w:name="_Toc28359084"/>
      <w:bookmarkStart w:id="21" w:name="_Toc35393625"/>
      <w:r>
        <w:rPr>
          <w:rFonts w:hint="eastAsia" w:ascii="仿宋" w:hAnsi="仿宋" w:eastAsia="仿宋" w:cs="仿宋"/>
          <w:b/>
          <w:color w:val="auto"/>
          <w:szCs w:val="21"/>
          <w:highlight w:val="none"/>
        </w:rPr>
        <w:t>五、公告期限</w:t>
      </w:r>
      <w:bookmarkEnd w:id="18"/>
      <w:bookmarkEnd w:id="19"/>
      <w:bookmarkEnd w:id="20"/>
      <w:bookmarkEnd w:id="21"/>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自本公告发布之日起5个工作日。</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22" w:name="_Toc35393626"/>
      <w:bookmarkStart w:id="23" w:name="_Toc35393795"/>
      <w:r>
        <w:rPr>
          <w:rFonts w:hint="eastAsia" w:ascii="仿宋" w:hAnsi="仿宋" w:eastAsia="仿宋" w:cs="仿宋"/>
          <w:b/>
          <w:color w:val="auto"/>
          <w:szCs w:val="21"/>
          <w:highlight w:val="none"/>
        </w:rPr>
        <w:t>六、其他补充事宜</w:t>
      </w:r>
      <w:bookmarkEnd w:id="22"/>
      <w:bookmarkEnd w:id="23"/>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bookmarkStart w:id="24" w:name="_Hlk92271231"/>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w:t>
      </w:r>
      <w:r>
        <w:rPr>
          <w:rFonts w:hint="eastAsia" w:ascii="仿宋" w:hAnsi="仿宋" w:eastAsia="仿宋" w:cs="仿宋"/>
          <w:color w:val="auto"/>
          <w:szCs w:val="21"/>
          <w:highlight w:val="none"/>
        </w:rPr>
        <w:t>，此前有关规定与上述文件内容不一致的，按上述文件要求执行。</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w:t>
      </w:r>
      <w:r>
        <w:rPr>
          <w:rFonts w:hint="eastAsia" w:ascii="仿宋" w:hAnsi="仿宋" w:eastAsia="仿宋" w:cs="仿宋"/>
          <w:color w:val="auto"/>
          <w:szCs w:val="21"/>
          <w:highlight w:val="none"/>
          <w:lang w:eastAsia="zh-CN"/>
        </w:rPr>
        <w:t>同级政府采购监督管理部门</w:t>
      </w:r>
      <w:r>
        <w:rPr>
          <w:rFonts w:hint="eastAsia" w:ascii="仿宋" w:hAnsi="仿宋" w:eastAsia="仿宋" w:cs="仿宋"/>
          <w:color w:val="auto"/>
          <w:szCs w:val="21"/>
          <w:highlight w:val="none"/>
        </w:rPr>
        <w:t>投诉。质疑函范本、投诉书范本请到浙江政府采购网下载专区下载。</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4.其他事项：</w:t>
      </w:r>
      <w:bookmarkStart w:id="25" w:name="_Hlk92271331"/>
      <w:r>
        <w:rPr>
          <w:rFonts w:hint="eastAsia" w:ascii="仿宋" w:hAnsi="仿宋" w:eastAsia="仿宋" w:cs="仿宋"/>
          <w:color w:val="auto"/>
          <w:szCs w:val="21"/>
          <w:highlight w:val="none"/>
        </w:rPr>
        <w:t>（1）需要落实的政府采购政策：包括节约资源、保护环境、支持科技创新、促进中小企业发展等，具体详见招标文件第三章“</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九</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采购项目需要落实的政府采购政策”；▲</w:t>
      </w:r>
      <w:bookmarkStart w:id="26" w:name="_Hlk92271072"/>
      <w:r>
        <w:rPr>
          <w:rFonts w:hint="eastAsia" w:ascii="仿宋" w:hAnsi="仿宋" w:eastAsia="仿宋" w:cs="仿宋"/>
          <w:color w:val="auto"/>
          <w:szCs w:val="21"/>
          <w:highlight w:val="none"/>
        </w:rPr>
        <w:t>（2）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6"/>
    </w:p>
    <w:bookmarkEnd w:id="24"/>
    <w:bookmarkEnd w:id="25"/>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b/>
          <w:color w:val="auto"/>
          <w:szCs w:val="21"/>
          <w:highlight w:val="none"/>
        </w:rPr>
      </w:pPr>
      <w:bookmarkStart w:id="27" w:name="_Toc28359008"/>
      <w:bookmarkStart w:id="28" w:name="_Toc28359085"/>
      <w:bookmarkStart w:id="29" w:name="_Toc35393796"/>
      <w:bookmarkStart w:id="30" w:name="_Toc35393627"/>
      <w:r>
        <w:rPr>
          <w:rFonts w:hint="eastAsia" w:ascii="仿宋" w:hAnsi="仿宋" w:eastAsia="仿宋" w:cs="仿宋"/>
          <w:b/>
          <w:color w:val="auto"/>
          <w:szCs w:val="21"/>
          <w:highlight w:val="none"/>
        </w:rPr>
        <w:t>七、对本次采购提出询问、质疑、投诉，请按以下方式联系</w:t>
      </w:r>
      <w:bookmarkEnd w:id="27"/>
      <w:bookmarkEnd w:id="28"/>
      <w:bookmarkEnd w:id="29"/>
      <w:bookmarkEnd w:id="30"/>
      <w:r>
        <w:rPr>
          <w:rFonts w:hint="eastAsia" w:ascii="仿宋" w:hAnsi="仿宋" w:eastAsia="仿宋" w:cs="仿宋"/>
          <w:b/>
          <w:color w:val="auto"/>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1.采购人信息</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名称：浙江工业大学</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地址：杭州市潮王路18号</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传真：/</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项目联系人（询问）：</w:t>
      </w:r>
      <w:r>
        <w:rPr>
          <w:rFonts w:hint="eastAsia" w:ascii="仿宋" w:hAnsi="仿宋" w:eastAsia="仿宋" w:cs="仿宋"/>
          <w:color w:val="auto"/>
          <w:szCs w:val="21"/>
          <w:highlight w:val="none"/>
          <w:lang w:val="en-US" w:eastAsia="zh-CN"/>
        </w:rPr>
        <w:t>王老师</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rPr>
      </w:pPr>
      <w:r>
        <w:rPr>
          <w:rFonts w:hint="eastAsia" w:ascii="仿宋" w:hAnsi="仿宋" w:eastAsia="仿宋" w:cs="仿宋"/>
          <w:color w:val="auto"/>
          <w:szCs w:val="21"/>
          <w:highlight w:val="none"/>
        </w:rPr>
        <w:t>项目联系方式（询问）：15671409527</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质疑联系人：马老师</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质疑联系方式：0571-88320626</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2.采购代理机构信息</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名称：浙江求是招标代理有限公司</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地址：杭州市西湖区玉古路173号</w:t>
      </w:r>
      <w:r>
        <w:rPr>
          <w:rFonts w:hint="eastAsia" w:ascii="仿宋" w:hAnsi="仿宋" w:eastAsia="仿宋" w:cs="仿宋"/>
          <w:color w:val="auto"/>
          <w:szCs w:val="21"/>
          <w:highlight w:val="none"/>
          <w:lang w:eastAsia="zh-CN"/>
        </w:rPr>
        <w:t>中田大厦21楼</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传真：/</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项目联系人（询问）：</w:t>
      </w:r>
      <w:r>
        <w:rPr>
          <w:rFonts w:hint="eastAsia" w:ascii="仿宋" w:hAnsi="仿宋" w:eastAsia="仿宋" w:cs="仿宋"/>
          <w:color w:val="auto"/>
          <w:szCs w:val="21"/>
          <w:highlight w:val="none"/>
          <w:lang w:val="en-US" w:eastAsia="zh-CN"/>
        </w:rPr>
        <w:t>杨立凯、元俊仁</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项目联系方式（询问）：0571-87679349</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质疑联系人：</w:t>
      </w:r>
      <w:r>
        <w:rPr>
          <w:rFonts w:hint="eastAsia" w:ascii="仿宋" w:hAnsi="仿宋" w:eastAsia="仿宋" w:cs="仿宋"/>
          <w:color w:val="auto"/>
          <w:szCs w:val="21"/>
          <w:highlight w:val="none"/>
          <w:lang w:val="en-US" w:eastAsia="zh-CN"/>
        </w:rPr>
        <w:t>周安琪</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质疑联系方式：0571-81110356</w:t>
      </w:r>
    </w:p>
    <w:p>
      <w:pPr>
        <w:keepNext w:val="0"/>
        <w:keepLines w:val="0"/>
        <w:pageBreakBefore w:val="0"/>
        <w:widowControl w:val="0"/>
        <w:kinsoku/>
        <w:wordWrap/>
        <w:overflowPunct/>
        <w:topLinePunct w:val="0"/>
        <w:autoSpaceDE/>
        <w:autoSpaceDN/>
        <w:bidi w:val="0"/>
        <w:adjustRightInd w:val="0"/>
        <w:snapToGrid w:val="0"/>
        <w:spacing w:line="288" w:lineRule="auto"/>
        <w:ind w:firstLine="630" w:firstLineChars="3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质疑邮箱：jdkh@qszb.net</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3.该项目由采购人处理采购争议。质疑环节，采购人委托采购代理机构处理的，可由采购代理机构答复。对质疑答复不满意的，向采购人内部设置的采购监督机构反映。</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政策咨询：何一平、冯华，0571-87058424、87055741</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预算金额未达100万元的采购项目，由采购人处理采购争议。</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若对项目采购电子交易系统操作有疑问，可登录政采云（https://www.zcygov.cn/），点击右侧咨询小采，获取采小蜜智能服务管家帮助，或拨打政采云服务热线95763获取热线服务帮助。</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CA问题联系电话（人工）：汇信CA</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400-888-4636；天谷CA</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400-087-8198。</w:t>
      </w:r>
    </w:p>
    <w:p>
      <w:pPr>
        <w:ind w:left="0" w:leftChars="0" w:right="0" w:righ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0"/>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 xml:space="preserve">第二章  </w:t>
      </w:r>
      <w:r>
        <w:rPr>
          <w:rFonts w:hint="eastAsia" w:ascii="仿宋" w:hAnsi="仿宋" w:eastAsia="仿宋" w:cs="仿宋"/>
          <w:b/>
          <w:bCs/>
          <w:color w:val="auto"/>
          <w:sz w:val="32"/>
          <w:szCs w:val="32"/>
          <w:highlight w:val="none"/>
        </w:rPr>
        <w:t>采购需求</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一、为落实政府采购政策需满足的要求</w:t>
      </w:r>
    </w:p>
    <w:tbl>
      <w:tblPr>
        <w:tblStyle w:val="2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3003"/>
        <w:gridCol w:w="5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jc w:val="center"/>
              <w:rPr>
                <w:rFonts w:ascii="仿宋" w:hAnsi="仿宋" w:eastAsia="仿宋" w:cs="仿宋"/>
                <w:b/>
                <w:bCs/>
                <w:color w:val="auto"/>
                <w:szCs w:val="21"/>
                <w:highlight w:val="none"/>
              </w:rPr>
            </w:pPr>
            <w:bookmarkStart w:id="31" w:name="_Hlk45005599"/>
            <w:r>
              <w:rPr>
                <w:rFonts w:hint="eastAsia" w:ascii="仿宋" w:hAnsi="仿宋" w:eastAsia="仿宋" w:cs="仿宋"/>
                <w:b/>
                <w:bCs/>
                <w:color w:val="auto"/>
                <w:szCs w:val="21"/>
                <w:highlight w:val="none"/>
              </w:rPr>
              <w:t>序号</w:t>
            </w:r>
          </w:p>
        </w:tc>
        <w:tc>
          <w:tcPr>
            <w:tcW w:w="300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政策名称</w:t>
            </w:r>
          </w:p>
        </w:tc>
        <w:tc>
          <w:tcPr>
            <w:tcW w:w="5841"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政府采购进口产品</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政府强制采购节能产品</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政府优先采购节能、环保产品</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商务和技术</w:t>
            </w:r>
            <w:r>
              <w:rPr>
                <w:rFonts w:hint="eastAsia" w:ascii="仿宋" w:hAnsi="仿宋" w:eastAsia="仿宋" w:cs="仿宋"/>
                <w:color w:val="auto"/>
                <w:szCs w:val="21"/>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4</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政府采购</w:t>
            </w:r>
            <w:r>
              <w:rPr>
                <w:rFonts w:hint="eastAsia" w:ascii="仿宋" w:hAnsi="仿宋" w:eastAsia="仿宋" w:cs="仿宋"/>
                <w:b/>
                <w:bCs/>
                <w:color w:val="auto"/>
                <w:szCs w:val="21"/>
                <w:highlight w:val="none"/>
                <w:lang w:eastAsia="zh-CN"/>
              </w:rPr>
              <w:t>支持科技创新</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商务和技术</w:t>
            </w:r>
            <w:r>
              <w:rPr>
                <w:rFonts w:hint="eastAsia" w:ascii="仿宋" w:hAnsi="仿宋" w:eastAsia="仿宋" w:cs="仿宋"/>
                <w:color w:val="auto"/>
                <w:szCs w:val="21"/>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5</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政府采购促进中小企业发展</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文件”</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本项目</w:t>
            </w:r>
            <w:r>
              <w:rPr>
                <w:rFonts w:hint="eastAsia" w:ascii="仿宋" w:hAnsi="仿宋" w:eastAsia="仿宋" w:cs="仿宋"/>
                <w:b/>
                <w:bCs/>
                <w:color w:val="auto"/>
                <w:szCs w:val="21"/>
                <w:highlight w:val="none"/>
                <w:lang w:val="en-US" w:eastAsia="zh-CN"/>
              </w:rPr>
              <w:t>属性：</w:t>
            </w:r>
            <w:r>
              <w:rPr>
                <w:rFonts w:hint="eastAsia" w:ascii="仿宋" w:hAnsi="仿宋" w:eastAsia="仿宋" w:cs="仿宋"/>
                <w:b/>
                <w:bCs/>
                <w:color w:val="auto"/>
                <w:szCs w:val="21"/>
                <w:highlight w:val="none"/>
              </w:rPr>
              <w:t>货物</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采购标的对应的中小企业划分标准所属行业</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工业</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6</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政府采购支持监狱企业发展</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视同小微企业，</w:t>
            </w: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文件”</w:t>
            </w:r>
            <w:r>
              <w:rPr>
                <w:rFonts w:hint="eastAsia" w:ascii="仿宋" w:hAnsi="仿宋" w:eastAsia="仿宋" w:cs="仿宋"/>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9"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7</w:t>
            </w:r>
          </w:p>
        </w:tc>
        <w:tc>
          <w:tcPr>
            <w:tcW w:w="30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政府采购促进残疾人就业</w:t>
            </w:r>
          </w:p>
        </w:tc>
        <w:tc>
          <w:tcPr>
            <w:tcW w:w="5841"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视同小微企业，</w:t>
            </w: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文件”</w:t>
            </w:r>
            <w:r>
              <w:rPr>
                <w:rFonts w:hint="eastAsia" w:ascii="仿宋" w:hAnsi="仿宋" w:eastAsia="仿宋" w:cs="仿宋"/>
                <w:color w:val="auto"/>
                <w:szCs w:val="21"/>
                <w:highlight w:val="none"/>
                <w:lang w:eastAsia="zh-CN"/>
              </w:rPr>
              <w:t>。</w:t>
            </w:r>
          </w:p>
        </w:tc>
      </w:tr>
      <w:bookmarkEnd w:id="31"/>
    </w:tbl>
    <w:p>
      <w:pPr>
        <w:adjustRightInd w:val="0"/>
        <w:snapToGrid w:val="0"/>
        <w:spacing w:line="288" w:lineRule="auto"/>
        <w:rPr>
          <w:rFonts w:ascii="仿宋" w:hAnsi="仿宋" w:eastAsia="仿宋" w:cs="仿宋"/>
          <w:b/>
          <w:color w:val="auto"/>
          <w:spacing w:val="-4"/>
          <w:szCs w:val="21"/>
          <w:highlight w:val="none"/>
        </w:rPr>
      </w:pPr>
    </w:p>
    <w:p>
      <w:pPr>
        <w:adjustRightInd w:val="0"/>
        <w:snapToGrid w:val="0"/>
        <w:spacing w:line="288" w:lineRule="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二、采购资金的支付方式、时间、条件</w:t>
      </w:r>
    </w:p>
    <w:tbl>
      <w:tblPr>
        <w:tblStyle w:val="26"/>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48"/>
        <w:gridCol w:w="72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支付方式</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银行转账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支付时间及条件</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rPr>
              <w:t>合同生效以及具备实施条件后7个工作日内</w:t>
            </w:r>
            <w:r>
              <w:rPr>
                <w:rFonts w:hint="eastAsia" w:ascii="仿宋" w:hAnsi="仿宋" w:eastAsia="仿宋" w:cs="仿宋"/>
                <w:highlight w:val="none"/>
                <w:lang w:eastAsia="zh-CN"/>
              </w:rPr>
              <w:t>，</w:t>
            </w:r>
            <w:r>
              <w:rPr>
                <w:rFonts w:hint="eastAsia" w:ascii="仿宋" w:hAnsi="仿宋" w:eastAsia="仿宋" w:cs="仿宋"/>
                <w:highlight w:val="none"/>
              </w:rPr>
              <w:t>采购人向中标人支付合同总价的40%作为预付款，合同货物送达采购人指定地点，</w:t>
            </w:r>
            <w:r>
              <w:rPr>
                <w:rFonts w:hint="eastAsia" w:ascii="仿宋" w:hAnsi="仿宋" w:eastAsia="仿宋" w:cs="仿宋"/>
                <w:highlight w:val="none"/>
                <w:lang w:eastAsia="zh-CN"/>
              </w:rPr>
              <w:t>安装调试成功并经验收合格且收到中标人开具的增值税专用发票后</w:t>
            </w:r>
            <w:r>
              <w:rPr>
                <w:rFonts w:hint="eastAsia" w:ascii="仿宋" w:hAnsi="仿宋" w:eastAsia="仿宋" w:cs="仿宋"/>
                <w:highlight w:val="none"/>
              </w:rPr>
              <w:t>，采购人于7个工作日内向中标人支付剩余合同价款。</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宋体" w:cs="仿宋"/>
                <w:color w:val="auto"/>
                <w:highlight w:val="none"/>
                <w:lang w:eastAsia="zh-CN"/>
              </w:rPr>
            </w:pPr>
            <w:r>
              <w:rPr>
                <w:rFonts w:hint="eastAsia" w:ascii="仿宋" w:hAnsi="仿宋" w:eastAsia="仿宋" w:cs="仿宋"/>
                <w:b/>
                <w:bCs/>
                <w:sz w:val="18"/>
                <w:szCs w:val="18"/>
                <w:highlight w:val="none"/>
              </w:rPr>
              <w:t>备注：在签订合同时，中标人明确表示无需预付款或主动要求降低预付款比例的，</w:t>
            </w:r>
            <w:r>
              <w:rPr>
                <w:rFonts w:hint="eastAsia" w:ascii="仿宋" w:hAnsi="仿宋" w:eastAsia="仿宋" w:cs="仿宋"/>
                <w:b/>
                <w:bCs/>
                <w:sz w:val="18"/>
                <w:szCs w:val="18"/>
                <w:highlight w:val="none"/>
                <w:lang w:eastAsia="zh-CN"/>
              </w:rPr>
              <w:t>可降低预付款比例</w:t>
            </w:r>
            <w:r>
              <w:rPr>
                <w:rFonts w:hint="eastAsia" w:ascii="仿宋" w:hAnsi="仿宋" w:eastAsia="仿宋" w:cs="仿宋"/>
                <w:b/>
                <w:bCs/>
                <w:sz w:val="18"/>
                <w:szCs w:val="18"/>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履约保证金</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rPr>
            </w:pPr>
            <w:r>
              <w:rPr>
                <w:rFonts w:hint="eastAsia" w:ascii="仿宋" w:hAnsi="仿宋" w:eastAsia="仿宋" w:cs="仿宋"/>
                <w:color w:val="auto"/>
                <w:highlight w:val="none"/>
              </w:rPr>
              <w:t>1.比例：</w:t>
            </w:r>
            <w:r>
              <w:rPr>
                <w:rFonts w:hint="eastAsia" w:ascii="仿宋" w:hAnsi="仿宋" w:eastAsia="仿宋" w:cs="仿宋"/>
                <w:color w:val="auto"/>
                <w:highlight w:val="none"/>
                <w:lang w:eastAsia="zh-CN"/>
              </w:rPr>
              <w:t>合同金额的1%</w:t>
            </w:r>
            <w:r>
              <w:rPr>
                <w:rFonts w:hint="eastAsia" w:ascii="仿宋" w:hAnsi="仿宋" w:eastAsia="仿宋" w:cs="仿宋"/>
                <w:color w:val="auto"/>
                <w:highlight w:val="none"/>
              </w:rPr>
              <w:t>；</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rPr>
            </w:pPr>
            <w:r>
              <w:rPr>
                <w:rFonts w:hint="eastAsia" w:ascii="仿宋" w:hAnsi="仿宋" w:eastAsia="仿宋" w:cs="仿宋"/>
                <w:color w:val="auto"/>
                <w:highlight w:val="none"/>
              </w:rPr>
              <w:t>2.提交方式：支票、汇票、本票或者金融机构、担保机构出具的保函等非现金形式；</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rPr>
            </w:pPr>
            <w:r>
              <w:rPr>
                <w:rFonts w:hint="eastAsia" w:ascii="仿宋" w:hAnsi="仿宋" w:eastAsia="仿宋" w:cs="仿宋"/>
                <w:color w:val="auto"/>
                <w:highlight w:val="none"/>
              </w:rPr>
              <w:t>3.提交时间：收到采购人发出的签订合同要约后7天内；</w:t>
            </w:r>
          </w:p>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highlight w:val="none"/>
                <w:lang w:val="en-US"/>
              </w:rPr>
            </w:pPr>
            <w:r>
              <w:rPr>
                <w:rFonts w:hint="eastAsia" w:ascii="仿宋" w:hAnsi="仿宋" w:eastAsia="仿宋" w:cs="仿宋"/>
                <w:color w:val="auto"/>
                <w:highlight w:val="none"/>
              </w:rPr>
              <w:t>4.退还时间及条件：合同履约期间无违约情形的，</w:t>
            </w:r>
            <w:r>
              <w:rPr>
                <w:rFonts w:hint="eastAsia" w:ascii="仿宋" w:hAnsi="仿宋" w:eastAsia="仿宋" w:cs="仿宋"/>
                <w:color w:val="auto"/>
                <w:highlight w:val="none"/>
                <w:lang w:eastAsia="zh-CN"/>
              </w:rPr>
              <w:t>项目经验收合格后</w:t>
            </w:r>
            <w:r>
              <w:rPr>
                <w:rFonts w:hint="eastAsia" w:ascii="仿宋" w:hAnsi="仿宋" w:eastAsia="仿宋" w:cs="仿宋"/>
                <w:color w:val="auto"/>
                <w:highlight w:val="none"/>
                <w:lang w:val="en-US" w:eastAsia="zh-CN"/>
              </w:rPr>
              <w:t>浙江工业大学</w:t>
            </w:r>
            <w:r>
              <w:rPr>
                <w:rFonts w:hint="eastAsia" w:ascii="仿宋" w:hAnsi="仿宋" w:eastAsia="仿宋" w:cs="仿宋"/>
                <w:color w:val="auto"/>
                <w:highlight w:val="none"/>
                <w:lang w:eastAsia="zh-CN"/>
              </w:rPr>
              <w:t>财务部门及时无息退还。如验收未通过，履约保证金不予退还。</w:t>
            </w:r>
          </w:p>
        </w:tc>
      </w:tr>
    </w:tbl>
    <w:p>
      <w:pPr>
        <w:adjustRightInd w:val="0"/>
        <w:snapToGrid w:val="0"/>
        <w:spacing w:line="288" w:lineRule="auto"/>
        <w:rPr>
          <w:rFonts w:ascii="仿宋" w:hAnsi="仿宋" w:eastAsia="仿宋" w:cs="仿宋"/>
          <w:color w:val="auto"/>
          <w:spacing w:val="-4"/>
          <w:szCs w:val="21"/>
          <w:highlight w:val="none"/>
        </w:rPr>
      </w:pPr>
    </w:p>
    <w:p>
      <w:pPr>
        <w:adjustRightInd w:val="0"/>
        <w:snapToGrid w:val="0"/>
        <w:spacing w:line="288" w:lineRule="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三、服务要求（技术要求里另有注明的以技术要求为准）</w:t>
      </w:r>
    </w:p>
    <w:tbl>
      <w:tblPr>
        <w:tblStyle w:val="26"/>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48"/>
        <w:gridCol w:w="72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交付时间</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eastAsia="zh-CN"/>
              </w:rPr>
            </w:pPr>
            <w:r>
              <w:rPr>
                <w:rFonts w:hint="eastAsia" w:ascii="仿宋" w:hAnsi="仿宋" w:eastAsia="仿宋" w:cs="仿宋"/>
                <w:szCs w:val="21"/>
                <w:highlight w:val="none"/>
                <w:lang w:eastAsia="zh-CN"/>
              </w:rPr>
              <w:t>自合同签订生效之日起40日内交付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交付地点</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质保期</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lang w:eastAsia="zh-CN"/>
              </w:rPr>
              <w:t>项目经验收合格后</w:t>
            </w:r>
            <w:r>
              <w:rPr>
                <w:rFonts w:hint="eastAsia" w:ascii="仿宋" w:hAnsi="仿宋" w:eastAsia="仿宋" w:cs="仿宋"/>
                <w:color w:val="auto"/>
                <w:szCs w:val="21"/>
                <w:highlight w:val="none"/>
              </w:rPr>
              <w:t>开始计算）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服务标准、期限、效率</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rPr>
              <w:t>1.质量保证：最新生产的符合国家技术规格和质量标准的出厂原装合格产品；</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lang w:val="en-US" w:eastAsia="zh-CN"/>
              </w:rPr>
              <w:t>2.</w:t>
            </w:r>
            <w:r>
              <w:rPr>
                <w:rFonts w:hint="eastAsia" w:ascii="仿宋" w:hAnsi="仿宋" w:eastAsia="仿宋" w:cs="仿宋"/>
                <w:highlight w:val="none"/>
              </w:rPr>
              <w:t>如招标文件中遗漏必备的设备、配件或服务，投标人须在投标文件中指出并提出解决方案供采购人参考；</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中标人须保证采购人产品需求的完整性，如项目实施过程中因缺少必备的设备、配件或服务导致采购人产品无法正常运行的，中标人须补足，费用包含在投标总价中。</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highlight w:val="none"/>
              </w:rPr>
            </w:pPr>
            <w:r>
              <w:rPr>
                <w:rFonts w:hint="eastAsia" w:ascii="仿宋" w:hAnsi="仿宋" w:eastAsia="仿宋" w:cs="仿宋"/>
                <w:highlight w:val="none"/>
                <w:lang w:val="en-US" w:eastAsia="zh-CN"/>
              </w:rPr>
              <w:t>4</w:t>
            </w:r>
            <w:r>
              <w:rPr>
                <w:rFonts w:hint="eastAsia" w:ascii="仿宋" w:hAnsi="仿宋" w:eastAsia="仿宋" w:cs="仿宋"/>
                <w:highlight w:val="none"/>
              </w:rPr>
              <w:t>.安装调试（若需要安装调试）</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 安装地点：采购人指定地点；</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.2 安装完成时间：接到采购人通知后在规定时间内完成安装和调试，如在规定的时间内由于中标人的原因不能完成安装和调试，中标人应承担由此给采购人造成的损失；</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.3 如中标人委托国内代理（或其他机构）负责安装或配合安装应在签约时指明，但中标人仍要对合同货物及其安装质量负全部责任；</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.4 安装标准：符合我国国家有关技术规范要求和技术标准，所有的软件和硬件必须保证同时安装到位；</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.5 中标人免费提供合同货物的安装服务；</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szCs w:val="21"/>
                <w:highlight w:val="none"/>
              </w:rPr>
            </w:pP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.6 投标人在投标文件中应提供安装调试计划、对安装场地和环境的要求。</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.培训</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.1 中标人应对采购人的操作人员、维修人员免费进行培训</w:t>
            </w:r>
            <w:r>
              <w:rPr>
                <w:rFonts w:hint="eastAsia" w:ascii="仿宋" w:hAnsi="仿宋" w:eastAsia="仿宋" w:cs="仿宋"/>
                <w:szCs w:val="21"/>
                <w:highlight w:val="none"/>
                <w:lang w:eastAsia="zh-CN"/>
              </w:rPr>
              <w:t>，直至能熟练操作为止</w:t>
            </w:r>
            <w:r>
              <w:rPr>
                <w:rFonts w:hint="eastAsia" w:ascii="仿宋" w:hAnsi="仿宋" w:eastAsia="仿宋" w:cs="仿宋"/>
                <w:szCs w:val="21"/>
                <w:highlight w:val="none"/>
              </w:rPr>
              <w:t>；</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 xml:space="preserve">5.2 </w:t>
            </w:r>
            <w:r>
              <w:rPr>
                <w:rFonts w:hint="eastAsia" w:ascii="仿宋" w:hAnsi="仿宋" w:eastAsia="仿宋" w:cs="仿宋"/>
                <w:szCs w:val="21"/>
                <w:highlight w:val="none"/>
              </w:rPr>
              <w:t>中标人应提供相应的培训计划；</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 xml:space="preserve"> 投标人应对上述内容的实现方式、地点、人数、时间</w:t>
            </w:r>
            <w:r>
              <w:rPr>
                <w:rFonts w:hint="eastAsia" w:ascii="仿宋" w:hAnsi="仿宋" w:eastAsia="仿宋" w:cs="仿宋"/>
                <w:szCs w:val="21"/>
                <w:highlight w:val="none"/>
                <w:lang w:val="en-US" w:eastAsia="zh-CN"/>
              </w:rPr>
              <w:t>等</w:t>
            </w:r>
            <w:r>
              <w:rPr>
                <w:rFonts w:hint="eastAsia" w:ascii="仿宋" w:hAnsi="仿宋" w:eastAsia="仿宋" w:cs="仿宋"/>
                <w:szCs w:val="21"/>
                <w:highlight w:val="none"/>
              </w:rPr>
              <w:t>在投标文件中详细说明。</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.售后服务</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 xml:space="preserve">6.1 </w:t>
            </w:r>
            <w:r>
              <w:rPr>
                <w:rFonts w:hint="eastAsia" w:ascii="仿宋" w:hAnsi="仿宋" w:eastAsia="仿宋" w:cs="仿宋"/>
                <w:szCs w:val="21"/>
                <w:highlight w:val="none"/>
              </w:rPr>
              <w:t>质保期内：因不能排除的故障而影响工作的情况每发生一次，其质保期相应延长90天，因货物本身缺陷造成各种故障应由中标人免费予以更换，</w:t>
            </w:r>
            <w:r>
              <w:rPr>
                <w:rFonts w:hint="eastAsia" w:ascii="仿宋" w:hAnsi="仿宋" w:eastAsia="仿宋" w:cs="仿宋"/>
                <w:color w:val="000000"/>
                <w:sz w:val="21"/>
                <w:szCs w:val="21"/>
                <w:highlight w:val="none"/>
                <w:lang w:eastAsia="zh-CN"/>
              </w:rPr>
              <w:t>否则采购人有权按照“违约责任”条款的约定要求中标人承担相应违约责任</w:t>
            </w:r>
            <w:r>
              <w:rPr>
                <w:rFonts w:hint="eastAsia" w:ascii="仿宋" w:hAnsi="仿宋" w:eastAsia="仿宋" w:cs="仿宋"/>
                <w:szCs w:val="21"/>
                <w:highlight w:val="none"/>
              </w:rPr>
              <w:t>；</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 xml:space="preserve"> 质保期外</w:t>
            </w:r>
            <w:r>
              <w:rPr>
                <w:rFonts w:hint="eastAsia" w:ascii="仿宋" w:hAnsi="仿宋" w:eastAsia="仿宋" w:cs="仿宋"/>
                <w:szCs w:val="21"/>
                <w:highlight w:val="none"/>
                <w:lang w:eastAsia="zh-CN"/>
              </w:rPr>
              <w:t>：</w:t>
            </w:r>
            <w:r>
              <w:rPr>
                <w:rFonts w:hint="eastAsia" w:ascii="仿宋" w:hAnsi="仿宋" w:eastAsia="仿宋" w:cs="仿宋"/>
                <w:szCs w:val="21"/>
                <w:highlight w:val="none"/>
              </w:rPr>
              <w:t>实行有偿服务，仅收取成本费</w:t>
            </w:r>
            <w:r>
              <w:rPr>
                <w:rFonts w:hint="eastAsia" w:ascii="仿宋" w:hAnsi="仿宋" w:eastAsia="仿宋" w:cs="仿宋"/>
                <w:szCs w:val="21"/>
                <w:highlight w:val="none"/>
                <w:lang w:eastAsia="zh-CN"/>
              </w:rPr>
              <w:t>（</w:t>
            </w:r>
            <w:r>
              <w:rPr>
                <w:rFonts w:hint="eastAsia" w:ascii="仿宋" w:hAnsi="仿宋" w:eastAsia="仿宋" w:cs="仿宋"/>
                <w:szCs w:val="21"/>
                <w:highlight w:val="none"/>
              </w:rPr>
              <w:t>按一定折扣的优惠价格</w:t>
            </w:r>
            <w:r>
              <w:rPr>
                <w:rFonts w:hint="eastAsia" w:ascii="仿宋" w:hAnsi="仿宋" w:eastAsia="仿宋" w:cs="仿宋"/>
                <w:szCs w:val="21"/>
                <w:highlight w:val="none"/>
                <w:lang w:eastAsia="zh-CN"/>
              </w:rPr>
              <w:t>）</w:t>
            </w:r>
            <w:r>
              <w:rPr>
                <w:rFonts w:hint="eastAsia" w:ascii="仿宋" w:hAnsi="仿宋" w:eastAsia="仿宋" w:cs="仿宋"/>
                <w:szCs w:val="21"/>
                <w:highlight w:val="none"/>
              </w:rPr>
              <w:t>，免人工费、差旅</w:t>
            </w:r>
            <w:r>
              <w:rPr>
                <w:rFonts w:hint="eastAsia" w:ascii="仿宋" w:hAnsi="仿宋" w:eastAsia="仿宋" w:cs="仿宋"/>
                <w:szCs w:val="21"/>
                <w:highlight w:val="none"/>
                <w:lang w:val="en-US" w:eastAsia="zh-CN"/>
              </w:rPr>
              <w:t>费。</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 xml:space="preserve"> 响应时间</w:t>
            </w:r>
          </w:p>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szCs w:val="21"/>
                <w:highlight w:val="none"/>
              </w:rPr>
              <w:t>1）维</w:t>
            </w:r>
            <w:r>
              <w:rPr>
                <w:rFonts w:hint="eastAsia" w:ascii="仿宋" w:hAnsi="仿宋" w:eastAsia="仿宋" w:cs="仿宋"/>
                <w:color w:val="auto"/>
                <w:szCs w:val="21"/>
                <w:highlight w:val="none"/>
              </w:rPr>
              <w:t>修响应时间：接到采购人通知</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小时内</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日内到达</w:t>
            </w:r>
            <w:r>
              <w:rPr>
                <w:rFonts w:hint="eastAsia" w:ascii="仿宋" w:hAnsi="仿宋" w:eastAsia="仿宋" w:cs="仿宋"/>
                <w:color w:val="auto"/>
                <w:szCs w:val="21"/>
                <w:highlight w:val="none"/>
                <w:lang w:val="en-US" w:eastAsia="zh-CN"/>
              </w:rPr>
              <w:t>采</w:t>
            </w:r>
            <w:r>
              <w:rPr>
                <w:rFonts w:hint="eastAsia" w:ascii="仿宋" w:hAnsi="仿宋" w:eastAsia="仿宋" w:cs="仿宋"/>
                <w:color w:val="auto"/>
                <w:szCs w:val="21"/>
                <w:highlight w:val="none"/>
                <w:lang w:eastAsia="zh-CN"/>
              </w:rPr>
              <w:t>购</w:t>
            </w:r>
            <w:r>
              <w:rPr>
                <w:rFonts w:hint="eastAsia" w:ascii="仿宋" w:hAnsi="仿宋" w:eastAsia="仿宋" w:cs="仿宋"/>
                <w:color w:val="auto"/>
                <w:szCs w:val="21"/>
                <w:highlight w:val="none"/>
                <w:lang w:val="en-US" w:eastAsia="zh-CN"/>
              </w:rPr>
              <w:t>人</w:t>
            </w:r>
            <w:r>
              <w:rPr>
                <w:rFonts w:hint="eastAsia" w:ascii="仿宋" w:hAnsi="仿宋" w:eastAsia="仿宋" w:cs="仿宋"/>
                <w:color w:val="auto"/>
                <w:szCs w:val="21"/>
                <w:highlight w:val="none"/>
                <w:lang w:eastAsia="zh-CN"/>
              </w:rPr>
              <w:t>现场</w:t>
            </w:r>
            <w:r>
              <w:rPr>
                <w:rFonts w:hint="eastAsia" w:ascii="仿宋" w:hAnsi="仿宋" w:eastAsia="仿宋" w:cs="仿宋"/>
                <w:color w:val="auto"/>
                <w:szCs w:val="21"/>
                <w:highlight w:val="none"/>
              </w:rPr>
              <w:t>；</w:t>
            </w:r>
          </w:p>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2）解决问题时间：一般问题在</w:t>
            </w:r>
            <w:r>
              <w:rPr>
                <w:rFonts w:hint="eastAsia" w:ascii="仿宋" w:hAnsi="仿宋" w:eastAsia="仿宋" w:cs="仿宋"/>
                <w:color w:val="auto"/>
                <w:szCs w:val="21"/>
                <w:highlight w:val="none"/>
                <w:lang w:val="en-US" w:eastAsia="zh-CN"/>
              </w:rPr>
              <w:t>72</w:t>
            </w:r>
            <w:r>
              <w:rPr>
                <w:rFonts w:hint="eastAsia" w:ascii="仿宋" w:hAnsi="仿宋" w:eastAsia="仿宋" w:cs="仿宋"/>
                <w:color w:val="auto"/>
                <w:szCs w:val="21"/>
                <w:highlight w:val="none"/>
              </w:rPr>
              <w:t>小时内解决</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重大问题或其它无法迅速解决的问题在一周内解决或提出明确的解决方案；</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72</w:t>
            </w:r>
            <w:r>
              <w:rPr>
                <w:rFonts w:hint="eastAsia" w:ascii="仿宋" w:hAnsi="仿宋" w:eastAsia="仿宋" w:cs="仿宋"/>
                <w:color w:val="auto"/>
                <w:szCs w:val="21"/>
                <w:highlight w:val="none"/>
              </w:rPr>
              <w:t>小时内无法修复的提供解决方案（如提供备机等）。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其他技术、服务要求</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1.技术支持：中标人应及时免费提供合同货物软件的升级，免费提供合同货物新功能和应用的资料；</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2.投标人应提供质保期满后主要零部件报价单、质保期满后维护费、软件升级及其相关服务内容；</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.供货时提供有关的全套技术文件（如产品说明书、参数标准、质量保证书、保修证明、操作维修保养说明、相关配套使用手册等）；</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.保证所提供的货物或与该货物有关的一切权利均不会侵犯任何第三方的知识产权。</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.中标人对中标产品使用的安全性、有效性及可靠性承担全部责任，保证在合同验收阶段的性能检验与投标文件明确的技术指标一致；</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.工作条件：投标产品能在采购人所处的条件下正常工作，投标人可通过现场踏勘进行了解；</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环境要求：投标产品安装运行对环境的要求能满足采购人的现有条件，如对环境有特别要求，则在投标文件中进行明确，否则，未适应产品安装运行所要具备的环境条件的营造费用由投标人承担，投标人可通过现场踏勘了解采购人能够提供的现有条件；</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.产品本体：产品在工作条件和环境条件具备的前提下正常运行即能达到投标文件承诺的技术指标及性能，不需要另外配置其他物品；</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随机配送的备品备件、易损件、零配件、专用工具：与产品相关的辅助性物品，为方便采购人使用而提供的、不会影响产品本身正常运行，包括采购人要求随机配送或产品自身随机配送的物品，投标人在投标文件中列出各种随机配送的备品备件、易损件、零配件、专用工具的规格、用途、数量、单价和总价，费用包含在投标总价中；</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选配件及其他：为保证产品长期工作，投标人在投标文件中列举与产品配套的选配件及其他设备的清单，具体包括选配件及其他设备的规格、用途、数量供采购人按需选购，并在今后一段时间内保持供应、价格不上涨，该项费用不包括在本次投标报价内；</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w:t>
            </w:r>
            <w:r>
              <w:rPr>
                <w:rFonts w:hint="eastAsia" w:ascii="仿宋" w:hAnsi="仿宋" w:eastAsia="仿宋" w:cs="仿宋"/>
                <w:color w:val="auto"/>
                <w:szCs w:val="21"/>
                <w:highlight w:val="none"/>
              </w:rPr>
              <w:t>.工作范围：按国家有关标准及规范完成招标文件规定的所有工作内容，包括完成所有产品供货、履行所有规定服务、产品及服务达到招标文件规定的质量标准及使用要求等。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验收标准</w:t>
            </w:r>
          </w:p>
        </w:tc>
        <w:tc>
          <w:tcPr>
            <w:tcW w:w="7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1.验收由采购人负责实施；</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2.验收依据</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2.1 合同、招标文件、投标文件；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2.2 中标人提供的技术规格、经采购人认可的合同货物的有效检验文件；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2.3 中标人投标文件中提供的经采购人认可的合同货物的验收标准（符合中国有关的国家、地方、行业标准）和检测办法及相应检测手段。</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3.中标人应派员在所供货物到采购人指定地点时进行到货验收，有需要时能联系产品制造商到场共同验收，若发现任何损坏及质量问题，中标人负责妥善处理直至采购人满意，由此产生的费用由中标人承担；</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4.验收合格的条件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4.1 所供货物符合产品标准和招标文件及合同的要求；</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4.2 在进行测试和验收过程中发现的问题已被解决并得到采购人的认可；</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4.3 合同中规定的所有货物和材料均已交付；</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4.4 所供货物已通过使用单位组织的验收；</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4.5 所有相关的技术文件及资料均已提交并得到接受。</w:t>
            </w:r>
          </w:p>
        </w:tc>
      </w:tr>
    </w:tbl>
    <w:p>
      <w:pPr>
        <w:adjustRightInd w:val="0"/>
        <w:snapToGrid w:val="0"/>
        <w:spacing w:line="288" w:lineRule="auto"/>
        <w:rPr>
          <w:rFonts w:ascii="仿宋" w:hAnsi="仿宋" w:eastAsia="仿宋" w:cs="仿宋"/>
          <w:b/>
          <w:color w:val="auto"/>
          <w:szCs w:val="21"/>
          <w:highlight w:val="none"/>
        </w:rPr>
      </w:pPr>
    </w:p>
    <w:p>
      <w:pPr>
        <w:adjustRightInd w:val="0"/>
        <w:snapToGrid w:val="0"/>
        <w:spacing w:line="288" w:lineRule="auto"/>
        <w:outlineLvl w:val="1"/>
        <w:rPr>
          <w:rFonts w:ascii="仿宋" w:hAnsi="仿宋" w:eastAsia="仿宋" w:cs="仿宋"/>
          <w:color w:val="auto"/>
          <w:szCs w:val="21"/>
          <w:highlight w:val="none"/>
        </w:rPr>
      </w:pPr>
      <w:r>
        <w:rPr>
          <w:rFonts w:hint="eastAsia" w:ascii="仿宋" w:hAnsi="仿宋" w:eastAsia="仿宋" w:cs="仿宋"/>
          <w:b/>
          <w:color w:val="auto"/>
          <w:szCs w:val="21"/>
          <w:highlight w:val="none"/>
        </w:rPr>
        <w:t>四、技术要求</w:t>
      </w:r>
      <w:bookmarkStart w:id="32" w:name="_Hlk45005556"/>
    </w:p>
    <w:bookmarkEnd w:id="32"/>
    <w:p>
      <w:pPr>
        <w:adjustRightInd w:val="0"/>
        <w:snapToGrid w:val="0"/>
        <w:spacing w:line="288" w:lineRule="auto"/>
        <w:rPr>
          <w:rFonts w:hint="eastAsia" w:ascii="仿宋" w:hAnsi="仿宋" w:eastAsia="仿宋" w:cs="仿宋"/>
          <w:b/>
          <w:bCs/>
          <w:color w:val="auto"/>
          <w:szCs w:val="21"/>
          <w:highlight w:val="none"/>
        </w:rPr>
      </w:pPr>
      <w:bookmarkStart w:id="33" w:name="_Hlk92271413"/>
      <w:r>
        <w:rPr>
          <w:rFonts w:hint="eastAsia" w:ascii="仿宋" w:hAnsi="仿宋" w:eastAsia="仿宋" w:cs="仿宋"/>
          <w:b/>
          <w:bCs/>
          <w:color w:val="auto"/>
          <w:szCs w:val="21"/>
          <w:highlight w:val="none"/>
        </w:rPr>
        <w:t>1.需执行的国家相关标准、行业标准、地方标准或者其他标准、规范：</w:t>
      </w:r>
    </w:p>
    <w:p>
      <w:pPr>
        <w:adjustRightInd w:val="0"/>
        <w:snapToGrid w:val="0"/>
        <w:spacing w:line="288"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1.1 如涉及国家规定的标准及规范、行业标准及规范、其它相关标准及规范，则按最新相关标准及规范执行，上述标准及规范如有不一致，则以更严格者为准；</w:t>
      </w:r>
    </w:p>
    <w:p>
      <w:pPr>
        <w:adjustRightInd w:val="0"/>
        <w:snapToGrid w:val="0"/>
        <w:spacing w:line="288" w:lineRule="auto"/>
        <w:rPr>
          <w:rFonts w:ascii="仿宋" w:hAnsi="仿宋" w:eastAsia="仿宋" w:cs="仿宋"/>
          <w:b w:val="0"/>
          <w:bCs w:val="0"/>
          <w:color w:val="auto"/>
          <w:szCs w:val="21"/>
          <w:highlight w:val="none"/>
        </w:rPr>
      </w:pPr>
      <w:r>
        <w:rPr>
          <w:rFonts w:hint="eastAsia" w:ascii="仿宋" w:hAnsi="仿宋" w:eastAsia="仿宋" w:cs="仿宋"/>
          <w:color w:val="auto"/>
          <w:szCs w:val="21"/>
          <w:highlight w:val="none"/>
        </w:rPr>
        <w:t>1.2 产品本体、零部件、配件产品质量符合中华人民共和国有关质量标准，上述标准如有不一致，则以更严格者为准。</w:t>
      </w:r>
    </w:p>
    <w:bookmarkEnd w:id="33"/>
    <w:p>
      <w:pPr>
        <w:adjustRightInd w:val="0"/>
        <w:snapToGrid w:val="0"/>
        <w:spacing w:line="288"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2.需实现的功能或者目标：</w:t>
      </w:r>
    </w:p>
    <w:p>
      <w:pPr>
        <w:adjustRightInd w:val="0"/>
        <w:snapToGrid w:val="0"/>
        <w:spacing w:line="288" w:lineRule="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 xml:space="preserve"> 采购人在招标文件中未列明的所需辅材、附件、配件、线缆等后续将不再单独支付费用，招标文件未提及但完备</w:t>
      </w:r>
      <w:r>
        <w:rPr>
          <w:rFonts w:hint="eastAsia" w:ascii="仿宋" w:hAnsi="仿宋" w:eastAsia="仿宋" w:cs="仿宋"/>
          <w:b w:val="0"/>
          <w:bCs w:val="0"/>
          <w:color w:val="auto"/>
          <w:szCs w:val="21"/>
          <w:highlight w:val="none"/>
          <w:lang w:val="en-US" w:eastAsia="zh-CN"/>
        </w:rPr>
        <w:t>设备</w:t>
      </w:r>
      <w:r>
        <w:rPr>
          <w:rFonts w:hint="eastAsia" w:ascii="仿宋" w:hAnsi="仿宋" w:eastAsia="仿宋" w:cs="仿宋"/>
          <w:b w:val="0"/>
          <w:bCs w:val="0"/>
          <w:color w:val="auto"/>
          <w:szCs w:val="21"/>
          <w:highlight w:val="none"/>
        </w:rPr>
        <w:t>运行所需的其它软硬件和改造内容均由中标人免费提供并提供同等维保服务；</w:t>
      </w:r>
    </w:p>
    <w:p>
      <w:pPr>
        <w:adjustRightInd w:val="0"/>
        <w:snapToGrid w:val="0"/>
        <w:spacing w:line="288" w:lineRule="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2.</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 xml:space="preserve"> 交钥匙项目</w:t>
      </w:r>
      <w:r>
        <w:rPr>
          <w:rFonts w:hint="eastAsia" w:ascii="仿宋" w:hAnsi="仿宋" w:eastAsia="仿宋" w:cs="仿宋"/>
          <w:b w:val="0"/>
          <w:bCs w:val="0"/>
          <w:color w:val="auto"/>
          <w:szCs w:val="21"/>
          <w:highlight w:val="none"/>
          <w:lang w:eastAsia="zh-CN"/>
        </w:rPr>
        <w:t>；</w:t>
      </w:r>
    </w:p>
    <w:p>
      <w:pPr>
        <w:adjustRightInd w:val="0"/>
        <w:snapToGrid w:val="0"/>
        <w:spacing w:line="288" w:lineRule="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 xml:space="preserve">2.3 </w:t>
      </w:r>
      <w:r>
        <w:rPr>
          <w:rFonts w:hint="eastAsia" w:ascii="仿宋" w:hAnsi="仿宋" w:eastAsia="仿宋" w:cs="仿宋"/>
          <w:color w:val="auto"/>
          <w:highlight w:val="none"/>
          <w:lang w:val="en-US" w:eastAsia="zh-CN"/>
        </w:rPr>
        <w:t>教育科学与技术学院教学配套。</w:t>
      </w:r>
    </w:p>
    <w:p>
      <w:pPr>
        <w:adjustRightInd w:val="0"/>
        <w:snapToGrid w:val="0"/>
        <w:spacing w:line="288" w:lineRule="auto"/>
        <w:rPr>
          <w:rFonts w:ascii="仿宋" w:hAnsi="仿宋" w:eastAsia="仿宋" w:cs="仿宋"/>
          <w:b/>
          <w:bCs/>
          <w:color w:val="auto"/>
          <w:spacing w:val="-4"/>
          <w:szCs w:val="21"/>
          <w:highlight w:val="none"/>
        </w:rPr>
      </w:pPr>
      <w:r>
        <w:rPr>
          <w:rFonts w:hint="eastAsia" w:ascii="仿宋" w:hAnsi="仿宋" w:eastAsia="仿宋" w:cs="仿宋"/>
          <w:b/>
          <w:bCs/>
          <w:color w:val="auto"/>
          <w:spacing w:val="-4"/>
          <w:szCs w:val="21"/>
          <w:highlight w:val="none"/>
        </w:rPr>
        <w:t>3.需满足的质量、安全、技术规格、物理特性等要求：</w:t>
      </w:r>
    </w:p>
    <w:tbl>
      <w:tblPr>
        <w:tblStyle w:val="2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716"/>
        <w:gridCol w:w="676"/>
        <w:gridCol w:w="677"/>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c>
          <w:tcPr>
            <w:tcW w:w="5910" w:type="dxa"/>
            <w:vAlign w:val="center"/>
          </w:tcPr>
          <w:p>
            <w:pPr>
              <w:keepNext w:val="0"/>
              <w:keepLines w:val="0"/>
              <w:pageBreakBefore w:val="0"/>
              <w:kinsoku/>
              <w:wordWrap/>
              <w:overflowPunct/>
              <w:topLinePunct w:val="0"/>
              <w:autoSpaceDE/>
              <w:autoSpaceDN/>
              <w:bidi w:val="0"/>
              <w:adjustRightInd/>
              <w:snapToGrid/>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电工综合实训</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考核设备</w:t>
            </w:r>
          </w:p>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 w:val="18"/>
                <w:szCs w:val="18"/>
                <w:highlight w:val="none"/>
                <w:lang w:val="en-US" w:eastAsia="zh-CN"/>
              </w:rPr>
              <w:t>（PLC立式实训台）</w:t>
            </w:r>
            <w:r>
              <w:rPr>
                <w:rFonts w:hint="eastAsia" w:ascii="仿宋" w:hAnsi="仿宋" w:eastAsia="仿宋" w:cs="仿宋"/>
                <w:b/>
                <w:bCs/>
                <w:color w:val="auto"/>
                <w:sz w:val="21"/>
                <w:szCs w:val="21"/>
                <w:highlight w:val="none"/>
                <w:lang w:val="en-US" w:eastAsia="zh-CN"/>
              </w:rPr>
              <w:t>（核心产品）</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6</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套</w:t>
            </w:r>
          </w:p>
        </w:tc>
        <w:tc>
          <w:tcPr>
            <w:tcW w:w="59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Cs/>
                <w:sz w:val="21"/>
                <w:szCs w:val="21"/>
                <w:highlight w:val="none"/>
                <w:lang w:val="en-US" w:eastAsia="zh-CN"/>
              </w:rPr>
            </w:pPr>
            <w:r>
              <w:rPr>
                <w:rFonts w:hint="eastAsia" w:ascii="仿宋" w:hAnsi="仿宋" w:eastAsia="仿宋" w:cs="仿宋"/>
                <w:b/>
                <w:bCs/>
                <w:sz w:val="21"/>
                <w:szCs w:val="21"/>
                <w:highlight w:val="none"/>
                <w:lang w:val="en-US" w:eastAsia="zh-CN"/>
              </w:rPr>
              <w:t>备注：</w:t>
            </w:r>
            <w:r>
              <w:rPr>
                <w:rFonts w:hint="eastAsia" w:ascii="仿宋" w:hAnsi="仿宋" w:eastAsia="仿宋" w:cs="仿宋"/>
                <w:b/>
                <w:bCs/>
                <w:sz w:val="21"/>
                <w:szCs w:val="21"/>
                <w:highlight w:val="none"/>
                <w:lang w:eastAsia="zh-CN"/>
              </w:rPr>
              <w:t>标★条款</w:t>
            </w:r>
            <w:r>
              <w:rPr>
                <w:rFonts w:hint="eastAsia" w:ascii="仿宋" w:hAnsi="仿宋" w:eastAsia="仿宋" w:cs="仿宋"/>
                <w:b/>
                <w:bCs/>
                <w:sz w:val="21"/>
                <w:szCs w:val="21"/>
                <w:highlight w:val="none"/>
                <w:lang w:val="en-US" w:eastAsia="zh-CN"/>
              </w:rPr>
              <w:t>附相关佐证材料（产品样本资料或官网上公开的技术参数等，佐证材料有单独要求的以单独要求的为准）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总体</w:t>
            </w:r>
            <w:r>
              <w:rPr>
                <w:rFonts w:hint="eastAsia" w:ascii="仿宋" w:hAnsi="仿宋" w:eastAsia="仿宋" w:cs="仿宋"/>
                <w:b w:val="0"/>
                <w:bCs w:val="0"/>
                <w:color w:val="auto"/>
                <w:szCs w:val="21"/>
                <w:highlight w:val="none"/>
                <w:lang w:val="en-US" w:eastAsia="zh-CN"/>
              </w:rPr>
              <w:t>要求</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双面模式，每一面均</w:t>
            </w:r>
            <w:r>
              <w:rPr>
                <w:rFonts w:hint="eastAsia" w:ascii="仿宋" w:hAnsi="仿宋" w:eastAsia="仿宋" w:cs="仿宋"/>
                <w:b w:val="0"/>
                <w:bCs w:val="0"/>
                <w:color w:val="auto"/>
                <w:szCs w:val="21"/>
                <w:highlight w:val="none"/>
                <w:lang w:val="en-US" w:eastAsia="zh-CN"/>
              </w:rPr>
              <w:t>具备</w:t>
            </w:r>
            <w:r>
              <w:rPr>
                <w:rFonts w:hint="eastAsia" w:ascii="仿宋" w:hAnsi="仿宋" w:eastAsia="仿宋" w:cs="仿宋"/>
                <w:b w:val="0"/>
                <w:bCs w:val="0"/>
                <w:color w:val="auto"/>
                <w:szCs w:val="21"/>
                <w:highlight w:val="none"/>
              </w:rPr>
              <w:t>独立的网孔板和模块安装板；</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参考结构</w:t>
            </w:r>
          </w:p>
          <w:p>
            <w:pPr>
              <w:widowControl/>
              <w:ind w:firstLine="420" w:firstLineChars="200"/>
              <w:jc w:val="center"/>
              <w:rPr>
                <w:rFonts w:hint="eastAsia" w:ascii="仿宋" w:hAnsi="仿宋" w:eastAsia="仿宋" w:cs="仿宋"/>
                <w:b w:val="0"/>
                <w:bCs w:val="0"/>
                <w:color w:val="auto"/>
                <w:szCs w:val="21"/>
                <w:highlight w:val="none"/>
              </w:rPr>
            </w:pPr>
            <w:r>
              <w:drawing>
                <wp:inline distT="0" distB="0" distL="0" distR="0">
                  <wp:extent cx="1072515" cy="1403985"/>
                  <wp:effectExtent l="0" t="0" r="952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2515" cy="1403985"/>
                          </a:xfrm>
                          <a:prstGeom prst="rect">
                            <a:avLst/>
                          </a:prstGeom>
                          <a:noFill/>
                          <a:ln>
                            <a:noFill/>
                          </a:ln>
                        </pic:spPr>
                      </pic:pic>
                    </a:graphicData>
                  </a:graphic>
                </wp:inline>
              </w:drawing>
            </w:r>
            <w:r>
              <w:drawing>
                <wp:inline distT="0" distB="0" distL="0" distR="0">
                  <wp:extent cx="1273810" cy="1403985"/>
                  <wp:effectExtent l="0" t="0" r="635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73810" cy="14039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网孔板、模块安装板可安装随意；</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安全插线和电气布线两种方式并存；</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0" distR="0">
                  <wp:extent cx="1339215" cy="1296035"/>
                  <wp:effectExtent l="0" t="0" r="1905" b="14605"/>
                  <wp:docPr id="20869702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70288"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39215" cy="12960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1.4</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面板上印有实验项目原理图和模拟图；</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Ansi="宋体"/>
                <w:color w:val="000000"/>
                <w:sz w:val="24"/>
              </w:rPr>
              <w:drawing>
                <wp:inline distT="0" distB="0" distL="0" distR="0">
                  <wp:extent cx="1807845" cy="1296035"/>
                  <wp:effectExtent l="0" t="0" r="571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7845" cy="1296035"/>
                          </a:xfrm>
                          <a:prstGeom prst="rect">
                            <a:avLst/>
                          </a:prstGeom>
                          <a:noFill/>
                          <a:ln>
                            <a:noFill/>
                          </a:ln>
                        </pic:spPr>
                      </pic:pic>
                    </a:graphicData>
                  </a:graphic>
                </wp:inline>
              </w:drawing>
            </w:r>
            <w:r>
              <w:drawing>
                <wp:inline distT="0" distB="0" distL="0" distR="0">
                  <wp:extent cx="1232535" cy="1296035"/>
                  <wp:effectExtent l="0" t="0" r="190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232535" cy="12960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1.5</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柜体底部配带刹车万向轮以便移动和固定；</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114300" distR="114300">
                  <wp:extent cx="3615055" cy="1537335"/>
                  <wp:effectExtent l="0" t="0" r="12065"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3615055" cy="15373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1.6</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总体</w:t>
            </w:r>
            <w:r>
              <w:rPr>
                <w:rFonts w:hint="eastAsia" w:ascii="仿宋" w:hAnsi="仿宋" w:eastAsia="仿宋" w:cs="仿宋"/>
                <w:b w:val="0"/>
                <w:bCs w:val="0"/>
                <w:color w:val="auto"/>
                <w:szCs w:val="21"/>
                <w:highlight w:val="none"/>
                <w:lang w:val="en-US" w:eastAsia="zh-CN"/>
              </w:rPr>
              <w:t>规格（</w:t>
            </w:r>
            <w:r>
              <w:rPr>
                <w:rFonts w:hint="eastAsia" w:ascii="仿宋" w:hAnsi="仿宋" w:eastAsia="仿宋" w:cs="仿宋"/>
                <w:b w:val="0"/>
                <w:bCs w:val="0"/>
                <w:color w:val="auto"/>
                <w:szCs w:val="21"/>
                <w:highlight w:val="none"/>
              </w:rPr>
              <w:t>长</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宽</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高</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1200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900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2000mm。</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框架</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2.1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上部分可挂接电源模块、触摸屏模块、交换机、模拟挂箱</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下部分三层独立网孔板（可拆卸）安装各类模组（可编程控制器、触摸屏、交流接触器、继电器、保险丝座、漏电保护器、线槽）；</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网孔板及元器件采用快速接线端子：</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2.4</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各模块的接点</w:t>
            </w:r>
            <w:r>
              <w:rPr>
                <w:rFonts w:hint="eastAsia" w:ascii="仿宋" w:hAnsi="仿宋" w:eastAsia="仿宋" w:cs="仿宋"/>
                <w:b w:val="0"/>
                <w:bCs w:val="0"/>
                <w:color w:val="auto"/>
                <w:szCs w:val="21"/>
                <w:highlight w:val="none"/>
                <w:lang w:val="en-US" w:eastAsia="zh-CN"/>
              </w:rPr>
              <w:t>均</w:t>
            </w:r>
            <w:r>
              <w:rPr>
                <w:rFonts w:hint="eastAsia" w:ascii="仿宋" w:hAnsi="仿宋" w:eastAsia="仿宋" w:cs="仿宋"/>
                <w:b w:val="0"/>
                <w:bCs w:val="0"/>
                <w:color w:val="auto"/>
                <w:szCs w:val="21"/>
                <w:highlight w:val="none"/>
              </w:rPr>
              <w:t>先与接线端子相连。</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工作电源：三相五线制AC 380V±10%</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50Hz</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整机消耗视在功率：≤1.5k</w:t>
            </w:r>
            <w:r>
              <w:rPr>
                <w:rFonts w:hint="eastAsia" w:ascii="仿宋" w:hAnsi="仿宋" w:eastAsia="仿宋" w:cs="仿宋"/>
                <w:b w:val="0"/>
                <w:bCs w:val="0"/>
                <w:color w:val="auto"/>
                <w:szCs w:val="21"/>
                <w:highlight w:val="none"/>
                <w:lang w:val="en-US" w:eastAsia="zh-CN"/>
              </w:rPr>
              <w:t>W；</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val="en-US" w:eastAsia="zh-CN"/>
              </w:rPr>
              <w:t>5.</w:t>
            </w:r>
            <w:r>
              <w:rPr>
                <w:rFonts w:hint="eastAsia" w:ascii="仿宋" w:hAnsi="仿宋" w:eastAsia="仿宋" w:cs="仿宋"/>
                <w:b w:val="0"/>
                <w:bCs w:val="0"/>
                <w:color w:val="auto"/>
                <w:szCs w:val="21"/>
                <w:highlight w:val="none"/>
              </w:rPr>
              <w:t>安全保护措施：具有接地保护、漏电过载过流保护功能，安全性符合相关国标标准</w:t>
            </w:r>
            <w:r>
              <w:rPr>
                <w:rFonts w:hint="eastAsia" w:ascii="仿宋" w:hAnsi="仿宋" w:eastAsia="仿宋" w:cs="仿宋"/>
                <w:b/>
                <w:bCs/>
                <w:color w:val="auto"/>
                <w:szCs w:val="21"/>
                <w:highlight w:val="none"/>
                <w:lang w:val="en-US" w:eastAsia="zh-CN"/>
              </w:rPr>
              <w:t>[</w:t>
            </w:r>
            <w:r>
              <w:rPr>
                <w:rFonts w:hint="eastAsia" w:ascii="仿宋" w:hAnsi="仿宋" w:eastAsia="仿宋" w:cs="仿宋"/>
                <w:b/>
                <w:bCs/>
                <w:color w:val="auto"/>
                <w:szCs w:val="21"/>
                <w:highlight w:val="none"/>
              </w:rPr>
              <w:t>提供第三方检测机构出具的检测报告（具有CMA或CNAS标识）</w:t>
            </w:r>
            <w:r>
              <w:rPr>
                <w:rFonts w:hint="eastAsia" w:ascii="仿宋" w:hAnsi="仿宋" w:eastAsia="仿宋" w:cs="仿宋"/>
                <w:b/>
                <w:bCs/>
                <w:color w:val="auto"/>
                <w:szCs w:val="21"/>
                <w:highlight w:val="none"/>
                <w:lang w:val="en-US"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6.</w:t>
            </w:r>
            <w:r>
              <w:rPr>
                <w:rFonts w:hint="eastAsia" w:ascii="仿宋" w:hAnsi="仿宋" w:eastAsia="仿宋" w:cs="仿宋"/>
                <w:b w:val="0"/>
                <w:bCs w:val="0"/>
                <w:color w:val="auto"/>
                <w:szCs w:val="21"/>
                <w:highlight w:val="none"/>
              </w:rPr>
              <w:t>电源控制系统</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6.1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设置有启动停止急停按钮、三相液晶电网显示仪表、工业保险丝等；</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6.2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模块采用激光雕刻工艺，</w:t>
            </w:r>
            <w:r>
              <w:rPr>
                <w:rFonts w:hint="eastAsia" w:ascii="仿宋" w:hAnsi="仿宋" w:eastAsia="仿宋" w:cs="仿宋"/>
                <w:b w:val="0"/>
                <w:bCs w:val="0"/>
                <w:color w:val="auto"/>
                <w:szCs w:val="21"/>
                <w:highlight w:val="none"/>
                <w:lang w:val="en-US" w:eastAsia="zh-CN"/>
              </w:rPr>
              <w:t>具备</w:t>
            </w:r>
            <w:r>
              <w:rPr>
                <w:rFonts w:hint="eastAsia" w:ascii="仿宋" w:hAnsi="仿宋" w:eastAsia="仿宋" w:cs="仿宋"/>
                <w:b w:val="0"/>
                <w:bCs w:val="0"/>
                <w:color w:val="auto"/>
                <w:szCs w:val="21"/>
                <w:highlight w:val="none"/>
              </w:rPr>
              <w:t>国标平衡线路五线供电模型；</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6.3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设置MCGS≥7寸彩色触摸屏，带以太网，实现与PLC互联互通。</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7.</w:t>
            </w:r>
            <w:r>
              <w:rPr>
                <w:rFonts w:hint="eastAsia" w:ascii="仿宋" w:hAnsi="仿宋" w:eastAsia="仿宋" w:cs="仿宋"/>
                <w:b w:val="0"/>
                <w:bCs w:val="0"/>
                <w:color w:val="auto"/>
                <w:szCs w:val="21"/>
                <w:highlight w:val="none"/>
              </w:rPr>
              <w:t>直流电源及监控仪表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提供1路隔离电源0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10V/0.2A连续可调稳压电源，2路通道独立24位AD采样，电压电流显示误差3个字内，可拓展4</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20mA电流接口，电流输出采用隔离模块隔离，</w:t>
            </w:r>
            <w:r>
              <w:rPr>
                <w:rFonts w:hint="eastAsia" w:ascii="仿宋" w:hAnsi="仿宋" w:eastAsia="仿宋" w:cs="仿宋"/>
                <w:b w:val="0"/>
                <w:bCs w:val="0"/>
                <w:color w:val="auto"/>
                <w:szCs w:val="21"/>
                <w:highlight w:val="none"/>
                <w:lang w:val="en-US" w:eastAsia="zh-CN"/>
              </w:rPr>
              <w:t>具备</w:t>
            </w:r>
            <w:r>
              <w:rPr>
                <w:rFonts w:hint="eastAsia" w:ascii="仿宋" w:hAnsi="仿宋" w:eastAsia="仿宋" w:cs="仿宋"/>
                <w:b w:val="0"/>
                <w:bCs w:val="0"/>
                <w:color w:val="auto"/>
                <w:szCs w:val="21"/>
                <w:highlight w:val="none"/>
              </w:rPr>
              <w:t>1键进入恒压恒流模式，调节精度0.01V/1mA，具有3档速度调节</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编码器设置功能，可通信设置电压电流</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恒压和恒流模式，具有电压电流显示功能</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8.</w:t>
            </w:r>
            <w:r>
              <w:rPr>
                <w:rFonts w:hint="eastAsia" w:ascii="仿宋" w:hAnsi="仿宋" w:eastAsia="仿宋" w:cs="仿宋"/>
                <w:b w:val="0"/>
                <w:bCs w:val="0"/>
                <w:color w:val="auto"/>
                <w:szCs w:val="21"/>
                <w:highlight w:val="none"/>
              </w:rPr>
              <w:t>PLC模组</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8.1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西门子CPU1215C DC/DC/DC</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14路数字量输入/10路数字量输出（晶体管输出）；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2路模拟量输入；</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2路模拟量输出，支持6路最高100kHz高速计数器输入；</w:t>
            </w: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支持4路最大100</w:t>
            </w:r>
            <w:r>
              <w:rPr>
                <w:rFonts w:hint="eastAsia" w:ascii="仿宋" w:hAnsi="仿宋" w:eastAsia="仿宋" w:cs="仿宋"/>
                <w:b w:val="0"/>
                <w:bCs w:val="0"/>
                <w:color w:val="auto"/>
                <w:szCs w:val="21"/>
                <w:highlight w:val="none"/>
                <w:lang w:val="en-US" w:eastAsia="zh-CN"/>
              </w:rPr>
              <w:t>k</w:t>
            </w:r>
            <w:r>
              <w:rPr>
                <w:rFonts w:hint="eastAsia" w:ascii="仿宋" w:hAnsi="仿宋" w:eastAsia="仿宋" w:cs="仿宋"/>
                <w:b w:val="0"/>
                <w:bCs w:val="0"/>
                <w:color w:val="auto"/>
                <w:szCs w:val="21"/>
                <w:highlight w:val="none"/>
              </w:rPr>
              <w:t>Hz脉冲串输出；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(5)</w:t>
            </w:r>
            <w:r>
              <w:rPr>
                <w:rFonts w:hint="eastAsia" w:ascii="仿宋" w:hAnsi="仿宋" w:eastAsia="仿宋" w:cs="仿宋"/>
                <w:b w:val="0"/>
                <w:bCs w:val="0"/>
                <w:color w:val="auto"/>
                <w:szCs w:val="21"/>
                <w:highlight w:val="none"/>
              </w:rPr>
              <w:t>板载1个RJ45以太网接口，支持PROFINET、TCP/IP、MODBUS协议。</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8.2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三菱FX5U-32MT PLC主机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内置I/O各16点晶体管漏型输出；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DC电源DC输入拆换式(M3螺丝)端子排；</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内置模拟2CH输入、内置模拟1CH输出、内置高速计数器最大8CH 200kHz；</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内置定位最多200kHz4轴、内置1通道以太网端口、内置1通道RS-485端口。</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★8.3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实训组件以功能组件形式可快速安装于操作平台上，电源采用3号接线柱从电源模块DC</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24V电源引电，PLC的输入/输出端口均引出至一体化端子，即可通过3号导线快速连接</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通过电缆接线方式连接</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提供样品</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lang w:eastAsia="zh-CN"/>
              </w:rPr>
            </w:pPr>
            <w:r>
              <w:drawing>
                <wp:inline distT="0" distB="0" distL="114300" distR="114300">
                  <wp:extent cx="2019300" cy="1379220"/>
                  <wp:effectExtent l="0" t="0" r="762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2019300" cy="13792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9.</w:t>
            </w:r>
            <w:r>
              <w:rPr>
                <w:rFonts w:hint="eastAsia" w:ascii="仿宋" w:hAnsi="仿宋" w:eastAsia="仿宋" w:cs="仿宋"/>
                <w:b w:val="0"/>
                <w:bCs w:val="0"/>
                <w:color w:val="auto"/>
                <w:szCs w:val="21"/>
                <w:highlight w:val="none"/>
              </w:rPr>
              <w:t>变频器模组</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9.1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使用变频器额定输出功率，0.4</w:t>
            </w:r>
            <w:r>
              <w:rPr>
                <w:rFonts w:hint="eastAsia" w:ascii="仿宋" w:hAnsi="仿宋" w:eastAsia="仿宋" w:cs="仿宋"/>
                <w:b w:val="0"/>
                <w:bCs w:val="0"/>
                <w:color w:val="auto"/>
                <w:szCs w:val="21"/>
                <w:highlight w:val="none"/>
                <w:lang w:val="en-US" w:eastAsia="zh-CN"/>
              </w:rPr>
              <w:t>k</w:t>
            </w:r>
            <w:r>
              <w:rPr>
                <w:rFonts w:hint="eastAsia" w:ascii="仿宋" w:hAnsi="仿宋" w:eastAsia="仿宋" w:cs="仿宋"/>
                <w:b w:val="0"/>
                <w:bCs w:val="0"/>
                <w:color w:val="auto"/>
                <w:szCs w:val="21"/>
                <w:highlight w:val="none"/>
              </w:rPr>
              <w:t>W过载150%</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60</w:t>
            </w:r>
            <w:r>
              <w:rPr>
                <w:rFonts w:hint="eastAsia" w:ascii="仿宋" w:hAnsi="仿宋" w:eastAsia="仿宋" w:cs="仿宋"/>
                <w:b w:val="0"/>
                <w:bCs w:val="0"/>
                <w:color w:val="auto"/>
                <w:szCs w:val="21"/>
                <w:highlight w:val="none"/>
                <w:lang w:val="en-US" w:eastAsia="zh-CN"/>
              </w:rPr>
              <w:t>s、</w:t>
            </w:r>
            <w:r>
              <w:rPr>
                <w:rFonts w:hint="eastAsia" w:ascii="仿宋" w:hAnsi="仿宋" w:eastAsia="仿宋" w:cs="仿宋"/>
                <w:b w:val="0"/>
                <w:bCs w:val="0"/>
                <w:color w:val="auto"/>
                <w:szCs w:val="21"/>
                <w:highlight w:val="none"/>
              </w:rPr>
              <w:t>200% 3</w:t>
            </w:r>
            <w:r>
              <w:rPr>
                <w:rFonts w:hint="eastAsia" w:ascii="仿宋" w:hAnsi="仿宋" w:eastAsia="仿宋" w:cs="仿宋"/>
                <w:b w:val="0"/>
                <w:bCs w:val="0"/>
                <w:color w:val="auto"/>
                <w:szCs w:val="21"/>
                <w:highlight w:val="none"/>
                <w:lang w:val="en-US" w:eastAsia="zh-CN"/>
              </w:rPr>
              <w:t>s</w:t>
            </w:r>
            <w:r>
              <w:rPr>
                <w:rFonts w:hint="eastAsia" w:ascii="仿宋" w:hAnsi="仿宋" w:eastAsia="仿宋" w:cs="仿宋"/>
                <w:b w:val="0"/>
                <w:bCs w:val="0"/>
                <w:color w:val="auto"/>
                <w:szCs w:val="21"/>
                <w:highlight w:val="none"/>
              </w:rPr>
              <w:t>，防护等级IP20，环境温度-10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-+50℃</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380V变频电机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0.1</w:t>
            </w:r>
            <w:r>
              <w:rPr>
                <w:rFonts w:hint="eastAsia" w:ascii="仿宋" w:hAnsi="仿宋" w:eastAsia="仿宋" w:cs="仿宋"/>
                <w:b w:val="0"/>
                <w:bCs w:val="0"/>
                <w:color w:val="auto"/>
                <w:szCs w:val="21"/>
                <w:highlight w:val="none"/>
                <w:lang w:val="en-US" w:eastAsia="zh-CN"/>
              </w:rPr>
              <w:t>k</w:t>
            </w:r>
            <w:r>
              <w:rPr>
                <w:rFonts w:hint="eastAsia" w:ascii="仿宋" w:hAnsi="仿宋" w:eastAsia="仿宋" w:cs="仿宋"/>
                <w:b w:val="0"/>
                <w:bCs w:val="0"/>
                <w:color w:val="auto"/>
                <w:szCs w:val="21"/>
                <w:highlight w:val="none"/>
              </w:rPr>
              <w:t>W</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知名品牌，电源及信号端口采用快速接插端口引出</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rPr>
              <w:t>★9.2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实训组件以功能组件形式可快速安装于操作平台上，电源采用4号接线柱从电源模块电源引电</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变频器的输入/输出端口均引出至一体化端子，即可通过3号导线快速连接</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通过电缆接线方式连接</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提供实物图片或其他证明材料</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114300" distR="114300">
                  <wp:extent cx="1737360" cy="1684020"/>
                  <wp:effectExtent l="0" t="0" r="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1737360" cy="16840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10.</w:t>
            </w:r>
            <w:r>
              <w:rPr>
                <w:rFonts w:hint="eastAsia" w:ascii="仿宋" w:hAnsi="仿宋" w:eastAsia="仿宋" w:cs="仿宋"/>
                <w:b w:val="0"/>
                <w:bCs w:val="0"/>
                <w:color w:val="auto"/>
                <w:szCs w:val="21"/>
                <w:highlight w:val="none"/>
              </w:rPr>
              <w:t>工业以太网交换机</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10.1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导轨式安装，用于PLC、触摸屏</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变频器等以太网连接，传输速率≥10/100Mbit/s，RJ45接口（10/100Mbit/s;TP），P40防护；</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10.2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★10.3</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模块采用激光雕刻工艺，清晰标准元件名称</w:t>
            </w:r>
            <w:r>
              <w:rPr>
                <w:rFonts w:hint="eastAsia" w:ascii="仿宋" w:hAnsi="仿宋" w:eastAsia="仿宋" w:cs="仿宋"/>
                <w:b/>
                <w:bCs/>
                <w:color w:val="auto"/>
                <w:szCs w:val="21"/>
                <w:highlight w:val="none"/>
                <w:lang w:eastAsia="zh-CN"/>
              </w:rPr>
              <w:t>（提供实物图片）。</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11.</w:t>
            </w:r>
            <w:r>
              <w:rPr>
                <w:rFonts w:hint="eastAsia" w:ascii="仿宋" w:hAnsi="仿宋" w:eastAsia="仿宋" w:cs="仿宋"/>
                <w:b w:val="0"/>
                <w:bCs w:val="0"/>
                <w:color w:val="auto"/>
                <w:szCs w:val="21"/>
                <w:highlight w:val="none"/>
              </w:rPr>
              <w:t>可编程控制器工作站</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 xml:space="preserve">11.1 </w:t>
            </w:r>
            <w:r>
              <w:rPr>
                <w:rFonts w:hint="eastAsia" w:ascii="仿宋" w:hAnsi="仿宋" w:eastAsia="仿宋" w:cs="仿宋"/>
                <w:b w:val="0"/>
                <w:bCs w:val="0"/>
                <w:color w:val="auto"/>
                <w:szCs w:val="21"/>
                <w:highlight w:val="none"/>
              </w:rPr>
              <w:t>处理器：I5-12代及以上处理器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主频≥2.3GHz</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内存</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16GB*DDR4</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≥256G M.2Nvme固态硬盘+1T机械硬盘</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集成显卡</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集成5.1声道声卡</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集成10/100/1000M自适应千兆网卡*1</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I/O扩展槽≥1个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PCIe x8≥2个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PCIe x1≥1个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M.2扩展槽≥2个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USB3.0接口≥6个</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电源≥260W</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≥21.5寸显示器，分辨率≥1920</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1080</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W</w:t>
            </w:r>
            <w:r>
              <w:rPr>
                <w:rFonts w:hint="eastAsia" w:ascii="仿宋" w:hAnsi="仿宋" w:eastAsia="仿宋" w:cs="仿宋"/>
                <w:b w:val="0"/>
                <w:bCs w:val="0"/>
                <w:color w:val="auto"/>
                <w:szCs w:val="21"/>
                <w:highlight w:val="none"/>
              </w:rPr>
              <w:t>in10及以上系统</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val="en-US" w:eastAsia="zh-CN"/>
              </w:rPr>
              <w:t xml:space="preserve">11.2 </w:t>
            </w:r>
            <w:r>
              <w:rPr>
                <w:rFonts w:hint="eastAsia" w:ascii="仿宋" w:hAnsi="仿宋" w:eastAsia="仿宋" w:cs="仿宋"/>
                <w:b w:val="0"/>
                <w:bCs w:val="0"/>
                <w:color w:val="auto"/>
                <w:szCs w:val="21"/>
                <w:highlight w:val="none"/>
              </w:rPr>
              <w:t>含还原系统、博图V17、GX Works2编程软件</w:t>
            </w:r>
            <w:r>
              <w:rPr>
                <w:rFonts w:hint="eastAsia" w:ascii="仿宋" w:hAnsi="仿宋" w:eastAsia="仿宋" w:cs="仿宋"/>
                <w:b/>
                <w:bCs/>
                <w:color w:val="auto"/>
                <w:szCs w:val="21"/>
                <w:highlight w:val="none"/>
              </w:rPr>
              <w:t>（提供正版软件承诺书、软件主要功能界面彩色截图≥10张）</w:t>
            </w:r>
            <w:r>
              <w:rPr>
                <w:rFonts w:hint="eastAsia" w:ascii="仿宋" w:hAnsi="仿宋" w:eastAsia="仿宋" w:cs="仿宋"/>
                <w:b w:val="0"/>
                <w:bCs w:val="0"/>
                <w:color w:val="auto"/>
                <w:szCs w:val="21"/>
                <w:highlight w:val="none"/>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12.</w:t>
            </w:r>
            <w:r>
              <w:rPr>
                <w:rFonts w:hint="eastAsia" w:ascii="仿宋" w:hAnsi="仿宋" w:eastAsia="仿宋" w:cs="仿宋"/>
                <w:b w:val="0"/>
                <w:bCs w:val="0"/>
                <w:color w:val="auto"/>
                <w:szCs w:val="21"/>
                <w:highlight w:val="none"/>
              </w:rPr>
              <w:t>数模逻辑给定模组</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12.1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配套输入输出逻辑控制模块，≥8入8出模块（输入点可点动、自锁），用于PLC的输入输出控制，同一模块上配置模拟量电位器4个（</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个4.7k</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两个470Ω）主要用于模拟量调节；</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★12.2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实训组件以功能组件形式可快速安装于操作平台上</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控制端子引出至一体化端子，即可通过3号导线快速连接</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通过电缆接线方式连接</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提供样品</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13.</w:t>
            </w:r>
            <w:r>
              <w:rPr>
                <w:rFonts w:hint="eastAsia" w:ascii="仿宋" w:hAnsi="仿宋" w:eastAsia="仿宋" w:cs="仿宋"/>
                <w:b w:val="0"/>
                <w:bCs w:val="0"/>
                <w:color w:val="auto"/>
                <w:szCs w:val="21"/>
                <w:highlight w:val="none"/>
              </w:rPr>
              <w:t>逻辑控制实训模块</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★13.1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模块化设计，各功能模块可独立拆卸</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实训功能模块有上下两层防护罩进行全方位保护，表面丝印系统功能图，提供电源、输入、输出信号的接入和传送接口，实训扩展模块匹配的连接组件采用压缩式可自动调节连接模组和高导电触板形成电路的对接，采用支柱定位实现对实训扩展模块的准确定位</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提供实物图片和3D模拟图等）</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★13.2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配备抢答器、音乐喷泉、装配流水线、十字路口交通、水塔水位、天塔之光、自控轧钢机、机械手、自控成型机、自动洗衣机模块</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w:t>
            </w:r>
            <w:r>
              <w:rPr>
                <w:rFonts w:hint="eastAsia" w:ascii="仿宋" w:hAnsi="仿宋" w:eastAsia="仿宋" w:cs="仿宋"/>
                <w:b/>
                <w:bCs/>
                <w:color w:val="auto"/>
                <w:szCs w:val="21"/>
                <w:highlight w:val="none"/>
              </w:rPr>
              <w:t>实物图片或其他证明材料</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14.</w:t>
            </w:r>
            <w:r>
              <w:rPr>
                <w:rFonts w:hint="eastAsia" w:ascii="仿宋" w:hAnsi="仿宋" w:eastAsia="仿宋" w:cs="仿宋"/>
                <w:b w:val="0"/>
                <w:bCs w:val="0"/>
                <w:color w:val="auto"/>
                <w:szCs w:val="21"/>
                <w:highlight w:val="none"/>
              </w:rPr>
              <w:t>温度控制实训模块：配套温度PID控制驱动实训模块（MOS 驱动调压电路、温度加热器、PT100测温传感器、PT100转换电路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及</w:t>
            </w:r>
            <w:r>
              <w:rPr>
                <w:rFonts w:hint="eastAsia" w:ascii="仿宋" w:hAnsi="仿宋" w:eastAsia="仿宋" w:cs="仿宋"/>
                <w:b w:val="0"/>
                <w:bCs w:val="0"/>
                <w:color w:val="auto"/>
                <w:szCs w:val="21"/>
                <w:highlight w:val="none"/>
              </w:rPr>
              <w:t>温度转485Modbus通讯模块</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rPr>
              <w:t>参考结构</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drawing>
                <wp:inline distT="0" distB="0" distL="114300" distR="114300">
                  <wp:extent cx="1950720" cy="13716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1950720" cy="13716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val="en-US" w:eastAsia="zh-CN"/>
              </w:rPr>
              <w:t>15.</w:t>
            </w:r>
            <w:r>
              <w:rPr>
                <w:rFonts w:hint="eastAsia" w:ascii="仿宋" w:hAnsi="仿宋" w:eastAsia="仿宋" w:cs="仿宋"/>
                <w:b w:val="0"/>
                <w:bCs w:val="0"/>
                <w:color w:val="auto"/>
                <w:szCs w:val="21"/>
                <w:highlight w:val="none"/>
              </w:rPr>
              <w:t>配套实验软件及教学资源包：PLC及触摸屏专用编程软件（西门子</w:t>
            </w:r>
            <w:r>
              <w:rPr>
                <w:rFonts w:hint="eastAsia" w:ascii="仿宋" w:hAnsi="仿宋" w:eastAsia="仿宋" w:cs="仿宋"/>
                <w:b w:val="0"/>
                <w:bCs w:val="0"/>
                <w:color w:val="auto"/>
                <w:szCs w:val="21"/>
                <w:highlight w:val="none"/>
                <w:lang w:val="en-US" w:eastAsia="zh-CN"/>
              </w:rPr>
              <w:t>&amp;</w:t>
            </w:r>
            <w:r>
              <w:rPr>
                <w:rFonts w:hint="eastAsia" w:ascii="仿宋" w:hAnsi="仿宋" w:eastAsia="仿宋" w:cs="仿宋"/>
                <w:b w:val="0"/>
                <w:bCs w:val="0"/>
                <w:color w:val="auto"/>
                <w:szCs w:val="21"/>
                <w:highlight w:val="none"/>
              </w:rPr>
              <w:t>三菱PLC专用编程软件、触摸屏专用组态软件</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，均正版安装</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提供正版软件承诺书）</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★16</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Cs w:val="21"/>
                <w:highlight w:val="none"/>
              </w:rPr>
              <w:t>实验连接线</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高可靠护套结构手枪插连接线（不存在任何触电的可能），里面采用无氧铜抽丝而成头发丝般细的多股线</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外包丁腈聚氯乙烯绝缘层，柔软、耐压高、强度大、防硬化、韧性好，插头采用实芯铜质件外套铍轻铜弹片，接触优良</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提供样品</w:t>
            </w:r>
            <w:r>
              <w:rPr>
                <w:rFonts w:hint="eastAsia" w:ascii="仿宋" w:hAnsi="仿宋" w:eastAsia="仿宋" w:cs="仿宋"/>
                <w:b/>
                <w:bCs/>
                <w:color w:val="auto"/>
                <w:szCs w:val="21"/>
                <w:highlight w:val="none"/>
                <w:lang w:eastAsia="zh-CN"/>
              </w:rPr>
              <w:t>）；</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Cs w:val="21"/>
                <w:highlight w:val="none"/>
              </w:rPr>
            </w:pPr>
            <w:r>
              <w:rPr>
                <w:rFonts w:hint="eastAsia" w:ascii="宋体" w:hAnsi="宋体" w:cs="宋体"/>
                <w:sz w:val="24"/>
              </w:rPr>
              <w:drawing>
                <wp:inline distT="0" distB="0" distL="0" distR="0">
                  <wp:extent cx="2413635" cy="1494155"/>
                  <wp:effectExtent l="0" t="0" r="9525" b="14605"/>
                  <wp:docPr id="1087" name="图片 22"/>
                  <wp:cNvGraphicFramePr/>
                  <a:graphic xmlns:a="http://schemas.openxmlformats.org/drawingml/2006/main">
                    <a:graphicData uri="http://schemas.openxmlformats.org/drawingml/2006/picture">
                      <pic:pic xmlns:pic="http://schemas.openxmlformats.org/drawingml/2006/picture">
                        <pic:nvPicPr>
                          <pic:cNvPr id="1087" name="图片 22"/>
                          <pic:cNvPicPr/>
                        </pic:nvPicPr>
                        <pic:blipFill>
                          <a:blip r:embed="rId16" cstate="print"/>
                          <a:srcRect/>
                          <a:stretch>
                            <a:fillRect/>
                          </a:stretch>
                        </pic:blipFill>
                        <pic:spPr>
                          <a:xfrm>
                            <a:off x="0" y="0"/>
                            <a:ext cx="2416655" cy="1495923"/>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bCs/>
                <w:color w:val="auto"/>
                <w:szCs w:val="21"/>
                <w:highlight w:val="none"/>
              </w:rPr>
            </w:pPr>
            <w:r>
              <w:rPr>
                <w:rFonts w:hint="eastAsia" w:ascii="仿宋" w:hAnsi="仿宋" w:eastAsia="仿宋" w:cs="仿宋"/>
                <w:b w:val="0"/>
                <w:bCs w:val="0"/>
                <w:color w:val="auto"/>
                <w:szCs w:val="21"/>
                <w:highlight w:val="none"/>
                <w:lang w:val="en-US" w:eastAsia="zh-CN"/>
              </w:rPr>
              <w:t>★17.</w:t>
            </w:r>
            <w:r>
              <w:rPr>
                <w:rFonts w:hint="eastAsia" w:ascii="仿宋" w:hAnsi="仿宋" w:eastAsia="仿宋" w:cs="仿宋"/>
                <w:b w:val="0"/>
                <w:bCs w:val="0"/>
                <w:color w:val="auto"/>
                <w:szCs w:val="21"/>
                <w:highlight w:val="none"/>
              </w:rPr>
              <w:t>可完成的实验内容</w:t>
            </w:r>
            <w:r>
              <w:rPr>
                <w:rFonts w:hint="eastAsia" w:ascii="仿宋" w:hAnsi="仿宋" w:eastAsia="仿宋" w:cs="仿宋"/>
                <w:b/>
                <w:bCs/>
                <w:color w:val="auto"/>
                <w:szCs w:val="21"/>
                <w:highlight w:val="none"/>
                <w:lang w:val="en-US" w:eastAsia="zh-CN"/>
              </w:rPr>
              <w:t>[提供</w:t>
            </w:r>
            <w:r>
              <w:rPr>
                <w:rFonts w:hint="eastAsia" w:ascii="仿宋" w:hAnsi="仿宋" w:eastAsia="仿宋" w:cs="仿宋"/>
                <w:b/>
                <w:bCs/>
                <w:color w:val="auto"/>
                <w:szCs w:val="21"/>
                <w:highlight w:val="none"/>
              </w:rPr>
              <w:t>实验指导书（电子版）]</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17.1</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PLC基本技能实训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PLC的认识实训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PLC的编程软件认识和使用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基本指令实训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定时器指令实训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计数器指令实训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传送指令实训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数据移位指令实训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算术运算指令实训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逻辑指令实训</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17.2</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变频器控制实训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变频器功能参数设置与操作</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变频器报警与保护功能</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变频器外部端子点动控制</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变频器控制电机运行时间操作</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变频器控制电机正反转运行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外部模拟量（电压/电流）变频调速</w:t>
            </w:r>
            <w:r>
              <w:rPr>
                <w:rFonts w:hint="eastAsia" w:ascii="仿宋" w:hAnsi="仿宋" w:eastAsia="仿宋" w:cs="仿宋"/>
                <w:b w:val="0"/>
                <w:bCs w:val="0"/>
                <w:color w:val="auto"/>
                <w:szCs w:val="21"/>
                <w:highlight w:val="none"/>
                <w:lang w:val="en-US" w:eastAsia="zh-CN"/>
              </w:rPr>
              <w:t>&amp;</w:t>
            </w:r>
            <w:r>
              <w:rPr>
                <w:rFonts w:hint="eastAsia" w:ascii="仿宋" w:hAnsi="仿宋" w:eastAsia="仿宋" w:cs="仿宋"/>
                <w:b w:val="0"/>
                <w:bCs w:val="0"/>
                <w:color w:val="auto"/>
                <w:szCs w:val="21"/>
                <w:highlight w:val="none"/>
              </w:rPr>
              <w:t>多段速度选择变频调速</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三相异步电动机的变频调速</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17.3 PLC模拟控制实训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抢答器模块实训</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音乐喷泉</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参考图如下所示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装配流水线</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十字路口交通</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水塔水位</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天塔之光</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自控轧钢机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机械手</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自控成型机</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自动洗衣机</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drawing>
                <wp:inline distT="0" distB="0" distL="114300" distR="114300">
                  <wp:extent cx="3613785" cy="2404745"/>
                  <wp:effectExtent l="0" t="0" r="13335" b="31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7"/>
                          <a:stretch>
                            <a:fillRect/>
                          </a:stretch>
                        </pic:blipFill>
                        <pic:spPr>
                          <a:xfrm>
                            <a:off x="0" y="0"/>
                            <a:ext cx="3613785" cy="24047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17.4</w:t>
            </w:r>
            <w:r>
              <w:rPr>
                <w:rFonts w:hint="eastAsia" w:ascii="仿宋" w:hAnsi="仿宋" w:eastAsia="仿宋" w:cs="仿宋"/>
                <w:b w:val="0"/>
                <w:bCs w:val="0"/>
                <w:color w:val="auto"/>
                <w:szCs w:val="21"/>
                <w:highlight w:val="none"/>
                <w:lang w:val="en-US" w:eastAsia="zh-CN"/>
              </w:rPr>
              <w:t xml:space="preserve"> </w:t>
            </w:r>
            <w:r>
              <w:rPr>
                <w:rFonts w:hint="eastAsia" w:ascii="仿宋" w:hAnsi="仿宋" w:eastAsia="仿宋" w:cs="仿宋"/>
                <w:b w:val="0"/>
                <w:bCs w:val="0"/>
                <w:color w:val="auto"/>
                <w:szCs w:val="21"/>
                <w:highlight w:val="none"/>
              </w:rPr>
              <w:t>工业网络通讯实验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西门子PLC间的以太网通讯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三菱PLC间的以太网通讯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PLC与触摸屏的以太网通讯</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rPr>
              <w:t>17.5 实物类扩展性实验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温度PID控制实验</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17.6 PLC控制电气线路综合实验</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w:t>
            </w:r>
            <w:r>
              <w:rPr>
                <w:rFonts w:hint="eastAsia" w:ascii="仿宋" w:hAnsi="仿宋" w:eastAsia="仿宋" w:cs="仿宋"/>
                <w:b w:val="0"/>
                <w:bCs w:val="0"/>
                <w:color w:val="auto"/>
                <w:szCs w:val="21"/>
                <w:highlight w:val="none"/>
                <w:lang w:val="en-US" w:eastAsia="zh-CN"/>
              </w:rPr>
              <w:t>的</w:t>
            </w:r>
            <w:r>
              <w:rPr>
                <w:rFonts w:hint="eastAsia" w:ascii="仿宋" w:hAnsi="仿宋" w:eastAsia="仿宋" w:cs="仿宋"/>
                <w:b w:val="0"/>
                <w:bCs w:val="0"/>
                <w:color w:val="auto"/>
                <w:szCs w:val="21"/>
                <w:highlight w:val="none"/>
              </w:rPr>
              <w:t>三相鼠笼式异步电动机点动控制线路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PLC控制的三相鼠笼式异步电动机Y／△降压启动控制线路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PLC控制的三相鼠笼式异步电动机反接制动线路</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PLC控制的三相鼠笼式异步电动机自锁控制线路。</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lang w:val="en-US" w:eastAsia="zh-CN"/>
              </w:rPr>
              <w:t>配置：</w:t>
            </w:r>
            <w:r>
              <w:rPr>
                <w:rFonts w:hint="eastAsia" w:ascii="仿宋" w:hAnsi="仿宋" w:eastAsia="仿宋" w:cs="仿宋"/>
                <w:b/>
                <w:bCs/>
                <w:color w:val="auto"/>
                <w:szCs w:val="21"/>
                <w:highlight w:val="none"/>
              </w:rPr>
              <w:t>立式考培平台（双面）6台、可编程控制器工作站6套、实验连接线6套（每套至少80根适当长度的连接线）、实验指导书（电子版）1份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材料分拣实训</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装置</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套</w:t>
            </w:r>
          </w:p>
        </w:tc>
        <w:tc>
          <w:tcPr>
            <w:tcW w:w="59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Cs/>
                <w:sz w:val="21"/>
                <w:szCs w:val="21"/>
                <w:highlight w:val="none"/>
                <w:lang w:val="en-US" w:eastAsia="zh-CN"/>
              </w:rPr>
            </w:pPr>
            <w:r>
              <w:rPr>
                <w:rFonts w:hint="eastAsia" w:ascii="仿宋" w:hAnsi="仿宋" w:eastAsia="仿宋" w:cs="仿宋"/>
                <w:b/>
                <w:bCs/>
                <w:sz w:val="21"/>
                <w:szCs w:val="21"/>
                <w:highlight w:val="none"/>
                <w:lang w:val="en-US" w:eastAsia="zh-CN"/>
              </w:rPr>
              <w:t>备注：</w:t>
            </w:r>
            <w:r>
              <w:rPr>
                <w:rFonts w:hint="eastAsia" w:ascii="仿宋" w:hAnsi="仿宋" w:eastAsia="仿宋" w:cs="仿宋"/>
                <w:b/>
                <w:bCs/>
                <w:sz w:val="21"/>
                <w:szCs w:val="21"/>
                <w:highlight w:val="none"/>
                <w:lang w:eastAsia="zh-CN"/>
              </w:rPr>
              <w:t>标★条款</w:t>
            </w:r>
            <w:r>
              <w:rPr>
                <w:rFonts w:hint="eastAsia" w:ascii="仿宋" w:hAnsi="仿宋" w:eastAsia="仿宋" w:cs="仿宋"/>
                <w:b/>
                <w:bCs/>
                <w:sz w:val="21"/>
                <w:szCs w:val="21"/>
                <w:highlight w:val="none"/>
                <w:lang w:val="en-US" w:eastAsia="zh-CN"/>
              </w:rPr>
              <w:t>附相关佐证材料（产品样本资料或官网上公开的技术参数等，佐证材料有单独要求的以单独要求的为准）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输入电源</w:t>
            </w:r>
            <w:r>
              <w:rPr>
                <w:rFonts w:hint="eastAsia" w:ascii="仿宋" w:hAnsi="仿宋" w:eastAsia="仿宋" w:cs="仿宋"/>
                <w:b w:val="0"/>
                <w:bCs w:val="0"/>
                <w:color w:val="auto"/>
                <w:szCs w:val="21"/>
                <w:highlight w:val="none"/>
                <w:lang w:val="en-US" w:eastAsia="zh-CN"/>
              </w:rPr>
              <w:t>为</w:t>
            </w:r>
            <w:r>
              <w:rPr>
                <w:rFonts w:hint="eastAsia" w:ascii="仿宋" w:hAnsi="仿宋" w:eastAsia="仿宋" w:cs="仿宋"/>
                <w:b w:val="0"/>
                <w:bCs w:val="0"/>
                <w:color w:val="auto"/>
                <w:szCs w:val="21"/>
                <w:highlight w:val="none"/>
              </w:rPr>
              <w:t>单相三线~220V±10% 50Hz</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气源0.4~0.6Mpa</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功率≤500W</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rPr>
              <w:t>整体全开放式结构，</w:t>
            </w:r>
            <w:r>
              <w:rPr>
                <w:rFonts w:hint="eastAsia" w:ascii="仿宋" w:hAnsi="仿宋" w:eastAsia="仿宋" w:cs="仿宋"/>
                <w:b w:val="0"/>
                <w:bCs w:val="0"/>
                <w:color w:val="auto"/>
                <w:szCs w:val="21"/>
                <w:highlight w:val="none"/>
                <w:lang w:val="en-US" w:eastAsia="zh-CN"/>
              </w:rPr>
              <w:t>学生</w:t>
            </w:r>
            <w:r>
              <w:rPr>
                <w:rFonts w:hint="eastAsia" w:ascii="仿宋" w:hAnsi="仿宋" w:eastAsia="仿宋" w:cs="仿宋"/>
                <w:b w:val="0"/>
                <w:bCs w:val="0"/>
                <w:color w:val="auto"/>
                <w:szCs w:val="21"/>
                <w:highlight w:val="none"/>
              </w:rPr>
              <w:t>可进行组装、接线、编程、调试、故障检测等实训</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rPr>
              <w:t>由典型物料分检设备机械部件、模拟生产设备实训模块（包含落料机构、皮带输送线、物料分拣、物料识别）、接线端子盒、直流电机、减速器、同步带、光电传感器、电容传感器、电感传感器、磁性传感器、调压过滤阀、调速阀、气缸行程、磁性开关和气动电磁阀组成</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具有云平台数据传输、控制功能</w:t>
            </w:r>
            <w:r>
              <w:rPr>
                <w:rFonts w:hint="eastAsia" w:ascii="仿宋" w:hAnsi="仿宋" w:eastAsia="仿宋" w:cs="仿宋"/>
                <w:b w:val="0"/>
                <w:bCs w:val="0"/>
                <w:color w:val="auto"/>
                <w:szCs w:val="21"/>
                <w:highlight w:val="none"/>
                <w:lang w:eastAsia="zh-CN"/>
              </w:rPr>
              <w:t>；</w:t>
            </w:r>
          </w:p>
          <w:p>
            <w:pPr>
              <w:pStyle w:val="2"/>
              <w:jc w:val="center"/>
              <w:rPr>
                <w:rFonts w:hint="eastAsia" w:ascii="仿宋" w:hAnsi="仿宋" w:eastAsia="仿宋" w:cs="仿宋"/>
                <w:b w:val="0"/>
                <w:bCs w:val="0"/>
                <w:color w:val="auto"/>
                <w:szCs w:val="21"/>
                <w:highlight w:val="none"/>
              </w:rPr>
            </w:pPr>
            <w:r>
              <w:drawing>
                <wp:inline distT="0" distB="0" distL="114300" distR="114300">
                  <wp:extent cx="2476500" cy="1859280"/>
                  <wp:effectExtent l="0" t="0" r="762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2476500" cy="18592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val="en-US" w:eastAsia="zh-CN"/>
              </w:rPr>
              <w:t>4.</w:t>
            </w:r>
            <w:r>
              <w:rPr>
                <w:rFonts w:hint="eastAsia" w:ascii="仿宋" w:hAnsi="仿宋" w:eastAsia="仿宋" w:cs="仿宋"/>
                <w:b w:val="0"/>
                <w:bCs w:val="0"/>
                <w:color w:val="auto"/>
                <w:szCs w:val="21"/>
                <w:highlight w:val="none"/>
              </w:rPr>
              <w:t>物料传送部分由直流电机及减速器（转速≥10r/min、同步带有效行程≤200mm）组成</w:t>
            </w:r>
            <w:r>
              <w:rPr>
                <w:rFonts w:hint="eastAsia" w:ascii="仿宋" w:hAnsi="仿宋" w:eastAsia="仿宋" w:cs="仿宋"/>
                <w:b w:val="0"/>
                <w:bCs w:val="0"/>
                <w:color w:val="auto"/>
                <w:szCs w:val="21"/>
                <w:highlight w:val="none"/>
                <w:lang w:eastAsia="zh-CN"/>
              </w:rPr>
              <w:t>；</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Cs w:val="21"/>
                <w:highlight w:val="none"/>
                <w:lang w:val="en-US" w:eastAsia="zh-CN"/>
              </w:rPr>
              <w:t>★5.</w:t>
            </w:r>
            <w:r>
              <w:rPr>
                <w:rFonts w:hint="eastAsia" w:ascii="仿宋" w:hAnsi="仿宋" w:eastAsia="仿宋" w:cs="仿宋"/>
                <w:b w:val="0"/>
                <w:bCs w:val="0"/>
                <w:color w:val="auto"/>
                <w:szCs w:val="21"/>
                <w:highlight w:val="none"/>
              </w:rPr>
              <w:t>接线端子采用快速接线装置</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采用三通端子排，中间采用安全插头进行快速插拔，能进行2种接线方式，可接线</w:t>
            </w:r>
            <w:r>
              <w:rPr>
                <w:rFonts w:hint="eastAsia" w:ascii="仿宋" w:hAnsi="仿宋" w:eastAsia="仿宋" w:cs="仿宋"/>
                <w:b w:val="0"/>
                <w:bCs w:val="0"/>
                <w:color w:val="auto"/>
                <w:szCs w:val="21"/>
                <w:highlight w:val="none"/>
                <w:lang w:val="en-US" w:eastAsia="zh-CN"/>
              </w:rPr>
              <w:t>或</w:t>
            </w:r>
            <w:r>
              <w:rPr>
                <w:rFonts w:hint="eastAsia" w:ascii="仿宋" w:hAnsi="仿宋" w:eastAsia="仿宋" w:cs="仿宋"/>
                <w:b w:val="0"/>
                <w:bCs w:val="0"/>
                <w:color w:val="auto"/>
                <w:szCs w:val="21"/>
                <w:highlight w:val="none"/>
              </w:rPr>
              <w:t>导线直插</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提供</w:t>
            </w:r>
            <w:r>
              <w:rPr>
                <w:rFonts w:hint="eastAsia" w:ascii="仿宋" w:hAnsi="仿宋" w:eastAsia="仿宋" w:cs="仿宋"/>
                <w:b/>
                <w:bCs/>
                <w:color w:val="auto"/>
                <w:szCs w:val="21"/>
                <w:highlight w:val="none"/>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1716"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立体车库实训</w:t>
            </w: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装置</w:t>
            </w:r>
          </w:p>
        </w:tc>
        <w:tc>
          <w:tcPr>
            <w:tcW w:w="67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67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套</w:t>
            </w:r>
          </w:p>
        </w:tc>
        <w:tc>
          <w:tcPr>
            <w:tcW w:w="59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Cs/>
                <w:sz w:val="21"/>
                <w:szCs w:val="21"/>
                <w:highlight w:val="none"/>
                <w:lang w:val="en-US" w:eastAsia="zh-CN"/>
              </w:rPr>
            </w:pPr>
            <w:r>
              <w:rPr>
                <w:rFonts w:hint="eastAsia" w:ascii="仿宋" w:hAnsi="仿宋" w:eastAsia="仿宋" w:cs="仿宋"/>
                <w:b/>
                <w:bCs/>
                <w:sz w:val="21"/>
                <w:szCs w:val="21"/>
                <w:highlight w:val="none"/>
                <w:lang w:val="en-US" w:eastAsia="zh-CN"/>
              </w:rPr>
              <w:t>备注：</w:t>
            </w:r>
            <w:r>
              <w:rPr>
                <w:rFonts w:hint="eastAsia" w:ascii="仿宋" w:hAnsi="仿宋" w:eastAsia="仿宋" w:cs="仿宋"/>
                <w:b/>
                <w:bCs/>
                <w:sz w:val="21"/>
                <w:szCs w:val="21"/>
                <w:highlight w:val="none"/>
                <w:lang w:eastAsia="zh-CN"/>
              </w:rPr>
              <w:t>标★条款</w:t>
            </w:r>
            <w:r>
              <w:rPr>
                <w:rFonts w:hint="eastAsia" w:ascii="仿宋" w:hAnsi="仿宋" w:eastAsia="仿宋" w:cs="仿宋"/>
                <w:b/>
                <w:bCs/>
                <w:sz w:val="21"/>
                <w:szCs w:val="21"/>
                <w:highlight w:val="none"/>
                <w:lang w:val="en-US" w:eastAsia="zh-CN"/>
              </w:rPr>
              <w:t>附相关佐证材料（产品样本资料或官网上公开的技术参数等，佐证材料有单独要求的以单独要求的为准）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1.针对机电一体化教学要求，集步进电机、直流电机、三维位置控制技术于一体的教学实训系统；</w:t>
            </w:r>
          </w:p>
          <w:p>
            <w:pPr>
              <w:keepNext w:val="0"/>
              <w:keepLines w:val="0"/>
              <w:pageBreakBefore w:val="0"/>
              <w:kinsoku/>
              <w:wordWrap/>
              <w:overflowPunct/>
              <w:topLinePunct w:val="0"/>
              <w:autoSpaceDE/>
              <w:autoSpaceDN/>
              <w:bidi w:val="0"/>
              <w:adjustRightInd/>
              <w:snapToGrid/>
              <w:jc w:val="center"/>
              <w:textAlignment w:val="auto"/>
            </w:pPr>
            <w:r>
              <w:drawing>
                <wp:inline distT="0" distB="0" distL="114300" distR="114300">
                  <wp:extent cx="1783080" cy="147828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9"/>
                          <a:stretch>
                            <a:fillRect/>
                          </a:stretch>
                        </pic:blipFill>
                        <pic:spPr>
                          <a:xfrm>
                            <a:off x="0" y="0"/>
                            <a:ext cx="1783080" cy="14782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2.通过传感器信号采集、PLC编程，对步进电机、直流电机进行较复杂的开关量控制、位置控制、时序逻辑控制，实现对立体车库中车体的存取；</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3.交流电源：单相三线制，AC 220V±10% 50Hz；</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4.输出电源：DC 24V/4A；</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★5.安全保护措施：具有接地保护、漏电保护功能，安全性符合相关国标标准</w:t>
            </w:r>
            <w:r>
              <w:rPr>
                <w:rFonts w:hint="eastAsia" w:ascii="仿宋" w:hAnsi="仿宋" w:eastAsia="仿宋" w:cs="仿宋"/>
                <w:b/>
                <w:bCs/>
                <w:color w:val="auto"/>
                <w:szCs w:val="21"/>
                <w:highlight w:val="none"/>
                <w:lang w:val="en-US" w:eastAsia="zh-CN"/>
              </w:rPr>
              <w:t>[提供第三方检测机构出具的检测报告（具有CMA或CNAS标识）]；</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★2.4 平台框架：每个仓位均安装有检测限位开关</w:t>
            </w:r>
            <w:r>
              <w:rPr>
                <w:rFonts w:hint="eastAsia" w:ascii="仿宋" w:hAnsi="仿宋" w:eastAsia="仿宋" w:cs="仿宋"/>
                <w:b/>
                <w:bCs/>
                <w:color w:val="auto"/>
                <w:szCs w:val="21"/>
                <w:highlight w:val="none"/>
                <w:lang w:val="en-US" w:eastAsia="zh-CN"/>
              </w:rPr>
              <w:t>（提供实物图）；</w:t>
            </w:r>
          </w:p>
          <w:p>
            <w:pPr>
              <w:keepNext w:val="0"/>
              <w:keepLines w:val="0"/>
              <w:pageBreakBefore w:val="0"/>
              <w:kinsoku/>
              <w:wordWrap/>
              <w:overflowPunct/>
              <w:topLinePunct w:val="0"/>
              <w:autoSpaceDE/>
              <w:autoSpaceDN/>
              <w:bidi w:val="0"/>
              <w:adjustRightInd/>
              <w:snapToGrid/>
              <w:jc w:val="both"/>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★2.5 保护功能：上升、下降机械限位保护功能，前后机械限位保护功能</w:t>
            </w:r>
            <w:r>
              <w:rPr>
                <w:rFonts w:hint="eastAsia" w:ascii="仿宋" w:hAnsi="仿宋" w:eastAsia="仿宋" w:cs="仿宋"/>
                <w:b/>
                <w:bCs/>
                <w:color w:val="auto"/>
                <w:szCs w:val="21"/>
                <w:highlight w:val="none"/>
                <w:lang w:val="en-US" w:eastAsia="zh-CN"/>
              </w:rPr>
              <w:t>（提供实物图）。</w:t>
            </w:r>
          </w:p>
        </w:tc>
      </w:tr>
    </w:tbl>
    <w:p>
      <w:pPr>
        <w:adjustRightInd w:val="0"/>
        <w:snapToGrid w:val="0"/>
        <w:spacing w:line="288" w:lineRule="auto"/>
        <w:ind w:left="0" w:leftChars="0" w:right="0" w:rightChars="0" w:firstLine="0" w:firstLineChars="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adjustRightInd w:val="0"/>
        <w:snapToGrid w:val="0"/>
        <w:spacing w:line="288" w:lineRule="auto"/>
        <w:ind w:left="0" w:leftChars="0" w:right="0" w:rightChars="0" w:firstLine="0" w:firstLineChars="0"/>
        <w:jc w:val="center"/>
        <w:outlineLvl w:val="0"/>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rPr>
        <w:t>第三章  投标人须知</w:t>
      </w:r>
    </w:p>
    <w:p>
      <w:pPr>
        <w:adjustRightInd w:val="0"/>
        <w:snapToGrid w:val="0"/>
        <w:spacing w:line="288" w:lineRule="auto"/>
        <w:jc w:val="center"/>
        <w:outlineLvl w:val="1"/>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投标人须知前附表</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586"/>
        <w:gridCol w:w="7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条款号</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内容</w:t>
            </w:r>
          </w:p>
        </w:tc>
        <w:tc>
          <w:tcPr>
            <w:tcW w:w="3710"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（一）</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适用范围</w:t>
            </w:r>
          </w:p>
        </w:tc>
        <w:tc>
          <w:tcPr>
            <w:tcW w:w="3710" w:type="pct"/>
            <w:vAlign w:val="center"/>
          </w:tcPr>
          <w:p>
            <w:pPr>
              <w:keepNext w:val="0"/>
              <w:keepLines w:val="0"/>
              <w:pageBreakBefore w:val="0"/>
              <w:widowControl w:val="0"/>
              <w:kinsoku/>
              <w:wordWrap/>
              <w:overflowPunct/>
              <w:topLinePunct w:val="0"/>
              <w:autoSpaceDE/>
              <w:autoSpaceDN/>
              <w:bidi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本招标文件适用于</w:t>
            </w:r>
            <w:r>
              <w:rPr>
                <w:rFonts w:hint="eastAsia" w:ascii="仿宋" w:hAnsi="仿宋" w:eastAsia="仿宋" w:cs="仿宋"/>
                <w:color w:val="auto"/>
                <w:sz w:val="18"/>
                <w:szCs w:val="18"/>
                <w:highlight w:val="none"/>
                <w:lang w:eastAsia="zh-CN"/>
              </w:rPr>
              <w:t>浙江工业大学电工综合实训考核设备等</w:t>
            </w:r>
            <w:r>
              <w:rPr>
                <w:rFonts w:hint="eastAsia" w:ascii="仿宋" w:hAnsi="仿宋" w:eastAsia="仿宋" w:cs="仿宋"/>
                <w:color w:val="auto"/>
                <w:sz w:val="18"/>
                <w:szCs w:val="18"/>
                <w:highlight w:val="none"/>
              </w:rPr>
              <w:t>的招标、评标、定标、验收、合同履约、付款等（法律、法规另有规定的，从其规定）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三</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招标方式</w:t>
            </w:r>
          </w:p>
        </w:tc>
        <w:tc>
          <w:tcPr>
            <w:tcW w:w="3710" w:type="pct"/>
            <w:vAlign w:val="center"/>
          </w:tcPr>
          <w:p>
            <w:pPr>
              <w:keepNext w:val="0"/>
              <w:keepLines w:val="0"/>
              <w:pageBreakBefore w:val="0"/>
              <w:widowControl w:val="0"/>
              <w:kinsoku/>
              <w:wordWrap/>
              <w:overflowPunct/>
              <w:topLinePunct w:val="0"/>
              <w:autoSpaceDE/>
              <w:autoSpaceDN/>
              <w:bidi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pacing w:val="-6"/>
                <w:sz w:val="18"/>
                <w:szCs w:val="18"/>
                <w:highlight w:val="none"/>
              </w:rPr>
              <w:t>本次招标采用公开招标（线上电子招投标）方式进行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四</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投标费用</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不论投标结果如何，投标人均应自行承担所有与投标有关的全部费用；</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2.</w:t>
            </w:r>
            <w:r>
              <w:rPr>
                <w:rFonts w:hint="eastAsia" w:ascii="仿宋" w:hAnsi="仿宋" w:eastAsia="仿宋" w:cs="仿宋"/>
                <w:color w:val="auto"/>
                <w:sz w:val="18"/>
                <w:szCs w:val="18"/>
                <w:highlight w:val="none"/>
              </w:rPr>
              <w:t>中标人在中标通知书发出之日起七个工作日内向采购代理机构交纳代理服务费；</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3.</w:t>
            </w:r>
            <w:r>
              <w:rPr>
                <w:rFonts w:hint="eastAsia" w:ascii="仿宋" w:hAnsi="仿宋" w:eastAsia="仿宋" w:cs="仿宋"/>
                <w:color w:val="auto"/>
                <w:sz w:val="18"/>
                <w:szCs w:val="18"/>
                <w:highlight w:val="none"/>
              </w:rPr>
              <w:t>中标人逾期支付代理服务费，须承担代理服务费每日百分之三的违约金，逾期十日未支付的，采购代理机构有权向杭州仲裁委员会对中标人提起仲裁，仲裁费用（包括仲裁受理费和仲裁处理费）均由中标人承担；</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lang w:val="en-US" w:eastAsia="zh-CN"/>
              </w:rPr>
              <w:t>4.</w:t>
            </w:r>
            <w:r>
              <w:rPr>
                <w:rFonts w:hint="eastAsia" w:ascii="仿宋" w:hAnsi="仿宋" w:eastAsia="仿宋" w:cs="仿宋"/>
                <w:color w:val="auto"/>
                <w:spacing w:val="-6"/>
                <w:sz w:val="18"/>
                <w:szCs w:val="18"/>
                <w:highlight w:val="none"/>
                <w:lang w:eastAsia="zh-CN"/>
              </w:rPr>
              <w:t>收费标准：</w:t>
            </w:r>
          </w:p>
          <w:tbl>
            <w:tblPr>
              <w:tblStyle w:val="26"/>
              <w:tblW w:w="53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062"/>
              <w:gridCol w:w="33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206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中标金额（万元）</w:t>
                  </w:r>
                </w:p>
              </w:tc>
              <w:tc>
                <w:tcPr>
                  <w:tcW w:w="332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06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100以下</w:t>
                  </w:r>
                </w:p>
              </w:tc>
              <w:tc>
                <w:tcPr>
                  <w:tcW w:w="332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1.05（不足</w:t>
                  </w:r>
                  <w:r>
                    <w:rPr>
                      <w:rFonts w:hint="eastAsia" w:ascii="仿宋" w:hAnsi="仿宋" w:eastAsia="仿宋" w:cs="仿宋"/>
                      <w:color w:val="auto"/>
                      <w:sz w:val="18"/>
                      <w:szCs w:val="18"/>
                      <w:highlight w:val="none"/>
                      <w:lang w:eastAsia="zh-CN"/>
                    </w:rPr>
                    <w:t>叁仟元</w:t>
                  </w:r>
                  <w:r>
                    <w:rPr>
                      <w:rFonts w:hint="eastAsia" w:ascii="仿宋" w:hAnsi="仿宋" w:eastAsia="仿宋" w:cs="仿宋"/>
                      <w:color w:val="auto"/>
                      <w:sz w:val="18"/>
                      <w:szCs w:val="18"/>
                      <w:highlight w:val="none"/>
                    </w:rPr>
                    <w:t>按</w:t>
                  </w:r>
                  <w:r>
                    <w:rPr>
                      <w:rFonts w:hint="eastAsia" w:ascii="仿宋" w:hAnsi="仿宋" w:eastAsia="仿宋" w:cs="仿宋"/>
                      <w:color w:val="auto"/>
                      <w:sz w:val="18"/>
                      <w:szCs w:val="18"/>
                      <w:highlight w:val="none"/>
                      <w:lang w:eastAsia="zh-CN"/>
                    </w:rPr>
                    <w:t>叁仟元</w:t>
                  </w:r>
                  <w:r>
                    <w:rPr>
                      <w:rFonts w:hint="eastAsia" w:ascii="仿宋" w:hAnsi="仿宋" w:eastAsia="仿宋" w:cs="仿宋"/>
                      <w:color w:val="auto"/>
                      <w:sz w:val="18"/>
                      <w:szCs w:val="18"/>
                      <w:highlight w:val="none"/>
                    </w:rPr>
                    <w:t>收取）</w:t>
                  </w:r>
                </w:p>
              </w:tc>
            </w:tr>
          </w:tbl>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pacing w:val="-6"/>
                <w:sz w:val="18"/>
                <w:szCs w:val="18"/>
                <w:highlight w:val="none"/>
                <w:lang w:val="en-US" w:eastAsia="zh-CN"/>
              </w:rPr>
              <w:t>5.</w:t>
            </w:r>
            <w:r>
              <w:rPr>
                <w:rFonts w:hint="eastAsia" w:ascii="仿宋" w:hAnsi="仿宋" w:eastAsia="仿宋" w:cs="仿宋"/>
                <w:color w:val="auto"/>
                <w:spacing w:val="-6"/>
                <w:sz w:val="18"/>
                <w:szCs w:val="18"/>
                <w:highlight w:val="none"/>
              </w:rPr>
              <w:t>投标保证金：无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五</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投标委托</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投标人代表是法定代表人（单位负责人、自然人本人）的提供本人身份证明</w:t>
            </w:r>
            <w:r>
              <w:rPr>
                <w:rFonts w:hint="eastAsia" w:ascii="仿宋" w:hAnsi="仿宋" w:eastAsia="仿宋" w:cs="仿宋"/>
                <w:color w:val="auto"/>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2.</w:t>
            </w:r>
            <w:r>
              <w:rPr>
                <w:rFonts w:hint="eastAsia" w:ascii="仿宋" w:hAnsi="仿宋" w:eastAsia="仿宋" w:cs="仿宋"/>
                <w:color w:val="auto"/>
                <w:sz w:val="18"/>
                <w:szCs w:val="18"/>
                <w:highlight w:val="none"/>
              </w:rPr>
              <w:t>投标人代表不是法定代表人（单位负责人、自然人本人）的提供授权委托书（格式详见招标文件第六章）和授权代表社保缴纳</w:t>
            </w:r>
            <w:r>
              <w:rPr>
                <w:rFonts w:hint="eastAsia" w:ascii="仿宋" w:hAnsi="仿宋" w:eastAsia="仿宋" w:cs="仿宋"/>
                <w:color w:val="auto"/>
                <w:sz w:val="18"/>
                <w:szCs w:val="18"/>
                <w:highlight w:val="none"/>
                <w:lang w:eastAsia="zh-CN"/>
              </w:rPr>
              <w:t>[2024年1月（含）至今任意一月]</w:t>
            </w:r>
            <w:r>
              <w:rPr>
                <w:rFonts w:hint="eastAsia" w:ascii="仿宋" w:hAnsi="仿宋" w:eastAsia="仿宋" w:cs="仿宋"/>
                <w:color w:val="auto"/>
                <w:sz w:val="18"/>
                <w:szCs w:val="18"/>
                <w:highlight w:val="none"/>
              </w:rPr>
              <w:t>证明；</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3.</w:t>
            </w:r>
            <w:r>
              <w:rPr>
                <w:rFonts w:hint="eastAsia" w:ascii="仿宋" w:hAnsi="仿宋" w:eastAsia="仿宋" w:cs="仿宋"/>
                <w:color w:val="auto"/>
                <w:sz w:val="18"/>
                <w:szCs w:val="18"/>
                <w:highlight w:val="none"/>
              </w:rPr>
              <w:t>投标人委派不在本单位缴纳社保的人员作为授权代表的，在投标文件中说明具体原因、授权代表缴纳社保单位并附列该授权代表缴纳社保清单。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六</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联合体投标</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本项目接受联合体投标。</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两个以上的自然人、法人或者其他组织可以组成一个联合体，以一个供应商的身份共同参加政府采购。</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val="en-US" w:eastAsia="zh-CN"/>
              </w:rPr>
              <w:t>七</w:t>
            </w: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转包与分包</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eastAsia" w:ascii="仿宋" w:hAnsi="仿宋" w:eastAsia="仿宋" w:cs="仿宋"/>
                <w:color w:val="auto"/>
                <w:spacing w:val="-6"/>
                <w:sz w:val="18"/>
                <w:szCs w:val="18"/>
                <w:highlight w:val="none"/>
                <w:lang w:val="en-US" w:eastAsia="zh-CN"/>
              </w:rPr>
            </w:pPr>
            <w:r>
              <w:rPr>
                <w:rFonts w:hint="eastAsia" w:ascii="仿宋" w:hAnsi="仿宋" w:eastAsia="仿宋" w:cs="仿宋"/>
                <w:color w:val="auto"/>
                <w:spacing w:val="-6"/>
                <w:sz w:val="18"/>
                <w:szCs w:val="18"/>
                <w:highlight w:val="none"/>
                <w:lang w:val="en-US" w:eastAsia="zh-CN"/>
              </w:rPr>
              <w:t>1.本项目不允许转包；</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eastAsia" w:ascii="仿宋" w:hAnsi="仿宋" w:eastAsia="仿宋" w:cs="仿宋"/>
                <w:color w:val="auto"/>
                <w:spacing w:val="-6"/>
                <w:sz w:val="18"/>
                <w:szCs w:val="18"/>
                <w:highlight w:val="none"/>
                <w:lang w:val="en-US" w:eastAsia="zh-CN"/>
              </w:rPr>
            </w:pPr>
            <w:r>
              <w:rPr>
                <w:rFonts w:hint="eastAsia" w:ascii="仿宋" w:hAnsi="仿宋" w:eastAsia="仿宋" w:cs="仿宋"/>
                <w:color w:val="auto"/>
                <w:spacing w:val="-6"/>
                <w:sz w:val="18"/>
                <w:szCs w:val="18"/>
                <w:highlight w:val="none"/>
                <w:lang w:val="en-US" w:eastAsia="zh-CN"/>
              </w:rPr>
              <w:t>2.本项目允许分包，可以分包履行的（非主体、非关键性的工作）具体内容、金额或者比例：运输。</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eastAsia" w:ascii="仿宋" w:hAnsi="仿宋" w:eastAsia="仿宋" w:cs="仿宋"/>
                <w:color w:val="auto"/>
                <w:sz w:val="18"/>
                <w:szCs w:val="18"/>
                <w:highlight w:val="none"/>
              </w:rPr>
            </w:pPr>
            <w:r>
              <w:rPr>
                <w:rFonts w:hint="eastAsia" w:ascii="仿宋" w:hAnsi="仿宋" w:eastAsia="仿宋" w:cs="仿宋"/>
                <w:b/>
                <w:bCs/>
                <w:color w:val="auto"/>
                <w:spacing w:val="-6"/>
                <w:sz w:val="18"/>
                <w:szCs w:val="18"/>
                <w:highlight w:val="none"/>
                <w:lang w:val="en-US" w:eastAsia="zh-CN"/>
              </w:rPr>
              <w:t>说明：投标人根据招标文件的规定，拟在中标后将中标项目的非主体、非关键性工作分包的，应当在投标文件中载明分包承担主体，分包承担主体应当具备相应资质条件且不得再次分包。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三</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二</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投标文件份数</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电子加密投标文件：政府采购云平台在线上传一份，备份投标文件：密封包装后以EMS或顺丰邮寄形式递交一份（邮寄地址：</w:t>
            </w:r>
            <w:r>
              <w:rPr>
                <w:rFonts w:hint="eastAsia" w:ascii="仿宋" w:hAnsi="仿宋" w:eastAsia="仿宋" w:cs="仿宋"/>
                <w:b/>
                <w:bCs/>
                <w:color w:val="auto"/>
                <w:sz w:val="18"/>
                <w:szCs w:val="18"/>
                <w:highlight w:val="none"/>
              </w:rPr>
              <w:t>杭州市西湖区玉古路173号</w:t>
            </w:r>
            <w:r>
              <w:rPr>
                <w:rFonts w:hint="eastAsia" w:ascii="仿宋" w:hAnsi="仿宋" w:eastAsia="仿宋" w:cs="仿宋"/>
                <w:b/>
                <w:bCs/>
                <w:color w:val="auto"/>
                <w:sz w:val="18"/>
                <w:szCs w:val="18"/>
                <w:highlight w:val="none"/>
                <w:lang w:eastAsia="zh-CN"/>
              </w:rPr>
              <w:t>中田大厦21楼</w:t>
            </w:r>
            <w:r>
              <w:rPr>
                <w:rFonts w:hint="eastAsia" w:ascii="仿宋" w:hAnsi="仿宋" w:eastAsia="仿宋" w:cs="仿宋"/>
                <w:b/>
                <w:bCs/>
                <w:color w:val="auto"/>
                <w:sz w:val="18"/>
                <w:szCs w:val="18"/>
                <w:highlight w:val="none"/>
              </w:rPr>
              <w:t>H室，浙江求是招标代理有限公司</w:t>
            </w:r>
            <w:r>
              <w:rPr>
                <w:rFonts w:hint="eastAsia" w:ascii="仿宋" w:hAnsi="仿宋" w:eastAsia="仿宋" w:cs="仿宋"/>
                <w:b/>
                <w:bCs/>
                <w:color w:val="auto"/>
                <w:sz w:val="18"/>
                <w:szCs w:val="18"/>
                <w:highlight w:val="none"/>
                <w:lang w:eastAsia="zh-CN"/>
              </w:rPr>
              <w:t>招标八部收</w:t>
            </w:r>
            <w:r>
              <w:rPr>
                <w:rFonts w:hint="eastAsia" w:ascii="仿宋" w:hAnsi="仿宋" w:eastAsia="仿宋" w:cs="仿宋"/>
                <w:b/>
                <w:bCs/>
                <w:color w:val="auto"/>
                <w:sz w:val="18"/>
                <w:szCs w:val="18"/>
                <w:highlight w:val="none"/>
              </w:rPr>
              <w:t>，电话：0571-87679349，寄出后将快递单号、项目名称、公司名称、联系方式等相关信息发至zb08@qszb.net以便查收）。</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rPr>
              <w:t>三</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五</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投标报价</w:t>
            </w:r>
          </w:p>
        </w:tc>
        <w:tc>
          <w:tcPr>
            <w:tcW w:w="371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仿宋" w:hAnsi="仿宋" w:eastAsia="仿宋" w:cs="仿宋"/>
                <w:sz w:val="18"/>
                <w:szCs w:val="18"/>
                <w:highlight w:val="none"/>
              </w:rPr>
            </w:pPr>
            <w:r>
              <w:rPr>
                <w:rFonts w:hint="eastAsia" w:ascii="仿宋" w:hAnsi="仿宋" w:eastAsia="仿宋" w:cs="仿宋"/>
                <w:sz w:val="18"/>
                <w:szCs w:val="18"/>
                <w:highlight w:val="none"/>
              </w:rPr>
              <w:t>5.1 报价应按招标文件要求的格式编制、填写报价内容（可自行增行），未按招标文件要求编制、填写的投标文件可能被拒绝；</w:t>
            </w:r>
          </w:p>
          <w:p>
            <w:pPr>
              <w:keepNext w:val="0"/>
              <w:keepLines w:val="0"/>
              <w:pageBreakBefore w:val="0"/>
              <w:widowControl w:val="0"/>
              <w:kinsoku/>
              <w:wordWrap/>
              <w:overflowPunct/>
              <w:topLinePunct w:val="0"/>
              <w:autoSpaceDE/>
              <w:autoSpaceDN/>
              <w:bidi w:val="0"/>
              <w:snapToGrid w:val="0"/>
              <w:jc w:val="left"/>
              <w:textAlignment w:val="auto"/>
              <w:rPr>
                <w:rFonts w:hint="eastAsia" w:ascii="仿宋" w:hAnsi="仿宋" w:eastAsia="仿宋" w:cs="仿宋"/>
                <w:sz w:val="18"/>
                <w:szCs w:val="18"/>
                <w:highlight w:val="none"/>
              </w:rPr>
            </w:pPr>
            <w:r>
              <w:rPr>
                <w:rFonts w:hint="eastAsia" w:ascii="仿宋" w:hAnsi="仿宋" w:eastAsia="仿宋" w:cs="仿宋"/>
                <w:bCs/>
                <w:color w:val="auto"/>
                <w:sz w:val="18"/>
                <w:szCs w:val="18"/>
                <w:highlight w:val="none"/>
              </w:rPr>
              <w:t>5.2 投标报价是履行合同的最终价格，应包括货物金额、仓储、包装、运输保险费、装卸费、安装及相关材料费、检验费、税金等为确保合法、正常使用货物及中标人履行合同项下约定的所有义务所需支出的</w:t>
            </w:r>
            <w:r>
              <w:rPr>
                <w:rFonts w:hint="eastAsia" w:ascii="仿宋" w:hAnsi="仿宋" w:eastAsia="仿宋" w:cs="仿宋"/>
                <w:bCs/>
                <w:color w:val="auto"/>
                <w:sz w:val="18"/>
                <w:szCs w:val="18"/>
                <w:highlight w:val="none"/>
                <w:lang w:eastAsia="zh-CN"/>
              </w:rPr>
              <w:t>全部费用；</w:t>
            </w:r>
          </w:p>
          <w:p>
            <w:pPr>
              <w:pStyle w:val="1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left"/>
              <w:textAlignment w:val="auto"/>
              <w:rPr>
                <w:rFonts w:hint="eastAsia" w:ascii="仿宋" w:hAnsi="仿宋" w:eastAsia="仿宋" w:cs="仿宋"/>
                <w:b/>
                <w:color w:val="auto"/>
                <w:sz w:val="18"/>
                <w:szCs w:val="18"/>
                <w:highlight w:val="none"/>
              </w:rPr>
            </w:pPr>
            <w:r>
              <w:rPr>
                <w:rFonts w:hint="eastAsia" w:ascii="仿宋" w:hAnsi="仿宋" w:eastAsia="仿宋" w:cs="仿宋"/>
                <w:sz w:val="18"/>
                <w:szCs w:val="18"/>
                <w:highlight w:val="none"/>
              </w:rPr>
              <w:t>▲5.</w:t>
            </w:r>
            <w:r>
              <w:rPr>
                <w:rFonts w:hint="eastAsia" w:ascii="仿宋" w:hAnsi="仿宋" w:eastAsia="仿宋" w:cs="仿宋"/>
                <w:sz w:val="18"/>
                <w:szCs w:val="18"/>
                <w:highlight w:val="none"/>
                <w:lang w:val="en-US" w:eastAsia="zh-CN"/>
              </w:rPr>
              <w:t xml:space="preserve">3 </w:t>
            </w:r>
            <w:r>
              <w:rPr>
                <w:rFonts w:hint="eastAsia" w:ascii="仿宋" w:hAnsi="仿宋" w:eastAsia="仿宋" w:cs="仿宋"/>
                <w:sz w:val="18"/>
                <w:szCs w:val="18"/>
                <w:highlight w:val="none"/>
              </w:rPr>
              <w:t>采购人将以合同形式</w:t>
            </w:r>
            <w:r>
              <w:rPr>
                <w:rFonts w:hint="eastAsia" w:ascii="仿宋" w:hAnsi="仿宋" w:eastAsia="仿宋" w:cs="仿宋"/>
                <w:sz w:val="18"/>
                <w:szCs w:val="18"/>
                <w:highlight w:val="none"/>
                <w:lang w:eastAsia="zh-CN"/>
              </w:rPr>
              <w:t>有偿取得货物、服务</w:t>
            </w:r>
            <w:r>
              <w:rPr>
                <w:rFonts w:hint="eastAsia" w:ascii="仿宋" w:hAnsi="仿宋" w:eastAsia="仿宋" w:cs="仿宋"/>
                <w:sz w:val="18"/>
                <w:szCs w:val="18"/>
                <w:highlight w:val="none"/>
              </w:rPr>
              <w:t>，不接受投标人给予的赠品、回扣或者与采购无关的其他商品、服务。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三</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六</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投标有效期</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color w:val="auto"/>
                <w:sz w:val="18"/>
                <w:szCs w:val="18"/>
                <w:highlight w:val="none"/>
              </w:rPr>
            </w:pPr>
            <w:r>
              <w:rPr>
                <w:rFonts w:hint="eastAsia" w:ascii="仿宋" w:hAnsi="仿宋" w:eastAsia="仿宋" w:cs="仿宋"/>
                <w:color w:val="auto"/>
                <w:spacing w:val="-6"/>
                <w:sz w:val="18"/>
                <w:szCs w:val="18"/>
                <w:highlight w:val="none"/>
              </w:rPr>
              <w:t>▲从提交投标文件的截止之日起90天，在原投标有效期满之前，如果出现特殊情况，采购人或采购代理机构以书面形式通知投标人延长投标有效期。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资格审查要求的资格证明材料</w:t>
            </w:r>
          </w:p>
        </w:tc>
        <w:tc>
          <w:tcPr>
            <w:tcW w:w="3710" w:type="pct"/>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资格审查要求的资格证明材料（均需加盖公章）</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1）有效的法人或者其他组织的营业执照等证明文件/自然人的身份证明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2）符合参加政府采购活动应当具备的一般条件的承诺函</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3）落实政府采购政策需满足的资格要求</w:t>
            </w:r>
          </w:p>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pacing w:val="-6"/>
                <w:sz w:val="18"/>
                <w:szCs w:val="18"/>
                <w:highlight w:val="none"/>
              </w:rPr>
            </w:pPr>
            <w:r>
              <w:rPr>
                <w:rFonts w:hint="eastAsia" w:ascii="仿宋" w:hAnsi="仿宋" w:eastAsia="仿宋" w:cs="仿宋"/>
                <w:b/>
                <w:bCs/>
                <w:color w:val="auto"/>
                <w:sz w:val="18"/>
                <w:szCs w:val="18"/>
                <w:highlight w:val="none"/>
                <w:lang w:val="en-US" w:eastAsia="zh-CN"/>
              </w:rPr>
              <w:t>4）</w:t>
            </w:r>
            <w:r>
              <w:rPr>
                <w:rFonts w:hint="eastAsia" w:ascii="仿宋" w:hAnsi="仿宋" w:eastAsia="仿宋" w:cs="仿宋"/>
                <w:b/>
                <w:bCs/>
                <w:color w:val="auto"/>
                <w:sz w:val="18"/>
                <w:szCs w:val="18"/>
                <w:highlight w:val="none"/>
              </w:rPr>
              <w:t>联合协议（若联合体投标）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五</w:t>
            </w:r>
            <w:r>
              <w:rPr>
                <w:rFonts w:hint="eastAsia" w:ascii="仿宋" w:hAnsi="仿宋" w:eastAsia="仿宋" w:cs="仿宋"/>
                <w:b/>
                <w:bCs/>
                <w:color w:val="auto"/>
                <w:sz w:val="18"/>
                <w:szCs w:val="18"/>
                <w:highlight w:val="none"/>
              </w:rPr>
              <w:t>、</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三</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信用信息查询</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根据财库[2016]125号《关于在政府采购活动中查询及使用信用记录有关问题的通知》要求，采购代理机构会对投标人信用记录进行查询并甄别。</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1.信用信息查询的截止时点：投标截止时间；</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2.查询渠道：“信用中国”（www.creditchina.gov.cn）、“中国政府采购网”（www.ccgp.gov.cn）；</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3.信用信息查询记录和证据留存具体方式：采购代理机构经办人和监督人员将查询网页打印、签名与其他采购文件一并保存；</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4.信用信息的使用规则：投标人被列入失信被执行人、重大税收违法案件当事人名单、政府采购严重违法失信行为记录名单的，拒绝其参与政府采购活动。</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lang w:eastAsia="zh-CN"/>
              </w:rPr>
              <w:t>评标方法和评标标准</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 xml:space="preserve">详见“第四章  </w:t>
            </w:r>
            <w:r>
              <w:rPr>
                <w:rFonts w:hint="eastAsia" w:ascii="仿宋" w:hAnsi="仿宋" w:eastAsia="仿宋" w:cs="仿宋"/>
                <w:color w:val="auto"/>
                <w:spacing w:val="-6"/>
                <w:sz w:val="18"/>
                <w:szCs w:val="18"/>
                <w:highlight w:val="none"/>
                <w:lang w:eastAsia="zh-CN"/>
              </w:rPr>
              <w:t>评标方法和评标标准</w:t>
            </w:r>
            <w:r>
              <w:rPr>
                <w:rFonts w:hint="eastAsia" w:ascii="仿宋" w:hAnsi="仿宋" w:eastAsia="仿宋" w:cs="仿宋"/>
                <w:color w:val="auto"/>
                <w:spacing w:val="-6"/>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rPr>
              <w:t>七、</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一</w:t>
            </w:r>
            <w:r>
              <w:rPr>
                <w:rFonts w:hint="eastAsia" w:ascii="仿宋" w:hAnsi="仿宋" w:eastAsia="仿宋" w:cs="仿宋"/>
                <w:b/>
                <w:bCs/>
                <w:color w:val="auto"/>
                <w:sz w:val="18"/>
                <w:szCs w:val="18"/>
                <w:highlight w:val="none"/>
                <w:lang w:eastAsia="zh-CN"/>
              </w:rPr>
              <w:t>）</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中标</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pacing w:val="-6"/>
                <w:sz w:val="18"/>
                <w:szCs w:val="18"/>
                <w:highlight w:val="none"/>
              </w:rPr>
            </w:pPr>
            <w:r>
              <w:rPr>
                <w:rFonts w:hint="eastAsia" w:ascii="仿宋" w:hAnsi="仿宋" w:eastAsia="仿宋" w:cs="仿宋"/>
                <w:color w:val="auto"/>
                <w:sz w:val="18"/>
                <w:szCs w:val="18"/>
                <w:highlight w:val="none"/>
              </w:rPr>
              <w:t>评标结果公示媒体：浙江政府采购网（http://zfcg.czt.zj.gov.cn）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七、</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二）</w:t>
            </w:r>
          </w:p>
        </w:tc>
        <w:tc>
          <w:tcPr>
            <w:tcW w:w="824" w:type="pc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合同</w:t>
            </w:r>
          </w:p>
        </w:tc>
        <w:tc>
          <w:tcPr>
            <w:tcW w:w="3710" w:type="pct"/>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pacing w:val="-6"/>
                <w:sz w:val="18"/>
                <w:szCs w:val="18"/>
                <w:highlight w:val="none"/>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tc>
      </w:tr>
    </w:tbl>
    <w:p>
      <w:pPr>
        <w:adjustRightInd w:val="0"/>
        <w:snapToGrid w:val="0"/>
        <w:spacing w:line="288" w:lineRule="auto"/>
        <w:ind w:left="0" w:leftChars="0" w:right="0" w:rightChars="0" w:firstLine="0" w:firstLineChars="0"/>
        <w:jc w:val="center"/>
        <w:rPr>
          <w:rFonts w:ascii="仿宋" w:hAnsi="仿宋" w:eastAsia="仿宋" w:cs="仿宋"/>
          <w:color w:val="auto"/>
          <w:szCs w:val="21"/>
          <w:highlight w:val="none"/>
        </w:rPr>
      </w:pPr>
      <w:r>
        <w:rPr>
          <w:rFonts w:hint="eastAsia" w:ascii="仿宋" w:hAnsi="仿宋" w:eastAsia="仿宋" w:cs="仿宋"/>
          <w:color w:val="auto"/>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一、总  则</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34" w:name="_Hlk94018326"/>
      <w:r>
        <w:rPr>
          <w:rFonts w:hint="eastAsia" w:ascii="仿宋" w:hAnsi="仿宋" w:eastAsia="仿宋" w:cs="仿宋"/>
          <w:color w:val="auto"/>
          <w:spacing w:val="-6"/>
          <w:szCs w:val="21"/>
          <w:highlight w:val="none"/>
        </w:rPr>
        <w:t>投标人应仔细阅读招标文件的所有内容，按照招标文件的要求提交投标文件，并对所提供的全部资料的真实性承担法律责任。</w:t>
      </w:r>
    </w:p>
    <w:bookmarkEnd w:id="34"/>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适用范围</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本招标文件适用于</w:t>
      </w:r>
      <w:r>
        <w:rPr>
          <w:rFonts w:hint="eastAsia" w:ascii="仿宋" w:hAnsi="仿宋" w:eastAsia="仿宋" w:cs="仿宋"/>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的招标、评标、定标、验收、合同履约、付款等（法律、法规另有规定的，从其规定）。</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定义</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.“采购人”系指浙江工业大学；</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2.“采购代理机构”系指组织本次招标的浙江求是招标代理有限公司；</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.“投标人”系指响应招标、参加投标竞争的法人、其他组织或者自然人；</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.“书面形式”包括合同书、信件和数据电文（包括电报、电传、传真、电子数据交换和电子邮件）等可以有形地表现所载内容的形式；</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5</w:t>
      </w:r>
      <w:r>
        <w:rPr>
          <w:rFonts w:hint="eastAsia" w:ascii="仿宋" w:hAnsi="仿宋" w:eastAsia="仿宋" w:cs="仿宋"/>
          <w:b/>
          <w:bCs/>
          <w:color w:val="auto"/>
          <w:spacing w:val="-6"/>
          <w:szCs w:val="21"/>
          <w:highlight w:val="none"/>
        </w:rPr>
        <w:t>.“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bookmarkStart w:id="35" w:name="_Hlk96327615"/>
      <w:r>
        <w:rPr>
          <w:rFonts w:hint="eastAsia" w:ascii="仿宋" w:hAnsi="仿宋" w:eastAsia="仿宋" w:cs="仿宋"/>
          <w:b/>
          <w:bCs/>
          <w:color w:val="auto"/>
          <w:spacing w:val="-6"/>
          <w:szCs w:val="21"/>
          <w:highlight w:val="none"/>
        </w:rPr>
        <w:t>，</w:t>
      </w:r>
      <w:r>
        <w:rPr>
          <w:rFonts w:hint="eastAsia" w:ascii="仿宋" w:hAnsi="仿宋" w:eastAsia="仿宋" w:cs="仿宋"/>
          <w:b/>
          <w:bCs/>
          <w:color w:val="auto"/>
          <w:szCs w:val="21"/>
          <w:highlight w:val="none"/>
        </w:rPr>
        <w:t>“电子签名”系指数据电文中以电子形式所含、所附用于识别签名人身份并表明签名人认可其中内容的数据，“公章”系指单位法定名称章</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因特殊原因需要使用冠以法定名称的业务专用章的，投标</w:t>
      </w:r>
      <w:r>
        <w:rPr>
          <w:rFonts w:hint="eastAsia" w:ascii="仿宋" w:hAnsi="仿宋" w:eastAsia="仿宋" w:cs="仿宋"/>
          <w:b/>
          <w:bCs/>
          <w:color w:val="auto"/>
          <w:szCs w:val="21"/>
          <w:highlight w:val="none"/>
          <w:lang w:val="en-US" w:eastAsia="zh-CN"/>
        </w:rPr>
        <w:t>时须</w:t>
      </w:r>
      <w:r>
        <w:rPr>
          <w:rFonts w:hint="eastAsia" w:ascii="仿宋" w:hAnsi="仿宋" w:eastAsia="仿宋" w:cs="仿宋"/>
          <w:b/>
          <w:bCs/>
          <w:color w:val="auto"/>
          <w:szCs w:val="21"/>
          <w:highlight w:val="none"/>
        </w:rPr>
        <w:t>提供《业务专用章使用说明函》（附件1）</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w:t>
      </w:r>
      <w:r>
        <w:rPr>
          <w:rFonts w:hint="eastAsia" w:ascii="仿宋" w:hAnsi="仿宋" w:eastAsia="仿宋" w:cs="仿宋"/>
          <w:b/>
          <w:bCs/>
          <w:color w:val="auto"/>
          <w:spacing w:val="-6"/>
          <w:szCs w:val="21"/>
          <w:highlight w:val="none"/>
        </w:rPr>
        <w:t>招标文件对投标文件签署、盖章的要求适用于电子签名；</w:t>
      </w:r>
    </w:p>
    <w:bookmarkEnd w:id="35"/>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6.</w:t>
      </w:r>
      <w:r>
        <w:rPr>
          <w:rFonts w:hint="eastAsia" w:ascii="仿宋" w:hAnsi="仿宋" w:eastAsia="仿宋" w:cs="仿宋"/>
          <w:color w:val="auto"/>
          <w:spacing w:val="-6"/>
          <w:szCs w:val="21"/>
          <w:highlight w:val="none"/>
        </w:rPr>
        <w:t>“▲”系指实质性要求条款，投标人应当做出实质性响应。</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三</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招标方式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本次招标采用公开招标（线上电子招投标）方式进行。</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四</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投标费用</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.不论投标结果如何，投标人均应自行承担所有与投标有关的全部费用；</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.中标人在中标通知书发出之日起七个工作日内向采购代理机构交纳代理服务费；</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ind w:firstLine="424" w:firstLineChars="202"/>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4.</w:t>
      </w:r>
      <w:r>
        <w:rPr>
          <w:rFonts w:hint="eastAsia" w:ascii="仿宋" w:hAnsi="仿宋" w:eastAsia="仿宋" w:cs="仿宋"/>
          <w:color w:val="auto"/>
          <w:spacing w:val="-6"/>
          <w:szCs w:val="21"/>
          <w:highlight w:val="none"/>
          <w:lang w:eastAsia="zh-CN"/>
        </w:rPr>
        <w:t>收费标准：</w:t>
      </w:r>
    </w:p>
    <w:tbl>
      <w:tblPr>
        <w:tblStyle w:val="26"/>
        <w:tblW w:w="53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062"/>
        <w:gridCol w:w="33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062" w:type="dxa"/>
            <w:tcMar>
              <w:top w:w="0" w:type="dxa"/>
              <w:left w:w="108" w:type="dxa"/>
              <w:bottom w:w="0" w:type="dxa"/>
              <w:right w:w="108"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中标金额（万元）</w:t>
            </w:r>
          </w:p>
        </w:tc>
        <w:tc>
          <w:tcPr>
            <w:tcW w:w="3322" w:type="dxa"/>
            <w:tcMar>
              <w:top w:w="0" w:type="dxa"/>
              <w:left w:w="108" w:type="dxa"/>
              <w:bottom w:w="0" w:type="dxa"/>
              <w:right w:w="108"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062" w:type="dxa"/>
            <w:tcMar>
              <w:top w:w="0" w:type="dxa"/>
              <w:left w:w="108" w:type="dxa"/>
              <w:bottom w:w="0" w:type="dxa"/>
              <w:right w:w="108" w:type="dxa"/>
            </w:tcMar>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100以下</w:t>
            </w:r>
          </w:p>
        </w:tc>
        <w:tc>
          <w:tcPr>
            <w:tcW w:w="3322" w:type="dxa"/>
            <w:tcMar>
              <w:top w:w="0" w:type="dxa"/>
              <w:left w:w="108" w:type="dxa"/>
              <w:bottom w:w="0" w:type="dxa"/>
              <w:right w:w="108" w:type="dxa"/>
            </w:tcMar>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1.05（不足</w:t>
            </w:r>
            <w:r>
              <w:rPr>
                <w:rFonts w:hint="eastAsia" w:ascii="仿宋" w:hAnsi="仿宋" w:eastAsia="仿宋" w:cs="仿宋"/>
                <w:color w:val="auto"/>
                <w:szCs w:val="21"/>
                <w:highlight w:val="none"/>
                <w:lang w:eastAsia="zh-CN"/>
              </w:rPr>
              <w:t>叁仟元</w:t>
            </w:r>
            <w:r>
              <w:rPr>
                <w:rFonts w:hint="eastAsia" w:ascii="仿宋" w:hAnsi="仿宋" w:eastAsia="仿宋" w:cs="仿宋"/>
                <w:color w:val="auto"/>
                <w:szCs w:val="21"/>
                <w:highlight w:val="none"/>
              </w:rPr>
              <w:t>按</w:t>
            </w:r>
            <w:r>
              <w:rPr>
                <w:rFonts w:hint="eastAsia" w:ascii="仿宋" w:hAnsi="仿宋" w:eastAsia="仿宋" w:cs="仿宋"/>
                <w:color w:val="auto"/>
                <w:szCs w:val="21"/>
                <w:highlight w:val="none"/>
                <w:lang w:eastAsia="zh-CN"/>
              </w:rPr>
              <w:t>叁仟元</w:t>
            </w:r>
            <w:r>
              <w:rPr>
                <w:rFonts w:hint="eastAsia" w:ascii="仿宋" w:hAnsi="仿宋" w:eastAsia="仿宋" w:cs="仿宋"/>
                <w:color w:val="auto"/>
                <w:szCs w:val="21"/>
                <w:highlight w:val="none"/>
              </w:rPr>
              <w:t>收取）</w:t>
            </w:r>
          </w:p>
        </w:tc>
      </w:tr>
    </w:tbl>
    <w:p>
      <w:pPr>
        <w:adjustRightInd w:val="0"/>
        <w:snapToGrid w:val="0"/>
        <w:spacing w:line="288" w:lineRule="auto"/>
        <w:ind w:firstLine="399" w:firstLineChars="202"/>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.投标保证金：无</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五</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投标委托</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.投标人代表是法定代表人（单位负责人、自然人本人）的提供本人身份证明；</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.投标人代表不是法定代表人（单位负责人、自然人本人）的提供授权委托书（格式详见招标文件第六章）和授权代表社保缴纳</w:t>
      </w:r>
      <w:r>
        <w:rPr>
          <w:rFonts w:hint="eastAsia" w:ascii="仿宋" w:hAnsi="仿宋" w:eastAsia="仿宋" w:cs="仿宋"/>
          <w:color w:val="auto"/>
          <w:spacing w:val="-6"/>
          <w:szCs w:val="21"/>
          <w:highlight w:val="none"/>
          <w:lang w:eastAsia="zh-CN"/>
        </w:rPr>
        <w:t>[2024年1月（含）至今任意一月]</w:t>
      </w:r>
      <w:r>
        <w:rPr>
          <w:rFonts w:hint="eastAsia" w:ascii="仿宋" w:hAnsi="仿宋" w:eastAsia="仿宋" w:cs="仿宋"/>
          <w:color w:val="auto"/>
          <w:spacing w:val="-6"/>
          <w:szCs w:val="21"/>
          <w:highlight w:val="none"/>
        </w:rPr>
        <w:t>证明；</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.投标人委派不在本单位缴纳社保的人员作为授权代表的，在投标文件中说明具体原因、授权代表缴纳社保单位并附列该授权代表缴纳社保清单。</w:t>
      </w:r>
    </w:p>
    <w:p>
      <w:pPr>
        <w:adjustRightInd w:val="0"/>
        <w:snapToGrid w:val="0"/>
        <w:spacing w:line="288" w:lineRule="auto"/>
        <w:outlineLvl w:val="2"/>
        <w:rPr>
          <w:rFonts w:ascii="仿宋" w:hAnsi="仿宋" w:eastAsia="仿宋" w:cs="仿宋"/>
          <w:b/>
          <w:bCs/>
          <w:color w:val="auto"/>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六</w:t>
      </w:r>
      <w:r>
        <w:rPr>
          <w:rFonts w:hint="eastAsia" w:ascii="仿宋" w:hAnsi="仿宋" w:eastAsia="仿宋" w:cs="仿宋"/>
          <w:b/>
          <w:color w:val="auto"/>
          <w:spacing w:val="-6"/>
          <w:szCs w:val="21"/>
          <w:highlight w:val="none"/>
          <w:lang w:eastAsia="zh-CN"/>
        </w:rPr>
        <w:t>）</w:t>
      </w:r>
      <w:r>
        <w:rPr>
          <w:rFonts w:hint="eastAsia" w:ascii="仿宋" w:hAnsi="仿宋" w:eastAsia="仿宋" w:cs="仿宋"/>
          <w:b/>
          <w:bCs/>
          <w:color w:val="auto"/>
          <w:szCs w:val="21"/>
          <w:highlight w:val="none"/>
        </w:rPr>
        <w:t>联合体投标</w:t>
      </w:r>
    </w:p>
    <w:p>
      <w:pPr>
        <w:adjustRightInd w:val="0"/>
        <w:snapToGrid w:val="0"/>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本项目接受联合体投标。</w:t>
      </w:r>
    </w:p>
    <w:p>
      <w:pPr>
        <w:adjustRightInd w:val="0"/>
        <w:snapToGrid w:val="0"/>
        <w:spacing w:line="288" w:lineRule="auto"/>
        <w:ind w:firstLine="420" w:firstLineChars="20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两个以上的自然人、法人或者其他组织可以组成一个联合体，以一个供应商的身份共同参加政府采购。</w:t>
      </w:r>
    </w:p>
    <w:p>
      <w:pPr>
        <w:adjustRightInd w:val="0"/>
        <w:snapToGrid w:val="0"/>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七</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转包与分包</w:t>
      </w:r>
    </w:p>
    <w:p>
      <w:pPr>
        <w:adjustRightInd w:val="0"/>
        <w:snapToGrid w:val="0"/>
        <w:spacing w:line="288" w:lineRule="auto"/>
        <w:ind w:firstLine="396" w:firstLineChars="20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lang w:val="en-US" w:eastAsia="zh-CN"/>
        </w:rPr>
        <w:t>1.</w:t>
      </w:r>
      <w:r>
        <w:rPr>
          <w:rFonts w:hint="eastAsia" w:ascii="仿宋" w:hAnsi="仿宋" w:eastAsia="仿宋" w:cs="仿宋"/>
          <w:spacing w:val="-6"/>
          <w:szCs w:val="21"/>
          <w:highlight w:val="none"/>
        </w:rPr>
        <w:t>本项目不允许转包；</w:t>
      </w:r>
    </w:p>
    <w:p>
      <w:pPr>
        <w:adjustRightInd w:val="0"/>
        <w:snapToGrid w:val="0"/>
        <w:spacing w:line="288" w:lineRule="auto"/>
        <w:ind w:firstLine="396" w:firstLineChars="20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lang w:val="en-US" w:eastAsia="zh-CN"/>
        </w:rPr>
        <w:t>2.本项目允许分包，可以分包履行的（非主体、非关键性的工作）具体内容、金额或者比例：</w:t>
      </w:r>
      <w:r>
        <w:rPr>
          <w:rFonts w:hint="eastAsia" w:ascii="仿宋" w:hAnsi="仿宋" w:eastAsia="仿宋" w:cs="仿宋"/>
          <w:spacing w:val="-6"/>
          <w:szCs w:val="21"/>
          <w:highlight w:val="none"/>
        </w:rPr>
        <w:t>运输。</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rPr>
        <w:t>说明：投标人</w:t>
      </w:r>
      <w:r>
        <w:rPr>
          <w:rFonts w:hint="eastAsia" w:ascii="仿宋" w:hAnsi="仿宋" w:eastAsia="仿宋" w:cs="仿宋"/>
          <w:b/>
          <w:bCs/>
          <w:spacing w:val="-6"/>
          <w:szCs w:val="21"/>
          <w:highlight w:val="none"/>
          <w:lang w:eastAsia="zh-CN"/>
        </w:rPr>
        <w:t>根据招标文件的规定</w:t>
      </w:r>
      <w:r>
        <w:rPr>
          <w:rFonts w:hint="eastAsia" w:ascii="仿宋" w:hAnsi="仿宋" w:eastAsia="仿宋" w:cs="仿宋"/>
          <w:b/>
          <w:bCs/>
          <w:spacing w:val="-6"/>
          <w:szCs w:val="21"/>
          <w:highlight w:val="none"/>
        </w:rPr>
        <w:t>，拟在中标后将中标项目的非主体、非关键性工作分包的，应当在投标文件中载明分包承担主体，分包承担主体应当具备相应资质条件且不得再次分包。</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八</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质疑和投诉</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36" w:name="_Hlk92273406"/>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认为招标文件、招标过程、中标结果使自己的权益受到损害的，可以在知道或者应知其权益受到损害之日起7个工作日内，以书面形式向采购人、采购代理机构提出质疑。质疑供应商对采购人、采购代理机构的答复不满意，或者采购人、采购代理机构未在规定时间内作出答复的，可以在答复期满后15个工作日内向本级财政部门提起投诉。</w:t>
      </w:r>
    </w:p>
    <w:bookmarkEnd w:id="36"/>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2.</w:t>
      </w:r>
      <w:r>
        <w:rPr>
          <w:rFonts w:hint="eastAsia" w:ascii="仿宋" w:hAnsi="仿宋" w:eastAsia="仿宋" w:cs="仿宋"/>
          <w:b/>
          <w:bCs/>
          <w:color w:val="auto"/>
          <w:spacing w:val="-6"/>
          <w:szCs w:val="21"/>
          <w:highlight w:val="none"/>
        </w:rPr>
        <w:t>投标人提出质疑应当提交质疑函和必要的证明材料，质疑函应当包括下列内容：</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（1）供应商的姓名或者名称、地址、邮编、联系人及联系电话</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（2）质疑项目的名称、编号</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（3）具体、明确的质疑事项和与质疑事项相关的请求</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（4）事实依据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（5）必要的法律依据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（6）提出质疑的日期</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投标人为自然人的，应当由本人签名；投标人为法人或者其他组织的，应当由法定代表人、主要负责人，或者其授权代表签名或者盖章，并加盖公章。</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提出质疑的供应商应当是参与本项目招标活动的投标人。</w:t>
      </w:r>
      <w:r>
        <w:rPr>
          <w:rFonts w:hint="eastAsia" w:ascii="仿宋" w:hAnsi="仿宋" w:eastAsia="仿宋" w:cs="仿宋"/>
          <w:b/>
          <w:color w:val="auto"/>
          <w:spacing w:val="-6"/>
          <w:szCs w:val="21"/>
          <w:highlight w:val="none"/>
        </w:rPr>
        <w:t>投标人在法定质疑期内应一次性提出针对同一采购程序环节的质疑。</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根据《政府采购质疑和投诉办法》第三十七条的规定，投诉人在全国范围12个月内三次以上投诉查无实据的，由财政部门列入不良行为记录名单。</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投诉人有下列行为之一的，属于虚假、恶意投诉，由财政部门列入不良行为记录名单，禁止其1至3年内参加政府采购活动：</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（1）捏造事实；</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（2）提供虚假材料；</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（3）以非法手段取得证明材料。证据来源的合法性存在明显疑问，投诉人无法证明其取得方式合法的，视为以非法手段取得证明材料。</w:t>
      </w:r>
    </w:p>
    <w:p>
      <w:pPr>
        <w:adjustRightInd w:val="0"/>
        <w:snapToGrid w:val="0"/>
        <w:spacing w:line="288" w:lineRule="auto"/>
        <w:outlineLvl w:val="2"/>
        <w:rPr>
          <w:rFonts w:ascii="仿宋" w:hAnsi="仿宋" w:eastAsia="仿宋" w:cs="仿宋"/>
          <w:color w:val="auto"/>
          <w:szCs w:val="21"/>
          <w:highlight w:val="none"/>
        </w:rPr>
      </w:pPr>
      <w:bookmarkStart w:id="37" w:name="_Hlk92273111"/>
      <w:bookmarkStart w:id="38" w:name="_Hlk94018492"/>
      <w:r>
        <w:rPr>
          <w:rFonts w:hint="eastAsia" w:ascii="仿宋" w:hAnsi="仿宋" w:eastAsia="仿宋" w:cs="仿宋"/>
          <w:b/>
          <w:color w:val="auto"/>
          <w:spacing w:val="-6"/>
          <w:kern w:val="0"/>
          <w:szCs w:val="21"/>
          <w:highlight w:val="none"/>
          <w:lang w:eastAsia="zh-CN"/>
        </w:rPr>
        <w:t>（</w:t>
      </w:r>
      <w:r>
        <w:rPr>
          <w:rFonts w:hint="eastAsia" w:ascii="仿宋" w:hAnsi="仿宋" w:eastAsia="仿宋" w:cs="仿宋"/>
          <w:b/>
          <w:color w:val="auto"/>
          <w:spacing w:val="-6"/>
          <w:kern w:val="0"/>
          <w:szCs w:val="21"/>
          <w:highlight w:val="none"/>
          <w:lang w:val="en-US" w:eastAsia="zh-CN"/>
        </w:rPr>
        <w:t>九</w:t>
      </w:r>
      <w:r>
        <w:rPr>
          <w:rFonts w:hint="eastAsia" w:ascii="仿宋" w:hAnsi="仿宋" w:eastAsia="仿宋" w:cs="仿宋"/>
          <w:b/>
          <w:color w:val="auto"/>
          <w:spacing w:val="-6"/>
          <w:kern w:val="0"/>
          <w:szCs w:val="21"/>
          <w:highlight w:val="none"/>
          <w:lang w:eastAsia="zh-CN"/>
        </w:rPr>
        <w:t>）</w:t>
      </w:r>
      <w:r>
        <w:rPr>
          <w:rFonts w:hint="eastAsia" w:ascii="仿宋" w:hAnsi="仿宋" w:eastAsia="仿宋" w:cs="仿宋"/>
          <w:b/>
          <w:color w:val="auto"/>
          <w:spacing w:val="-6"/>
          <w:kern w:val="0"/>
          <w:szCs w:val="21"/>
          <w:highlight w:val="none"/>
        </w:rPr>
        <w:t>采购项目需要落实的政府采购政策</w:t>
      </w:r>
    </w:p>
    <w:bookmarkEnd w:id="37"/>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1.</w:t>
      </w:r>
      <w:r>
        <w:rPr>
          <w:rFonts w:hint="eastAsia" w:ascii="仿宋" w:hAnsi="仿宋" w:eastAsia="仿宋" w:cs="仿宋"/>
          <w:b/>
          <w:bCs/>
          <w:color w:val="auto"/>
          <w:spacing w:val="-6"/>
          <w:szCs w:val="21"/>
          <w:highlight w:val="none"/>
        </w:rPr>
        <w:t>本项目</w:t>
      </w:r>
      <w:r>
        <w:rPr>
          <w:rFonts w:hint="eastAsia" w:ascii="仿宋" w:hAnsi="仿宋" w:eastAsia="仿宋" w:cs="仿宋"/>
          <w:b/>
          <w:bCs/>
          <w:color w:val="auto"/>
          <w:spacing w:val="-6"/>
          <w:szCs w:val="21"/>
          <w:highlight w:val="none"/>
          <w:lang w:val="en-US" w:eastAsia="zh-CN"/>
        </w:rPr>
        <w:t>原则上</w:t>
      </w:r>
      <w:r>
        <w:rPr>
          <w:rFonts w:hint="eastAsia" w:ascii="仿宋" w:hAnsi="仿宋" w:eastAsia="仿宋" w:cs="仿宋"/>
          <w:b/>
          <w:bCs/>
          <w:color w:val="auto"/>
          <w:spacing w:val="-6"/>
          <w:szCs w:val="21"/>
          <w:highlight w:val="none"/>
        </w:rPr>
        <w:t>采购本国生产的货物</w:t>
      </w:r>
      <w:r>
        <w:rPr>
          <w:rFonts w:hint="eastAsia" w:ascii="仿宋" w:hAnsi="仿宋" w:eastAsia="仿宋" w:cs="仿宋"/>
          <w:b/>
          <w:bCs/>
          <w:color w:val="auto"/>
          <w:spacing w:val="-6"/>
          <w:szCs w:val="21"/>
          <w:highlight w:val="none"/>
          <w:lang w:eastAsia="zh-CN"/>
        </w:rPr>
        <w:t>，不允许采购进口产品</w:t>
      </w:r>
      <w:r>
        <w:rPr>
          <w:rFonts w:hint="eastAsia" w:ascii="仿宋" w:hAnsi="仿宋" w:eastAsia="仿宋" w:cs="仿宋"/>
          <w:b/>
          <w:bCs/>
          <w:color w:val="auto"/>
          <w:spacing w:val="-6"/>
          <w:szCs w:val="21"/>
          <w:highlight w:val="none"/>
        </w:rPr>
        <w:t>；</w:t>
      </w:r>
    </w:p>
    <w:p>
      <w:pPr>
        <w:adjustRightInd w:val="0"/>
        <w:snapToGrid w:val="0"/>
        <w:spacing w:line="288" w:lineRule="auto"/>
        <w:ind w:firstLine="398" w:firstLineChars="200"/>
        <w:jc w:val="left"/>
        <w:rPr>
          <w:rFonts w:hint="eastAsia"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2.支持绿色发展</w:t>
      </w:r>
    </w:p>
    <w:p>
      <w:pPr>
        <w:adjustRightInd w:val="0"/>
        <w:snapToGrid w:val="0"/>
        <w:spacing w:line="288" w:lineRule="auto"/>
        <w:ind w:firstLine="396" w:firstLineChars="200"/>
        <w:jc w:val="left"/>
        <w:rPr>
          <w:rFonts w:hint="eastAsia" w:ascii="仿宋" w:hAnsi="仿宋" w:eastAsia="仿宋" w:cs="仿宋"/>
          <w:b w:val="0"/>
          <w:bCs w:val="0"/>
          <w:color w:val="auto"/>
          <w:spacing w:val="-6"/>
          <w:szCs w:val="21"/>
          <w:highlight w:val="none"/>
          <w:lang w:val="en-US" w:eastAsia="zh-CN"/>
        </w:rPr>
      </w:pPr>
      <w:r>
        <w:rPr>
          <w:rFonts w:hint="eastAsia" w:ascii="仿宋" w:hAnsi="仿宋" w:eastAsia="仿宋" w:cs="仿宋"/>
          <w:b w:val="0"/>
          <w:bCs w:val="0"/>
          <w:color w:val="auto"/>
          <w:spacing w:val="-6"/>
          <w:szCs w:val="21"/>
          <w:highlight w:val="none"/>
          <w:lang w:val="en-US" w:eastAsia="zh-CN"/>
        </w:rPr>
        <w:t>采购人拟采购的产品属于品目清单范围的，采购人及其委托的采购代理机构将依据国家确定的认证机构出具的、有效的节能产品、环境标志产品认证证书，对获得证书的产品实施政府优先采购。</w:t>
      </w:r>
    </w:p>
    <w:p>
      <w:pPr>
        <w:adjustRightInd w:val="0"/>
        <w:snapToGrid w:val="0"/>
        <w:spacing w:line="288" w:lineRule="auto"/>
        <w:ind w:firstLine="398" w:firstLineChars="200"/>
        <w:jc w:val="left"/>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3.</w:t>
      </w:r>
      <w:r>
        <w:rPr>
          <w:rFonts w:hint="eastAsia" w:ascii="仿宋" w:hAnsi="仿宋" w:eastAsia="仿宋" w:cs="仿宋"/>
          <w:b/>
          <w:bCs/>
          <w:color w:val="auto"/>
          <w:spacing w:val="-6"/>
          <w:szCs w:val="21"/>
          <w:highlight w:val="none"/>
        </w:rPr>
        <w:t>支持科技创新</w:t>
      </w:r>
    </w:p>
    <w:p>
      <w:pPr>
        <w:adjustRightInd w:val="0"/>
        <w:snapToGrid w:val="0"/>
        <w:spacing w:line="288" w:lineRule="auto"/>
        <w:ind w:firstLine="396" w:firstLineChars="200"/>
        <w:jc w:val="left"/>
        <w:rPr>
          <w:rFonts w:hint="eastAsia" w:ascii="仿宋" w:hAnsi="仿宋" w:eastAsia="仿宋" w:cs="仿宋"/>
          <w:b/>
          <w:bCs/>
          <w:spacing w:val="-6"/>
          <w:szCs w:val="21"/>
          <w:highlight w:val="none"/>
        </w:rPr>
      </w:pPr>
      <w:r>
        <w:rPr>
          <w:rFonts w:hint="eastAsia" w:ascii="仿宋" w:hAnsi="仿宋" w:eastAsia="仿宋" w:cs="仿宋"/>
          <w:color w:val="auto"/>
          <w:spacing w:val="-6"/>
          <w:szCs w:val="21"/>
          <w:highlight w:val="none"/>
        </w:rPr>
        <w:t>优先推荐专精特新中小企业、创新产品参加政府采购活动。对省级以上主管部门认定的首台套产品，自纳入《省推广应用指导目录》起三年内参加政府采购活动，视同已具备相应销售业绩，业绩分为满分。</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4.</w:t>
      </w:r>
      <w:r>
        <w:rPr>
          <w:rFonts w:hint="eastAsia" w:ascii="仿宋" w:hAnsi="仿宋" w:eastAsia="仿宋" w:cs="仿宋"/>
          <w:b/>
          <w:bCs/>
          <w:spacing w:val="-6"/>
          <w:szCs w:val="21"/>
          <w:highlight w:val="none"/>
        </w:rPr>
        <w:t>支持中小企业发展</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符合中小企业划分标准的个体工商户，在政府采购活动中视同中小企业。</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在政府采购活动中，投标人提供的货物符合下列情形的，享受中小企业扶持政策：货物由中小企业制造，即货物由中小企业生产且使用该中小企业商号或者注册商标。</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投标人提供的货物既有中小企业制造货物，也有大型企业制造货物的，不享受中小企业扶持政策。</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以联合体形式参加政府采购活动，联合体各方均为中小企业的，联合体视同中小企业。其中，联合体各方均为小微企业的，联合体视同小微企业。</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依法承担法律责任。</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中小企业享受扶持政策获得政府采购合同的，小微企业不得将合同分包给大中型企业，中型企业不得将合同分包给大型企业。</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5.</w:t>
      </w:r>
      <w:r>
        <w:rPr>
          <w:rFonts w:hint="eastAsia" w:ascii="仿宋" w:hAnsi="仿宋" w:eastAsia="仿宋" w:cs="仿宋"/>
          <w:b/>
          <w:bCs/>
          <w:spacing w:val="-6"/>
          <w:szCs w:val="21"/>
          <w:highlight w:val="none"/>
        </w:rPr>
        <w:t>政府采购支持监狱企业发展</w:t>
      </w:r>
    </w:p>
    <w:p>
      <w:pPr>
        <w:adjustRightInd w:val="0"/>
        <w:snapToGrid w:val="0"/>
        <w:spacing w:line="288" w:lineRule="auto"/>
        <w:ind w:firstLine="396" w:firstLineChars="200"/>
        <w:jc w:val="left"/>
        <w:rPr>
          <w:rFonts w:ascii="仿宋" w:hAnsi="仿宋" w:eastAsia="仿宋" w:cs="仿宋"/>
          <w:spacing w:val="-6"/>
          <w:szCs w:val="21"/>
          <w:highlight w:val="none"/>
        </w:rPr>
      </w:pPr>
      <w:r>
        <w:rPr>
          <w:rFonts w:hint="eastAsia" w:ascii="仿宋" w:hAnsi="仿宋" w:eastAsia="仿宋" w:cs="仿宋"/>
          <w:spacing w:val="-6"/>
          <w:szCs w:val="21"/>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adjustRightInd w:val="0"/>
        <w:snapToGrid w:val="0"/>
        <w:spacing w:line="288" w:lineRule="auto"/>
        <w:ind w:firstLine="398" w:firstLineChars="200"/>
        <w:jc w:val="left"/>
        <w:rPr>
          <w:rFonts w:ascii="仿宋" w:hAnsi="仿宋" w:eastAsia="仿宋" w:cs="仿宋"/>
          <w:b/>
          <w:bCs/>
          <w:spacing w:val="-6"/>
          <w:szCs w:val="21"/>
          <w:highlight w:val="none"/>
        </w:rPr>
      </w:pPr>
      <w:r>
        <w:rPr>
          <w:rFonts w:hint="eastAsia" w:ascii="仿宋" w:hAnsi="仿宋" w:eastAsia="仿宋" w:cs="仿宋"/>
          <w:b/>
          <w:bCs/>
          <w:spacing w:val="-6"/>
          <w:szCs w:val="21"/>
          <w:highlight w:val="none"/>
          <w:lang w:val="en-US" w:eastAsia="zh-CN"/>
        </w:rPr>
        <w:t>6.</w:t>
      </w:r>
      <w:r>
        <w:rPr>
          <w:rFonts w:hint="eastAsia" w:ascii="仿宋" w:hAnsi="仿宋" w:eastAsia="仿宋" w:cs="仿宋"/>
          <w:b/>
          <w:bCs/>
          <w:spacing w:val="-6"/>
          <w:szCs w:val="21"/>
          <w:highlight w:val="none"/>
        </w:rPr>
        <w:t>政府采购促进残疾人就业</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spacing w:val="-6"/>
          <w:szCs w:val="21"/>
          <w:highlight w:val="none"/>
        </w:rPr>
        <w:t>符合《关于促进残疾人就业政府采购政策的通知》（财库[2017]141号）规定的条件并提供《残疾人福利性单位声明函》的残疾人福利性单位视同小型、微型企业。</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备注：除财库《政府采购促进中小企业发展管理办法》（财库[2020]46号）、《关于促进残疾人就业政府采购政策的通知》（财库[2017]141号）、《关于政府采购支持监狱企业发展有关问题的通知》（财库[2014]68号）规定企业类型以外的投标人不享受中小企业扶持政策。</w:t>
      </w:r>
    </w:p>
    <w:bookmarkEnd w:id="38"/>
    <w:p>
      <w:pPr>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二、招标文件</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招标文件的构成</w:t>
      </w:r>
    </w:p>
    <w:p>
      <w:pPr>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本招标文件由以下部分组成：</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投标邀请</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采购需求</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投标人须知</w:t>
      </w:r>
    </w:p>
    <w:p>
      <w:pPr>
        <w:adjustRightInd w:val="0"/>
        <w:snapToGrid w:val="0"/>
        <w:spacing w:line="288"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lang w:eastAsia="zh-CN"/>
        </w:rPr>
        <w:t>评标方法和评标标准</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拟签订的合同文本</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6.</w:t>
      </w:r>
      <w:r>
        <w:rPr>
          <w:rFonts w:hint="eastAsia" w:ascii="仿宋" w:hAnsi="仿宋" w:eastAsia="仿宋" w:cs="仿宋"/>
          <w:color w:val="auto"/>
          <w:spacing w:val="-6"/>
          <w:szCs w:val="21"/>
          <w:highlight w:val="none"/>
        </w:rPr>
        <w:t>投标文件格式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7.</w:t>
      </w:r>
      <w:r>
        <w:rPr>
          <w:rFonts w:hint="eastAsia" w:ascii="仿宋" w:hAnsi="仿宋" w:eastAsia="仿宋" w:cs="仿宋"/>
          <w:color w:val="auto"/>
          <w:spacing w:val="-6"/>
          <w:szCs w:val="21"/>
          <w:highlight w:val="none"/>
        </w:rPr>
        <w:t>本项目招标文件的澄清、答复、修改、补充的内容</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招标文件的澄清与修改</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采购人或者采购代理机构可以对已发出的招标文件进行必要的澄清或者修改，澄清或者修改会在原公告发布媒体上发布澄清公告，澄清或者修改的内容为招标文件的组成部分。</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澄清或者修改的内容可能影响投标文件编制的，采购人或者采购代理机构会在提交投标文件截止时间至少15日前，以书面形式通知所有获取招标文件的潜在投标人；不足15日的，采购人或者采购代理机构会顺延提交投标文件的截止时间。</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招标文件的修改将以书面形式通知所有获取招标文件的投标人，并对其具有约束力。投标人在收到上述通知后，应立即向采购代理机构回函确认。若无书面回函确认，视同投标人已收到招标文件修改的通知，并受其约束。</w:t>
      </w:r>
    </w:p>
    <w:p>
      <w:pPr>
        <w:ind w:left="0" w:leftChars="0" w:right="0" w:rightChars="0" w:firstLine="0" w:firstLineChars="0"/>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1"/>
        <w:rPr>
          <w:rFonts w:ascii="仿宋" w:hAnsi="仿宋" w:eastAsia="仿宋" w:cs="仿宋"/>
          <w:color w:val="auto"/>
          <w:spacing w:val="-6"/>
          <w:sz w:val="24"/>
          <w:szCs w:val="24"/>
          <w:highlight w:val="none"/>
        </w:rPr>
      </w:pPr>
      <w:r>
        <w:rPr>
          <w:rFonts w:hint="eastAsia" w:ascii="仿宋" w:hAnsi="仿宋" w:eastAsia="仿宋" w:cs="仿宋"/>
          <w:b/>
          <w:color w:val="auto"/>
          <w:spacing w:val="-6"/>
          <w:sz w:val="24"/>
          <w:szCs w:val="24"/>
          <w:highlight w:val="none"/>
        </w:rPr>
        <w:t>三、投标文件编制要求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投标文件的组成</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39" w:name="_Hlk94018532"/>
      <w:r>
        <w:rPr>
          <w:rFonts w:hint="eastAsia" w:ascii="仿宋" w:hAnsi="仿宋" w:eastAsia="仿宋" w:cs="仿宋"/>
          <w:color w:val="auto"/>
          <w:spacing w:val="-6"/>
          <w:szCs w:val="21"/>
          <w:highlight w:val="none"/>
        </w:rPr>
        <w:t>1.投标文件（电子加密投标文件）由</w:t>
      </w:r>
      <w:r>
        <w:rPr>
          <w:rFonts w:hint="eastAsia" w:ascii="仿宋" w:hAnsi="仿宋" w:eastAsia="仿宋" w:cs="仿宋"/>
          <w:b/>
          <w:color w:val="auto"/>
          <w:spacing w:val="-6"/>
          <w:szCs w:val="21"/>
          <w:highlight w:val="none"/>
        </w:rPr>
        <w:t>资格文件、商务和技术文件、报价文件三部分</w:t>
      </w:r>
      <w:r>
        <w:rPr>
          <w:rFonts w:hint="eastAsia" w:ascii="仿宋" w:hAnsi="仿宋" w:eastAsia="仿宋" w:cs="仿宋"/>
          <w:bCs/>
          <w:color w:val="auto"/>
          <w:spacing w:val="-6"/>
          <w:szCs w:val="21"/>
          <w:highlight w:val="none"/>
        </w:rPr>
        <w:t>组成（格式详见招标文件第六章），投标人应将投标文件各部分</w:t>
      </w:r>
      <w:r>
        <w:rPr>
          <w:rFonts w:hint="eastAsia" w:ascii="仿宋" w:hAnsi="仿宋" w:eastAsia="仿宋" w:cs="仿宋"/>
          <w:b/>
          <w:color w:val="auto"/>
          <w:spacing w:val="-6"/>
          <w:szCs w:val="21"/>
          <w:highlight w:val="none"/>
        </w:rPr>
        <w:t>分别上传</w:t>
      </w:r>
      <w:r>
        <w:rPr>
          <w:rFonts w:hint="eastAsia" w:ascii="仿宋" w:hAnsi="仿宋" w:eastAsia="仿宋" w:cs="仿宋"/>
          <w:bCs/>
          <w:color w:val="auto"/>
          <w:spacing w:val="-6"/>
          <w:szCs w:val="21"/>
          <w:highlight w:val="none"/>
        </w:rPr>
        <w:t>至政府采购云平台指定位置；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.投标文件组成：详见“第六章  投标文件格式”目录。</w:t>
      </w:r>
    </w:p>
    <w:bookmarkEnd w:id="39"/>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投标文件的签署和份数</w:t>
      </w:r>
    </w:p>
    <w:p>
      <w:pPr>
        <w:adjustRightInd w:val="0"/>
        <w:snapToGrid w:val="0"/>
        <w:spacing w:line="288" w:lineRule="auto"/>
        <w:ind w:firstLine="396" w:firstLineChars="200"/>
        <w:jc w:val="left"/>
        <w:rPr>
          <w:rFonts w:ascii="仿宋" w:hAnsi="仿宋" w:eastAsia="仿宋" w:cs="仿宋"/>
          <w:b/>
          <w:bCs/>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仿宋" w:hAnsi="仿宋" w:eastAsia="仿宋" w:cs="仿宋"/>
          <w:b/>
          <w:bCs/>
          <w:color w:val="auto"/>
          <w:spacing w:val="-6"/>
          <w:szCs w:val="21"/>
          <w:highlight w:val="none"/>
        </w:rPr>
        <w:t>其中资格文件、商务技术文件中不得出现投标报价，如因投标人原因提前泄露投标报价，是投标人的责任；</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2.投标文件须由投标人在规定位置</w:t>
      </w:r>
      <w:bookmarkStart w:id="40" w:name="_Hlk96329183"/>
      <w:r>
        <w:rPr>
          <w:rFonts w:hint="eastAsia" w:ascii="仿宋" w:hAnsi="仿宋" w:eastAsia="仿宋" w:cs="仿宋"/>
          <w:color w:val="auto"/>
          <w:spacing w:val="-6"/>
          <w:szCs w:val="21"/>
          <w:highlight w:val="none"/>
        </w:rPr>
        <w:t>加盖公章</w:t>
      </w:r>
      <w:bookmarkEnd w:id="40"/>
      <w:r>
        <w:rPr>
          <w:rFonts w:hint="eastAsia" w:ascii="仿宋" w:hAnsi="仿宋" w:eastAsia="仿宋" w:cs="仿宋"/>
          <w:color w:val="auto"/>
          <w:spacing w:val="-6"/>
          <w:szCs w:val="21"/>
          <w:highlight w:val="none"/>
        </w:rPr>
        <w:t>，投标人应写全称；</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.投标文件不得涂改，若有修改错漏处，须由投标人加盖公章，或者由</w:t>
      </w:r>
      <w:r>
        <w:rPr>
          <w:rFonts w:hint="eastAsia" w:ascii="仿宋" w:hAnsi="仿宋" w:eastAsia="仿宋" w:cs="仿宋"/>
          <w:color w:val="auto"/>
          <w:spacing w:val="-6"/>
          <w:szCs w:val="21"/>
          <w:highlight w:val="none"/>
          <w:lang w:eastAsia="zh-CN"/>
        </w:rPr>
        <w:t>投标人代表</w:t>
      </w:r>
      <w:r>
        <w:rPr>
          <w:rFonts w:hint="eastAsia" w:ascii="仿宋" w:hAnsi="仿宋" w:eastAsia="仿宋" w:cs="仿宋"/>
          <w:color w:val="auto"/>
          <w:spacing w:val="-6"/>
          <w:szCs w:val="21"/>
          <w:highlight w:val="none"/>
        </w:rPr>
        <w:t>签名。投标文件因字迹潦草或表达不清所引起的后果由投标人负责；</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4</w:t>
      </w:r>
      <w:r>
        <w:rPr>
          <w:rFonts w:hint="eastAsia" w:ascii="仿宋" w:hAnsi="仿宋" w:eastAsia="仿宋" w:cs="仿宋"/>
          <w:b/>
          <w:bCs/>
          <w:color w:val="auto"/>
          <w:spacing w:val="-6"/>
          <w:szCs w:val="21"/>
          <w:highlight w:val="none"/>
        </w:rPr>
        <w:t>.投标文件份数：</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电子加密投标文件：政府采购云平台在线上传一份，备份投标文件：密封包装后以EMS或顺丰邮寄形式递交一份（邮寄地址：</w:t>
      </w:r>
      <w:r>
        <w:rPr>
          <w:rFonts w:hint="eastAsia" w:ascii="仿宋" w:hAnsi="仿宋" w:eastAsia="仿宋" w:cs="仿宋"/>
          <w:b/>
          <w:bCs/>
          <w:color w:val="auto"/>
          <w:szCs w:val="21"/>
          <w:highlight w:val="none"/>
        </w:rPr>
        <w:t>杭州市西湖区玉古路173号</w:t>
      </w:r>
      <w:r>
        <w:rPr>
          <w:rFonts w:hint="eastAsia" w:ascii="仿宋" w:hAnsi="仿宋" w:eastAsia="仿宋" w:cs="仿宋"/>
          <w:b/>
          <w:bCs/>
          <w:color w:val="auto"/>
          <w:szCs w:val="21"/>
          <w:highlight w:val="none"/>
          <w:lang w:eastAsia="zh-CN"/>
        </w:rPr>
        <w:t>中田大厦21楼</w:t>
      </w:r>
      <w:r>
        <w:rPr>
          <w:rFonts w:hint="eastAsia" w:ascii="仿宋" w:hAnsi="仿宋" w:eastAsia="仿宋" w:cs="仿宋"/>
          <w:b/>
          <w:bCs/>
          <w:color w:val="auto"/>
          <w:szCs w:val="21"/>
          <w:highlight w:val="none"/>
        </w:rPr>
        <w:t>H室，浙江求是招标代理有限公司</w:t>
      </w:r>
      <w:r>
        <w:rPr>
          <w:rFonts w:hint="eastAsia" w:ascii="仿宋" w:hAnsi="仿宋" w:eastAsia="仿宋" w:cs="仿宋"/>
          <w:b/>
          <w:bCs/>
          <w:color w:val="auto"/>
          <w:szCs w:val="21"/>
          <w:highlight w:val="none"/>
          <w:lang w:eastAsia="zh-CN"/>
        </w:rPr>
        <w:t>招标八部收</w:t>
      </w:r>
      <w:r>
        <w:rPr>
          <w:rFonts w:hint="eastAsia" w:ascii="仿宋" w:hAnsi="仿宋" w:eastAsia="仿宋" w:cs="仿宋"/>
          <w:b/>
          <w:bCs/>
          <w:color w:val="auto"/>
          <w:szCs w:val="21"/>
          <w:highlight w:val="none"/>
        </w:rPr>
        <w:t>，电话：0571-87679349，寄出后将快递单号、项目名称、公司名称、联系方式等相关信息发至zb08@qszb.net以便查收）。</w:t>
      </w:r>
    </w:p>
    <w:p>
      <w:pPr>
        <w:adjustRightInd w:val="0"/>
        <w:snapToGrid w:val="0"/>
        <w:spacing w:line="288" w:lineRule="auto"/>
        <w:ind w:firstLine="422" w:firstLineChars="200"/>
        <w:jc w:val="left"/>
        <w:rPr>
          <w:rFonts w:ascii="仿宋" w:hAnsi="仿宋" w:eastAsia="仿宋" w:cs="仿宋"/>
          <w:b/>
          <w:bCs/>
          <w:color w:val="auto"/>
          <w:spacing w:val="-6"/>
          <w:szCs w:val="21"/>
          <w:highlight w:val="none"/>
        </w:rPr>
      </w:pPr>
      <w:r>
        <w:rPr>
          <w:rFonts w:hint="eastAsia" w:ascii="仿宋" w:hAnsi="仿宋" w:eastAsia="仿宋" w:cs="仿宋"/>
          <w:b/>
          <w:color w:val="auto"/>
          <w:szCs w:val="21"/>
          <w:highlight w:val="none"/>
        </w:rPr>
        <w:t>特别说明：双休日和法定节假日不收件，投标人自行承担邮寄风险。</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三）</w:t>
      </w:r>
      <w:r>
        <w:rPr>
          <w:rFonts w:hint="eastAsia" w:ascii="仿宋" w:hAnsi="仿宋" w:eastAsia="仿宋" w:cs="仿宋"/>
          <w:b/>
          <w:color w:val="auto"/>
          <w:spacing w:val="-6"/>
          <w:szCs w:val="21"/>
          <w:highlight w:val="none"/>
        </w:rPr>
        <w:t>投标文件的上传、递交、修改和撤回</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.投标文件的上传、递交：</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（1）电子加密投标文件的上传：</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投标人应在提交投标文件截止时间前将电子加密投标文件成功上传至政府采购云平台，否则投标无效；</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电子加密投标文件成功上传后，投标人可自行打印投标文件接收回执。</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（2）备份投标文件的密封包装、递交：</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投标人在政府采购云平台完成电子加密投标文件的上传后，可以EMS或顺丰邮寄形式在提交投标文件截止时间前递交以介质（U盘）存储的数据电文形式的备份投标文件；</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备份投标文件应当密封包装并在包装上标注</w:t>
      </w:r>
      <w:r>
        <w:rPr>
          <w:rFonts w:hint="eastAsia" w:ascii="仿宋" w:hAnsi="仿宋" w:eastAsia="仿宋" w:cs="仿宋"/>
          <w:b/>
          <w:bCs/>
          <w:color w:val="auto"/>
          <w:spacing w:val="-6"/>
          <w:szCs w:val="21"/>
          <w:highlight w:val="none"/>
        </w:rPr>
        <w:t>投标项目名称、投标人名称</w:t>
      </w:r>
      <w:r>
        <w:rPr>
          <w:rFonts w:hint="eastAsia" w:ascii="仿宋" w:hAnsi="仿宋" w:eastAsia="仿宋" w:cs="仿宋"/>
          <w:color w:val="auto"/>
          <w:spacing w:val="-6"/>
          <w:szCs w:val="21"/>
          <w:highlight w:val="none"/>
        </w:rPr>
        <w:t>并加盖公章（非电子签章），投标人逾期送达或者未密封包装的备份投标文件采购代理机构将予以拒收；</w:t>
      </w:r>
    </w:p>
    <w:p>
      <w:pPr>
        <w:adjustRightInd w:val="0"/>
        <w:snapToGrid w:val="0"/>
        <w:spacing w:line="288"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通过政府采购云平台成功上传的电子加密投标文件已按时解密的，备份投标文件自动失效</w:t>
      </w:r>
      <w:bookmarkStart w:id="41" w:name="_Hlk94018616"/>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4）投标人</w:t>
      </w:r>
      <w:r>
        <w:rPr>
          <w:rFonts w:hint="eastAsia" w:ascii="仿宋" w:hAnsi="仿宋" w:eastAsia="仿宋" w:cs="仿宋"/>
          <w:color w:val="auto"/>
          <w:spacing w:val="-6"/>
          <w:szCs w:val="21"/>
          <w:highlight w:val="none"/>
        </w:rPr>
        <w:t>仅递交备份投标文件而未将电子加密投标文件成功上传至政府采购云平台的，投标无效。</w:t>
      </w:r>
    </w:p>
    <w:bookmarkEnd w:id="41"/>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投标人应当在提交投标文件截止时间前完成投标文件的上传、递交，并可以补充、修改或者撤回投标文件。补充或者修改投标文件的，应当先行撤回原文件，补充、修改后重新上传、递交。提交投标文件截止时间前未完成上传、递交的，视为撤回投标文件。提交投标文件截止时间后上传、递交的投标文件，政府采购云平台及采购代理机构将予以拒收。</w:t>
      </w:r>
    </w:p>
    <w:p>
      <w:pPr>
        <w:adjustRightInd w:val="0"/>
        <w:snapToGrid w:val="0"/>
        <w:spacing w:line="288"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投标人因未在线参加开标而导致电子加密投标文件无法按时解密等一切后果由投标人自行承担</w:t>
      </w:r>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jc w:val="left"/>
        <w:rPr>
          <w:rFonts w:hint="default"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3.投标人应按照招标文件和政府采购云平台的要求，根据投标文件的组成规定的内容及顺序通过政采云电子交易客户端（政采云投标客户端）编制加密投标文件。</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备注：投标人可通过浙江省“电子交易/不见面开评标”学习专题提前进行专题学习，熟悉操作，避免影响采购活动（</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rFonts w:hint="eastAsia" w:ascii="仿宋" w:hAnsi="仿宋" w:eastAsia="仿宋" w:cs="仿宋"/>
          <w:b/>
          <w:bCs/>
          <w:color w:val="auto"/>
          <w:spacing w:val="-6"/>
          <w:szCs w:val="21"/>
          <w:highlight w:val="none"/>
        </w:rPr>
        <w:t>https://edu.zcygov.cn/luban/e-biding</w:t>
      </w:r>
      <w:r>
        <w:rPr>
          <w:rFonts w:hint="eastAsia" w:ascii="仿宋" w:hAnsi="仿宋" w:eastAsia="仿宋" w:cs="仿宋"/>
          <w:b/>
          <w:bCs/>
          <w:color w:val="auto"/>
          <w:spacing w:val="-6"/>
          <w:szCs w:val="21"/>
          <w:highlight w:val="none"/>
        </w:rPr>
        <w:fldChar w:fldCharType="end"/>
      </w:r>
      <w:r>
        <w:rPr>
          <w:rFonts w:hint="eastAsia" w:ascii="仿宋" w:hAnsi="仿宋" w:eastAsia="仿宋" w:cs="仿宋"/>
          <w:b/>
          <w:bCs/>
          <w:color w:val="auto"/>
          <w:spacing w:val="-6"/>
          <w:szCs w:val="21"/>
          <w:highlight w:val="none"/>
        </w:rPr>
        <w:t>）。</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四</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投标文件的语言及计量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五</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投标报价</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仿宋" w:hAnsi="仿宋" w:eastAsia="仿宋" w:cs="仿宋"/>
          <w:sz w:val="21"/>
          <w:szCs w:val="21"/>
          <w:highlight w:val="none"/>
        </w:rPr>
      </w:pPr>
      <w:bookmarkStart w:id="42" w:name="_Hlk94018664"/>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.报价应按招标文件要求的格式编制、填写报价内容（可自行增行），未按招标文件要求编制、填写的投标文件可能被拒绝；</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.投标报价是履行合同的最终价格，应包括货物金额、仓储、包装、运输保险费、装卸费、安装及相关材料费、检验费、税金等为确保合法、正常使用货物及中标人履行合同项下约定的所有义务所需支出的</w:t>
      </w:r>
      <w:r>
        <w:rPr>
          <w:rFonts w:hint="eastAsia" w:ascii="仿宋" w:hAnsi="仿宋" w:eastAsia="仿宋" w:cs="仿宋"/>
          <w:sz w:val="21"/>
          <w:szCs w:val="21"/>
          <w:highlight w:val="none"/>
          <w:lang w:eastAsia="zh-CN"/>
        </w:rPr>
        <w:t>全部费用；</w:t>
      </w:r>
    </w:p>
    <w:p>
      <w:pPr>
        <w:adjustRightInd w:val="0"/>
        <w:snapToGrid w:val="0"/>
        <w:spacing w:line="288" w:lineRule="auto"/>
        <w:ind w:firstLine="420" w:firstLineChars="200"/>
        <w:jc w:val="left"/>
        <w:rPr>
          <w:rFonts w:hint="eastAsia" w:ascii="仿宋" w:hAnsi="仿宋" w:eastAsia="仿宋" w:cs="仿宋"/>
          <w:color w:val="auto"/>
          <w:spacing w:val="-6"/>
          <w:sz w:val="21"/>
          <w:szCs w:val="21"/>
          <w:highlight w:val="none"/>
          <w:lang w:val="en-US" w:eastAsia="zh-CN"/>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.采购人将以合同形式</w:t>
      </w:r>
      <w:r>
        <w:rPr>
          <w:rFonts w:hint="eastAsia" w:ascii="仿宋" w:hAnsi="仿宋" w:eastAsia="仿宋" w:cs="仿宋"/>
          <w:sz w:val="21"/>
          <w:szCs w:val="21"/>
          <w:highlight w:val="none"/>
          <w:lang w:eastAsia="zh-CN"/>
        </w:rPr>
        <w:t>有偿取得货物、服务</w:t>
      </w:r>
      <w:r>
        <w:rPr>
          <w:rFonts w:hint="eastAsia" w:ascii="仿宋" w:hAnsi="仿宋" w:eastAsia="仿宋" w:cs="仿宋"/>
          <w:sz w:val="21"/>
          <w:szCs w:val="21"/>
          <w:highlight w:val="none"/>
        </w:rPr>
        <w:t>，不接受投标人给予的赠品、回扣或者与采购无关的其他商品、服务。</w:t>
      </w:r>
    </w:p>
    <w:bookmarkEnd w:id="42"/>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六</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投标有效期</w:t>
      </w:r>
    </w:p>
    <w:p>
      <w:pPr>
        <w:pStyle w:val="10"/>
        <w:adjustRightInd w:val="0"/>
        <w:snapToGrid w:val="0"/>
        <w:spacing w:before="0" w:beforeLines="0" w:after="0" w:afterLines="0" w:line="288" w:lineRule="auto"/>
        <w:ind w:firstLine="396" w:firstLineChars="200"/>
        <w:jc w:val="left"/>
        <w:rPr>
          <w:rFonts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▲从提交投标文件的截止之日起90天，在原投标有效期满之前，如果出现特殊情况，采购人或采购代理机构以书面形式通知投标人延长投标有效期。</w:t>
      </w:r>
    </w:p>
    <w:p>
      <w:pPr>
        <w:widowControl/>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四、资格审查不通过、投标无效的情形</w:t>
      </w:r>
    </w:p>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在资格审查时，如发现下列情形之一的，投标人将被视为资格审查不通过：</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资格证明材料不全的或者不符合招标文件要求的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投标人不具备招标文件中规定的资格要求的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资格文件未按要求签署、盖章的</w:t>
      </w:r>
    </w:p>
    <w:p>
      <w:pPr>
        <w:adjustRightInd w:val="0"/>
        <w:snapToGrid w:val="0"/>
        <w:spacing w:line="288" w:lineRule="auto"/>
        <w:ind w:firstLine="396" w:firstLineChars="200"/>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lang w:eastAsia="zh-CN"/>
        </w:rPr>
        <w:t>未响应招标文件“▲”标记条款要求的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提供《中小企业声明函》内容不实的</w:t>
      </w:r>
      <w:r>
        <w:rPr>
          <w:rFonts w:hint="eastAsia" w:ascii="仿宋" w:hAnsi="仿宋" w:eastAsia="仿宋" w:cs="仿宋"/>
          <w:color w:val="auto"/>
          <w:spacing w:val="-6"/>
          <w:szCs w:val="21"/>
          <w:highlight w:val="none"/>
          <w:lang w:val="en-US" w:eastAsia="zh-CN"/>
        </w:rPr>
        <w:t>或</w:t>
      </w:r>
      <w:r>
        <w:rPr>
          <w:rFonts w:hint="eastAsia" w:ascii="仿宋" w:hAnsi="仿宋" w:eastAsia="仿宋" w:cs="仿宋"/>
          <w:color w:val="auto"/>
          <w:spacing w:val="-6"/>
          <w:szCs w:val="21"/>
          <w:highlight w:val="none"/>
        </w:rPr>
        <w:t>《中小企业声明函》填写不全（从业人员、营业收入、资产总额在中小企业划型标准规定中不涉及的除外）</w:t>
      </w:r>
      <w:r>
        <w:rPr>
          <w:rFonts w:hint="eastAsia" w:ascii="仿宋" w:hAnsi="仿宋" w:eastAsia="仿宋" w:cs="仿宋"/>
          <w:color w:val="auto"/>
          <w:spacing w:val="-6"/>
          <w:szCs w:val="21"/>
          <w:highlight w:val="none"/>
          <w:lang w:val="en-US" w:eastAsia="zh-CN"/>
        </w:rPr>
        <w:t>的</w:t>
      </w:r>
      <w:r>
        <w:rPr>
          <w:rFonts w:hint="eastAsia" w:ascii="仿宋" w:hAnsi="仿宋" w:eastAsia="仿宋" w:cs="仿宋"/>
          <w:color w:val="auto"/>
          <w:spacing w:val="-6"/>
          <w:szCs w:val="21"/>
          <w:highlight w:val="none"/>
        </w:rPr>
        <w:t>或未按照《中小企业声明函》要求填写</w:t>
      </w:r>
      <w:r>
        <w:rPr>
          <w:rFonts w:hint="eastAsia" w:ascii="仿宋" w:hAnsi="仿宋" w:eastAsia="仿宋" w:cs="仿宋"/>
          <w:color w:val="auto"/>
          <w:spacing w:val="-6"/>
          <w:szCs w:val="21"/>
          <w:highlight w:val="none"/>
          <w:lang w:val="en-US" w:eastAsia="zh-CN"/>
        </w:rPr>
        <w:t>的</w:t>
      </w:r>
    </w:p>
    <w:p>
      <w:pPr>
        <w:adjustRightInd w:val="0"/>
        <w:snapToGrid w:val="0"/>
        <w:spacing w:line="288" w:lineRule="auto"/>
        <w:ind w:firstLine="398" w:firstLineChars="200"/>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在符合性审查、商务和技术评审时，如发现下列情形之一的，投标文件将被视为无效：</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商务和技术文件未按要求签署、盖章的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未提供或未按要求提供投标函、</w:t>
      </w:r>
      <w:r>
        <w:rPr>
          <w:rFonts w:hint="eastAsia" w:ascii="仿宋" w:hAnsi="仿宋" w:eastAsia="仿宋" w:cs="仿宋"/>
          <w:color w:val="auto"/>
          <w:spacing w:val="-6"/>
          <w:szCs w:val="21"/>
          <w:highlight w:val="none"/>
          <w:lang w:eastAsia="zh-CN"/>
        </w:rPr>
        <w:t>授权委托书</w:t>
      </w:r>
      <w:r>
        <w:rPr>
          <w:rFonts w:hint="eastAsia" w:ascii="仿宋" w:hAnsi="仿宋" w:eastAsia="仿宋" w:cs="仿宋"/>
          <w:color w:val="auto"/>
          <w:spacing w:val="-6"/>
          <w:szCs w:val="21"/>
          <w:highlight w:val="none"/>
        </w:rPr>
        <w:t>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未响应招标文件“▲”标记条款要求的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未提供或未如实提供采购需求偏离表的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质保期不满足招标文件要求的</w:t>
      </w:r>
    </w:p>
    <w:p>
      <w:pPr>
        <w:adjustRightInd w:val="0"/>
        <w:snapToGrid w:val="0"/>
        <w:spacing w:line="288" w:lineRule="auto"/>
        <w:ind w:firstLine="396" w:firstLineChars="200"/>
        <w:rPr>
          <w:rFonts w:hint="default"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6.产品响应累计负偏离≥15项</w:t>
      </w:r>
      <w:r>
        <w:rPr>
          <w:rFonts w:hint="eastAsia" w:ascii="仿宋" w:hAnsi="仿宋" w:eastAsia="仿宋" w:cs="仿宋"/>
          <w:b w:val="0"/>
          <w:bCs w:val="0"/>
          <w:sz w:val="21"/>
          <w:szCs w:val="21"/>
          <w:highlight w:val="none"/>
          <w:lang w:val="en-US" w:eastAsia="zh-CN"/>
        </w:rPr>
        <w:t>（</w:t>
      </w:r>
      <w:r>
        <w:rPr>
          <w:rFonts w:hint="eastAsia" w:ascii="仿宋" w:hAnsi="仿宋" w:eastAsia="仿宋" w:cs="仿宋"/>
          <w:color w:val="auto"/>
          <w:szCs w:val="21"/>
          <w:highlight w:val="none"/>
          <w:lang w:val="en-US" w:eastAsia="zh-CN"/>
        </w:rPr>
        <w:t>视为采购人不能接受的附加条件）</w:t>
      </w:r>
      <w:r>
        <w:rPr>
          <w:rFonts w:hint="eastAsia" w:ascii="仿宋" w:hAnsi="仿宋" w:eastAsia="仿宋" w:cs="仿宋"/>
          <w:color w:val="auto"/>
          <w:spacing w:val="-6"/>
          <w:szCs w:val="21"/>
          <w:highlight w:val="none"/>
          <w:lang w:val="en-US" w:eastAsia="zh-CN"/>
        </w:rPr>
        <w:t>的</w:t>
      </w:r>
    </w:p>
    <w:p>
      <w:pPr>
        <w:adjustRightInd w:val="0"/>
        <w:snapToGrid w:val="0"/>
        <w:spacing w:line="288" w:lineRule="auto"/>
        <w:ind w:firstLine="396" w:firstLineChars="200"/>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7.未提供样品或样品提供不全的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8.</w:t>
      </w:r>
      <w:r>
        <w:rPr>
          <w:rFonts w:hint="eastAsia" w:ascii="仿宋" w:hAnsi="仿宋" w:eastAsia="仿宋" w:cs="仿宋"/>
          <w:color w:val="auto"/>
          <w:spacing w:val="-6"/>
          <w:szCs w:val="21"/>
          <w:highlight w:val="none"/>
        </w:rPr>
        <w:t>明显不符合招标文件要求</w:t>
      </w:r>
      <w:r>
        <w:rPr>
          <w:rFonts w:hint="eastAsia" w:ascii="仿宋" w:hAnsi="仿宋" w:eastAsia="仿宋" w:cs="仿宋"/>
          <w:color w:val="auto"/>
          <w:szCs w:val="21"/>
          <w:highlight w:val="none"/>
        </w:rPr>
        <w:t>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9.</w:t>
      </w:r>
      <w:r>
        <w:rPr>
          <w:rFonts w:hint="eastAsia" w:ascii="仿宋" w:hAnsi="仿宋" w:eastAsia="仿宋" w:cs="仿宋"/>
          <w:color w:val="auto"/>
          <w:spacing w:val="-6"/>
          <w:szCs w:val="21"/>
          <w:highlight w:val="none"/>
        </w:rPr>
        <w:t>投标技术方案不明确（存在一个或一个以上备选/替代投标方案）的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10.</w:t>
      </w:r>
      <w:r>
        <w:rPr>
          <w:rFonts w:hint="eastAsia" w:ascii="仿宋" w:hAnsi="仿宋" w:eastAsia="仿宋" w:cs="仿宋"/>
          <w:color w:val="auto"/>
          <w:spacing w:val="-6"/>
          <w:szCs w:val="21"/>
          <w:highlight w:val="none"/>
        </w:rPr>
        <w:t>投标文件含有采购人不能接受的附加条件的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11.</w:t>
      </w:r>
      <w:r>
        <w:rPr>
          <w:rFonts w:hint="eastAsia" w:ascii="仿宋" w:hAnsi="仿宋" w:eastAsia="仿宋" w:cs="仿宋"/>
          <w:color w:val="auto"/>
          <w:spacing w:val="-6"/>
          <w:szCs w:val="21"/>
          <w:highlight w:val="none"/>
        </w:rPr>
        <w:t>法律、法规和招标文件规定的其他无效情形</w:t>
      </w:r>
    </w:p>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三</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在报价评审时，如发现下列情形之一的，投标文件将被视为无效：</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报价文件未按要求签署、盖章的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未按照招标文件标明的币种报价的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报价内容有缺漏项或者与招标文件要求不一致的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报价超过招标文件中规定的</w:t>
      </w:r>
      <w:r>
        <w:rPr>
          <w:rFonts w:hint="eastAsia" w:ascii="仿宋" w:hAnsi="仿宋" w:eastAsia="仿宋" w:cs="仿宋"/>
          <w:color w:val="auto"/>
          <w:spacing w:val="-6"/>
          <w:szCs w:val="21"/>
          <w:highlight w:val="none"/>
          <w:lang w:val="en-US" w:eastAsia="zh-CN"/>
        </w:rPr>
        <w:t>预算金额或者</w:t>
      </w:r>
      <w:r>
        <w:rPr>
          <w:rFonts w:hint="eastAsia" w:ascii="仿宋" w:hAnsi="仿宋" w:eastAsia="仿宋" w:cs="仿宋"/>
          <w:color w:val="auto"/>
          <w:spacing w:val="-6"/>
          <w:szCs w:val="21"/>
          <w:highlight w:val="none"/>
        </w:rPr>
        <w:t>最高限价的</w:t>
      </w:r>
    </w:p>
    <w:p>
      <w:pPr>
        <w:widowControl/>
        <w:adjustRightInd w:val="0"/>
        <w:snapToGrid w:val="0"/>
        <w:spacing w:line="288" w:lineRule="auto"/>
        <w:ind w:firstLine="396" w:firstLineChars="200"/>
        <w:jc w:val="left"/>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报价具有选择性的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6.</w:t>
      </w:r>
      <w:r>
        <w:rPr>
          <w:rFonts w:hint="eastAsia" w:ascii="仿宋" w:hAnsi="仿宋" w:eastAsia="仿宋" w:cs="仿宋"/>
          <w:color w:val="auto"/>
          <w:spacing w:val="-6"/>
          <w:szCs w:val="21"/>
          <w:highlight w:val="none"/>
        </w:rPr>
        <w:t>未响应招标文件“▲”标记条款要求的</w:t>
      </w:r>
    </w:p>
    <w:p>
      <w:pPr>
        <w:widowControl/>
        <w:adjustRightInd w:val="0"/>
        <w:snapToGrid w:val="0"/>
        <w:spacing w:line="288" w:lineRule="auto"/>
        <w:ind w:firstLine="398" w:firstLineChars="200"/>
        <w:jc w:val="left"/>
        <w:rPr>
          <w:rFonts w:ascii="仿宋" w:hAnsi="仿宋" w:eastAsia="仿宋" w:cs="仿宋"/>
          <w:b/>
          <w:bCs/>
          <w:color w:val="auto"/>
          <w:spacing w:val="-6"/>
          <w:szCs w:val="21"/>
          <w:highlight w:val="none"/>
        </w:rPr>
      </w:pPr>
      <w:bookmarkStart w:id="43" w:name="_Hlk94018736"/>
      <w:r>
        <w:rPr>
          <w:rFonts w:hint="eastAsia" w:ascii="仿宋" w:hAnsi="仿宋" w:eastAsia="仿宋" w:cs="仿宋"/>
          <w:b/>
          <w:bCs/>
          <w:color w:val="auto"/>
          <w:spacing w:val="-6"/>
          <w:szCs w:val="21"/>
          <w:highlight w:val="none"/>
        </w:rPr>
        <w:t>特别说明：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43"/>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四</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有下列情形之一的，视为投标人串通投标，其投标无效：</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不同投标人的投标文件由同一单位或者个人编制</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不同投标人委托同一单位或者个人办理投标事宜</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不同投标人的投标文件载明的项目管理成员或者联系人员为同一人</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不同投标人的投标文件异常一致或者投标报价呈规律性差异</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5.</w:t>
      </w:r>
      <w:r>
        <w:rPr>
          <w:rFonts w:hint="eastAsia" w:ascii="仿宋" w:hAnsi="仿宋" w:eastAsia="仿宋" w:cs="仿宋"/>
          <w:color w:val="auto"/>
          <w:spacing w:val="-6"/>
          <w:szCs w:val="21"/>
          <w:highlight w:val="none"/>
        </w:rPr>
        <w:t>不同投标人的投标文件相互混装</w:t>
      </w:r>
    </w:p>
    <w:p>
      <w:pPr>
        <w:ind w:left="0" w:leftChars="0" w:right="0" w:rightChars="0" w:firstLine="0" w:firstLineChars="0"/>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五、开  标</w:t>
      </w:r>
    </w:p>
    <w:p>
      <w:pPr>
        <w:pStyle w:val="101"/>
        <w:keepNext w:val="0"/>
        <w:keepLines w:val="0"/>
        <w:pageBreakBefore w:val="0"/>
        <w:widowControl w:val="0"/>
        <w:kinsoku/>
        <w:wordWrap/>
        <w:overflowPunct/>
        <w:topLinePunct w:val="0"/>
        <w:autoSpaceDE w:val="0"/>
        <w:autoSpaceDN w:val="0"/>
        <w:bidi w:val="0"/>
        <w:adjustRightInd w:val="0"/>
        <w:snapToGrid w:val="0"/>
        <w:spacing w:before="0" w:line="288" w:lineRule="auto"/>
        <w:ind w:left="0" w:firstLine="424" w:firstLineChars="201"/>
        <w:textAlignment w:val="auto"/>
        <w:outlineLvl w:val="2"/>
        <w:rPr>
          <w:rFonts w:ascii="仿宋" w:hAnsi="仿宋" w:eastAsia="仿宋" w:cs="仿宋"/>
          <w:color w:val="auto"/>
          <w:szCs w:val="21"/>
          <w:highlight w:val="none"/>
        </w:rPr>
      </w:pPr>
      <w:bookmarkStart w:id="44" w:name="_Hlk94018775"/>
      <w:r>
        <w:rPr>
          <w:rFonts w:hint="eastAsia" w:ascii="仿宋" w:hAnsi="仿宋" w:eastAsia="仿宋" w:cs="仿宋"/>
          <w:b/>
          <w:color w:val="auto"/>
          <w:szCs w:val="21"/>
          <w:highlight w:val="none"/>
        </w:rPr>
        <w:t>（一）开标</w:t>
      </w:r>
    </w:p>
    <w:p>
      <w:pPr>
        <w:pStyle w:val="101"/>
        <w:keepNext w:val="0"/>
        <w:keepLines w:val="0"/>
        <w:pageBreakBefore w:val="0"/>
        <w:widowControl w:val="0"/>
        <w:kinsoku/>
        <w:wordWrap/>
        <w:overflowPunct/>
        <w:topLinePunct w:val="0"/>
        <w:bidi w:val="0"/>
        <w:adjustRightInd w:val="0"/>
        <w:snapToGrid w:val="0"/>
        <w:spacing w:before="0" w:line="288" w:lineRule="auto"/>
        <w:ind w:left="0" w:firstLine="422" w:firstLineChars="201"/>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采购代理机构按照招标文件规定的时间通过电子交易平台组织开标，所有投标人均应当准时在线参加。投标人不足3家的，不得开标。</w:t>
      </w:r>
    </w:p>
    <w:p>
      <w:pPr>
        <w:pStyle w:val="101"/>
        <w:keepNext w:val="0"/>
        <w:keepLines w:val="0"/>
        <w:pageBreakBefore w:val="0"/>
        <w:widowControl w:val="0"/>
        <w:kinsoku/>
        <w:wordWrap/>
        <w:overflowPunct/>
        <w:topLinePunct w:val="0"/>
        <w:bidi w:val="0"/>
        <w:adjustRightInd w:val="0"/>
        <w:snapToGrid w:val="0"/>
        <w:spacing w:before="0" w:line="288" w:lineRule="auto"/>
        <w:ind w:left="0" w:firstLine="422" w:firstLineChars="201"/>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开标时，电子交易平台按开标时间自动提取所有投标文件。采购</w:t>
      </w:r>
      <w:r>
        <w:rPr>
          <w:rFonts w:hint="eastAsia" w:ascii="仿宋" w:hAnsi="仿宋" w:eastAsia="仿宋" w:cs="仿宋"/>
          <w:color w:val="auto"/>
          <w:szCs w:val="21"/>
          <w:highlight w:val="none"/>
          <w:lang w:val="en-US" w:eastAsia="zh-CN"/>
        </w:rPr>
        <w:t>人或采购</w:t>
      </w:r>
      <w:r>
        <w:rPr>
          <w:rFonts w:hint="eastAsia" w:ascii="仿宋" w:hAnsi="仿宋" w:eastAsia="仿宋" w:cs="仿宋"/>
          <w:color w:val="auto"/>
          <w:szCs w:val="21"/>
          <w:highlight w:val="none"/>
        </w:rPr>
        <w:t>代理机构依托电子交易平台发起开始解密指令，投标人按照平台提示和招标文件的规定在半小时内完成在线解密。</w:t>
      </w:r>
    </w:p>
    <w:p>
      <w:pPr>
        <w:adjustRightInd w:val="0"/>
        <w:snapToGrid w:val="0"/>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投标文件未按时解密但投标人提供备份投标文件的，以备份投标文件作为依据，否则视为投标文件撤回。投标文件已按时解密的，备份投标文件自动失效。</w:t>
      </w:r>
    </w:p>
    <w:p>
      <w:pPr>
        <w:pStyle w:val="101"/>
        <w:keepNext w:val="0"/>
        <w:keepLines w:val="0"/>
        <w:pageBreakBefore w:val="0"/>
        <w:widowControl w:val="0"/>
        <w:kinsoku/>
        <w:wordWrap/>
        <w:overflowPunct/>
        <w:topLinePunct w:val="0"/>
        <w:autoSpaceDE w:val="0"/>
        <w:autoSpaceDN w:val="0"/>
        <w:bidi w:val="0"/>
        <w:adjustRightInd w:val="0"/>
        <w:snapToGrid w:val="0"/>
        <w:spacing w:before="0" w:line="288" w:lineRule="auto"/>
        <w:ind w:left="0" w:firstLine="424" w:firstLineChars="201"/>
        <w:textAlignment w:val="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（二）资格审查</w:t>
      </w:r>
    </w:p>
    <w:p>
      <w:pPr>
        <w:adjustRightInd w:val="0"/>
        <w:snapToGrid w:val="0"/>
        <w:spacing w:line="288" w:lineRule="auto"/>
        <w:ind w:firstLine="422" w:firstLineChars="201"/>
        <w:rPr>
          <w:rFonts w:ascii="仿宋" w:hAnsi="仿宋" w:eastAsia="仿宋" w:cs="仿宋"/>
          <w:color w:val="auto"/>
          <w:szCs w:val="21"/>
          <w:highlight w:val="none"/>
        </w:rPr>
      </w:pPr>
      <w:r>
        <w:rPr>
          <w:rFonts w:hint="eastAsia" w:ascii="仿宋" w:hAnsi="仿宋" w:eastAsia="仿宋" w:cs="仿宋"/>
          <w:color w:val="auto"/>
          <w:kern w:val="0"/>
          <w:szCs w:val="21"/>
          <w:highlight w:val="none"/>
        </w:rPr>
        <w:t>开标后，</w:t>
      </w:r>
      <w:r>
        <w:rPr>
          <w:rFonts w:hint="eastAsia" w:ascii="仿宋" w:hAnsi="仿宋" w:eastAsia="仿宋" w:cs="仿宋"/>
          <w:color w:val="auto"/>
          <w:szCs w:val="21"/>
          <w:highlight w:val="none"/>
        </w:rPr>
        <w:t>采购人或采购代理机构依据法律法规和招标文件的规定，对投标人的资格条件进行审查。</w:t>
      </w:r>
    </w:p>
    <w:p>
      <w:pPr>
        <w:pStyle w:val="100"/>
        <w:adjustRightInd w:val="0"/>
        <w:snapToGrid w:val="0"/>
        <w:spacing w:before="0" w:line="288" w:lineRule="auto"/>
        <w:ind w:firstLine="422" w:firstLineChars="201"/>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对未通过资格审查的投标人，采购人或采购代理机构告知其未通过的原因。</w:t>
      </w:r>
    </w:p>
    <w:p>
      <w:pPr>
        <w:pStyle w:val="100"/>
        <w:adjustRightInd w:val="0"/>
        <w:snapToGrid w:val="0"/>
        <w:spacing w:before="0" w:line="288" w:lineRule="auto"/>
        <w:ind w:firstLine="422" w:firstLineChars="201"/>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通过资格审查的投标人不足3家的，不再评标。</w:t>
      </w:r>
    </w:p>
    <w:p>
      <w:pPr>
        <w:pStyle w:val="101"/>
        <w:keepNext w:val="0"/>
        <w:keepLines w:val="0"/>
        <w:pageBreakBefore w:val="0"/>
        <w:widowControl w:val="0"/>
        <w:kinsoku/>
        <w:wordWrap/>
        <w:overflowPunct/>
        <w:topLinePunct w:val="0"/>
        <w:autoSpaceDE w:val="0"/>
        <w:autoSpaceDN w:val="0"/>
        <w:bidi w:val="0"/>
        <w:adjustRightInd w:val="0"/>
        <w:snapToGrid w:val="0"/>
        <w:spacing w:before="0" w:line="288" w:lineRule="auto"/>
        <w:ind w:left="0" w:firstLine="424" w:firstLineChars="201"/>
        <w:textAlignment w:val="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（三）信用信息查询</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根据财库[2016]125号《关于在政府采购活动中查询及使用信用记录有关问题的通知》要求，采购代理机构会对投标人信用记录进行查询并甄别。</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t>信用信息查询的截止时点：投标截止时间；</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查询渠道：“信用中国”（www.creditchina.gov.cn）、“中国政府采购网”（www.ccgp.gov.cn）；</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w:t>
      </w:r>
      <w:r>
        <w:rPr>
          <w:rFonts w:hint="eastAsia" w:ascii="仿宋" w:hAnsi="仿宋" w:eastAsia="仿宋" w:cs="仿宋"/>
          <w:b/>
          <w:color w:val="auto"/>
          <w:sz w:val="21"/>
          <w:szCs w:val="21"/>
          <w:highlight w:val="none"/>
        </w:rPr>
        <w:t>信用信息查询记录和证据留存具体方式：采购代理机构经办人和监督人员将查询网页打印、签名与其他采购文件一并保存；</w:t>
      </w:r>
    </w:p>
    <w:p>
      <w:pPr>
        <w:pStyle w:val="100"/>
        <w:adjustRightInd w:val="0"/>
        <w:snapToGrid w:val="0"/>
        <w:spacing w:before="0" w:line="288" w:lineRule="auto"/>
        <w:ind w:firstLine="424" w:firstLineChars="201"/>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信用信息的使用规则：投标人被列入失信被执行人、重大税收违法案件当事人名单、政府采购严重违法失信行为记录名单的，拒绝其参与政府采购活动。</w:t>
      </w:r>
    </w:p>
    <w:p>
      <w:pPr>
        <w:pStyle w:val="100"/>
        <w:adjustRightInd w:val="0"/>
        <w:snapToGrid w:val="0"/>
        <w:spacing w:before="0" w:line="288" w:lineRule="auto"/>
        <w:ind w:firstLine="424" w:firstLineChars="201"/>
        <w:rPr>
          <w:rFonts w:ascii="仿宋" w:hAnsi="仿宋" w:eastAsia="仿宋" w:cs="仿宋"/>
          <w:b/>
          <w:color w:val="auto"/>
          <w:kern w:val="0"/>
          <w:sz w:val="21"/>
          <w:szCs w:val="21"/>
          <w:highlight w:val="none"/>
        </w:rPr>
      </w:pPr>
      <w:r>
        <w:rPr>
          <w:rFonts w:hint="eastAsia" w:ascii="仿宋" w:hAnsi="仿宋" w:eastAsia="仿宋" w:cs="仿宋"/>
          <w:b/>
          <w:color w:val="auto"/>
          <w:sz w:val="21"/>
          <w:szCs w:val="21"/>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adjustRightInd w:val="0"/>
        <w:snapToGrid w:val="0"/>
        <w:spacing w:line="288" w:lineRule="auto"/>
        <w:ind w:firstLine="398" w:firstLineChars="200"/>
        <w:rPr>
          <w:rFonts w:ascii="仿宋" w:hAnsi="仿宋" w:eastAsia="仿宋" w:cs="仿宋"/>
          <w:b/>
          <w:bCs/>
          <w:color w:val="auto"/>
          <w:spacing w:val="-6"/>
          <w:szCs w:val="21"/>
          <w:highlight w:val="none"/>
        </w:rPr>
      </w:pPr>
    </w:p>
    <w:p>
      <w:pPr>
        <w:adjustRightInd w:val="0"/>
        <w:snapToGrid w:val="0"/>
        <w:spacing w:line="288" w:lineRule="auto"/>
        <w:ind w:firstLine="398" w:firstLineChars="200"/>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特别说明：如遇政府采购云平台电子化开标或评审程序调整的，按调整后程序执行。</w:t>
      </w:r>
    </w:p>
    <w:bookmarkEnd w:id="44"/>
    <w:p>
      <w:pPr>
        <w:ind w:left="0" w:leftChars="0" w:right="0" w:rightChars="0" w:firstLine="0" w:firstLineChars="0"/>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六、评  标</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bookmarkStart w:id="45" w:name="_Hlk94018958"/>
      <w:r>
        <w:rPr>
          <w:rFonts w:hint="eastAsia" w:ascii="仿宋" w:hAnsi="仿宋" w:eastAsia="仿宋" w:cs="仿宋"/>
          <w:color w:val="auto"/>
          <w:kern w:val="0"/>
          <w:szCs w:val="21"/>
          <w:highlight w:val="none"/>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评标中因评标委员会成员缺席、回避或者健康等特殊原因导致评标委员会组成不符合规定的，依法补足后继续评标。被更换的评标委员会成员所作出的评标意见无效。</w:t>
      </w:r>
    </w:p>
    <w:bookmarkEnd w:id="45"/>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ascii="仿宋" w:hAnsi="仿宋" w:eastAsia="仿宋" w:cs="仿宋"/>
          <w:b/>
          <w:color w:val="auto"/>
          <w:kern w:val="0"/>
          <w:szCs w:val="21"/>
          <w:highlight w:val="none"/>
        </w:rPr>
      </w:pPr>
      <w:bookmarkStart w:id="46" w:name="_Hlk94019000"/>
      <w:r>
        <w:rPr>
          <w:rFonts w:hint="eastAsia" w:ascii="仿宋" w:hAnsi="仿宋" w:eastAsia="仿宋" w:cs="仿宋"/>
          <w:b/>
          <w:color w:val="auto"/>
          <w:kern w:val="0"/>
          <w:szCs w:val="21"/>
          <w:highlight w:val="none"/>
        </w:rPr>
        <w:t>（一）符合性审查</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评标委员会对符合资格的投标人的投标文件进行符合性审查，以确定其是否满足招标文件的实质性要求。不满足招标文件的实质性要求的，投标无效。</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（二）比较与评价</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评标委员会按照招标文件中规定的评标方法和标准，对符合性审查合格的投标文件进行商务和技术评估，综合比较与评价。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（三）汇总商务技术得分</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评标委员会各成员独立对每个投标人的商务和技术文件进行评价，并汇总商务技术得分情况。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（四）报价评审</w:t>
      </w:r>
    </w:p>
    <w:p>
      <w:pPr>
        <w:keepNext w:val="0"/>
        <w:keepLines w:val="0"/>
        <w:pageBreakBefore w:val="0"/>
        <w:widowControl w:val="0"/>
        <w:kinsoku/>
        <w:wordWrap/>
        <w:overflowPunct/>
        <w:topLinePunct w:val="0"/>
        <w:autoSpaceDE/>
        <w:autoSpaceDN/>
        <w:bidi w:val="0"/>
        <w:adjustRightInd w:val="0"/>
        <w:snapToGrid w:val="0"/>
        <w:spacing w:line="288" w:lineRule="auto"/>
        <w:ind w:firstLine="396" w:firstLineChars="200"/>
        <w:textAlignment w:val="auto"/>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政府采购云平台上传的电子投标文件报价与政府采购云平台录入报价不一致的，以上传的电子投标文件报价为准。</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投标文件报价出现前后不一致的，按照下列规定修正：</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投标文件中开标一览表(报价表)内容与投标文件中相应内容不一致的，以开标一览表(报价表)为准；</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大写金额和小写金额不一致的，以大写金额为准；</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单价金额小数点或者百分比有明显错位的，以开标一览表的总价为准，并修改单价；</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总价金额与按单价汇总金额不一致的，以单价金额计算结果为准。</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同时出现两种以上不一致的，按照前款规定的顺序修正。修正后的报价按照财政部第87号令《政府采购货物和服务招标投标管理办法》第五十一条第二款的规定“投标人的澄清、说明或者补正应当采用书面形式，并</w:t>
      </w:r>
      <w:bookmarkStart w:id="47" w:name="_Hlk96329302"/>
      <w:r>
        <w:rPr>
          <w:rFonts w:hint="eastAsia" w:ascii="仿宋" w:hAnsi="仿宋" w:eastAsia="仿宋" w:cs="仿宋"/>
          <w:color w:val="auto"/>
          <w:kern w:val="0"/>
          <w:sz w:val="21"/>
          <w:szCs w:val="21"/>
          <w:highlight w:val="none"/>
        </w:rPr>
        <w:t>加盖公章，或者由</w:t>
      </w:r>
      <w:r>
        <w:rPr>
          <w:rFonts w:hint="eastAsia" w:ascii="仿宋" w:hAnsi="仿宋" w:eastAsia="仿宋" w:cs="仿宋"/>
          <w:color w:val="auto"/>
          <w:kern w:val="0"/>
          <w:sz w:val="21"/>
          <w:szCs w:val="21"/>
          <w:highlight w:val="none"/>
          <w:lang w:eastAsia="zh-CN"/>
        </w:rPr>
        <w:t>投标人代表</w:t>
      </w:r>
      <w:r>
        <w:rPr>
          <w:rFonts w:hint="eastAsia" w:ascii="仿宋" w:hAnsi="仿宋" w:eastAsia="仿宋" w:cs="仿宋"/>
          <w:color w:val="auto"/>
          <w:kern w:val="0"/>
          <w:sz w:val="21"/>
          <w:szCs w:val="21"/>
          <w:highlight w:val="none"/>
        </w:rPr>
        <w:t>签名</w:t>
      </w:r>
      <w:bookmarkEnd w:id="47"/>
      <w:r>
        <w:rPr>
          <w:rFonts w:hint="eastAsia" w:ascii="仿宋" w:hAnsi="仿宋" w:eastAsia="仿宋" w:cs="仿宋"/>
          <w:color w:val="auto"/>
          <w:kern w:val="0"/>
          <w:sz w:val="21"/>
          <w:szCs w:val="21"/>
          <w:highlight w:val="none"/>
        </w:rPr>
        <w:t>。投标人的澄清、说明或者补正不得超出投标文件的范围或者改变投标文件的实质性内容。”经投标人确认后产生约束力。投标人不确认的，其投标无效。</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6" w:firstLineChars="202"/>
        <w:textAlignment w:val="auto"/>
        <w:rPr>
          <w:rFonts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投标人收到修正确认文件后，在规定时间内未做出回复的，视为不确认。</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（五）投标人澄清、说明或者补正</w:t>
      </w:r>
    </w:p>
    <w:p>
      <w:pPr>
        <w:pStyle w:val="100"/>
        <w:keepNext w:val="0"/>
        <w:keepLines w:val="0"/>
        <w:pageBreakBefore w:val="0"/>
        <w:widowControl w:val="0"/>
        <w:kinsoku/>
        <w:wordWrap/>
        <w:overflowPunct/>
        <w:topLinePunct w:val="0"/>
        <w:autoSpaceDE/>
        <w:autoSpaceDN/>
        <w:bidi w:val="0"/>
        <w:adjustRightInd w:val="0"/>
        <w:snapToGrid w:val="0"/>
        <w:spacing w:before="0" w:line="288" w:lineRule="auto"/>
        <w:ind w:firstLine="424" w:firstLineChars="202"/>
        <w:textAlignment w:val="auto"/>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投标人的书面澄清、说明或者补正无法通过政府采购云平台上传的，可在规定时间内（不少于半小时）通过指定的电子邮箱（zb08@qszb.net）提交。</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（六）排序与推荐</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评标方法</w:t>
      </w:r>
      <w:r>
        <w:rPr>
          <w:rFonts w:hint="eastAsia" w:ascii="仿宋" w:hAnsi="仿宋" w:eastAsia="仿宋" w:cs="仿宋"/>
          <w:color w:val="auto"/>
          <w:kern w:val="0"/>
          <w:szCs w:val="21"/>
          <w:highlight w:val="none"/>
        </w:rPr>
        <w:t>：本项目</w:t>
      </w:r>
      <w:r>
        <w:rPr>
          <w:rFonts w:hint="eastAsia" w:ascii="仿宋" w:hAnsi="仿宋" w:eastAsia="仿宋" w:cs="仿宋"/>
          <w:color w:val="auto"/>
          <w:kern w:val="0"/>
          <w:szCs w:val="21"/>
          <w:highlight w:val="none"/>
          <w:lang w:eastAsia="zh-CN"/>
        </w:rPr>
        <w:t>评标方法</w:t>
      </w:r>
      <w:r>
        <w:rPr>
          <w:rFonts w:hint="eastAsia" w:ascii="仿宋" w:hAnsi="仿宋" w:eastAsia="仿宋" w:cs="仿宋"/>
          <w:color w:val="auto"/>
          <w:kern w:val="0"/>
          <w:szCs w:val="21"/>
          <w:highlight w:val="none"/>
        </w:rPr>
        <w:t>是综合评分法，具体</w:t>
      </w:r>
      <w:r>
        <w:rPr>
          <w:rFonts w:hint="eastAsia" w:ascii="仿宋" w:hAnsi="仿宋" w:eastAsia="仿宋" w:cs="仿宋"/>
          <w:color w:val="auto"/>
          <w:kern w:val="0"/>
          <w:szCs w:val="21"/>
          <w:highlight w:val="none"/>
          <w:lang w:eastAsia="zh-CN"/>
        </w:rPr>
        <w:t>评标方法和评标标准</w:t>
      </w:r>
      <w:r>
        <w:rPr>
          <w:rFonts w:hint="eastAsia" w:ascii="仿宋" w:hAnsi="仿宋" w:eastAsia="仿宋" w:cs="仿宋"/>
          <w:color w:val="auto"/>
          <w:kern w:val="0"/>
          <w:szCs w:val="21"/>
          <w:highlight w:val="none"/>
        </w:rPr>
        <w:t>等详见“第四章：</w:t>
      </w:r>
      <w:r>
        <w:rPr>
          <w:rFonts w:hint="eastAsia" w:ascii="仿宋" w:hAnsi="仿宋" w:eastAsia="仿宋" w:cs="仿宋"/>
          <w:color w:val="auto"/>
          <w:kern w:val="0"/>
          <w:szCs w:val="21"/>
          <w:highlight w:val="none"/>
          <w:lang w:eastAsia="zh-CN"/>
        </w:rPr>
        <w:t>评标方法和评标标准</w:t>
      </w:r>
      <w:r>
        <w:rPr>
          <w:rFonts w:hint="eastAsia" w:ascii="仿宋" w:hAnsi="仿宋" w:eastAsia="仿宋" w:cs="仿宋"/>
          <w:color w:val="auto"/>
          <w:kern w:val="0"/>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bCs/>
          <w:color w:val="auto"/>
          <w:spacing w:val="-6"/>
          <w:szCs w:val="21"/>
          <w:highlight w:val="none"/>
        </w:rPr>
        <w:t>本项目推荐</w:t>
      </w:r>
      <w:r>
        <w:rPr>
          <w:rFonts w:hint="eastAsia" w:ascii="仿宋" w:hAnsi="仿宋" w:eastAsia="仿宋" w:cs="仿宋"/>
          <w:bCs/>
          <w:color w:val="auto"/>
          <w:spacing w:val="-6"/>
          <w:szCs w:val="21"/>
          <w:highlight w:val="none"/>
          <w:lang w:val="en-US" w:eastAsia="zh-CN"/>
        </w:rPr>
        <w:t>一</w:t>
      </w:r>
      <w:r>
        <w:rPr>
          <w:rFonts w:hint="eastAsia" w:ascii="仿宋" w:hAnsi="仿宋" w:eastAsia="仿宋" w:cs="仿宋"/>
          <w:bCs/>
          <w:color w:val="auto"/>
          <w:spacing w:val="-6"/>
          <w:szCs w:val="21"/>
          <w:highlight w:val="none"/>
        </w:rPr>
        <w:t>名中标候选人。</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相同品牌产品且通过资格审查、符合性审查的不同投标人参加同一合同项下投标的，按一家投标人计算，评审后得分最高的同品牌投标人获得中标人推荐资格；评审得分相同的，按投标报价由低到高顺序排列。得分且投标报价相同的，由采购人确定一个投标人获得中标人推荐资格，其他同品牌投标人不作为中标候选人。</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val="0"/>
        <w:spacing w:line="288" w:lineRule="auto"/>
        <w:ind w:firstLine="426" w:firstLineChars="202"/>
        <w:textAlignment w:val="auto"/>
        <w:outlineLvl w:val="2"/>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（七）编写评标报告</w:t>
      </w:r>
    </w:p>
    <w:p>
      <w:pPr>
        <w:keepNext w:val="0"/>
        <w:keepLines w:val="0"/>
        <w:pageBreakBefore w:val="0"/>
        <w:widowControl w:val="0"/>
        <w:kinsoku/>
        <w:wordWrap/>
        <w:overflowPunct/>
        <w:topLinePunct w:val="0"/>
        <w:autoSpaceDE/>
        <w:autoSpaceDN/>
        <w:bidi w:val="0"/>
        <w:adjustRightInd w:val="0"/>
        <w:snapToGrid w:val="0"/>
        <w:spacing w:line="288" w:lineRule="auto"/>
        <w:ind w:firstLine="424" w:firstLineChars="202"/>
        <w:textAlignment w:val="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根据全体评标成员签名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bookmarkEnd w:id="46"/>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ind w:left="0" w:leftChars="0" w:right="0" w:rightChars="0" w:firstLine="0" w:firstLineChars="0"/>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七、中标与合同</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一</w:t>
      </w: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中标</w:t>
      </w:r>
    </w:p>
    <w:p>
      <w:pPr>
        <w:adjustRightInd w:val="0"/>
        <w:snapToGrid w:val="0"/>
        <w:spacing w:line="288" w:lineRule="auto"/>
        <w:ind w:firstLine="396" w:firstLineChars="200"/>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rPr>
        <w:t>1.采购代理机构应当在评标结束后2个工作日内将评标报告送采购人。采购人应当自收到评标报告之日起5个工作日内，在评标报告确定的中标候选人名单中按顺序确定中标人，也可以书面授权评标委员会直接确定中标人。中标候选人并列的，由采购人确定中标人</w:t>
      </w:r>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rPr>
        <w:t>2.采购代理机构自中标人确定之日起2个工作日内，公告中标结果，并发出中标通知书</w:t>
      </w:r>
      <w:r>
        <w:rPr>
          <w:rFonts w:hint="eastAsia" w:ascii="仿宋" w:hAnsi="仿宋" w:eastAsia="仿宋" w:cs="仿宋"/>
          <w:color w:val="auto"/>
          <w:spacing w:val="-6"/>
          <w:szCs w:val="21"/>
          <w:highlight w:val="none"/>
          <w:lang w:eastAsia="zh-CN"/>
        </w:rPr>
        <w:t>；</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3.评标结果公示媒体：浙江政府采购网（http://zfcg.czt.zj.gov.cn）。</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2"/>
        <w:rPr>
          <w:rFonts w:hint="eastAsia" w:ascii="仿宋" w:hAnsi="仿宋" w:eastAsia="仿宋" w:cs="仿宋"/>
          <w:b/>
          <w:color w:val="auto"/>
          <w:spacing w:val="-6"/>
          <w:szCs w:val="21"/>
          <w:highlight w:val="none"/>
          <w:lang w:eastAsia="zh-CN"/>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lang w:val="en-US" w:eastAsia="zh-CN"/>
        </w:rPr>
        <w:t>二</w:t>
      </w:r>
      <w:r>
        <w:rPr>
          <w:rFonts w:hint="eastAsia" w:ascii="仿宋" w:hAnsi="仿宋" w:eastAsia="仿宋" w:cs="仿宋"/>
          <w:b/>
          <w:color w:val="auto"/>
          <w:spacing w:val="-6"/>
          <w:szCs w:val="21"/>
          <w:highlight w:val="none"/>
          <w:lang w:eastAsia="zh-CN"/>
        </w:rPr>
        <w:t>）合同</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八、验  收</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采购人可以邀请参加本项目的其他投标人或者第三方机构参与验收。参与验收的投标人或者第三方机构的意见作为验收书的参考资料一并存档。</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napToGrid w:val="0"/>
        <w:spacing w:line="288" w:lineRule="auto"/>
        <w:ind w:firstLine="422" w:firstLineChars="201"/>
        <w:rPr>
          <w:rFonts w:ascii="仿宋" w:hAnsi="仿宋" w:eastAsia="仿宋" w:cs="仿宋"/>
          <w:b/>
          <w:color w:val="auto"/>
          <w:spacing w:val="-6"/>
          <w:szCs w:val="21"/>
          <w:highlight w:val="none"/>
        </w:rPr>
      </w:pPr>
      <w:r>
        <w:rPr>
          <w:rFonts w:hint="eastAsia" w:ascii="仿宋" w:hAnsi="仿宋" w:eastAsia="仿宋" w:cs="仿宋"/>
          <w:color w:val="auto"/>
          <w:kern w:val="0"/>
          <w:szCs w:val="21"/>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adjustRightInd w:val="0"/>
        <w:snapToGrid w:val="0"/>
        <w:spacing w:line="288" w:lineRule="auto"/>
        <w:ind w:firstLine="398" w:firstLineChars="20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九、可中止电子交易活动的情形</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采购过程中出现以下情形，导致电子交易平台无法正常运行，或者无法保证电子交易的公平、公正和安全时，采购代理机构可中止电子交易活动：</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1.电子交易平台发生故障而无法登录访问的；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2.电子交易平台应用或数据库出现错误，不能进行正常操作的；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3.电子交易平台发现严重安全漏洞，有潜在泄密危险的；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4.病毒发作导致不能进行正常操作的；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5.其他无法保证电子交易的公平、公正和安全的情况。</w:t>
      </w:r>
    </w:p>
    <w:p>
      <w:pPr>
        <w:adjustRightInd w:val="0"/>
        <w:snapToGrid w:val="0"/>
        <w:spacing w:line="288" w:lineRule="auto"/>
        <w:ind w:firstLine="396" w:firstLineChars="200"/>
        <w:rPr>
          <w:rFonts w:ascii="仿宋" w:hAnsi="仿宋" w:eastAsia="仿宋" w:cs="仿宋"/>
          <w:color w:val="auto"/>
          <w:szCs w:val="21"/>
          <w:highlight w:val="none"/>
        </w:rPr>
      </w:pPr>
      <w:r>
        <w:rPr>
          <w:rFonts w:hint="eastAsia" w:ascii="仿宋" w:hAnsi="仿宋" w:eastAsia="仿宋" w:cs="仿宋"/>
          <w:color w:val="auto"/>
          <w:spacing w:val="-6"/>
          <w:szCs w:val="21"/>
          <w:highlight w:val="none"/>
        </w:rPr>
        <w:t>出现前款规定情形，不影响采购公平、公正性的，采购代理机构可以待上述情形消除后继续组织电子交易活动；影响或可能影响采购公平、公正性的，应当重新采购。</w:t>
      </w:r>
    </w:p>
    <w:p>
      <w:pPr>
        <w:adjustRightInd w:val="0"/>
        <w:snapToGrid w:val="0"/>
        <w:spacing w:line="288" w:lineRule="auto"/>
        <w:ind w:left="0" w:leftChars="0" w:right="0" w:rightChars="0" w:firstLine="0" w:firstLineChars="0"/>
        <w:jc w:val="center"/>
        <w:rPr>
          <w:rFonts w:ascii="仿宋" w:hAnsi="仿宋" w:eastAsia="仿宋" w:cs="仿宋"/>
          <w:color w:val="auto"/>
          <w:szCs w:val="21"/>
          <w:highlight w:val="none"/>
        </w:rPr>
      </w:pPr>
      <w:r>
        <w:rPr>
          <w:rFonts w:hint="eastAsia" w:ascii="仿宋" w:hAnsi="仿宋" w:eastAsia="仿宋" w:cs="仿宋"/>
          <w:color w:val="auto"/>
          <w:szCs w:val="21"/>
          <w:highlight w:val="none"/>
        </w:rPr>
        <w:br w:type="page"/>
      </w:r>
    </w:p>
    <w:p>
      <w:pPr>
        <w:adjustRightInd w:val="0"/>
        <w:snapToGrid w:val="0"/>
        <w:spacing w:line="288" w:lineRule="auto"/>
        <w:ind w:left="0" w:leftChars="0" w:right="0" w:rightChars="0" w:firstLine="0" w:firstLineChars="0"/>
        <w:jc w:val="center"/>
        <w:outlineLvl w:val="0"/>
        <w:rPr>
          <w:rFonts w:hint="eastAsia" w:ascii="仿宋" w:hAnsi="仿宋" w:eastAsia="仿宋" w:cs="仿宋"/>
          <w:b/>
          <w:color w:val="auto"/>
          <w:spacing w:val="-6"/>
          <w:sz w:val="32"/>
          <w:szCs w:val="32"/>
          <w:highlight w:val="none"/>
          <w:lang w:eastAsia="zh-CN"/>
        </w:rPr>
      </w:pPr>
      <w:r>
        <w:rPr>
          <w:rFonts w:hint="eastAsia" w:ascii="仿宋" w:hAnsi="仿宋" w:eastAsia="仿宋" w:cs="仿宋"/>
          <w:b/>
          <w:color w:val="auto"/>
          <w:sz w:val="32"/>
          <w:szCs w:val="32"/>
          <w:highlight w:val="none"/>
        </w:rPr>
        <w:t xml:space="preserve">第四章  </w:t>
      </w:r>
      <w:r>
        <w:rPr>
          <w:rFonts w:hint="eastAsia" w:ascii="仿宋" w:hAnsi="仿宋" w:eastAsia="仿宋" w:cs="仿宋"/>
          <w:b/>
          <w:color w:val="auto"/>
          <w:sz w:val="32"/>
          <w:szCs w:val="32"/>
          <w:highlight w:val="none"/>
          <w:lang w:eastAsia="zh-CN"/>
        </w:rPr>
        <w:t>评标方法和评标标准</w:t>
      </w:r>
    </w:p>
    <w:p>
      <w:pPr>
        <w:adjustRightInd w:val="0"/>
        <w:snapToGrid w:val="0"/>
        <w:spacing w:line="288" w:lineRule="auto"/>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一、评标方法</w:t>
      </w:r>
    </w:p>
    <w:p>
      <w:pPr>
        <w:adjustRightInd w:val="0"/>
        <w:snapToGrid w:val="0"/>
        <w:spacing w:line="288" w:lineRule="auto"/>
        <w:ind w:firstLine="396" w:firstLineChars="200"/>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本次评标采用综合评分法，总分为100分。评分过程中采用四舍五入法，并保留小数2位。</w:t>
      </w:r>
    </w:p>
    <w:p>
      <w:pPr>
        <w:adjustRightInd w:val="0"/>
        <w:snapToGrid w:val="0"/>
        <w:spacing w:line="288" w:lineRule="auto"/>
        <w:ind w:firstLine="396" w:firstLineChars="200"/>
        <w:rPr>
          <w:rFonts w:ascii="仿宋" w:hAnsi="仿宋" w:eastAsia="仿宋" w:cs="仿宋"/>
          <w:bCs/>
          <w:color w:val="auto"/>
          <w:spacing w:val="-6"/>
          <w:szCs w:val="21"/>
          <w:highlight w:val="none"/>
        </w:rPr>
      </w:pPr>
      <w:r>
        <w:rPr>
          <w:rFonts w:hint="eastAsia" w:ascii="仿宋" w:hAnsi="仿宋" w:eastAsia="仿宋" w:cs="仿宋"/>
          <w:color w:val="auto"/>
          <w:spacing w:val="-6"/>
          <w:szCs w:val="21"/>
          <w:highlight w:val="none"/>
        </w:rPr>
        <w:t>投标人评标</w:t>
      </w:r>
      <w:r>
        <w:rPr>
          <w:rFonts w:hint="eastAsia" w:ascii="仿宋" w:hAnsi="仿宋" w:eastAsia="仿宋" w:cs="仿宋"/>
          <w:bCs/>
          <w:color w:val="auto"/>
          <w:spacing w:val="-6"/>
          <w:szCs w:val="21"/>
          <w:highlight w:val="none"/>
        </w:rPr>
        <w:t>综合得分=商务分+技术分+价格分</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bCs/>
          <w:color w:val="auto"/>
          <w:spacing w:val="-6"/>
          <w:szCs w:val="21"/>
          <w:highlight w:val="none"/>
        </w:rPr>
        <w:t>商务和技术分按照评标委员会成员的独立评分结果的算术平均分计算，计算公式为：商务分、技术分=评标委员会所有成员评分合计数/评标委员会组成人员数</w:t>
      </w:r>
    </w:p>
    <w:p>
      <w:pPr>
        <w:adjustRightInd w:val="0"/>
        <w:snapToGrid w:val="0"/>
        <w:spacing w:line="288" w:lineRule="auto"/>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二、评标标准</w:t>
      </w:r>
    </w:p>
    <w:tbl>
      <w:tblPr>
        <w:tblStyle w:val="26"/>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665"/>
        <w:gridCol w:w="7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评审因素</w:t>
            </w:r>
          </w:p>
        </w:tc>
        <w:tc>
          <w:tcPr>
            <w:tcW w:w="66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18" w:type="dxa"/>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40</w:t>
            </w:r>
          </w:p>
        </w:tc>
        <w:tc>
          <w:tcPr>
            <w:tcW w:w="7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价格分采用低价优先法计算，即满足招标文件要求且投标价格最低的投标报价为评标基准价，其价格分为满分。其他投标人的价格分按照下列公式计算：</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价格分=（评标基准价/投标报价）*</w:t>
            </w:r>
            <w:r>
              <w:rPr>
                <w:rFonts w:hint="eastAsia" w:ascii="仿宋" w:hAnsi="仿宋" w:eastAsia="仿宋" w:cs="仿宋"/>
                <w:color w:val="auto"/>
                <w:szCs w:val="21"/>
                <w:highlight w:val="none"/>
                <w:lang w:val="en-US" w:eastAsia="zh-CN"/>
              </w:rPr>
              <w:t>40</w:t>
            </w:r>
            <w:r>
              <w:rPr>
                <w:rFonts w:hint="eastAsia" w:ascii="仿宋" w:hAnsi="仿宋" w:eastAsia="仿宋" w:cs="仿宋"/>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18" w:type="dxa"/>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质保期</w:t>
            </w:r>
          </w:p>
        </w:tc>
        <w:tc>
          <w:tcPr>
            <w:tcW w:w="665" w:type="dxa"/>
            <w:vAlign w:val="center"/>
          </w:tcPr>
          <w:p>
            <w:pPr>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25"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color w:val="auto"/>
                <w:szCs w:val="21"/>
                <w:highlight w:val="none"/>
              </w:rPr>
              <w:t>满足招标文件要求基础上每延长1年得</w:t>
            </w:r>
            <w:r>
              <w:rPr>
                <w:rFonts w:hint="eastAsia" w:ascii="仿宋" w:hAnsi="仿宋" w:eastAsia="仿宋" w:cs="仿宋"/>
                <w:color w:val="auto"/>
                <w:szCs w:val="21"/>
                <w:highlight w:val="none"/>
                <w:lang w:val="en-US" w:eastAsia="zh-CN"/>
              </w:rPr>
              <w:t>0.5</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最高</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分），延长时间不足1年不计入得分，不满足招标文件要求投标无效。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tc>
        <w:tc>
          <w:tcPr>
            <w:tcW w:w="66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b w:val="0"/>
                <w:bCs w:val="0"/>
                <w:color w:val="auto"/>
                <w:sz w:val="21"/>
                <w:szCs w:val="21"/>
                <w:highlight w:val="none"/>
              </w:rPr>
              <w:t>投标人自</w:t>
            </w:r>
            <w:r>
              <w:rPr>
                <w:rFonts w:hint="eastAsia" w:ascii="仿宋" w:hAnsi="仿宋" w:eastAsia="仿宋" w:cs="仿宋"/>
                <w:b w:val="0"/>
                <w:bCs w:val="0"/>
                <w:color w:val="auto"/>
                <w:sz w:val="21"/>
                <w:szCs w:val="21"/>
                <w:highlight w:val="none"/>
                <w:lang w:val="en-US" w:eastAsia="zh-CN"/>
              </w:rPr>
              <w:t>2021</w:t>
            </w:r>
            <w:r>
              <w:rPr>
                <w:rFonts w:hint="eastAsia" w:ascii="仿宋" w:hAnsi="仿宋" w:eastAsia="仿宋" w:cs="仿宋"/>
                <w:b w:val="0"/>
                <w:bCs w:val="0"/>
                <w:color w:val="auto"/>
                <w:sz w:val="21"/>
                <w:szCs w:val="21"/>
                <w:highlight w:val="none"/>
              </w:rPr>
              <w:t>年1月1日以来（以合同签订时间为准）</w:t>
            </w:r>
            <w:r>
              <w:rPr>
                <w:rFonts w:hint="eastAsia" w:ascii="仿宋" w:hAnsi="仿宋" w:eastAsia="仿宋" w:cs="仿宋"/>
                <w:b w:val="0"/>
                <w:bCs w:val="0"/>
                <w:color w:val="auto"/>
                <w:sz w:val="21"/>
                <w:szCs w:val="21"/>
                <w:highlight w:val="none"/>
                <w:lang w:eastAsia="zh-CN"/>
              </w:rPr>
              <w:t>与采购标的同品类</w:t>
            </w:r>
            <w:r>
              <w:rPr>
                <w:rFonts w:hint="eastAsia" w:ascii="仿宋" w:hAnsi="仿宋" w:eastAsia="仿宋" w:cs="仿宋"/>
                <w:b w:val="0"/>
                <w:bCs w:val="0"/>
                <w:color w:val="auto"/>
                <w:sz w:val="21"/>
                <w:szCs w:val="21"/>
                <w:highlight w:val="none"/>
                <w:lang w:val="en-US" w:eastAsia="zh-CN"/>
              </w:rPr>
              <w:t>产品</w:t>
            </w:r>
            <w:r>
              <w:rPr>
                <w:rFonts w:hint="eastAsia" w:ascii="仿宋" w:hAnsi="仿宋" w:eastAsia="仿宋" w:cs="仿宋"/>
                <w:b w:val="0"/>
                <w:bCs w:val="0"/>
                <w:color w:val="auto"/>
                <w:sz w:val="21"/>
                <w:szCs w:val="21"/>
                <w:highlight w:val="none"/>
              </w:rPr>
              <w:t>业绩（</w:t>
            </w:r>
            <w:r>
              <w:rPr>
                <w:rFonts w:hint="eastAsia" w:ascii="仿宋" w:hAnsi="仿宋" w:eastAsia="仿宋" w:cs="仿宋"/>
                <w:b w:val="0"/>
                <w:bCs w:val="0"/>
                <w:color w:val="auto"/>
                <w:sz w:val="21"/>
                <w:szCs w:val="21"/>
                <w:highlight w:val="none"/>
                <w:lang w:eastAsia="zh-CN"/>
              </w:rPr>
              <w:t>最高</w:t>
            </w:r>
            <w:r>
              <w:rPr>
                <w:rFonts w:hint="eastAsia" w:ascii="仿宋" w:hAnsi="仿宋" w:eastAsia="仿宋" w:cs="仿宋"/>
                <w:b w:val="0"/>
                <w:bCs w:val="0"/>
                <w:color w:val="auto"/>
                <w:sz w:val="21"/>
                <w:szCs w:val="21"/>
                <w:highlight w:val="none"/>
                <w:lang w:val="en-US" w:eastAsia="zh-CN"/>
              </w:rPr>
              <w:t>3</w:t>
            </w:r>
            <w:r>
              <w:rPr>
                <w:rFonts w:hint="eastAsia" w:ascii="仿宋" w:hAnsi="仿宋" w:eastAsia="仿宋" w:cs="仿宋"/>
                <w:b w:val="0"/>
                <w:bCs w:val="0"/>
                <w:color w:val="auto"/>
                <w:sz w:val="21"/>
                <w:szCs w:val="21"/>
                <w:highlight w:val="none"/>
              </w:rPr>
              <w:t>分）：1分</w:t>
            </w:r>
            <w:r>
              <w:rPr>
                <w:rFonts w:hint="eastAsia" w:ascii="仿宋" w:hAnsi="仿宋" w:eastAsia="仿宋"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rPr>
              <w:t>份</w:t>
            </w:r>
            <w:r>
              <w:rPr>
                <w:rFonts w:hint="eastAsia" w:ascii="仿宋" w:hAnsi="仿宋" w:eastAsia="仿宋" w:cs="仿宋"/>
                <w:b w:val="0"/>
                <w:bCs w:val="0"/>
                <w:color w:val="auto"/>
                <w:sz w:val="21"/>
                <w:szCs w:val="21"/>
                <w:highlight w:val="none"/>
                <w:lang w:val="en-US" w:eastAsia="zh-CN"/>
              </w:rPr>
              <w:t>（以</w:t>
            </w:r>
            <w:r>
              <w:rPr>
                <w:rFonts w:hint="eastAsia" w:ascii="仿宋" w:hAnsi="仿宋" w:eastAsia="仿宋" w:cs="仿宋"/>
                <w:b w:val="0"/>
                <w:bCs w:val="0"/>
                <w:color w:val="auto"/>
                <w:sz w:val="21"/>
                <w:szCs w:val="21"/>
                <w:highlight w:val="none"/>
              </w:rPr>
              <w:t>合同及对应验收报告扫描件或省级以上主管部门认定的首台套产品相关证明材料</w:t>
            </w:r>
            <w:r>
              <w:rPr>
                <w:rFonts w:hint="eastAsia" w:ascii="仿宋" w:hAnsi="仿宋" w:eastAsia="仿宋" w:cs="仿宋"/>
                <w:b w:val="0"/>
                <w:bCs w:val="0"/>
                <w:color w:val="auto"/>
                <w:sz w:val="21"/>
                <w:szCs w:val="21"/>
                <w:highlight w:val="none"/>
                <w:lang w:val="en-US" w:eastAsia="zh-CN"/>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政策功能</w:t>
            </w: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w:t>
            </w:r>
            <w:r>
              <w:rPr>
                <w:rFonts w:hint="eastAsia" w:ascii="仿宋" w:hAnsi="仿宋" w:eastAsia="仿宋" w:cs="仿宋"/>
                <w:b/>
                <w:bCs/>
                <w:color w:val="auto"/>
                <w:szCs w:val="21"/>
                <w:highlight w:val="none"/>
              </w:rPr>
              <w:t>客观分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Cs w:val="21"/>
                <w:highlight w:val="none"/>
                <w:lang w:val="en-US" w:eastAsia="zh-CN"/>
              </w:rPr>
              <w:t>投标产品或部件属于财政部、发展改革委公布的“节能产品政府采购品目清单”范围且具有国家确定的认证机构出具的处于有效期之内的节能产品认证证书（最高0.5分）</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0.5分/样</w:t>
            </w: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eastAsia="zh-CN"/>
              </w:rPr>
              <w:t>以认证证书为准</w:t>
            </w:r>
            <w:r>
              <w:rPr>
                <w:rFonts w:hint="eastAsia" w:ascii="仿宋" w:hAnsi="仿宋" w:eastAsia="仿宋" w:cs="仿宋"/>
                <w:b w:val="0"/>
                <w:bCs w:val="0"/>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w:t>
            </w:r>
            <w:r>
              <w:rPr>
                <w:rFonts w:hint="eastAsia" w:ascii="仿宋" w:hAnsi="仿宋" w:eastAsia="仿宋" w:cs="仿宋"/>
                <w:b/>
                <w:bCs/>
                <w:color w:val="auto"/>
                <w:szCs w:val="21"/>
                <w:highlight w:val="none"/>
              </w:rPr>
              <w:t>客观分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Cs w:val="21"/>
                <w:highlight w:val="none"/>
                <w:lang w:val="en-US" w:eastAsia="zh-CN"/>
              </w:rPr>
              <w:t>投标产品或部件</w:t>
            </w:r>
            <w:r>
              <w:rPr>
                <w:rFonts w:hint="eastAsia" w:ascii="仿宋" w:hAnsi="仿宋" w:eastAsia="仿宋" w:cs="仿宋"/>
                <w:b w:val="0"/>
                <w:bCs w:val="0"/>
                <w:color w:val="auto"/>
                <w:szCs w:val="21"/>
                <w:highlight w:val="none"/>
              </w:rPr>
              <w:t>属于财政部、生态环境部公布的“环境标志产品政府采购品目清单”范围且具有国家确定的认证机构出具的处于有效期之内的环境标志产品认证书</w:t>
            </w:r>
            <w:r>
              <w:rPr>
                <w:rFonts w:hint="eastAsia" w:ascii="仿宋" w:hAnsi="仿宋" w:eastAsia="仿宋" w:cs="仿宋"/>
                <w:b w:val="0"/>
                <w:bCs w:val="0"/>
                <w:color w:val="auto"/>
                <w:szCs w:val="21"/>
                <w:highlight w:val="none"/>
                <w:lang w:val="en-US" w:eastAsia="zh-CN"/>
              </w:rPr>
              <w:t>（最高0.5分）</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0.5分/样</w:t>
            </w:r>
            <w:r>
              <w:rPr>
                <w:rFonts w:hint="eastAsia" w:ascii="仿宋" w:hAnsi="仿宋" w:eastAsia="仿宋" w:cs="仿宋"/>
                <w:b w:val="0"/>
                <w:bCs w:val="0"/>
                <w:color w:val="auto"/>
                <w:szCs w:val="21"/>
                <w:highlight w:val="none"/>
              </w:rPr>
              <w:t>（</w:t>
            </w:r>
            <w:r>
              <w:rPr>
                <w:rFonts w:hint="eastAsia" w:ascii="仿宋" w:hAnsi="仿宋" w:eastAsia="仿宋" w:cs="仿宋"/>
                <w:b w:val="0"/>
                <w:bCs w:val="0"/>
                <w:color w:val="auto"/>
                <w:szCs w:val="21"/>
                <w:highlight w:val="none"/>
                <w:lang w:eastAsia="zh-CN"/>
              </w:rPr>
              <w:t>以认证证书为准</w:t>
            </w:r>
            <w:r>
              <w:rPr>
                <w:rFonts w:hint="eastAsia" w:ascii="仿宋" w:hAnsi="仿宋" w:eastAsia="仿宋" w:cs="仿宋"/>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18" w:type="dxa"/>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color w:val="auto"/>
                <w:szCs w:val="21"/>
                <w:highlight w:val="none"/>
              </w:rPr>
            </w:pPr>
            <w:r>
              <w:rPr>
                <w:rFonts w:hint="eastAsia" w:ascii="仿宋" w:hAnsi="仿宋" w:eastAsia="仿宋" w:cs="仿宋"/>
                <w:b/>
                <w:bCs/>
                <w:color w:val="auto"/>
                <w:szCs w:val="21"/>
                <w:highlight w:val="none"/>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产品响应</w:t>
            </w:r>
          </w:p>
        </w:tc>
        <w:tc>
          <w:tcPr>
            <w:tcW w:w="66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30</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b w:val="0"/>
                <w:bCs w:val="0"/>
                <w:color w:val="auto"/>
                <w:szCs w:val="21"/>
                <w:highlight w:val="none"/>
                <w:lang w:val="en-US"/>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b w:val="0"/>
                <w:bCs w:val="0"/>
                <w:color w:val="auto"/>
                <w:szCs w:val="21"/>
                <w:highlight w:val="none"/>
              </w:rPr>
              <w:t>满足</w:t>
            </w:r>
            <w:r>
              <w:rPr>
                <w:rFonts w:hint="eastAsia" w:ascii="仿宋" w:hAnsi="仿宋" w:eastAsia="仿宋" w:cs="仿宋"/>
                <w:b w:val="0"/>
                <w:bCs w:val="0"/>
                <w:color w:val="auto"/>
                <w:szCs w:val="21"/>
                <w:highlight w:val="none"/>
                <w:lang w:val="en-US" w:eastAsia="zh-CN"/>
              </w:rPr>
              <w:t>或优于</w:t>
            </w:r>
            <w:r>
              <w:rPr>
                <w:rFonts w:hint="eastAsia" w:ascii="仿宋" w:hAnsi="仿宋" w:eastAsia="仿宋" w:cs="仿宋"/>
                <w:b w:val="0"/>
                <w:bCs w:val="0"/>
                <w:color w:val="auto"/>
                <w:szCs w:val="21"/>
                <w:highlight w:val="none"/>
              </w:rPr>
              <w:t>招标文件明确的全部技术条款要求</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配置、</w:t>
            </w:r>
            <w:r>
              <w:rPr>
                <w:rFonts w:hint="eastAsia" w:ascii="仿宋" w:hAnsi="仿宋" w:eastAsia="仿宋" w:cs="仿宋"/>
                <w:b w:val="0"/>
                <w:bCs w:val="0"/>
                <w:sz w:val="21"/>
                <w:szCs w:val="21"/>
                <w:highlight w:val="none"/>
                <w:lang w:val="en-US" w:eastAsia="zh-CN"/>
              </w:rPr>
              <w:t>要求提供样品的</w:t>
            </w:r>
            <w:r>
              <w:rPr>
                <w:rFonts w:hint="eastAsia" w:ascii="仿宋" w:hAnsi="仿宋" w:eastAsia="仿宋" w:cs="仿宋"/>
                <w:b w:val="0"/>
                <w:bCs w:val="0"/>
                <w:color w:val="auto"/>
                <w:szCs w:val="21"/>
                <w:highlight w:val="none"/>
                <w:lang w:val="en-US" w:eastAsia="zh-CN"/>
              </w:rPr>
              <w:t>除外</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得</w:t>
            </w:r>
            <w:r>
              <w:rPr>
                <w:rFonts w:hint="eastAsia" w:ascii="仿宋" w:hAnsi="仿宋" w:eastAsia="仿宋" w:cs="仿宋"/>
                <w:b w:val="0"/>
                <w:bCs w:val="0"/>
                <w:color w:val="auto"/>
                <w:szCs w:val="21"/>
                <w:highlight w:val="none"/>
                <w:lang w:val="en-US" w:eastAsia="zh-CN"/>
              </w:rPr>
              <w:t>30分</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sz w:val="21"/>
                <w:szCs w:val="21"/>
                <w:highlight w:val="none"/>
              </w:rPr>
              <w:t>标★</w:t>
            </w:r>
            <w:r>
              <w:rPr>
                <w:rFonts w:hint="eastAsia" w:ascii="仿宋" w:hAnsi="仿宋" w:eastAsia="仿宋" w:cs="仿宋"/>
                <w:b w:val="0"/>
                <w:bCs w:val="0"/>
                <w:sz w:val="21"/>
                <w:szCs w:val="21"/>
                <w:highlight w:val="none"/>
                <w:lang w:val="en-US" w:eastAsia="zh-CN"/>
              </w:rPr>
              <w:t>条款（要求提供样品的除外）</w:t>
            </w:r>
            <w:r>
              <w:rPr>
                <w:rFonts w:hint="eastAsia" w:ascii="仿宋" w:hAnsi="仿宋" w:eastAsia="仿宋" w:cs="仿宋"/>
                <w:b w:val="0"/>
                <w:bCs w:val="0"/>
                <w:sz w:val="21"/>
                <w:szCs w:val="21"/>
                <w:highlight w:val="none"/>
              </w:rPr>
              <w:t>低于技术要求（负偏离）</w:t>
            </w:r>
            <w:r>
              <w:rPr>
                <w:rFonts w:hint="eastAsia" w:ascii="仿宋" w:hAnsi="仿宋" w:eastAsia="仿宋" w:cs="仿宋"/>
                <w:b w:val="0"/>
                <w:bCs w:val="0"/>
                <w:sz w:val="21"/>
                <w:szCs w:val="21"/>
                <w:highlight w:val="none"/>
                <w:lang w:val="en-US" w:eastAsia="zh-CN"/>
              </w:rPr>
              <w:t>或未</w:t>
            </w:r>
            <w:r>
              <w:rPr>
                <w:rFonts w:hint="eastAsia" w:ascii="仿宋" w:hAnsi="仿宋" w:eastAsia="仿宋" w:cs="仿宋"/>
                <w:b w:val="0"/>
                <w:bCs w:val="0"/>
                <w:sz w:val="21"/>
                <w:szCs w:val="21"/>
                <w:highlight w:val="none"/>
              </w:rPr>
              <w:t>附相关佐证材料</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视同负偏离</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rPr>
              <w:t>扣</w:t>
            </w:r>
            <w:r>
              <w:rPr>
                <w:rFonts w:hint="eastAsia" w:ascii="仿宋" w:hAnsi="仿宋" w:eastAsia="仿宋" w:cs="仿宋"/>
                <w:b w:val="0"/>
                <w:bCs w:val="0"/>
                <w:color w:val="auto"/>
                <w:szCs w:val="21"/>
                <w:highlight w:val="none"/>
                <w:lang w:val="en-US" w:eastAsia="zh-CN"/>
              </w:rPr>
              <w:t>2分</w:t>
            </w:r>
            <w:r>
              <w:rPr>
                <w:rFonts w:hint="eastAsia" w:ascii="仿宋" w:hAnsi="仿宋" w:eastAsia="仿宋" w:cs="仿宋"/>
                <w:b w:val="0"/>
                <w:bCs w:val="0"/>
                <w:sz w:val="21"/>
                <w:szCs w:val="21"/>
                <w:highlight w:val="none"/>
                <w:lang w:val="en-US" w:eastAsia="zh-CN"/>
              </w:rPr>
              <w:t>/</w:t>
            </w:r>
            <w:r>
              <w:rPr>
                <w:rFonts w:hint="eastAsia" w:ascii="仿宋" w:hAnsi="仿宋" w:eastAsia="仿宋" w:cs="仿宋"/>
                <w:b w:val="0"/>
                <w:bCs w:val="0"/>
                <w:sz w:val="21"/>
                <w:szCs w:val="21"/>
                <w:highlight w:val="none"/>
              </w:rPr>
              <w:t>项（</w:t>
            </w:r>
            <w:r>
              <w:rPr>
                <w:rFonts w:hint="eastAsia" w:ascii="仿宋" w:hAnsi="仿宋" w:eastAsia="仿宋" w:cs="仿宋"/>
                <w:b w:val="0"/>
                <w:bCs w:val="0"/>
                <w:color w:val="auto"/>
                <w:szCs w:val="21"/>
                <w:highlight w:val="none"/>
                <w:lang w:val="en-US" w:eastAsia="zh-CN"/>
              </w:rPr>
              <w:t>30分</w:t>
            </w:r>
            <w:r>
              <w:rPr>
                <w:rFonts w:hint="eastAsia" w:ascii="仿宋" w:hAnsi="仿宋" w:eastAsia="仿宋" w:cs="仿宋"/>
                <w:b w:val="0"/>
                <w:bCs w:val="0"/>
                <w:sz w:val="21"/>
                <w:szCs w:val="21"/>
                <w:highlight w:val="none"/>
                <w:lang w:val="en-US" w:eastAsia="zh-CN"/>
              </w:rPr>
              <w:t>起扣）、非</w:t>
            </w:r>
            <w:r>
              <w:rPr>
                <w:rFonts w:hint="eastAsia" w:ascii="仿宋" w:hAnsi="仿宋" w:eastAsia="仿宋" w:cs="仿宋"/>
                <w:b w:val="0"/>
                <w:bCs w:val="0"/>
                <w:sz w:val="21"/>
                <w:szCs w:val="21"/>
                <w:highlight w:val="none"/>
              </w:rPr>
              <w:t>标★</w:t>
            </w:r>
            <w:r>
              <w:rPr>
                <w:rFonts w:hint="eastAsia" w:ascii="仿宋" w:hAnsi="仿宋" w:eastAsia="仿宋" w:cs="仿宋"/>
                <w:b w:val="0"/>
                <w:bCs w:val="0"/>
                <w:sz w:val="21"/>
                <w:szCs w:val="21"/>
                <w:highlight w:val="none"/>
                <w:lang w:val="en-US" w:eastAsia="zh-CN"/>
              </w:rPr>
              <w:t>条款</w:t>
            </w:r>
            <w:r>
              <w:rPr>
                <w:rFonts w:hint="eastAsia" w:ascii="仿宋" w:hAnsi="仿宋" w:eastAsia="仿宋" w:cs="仿宋"/>
                <w:b w:val="0"/>
                <w:bCs w:val="0"/>
                <w:sz w:val="21"/>
                <w:szCs w:val="21"/>
                <w:highlight w:val="none"/>
              </w:rPr>
              <w:t>低于技术要求（负偏离）扣</w:t>
            </w:r>
            <w:r>
              <w:rPr>
                <w:rFonts w:hint="eastAsia" w:ascii="仿宋" w:hAnsi="仿宋" w:eastAsia="仿宋" w:cs="仿宋"/>
                <w:b w:val="0"/>
                <w:bCs w:val="0"/>
                <w:color w:val="auto"/>
                <w:szCs w:val="21"/>
                <w:highlight w:val="none"/>
                <w:lang w:val="en-US" w:eastAsia="zh-CN"/>
              </w:rPr>
              <w:t>1分</w:t>
            </w:r>
            <w:r>
              <w:rPr>
                <w:rFonts w:hint="eastAsia" w:ascii="仿宋" w:hAnsi="仿宋" w:eastAsia="仿宋" w:cs="仿宋"/>
                <w:b w:val="0"/>
                <w:bCs w:val="0"/>
                <w:sz w:val="21"/>
                <w:szCs w:val="21"/>
                <w:highlight w:val="none"/>
                <w:lang w:val="en-US" w:eastAsia="zh-CN"/>
              </w:rPr>
              <w:t>/</w:t>
            </w:r>
            <w:r>
              <w:rPr>
                <w:rFonts w:hint="eastAsia" w:ascii="仿宋" w:hAnsi="仿宋" w:eastAsia="仿宋" w:cs="仿宋"/>
                <w:b w:val="0"/>
                <w:bCs w:val="0"/>
                <w:sz w:val="21"/>
                <w:szCs w:val="21"/>
                <w:highlight w:val="none"/>
              </w:rPr>
              <w:t>项（</w:t>
            </w:r>
            <w:r>
              <w:rPr>
                <w:rFonts w:hint="eastAsia" w:ascii="仿宋" w:hAnsi="仿宋" w:eastAsia="仿宋" w:cs="仿宋"/>
                <w:b w:val="0"/>
                <w:bCs w:val="0"/>
                <w:color w:val="auto"/>
                <w:szCs w:val="21"/>
                <w:highlight w:val="none"/>
                <w:lang w:val="en-US" w:eastAsia="zh-CN"/>
              </w:rPr>
              <w:t>30分</w:t>
            </w:r>
            <w:r>
              <w:rPr>
                <w:rFonts w:hint="eastAsia" w:ascii="仿宋" w:hAnsi="仿宋" w:eastAsia="仿宋" w:cs="仿宋"/>
                <w:b w:val="0"/>
                <w:bCs w:val="0"/>
                <w:sz w:val="21"/>
                <w:szCs w:val="21"/>
                <w:highlight w:val="none"/>
                <w:lang w:val="en-US" w:eastAsia="zh-CN"/>
              </w:rPr>
              <w:t>起扣），累计负偏离≥15项（</w:t>
            </w:r>
            <w:r>
              <w:rPr>
                <w:rFonts w:hint="eastAsia" w:ascii="仿宋" w:hAnsi="仿宋" w:eastAsia="仿宋" w:cs="仿宋"/>
                <w:color w:val="auto"/>
                <w:szCs w:val="21"/>
                <w:highlight w:val="none"/>
                <w:lang w:val="en-US" w:eastAsia="zh-CN"/>
              </w:rPr>
              <w:t>视为采购人不能接受的附加条件）</w:t>
            </w:r>
            <w:r>
              <w:rPr>
                <w:rFonts w:hint="eastAsia" w:ascii="仿宋" w:hAnsi="仿宋" w:eastAsia="仿宋" w:cs="仿宋"/>
                <w:b w:val="0"/>
                <w:bCs w:val="0"/>
                <w:sz w:val="21"/>
                <w:szCs w:val="21"/>
                <w:highlight w:val="none"/>
                <w:lang w:val="en-US" w:eastAsia="zh-CN"/>
              </w:rPr>
              <w:t>投标无效。</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color w:val="auto"/>
                <w:szCs w:val="21"/>
                <w:highlight w:val="none"/>
              </w:rPr>
            </w:pPr>
            <w:r>
              <w:rPr>
                <w:rFonts w:hint="eastAsia" w:ascii="仿宋" w:hAnsi="仿宋" w:eastAsia="仿宋" w:cs="仿宋"/>
                <w:b/>
                <w:bCs/>
                <w:color w:val="auto"/>
                <w:sz w:val="18"/>
                <w:szCs w:val="18"/>
                <w:highlight w:val="none"/>
              </w:rPr>
              <w:t>说明：非标★条款与技术方案中相关材料不一致</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低于技术要求</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可视为负偏离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技术方案</w:t>
            </w: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4</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sz w:val="21"/>
                <w:szCs w:val="21"/>
                <w:highlight w:val="none"/>
                <w:lang w:val="en-US" w:eastAsia="zh-CN"/>
              </w:rPr>
              <w:t>结构（内部、外部等）、配置、功能（基础、扩展升级、软件等）、技术路线</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原理、核心等）[根据设计方案、产品或组件</w:t>
            </w:r>
            <w:r>
              <w:rPr>
                <w:rFonts w:hint="eastAsia" w:ascii="仿宋" w:hAnsi="仿宋" w:eastAsia="仿宋" w:cs="仿宋"/>
                <w:b w:val="0"/>
                <w:bCs w:val="0"/>
                <w:sz w:val="21"/>
                <w:szCs w:val="21"/>
                <w:highlight w:val="none"/>
              </w:rPr>
              <w:t>制造商公开发布的印刷资料（官网材料、彩页、Datasheet）或由有关政府部门或检测机构合法出具的文件或报告、</w:t>
            </w:r>
            <w:r>
              <w:rPr>
                <w:rFonts w:hint="eastAsia" w:ascii="仿宋" w:hAnsi="仿宋" w:eastAsia="仿宋" w:cs="仿宋"/>
                <w:b w:val="0"/>
                <w:bCs w:val="0"/>
                <w:sz w:val="21"/>
                <w:szCs w:val="21"/>
                <w:highlight w:val="none"/>
                <w:lang w:val="en-US" w:eastAsia="zh-CN"/>
              </w:rPr>
              <w:t>配置清单、功能界面（含软件）截图等评审]、</w:t>
            </w:r>
            <w:r>
              <w:rPr>
                <w:rFonts w:hint="eastAsia" w:ascii="仿宋" w:hAnsi="仿宋" w:eastAsia="仿宋" w:cs="仿宋"/>
                <w:color w:val="auto"/>
                <w:sz w:val="21"/>
                <w:szCs w:val="21"/>
                <w:highlight w:val="none"/>
                <w:lang w:eastAsia="zh-CN"/>
              </w:rPr>
              <w:t>安装调试</w:t>
            </w:r>
            <w:r>
              <w:rPr>
                <w:rFonts w:hint="eastAsia" w:ascii="仿宋" w:hAnsi="仿宋" w:eastAsia="仿宋" w:cs="仿宋"/>
                <w:color w:val="auto"/>
                <w:sz w:val="21"/>
                <w:szCs w:val="21"/>
                <w:highlight w:val="none"/>
              </w:rPr>
              <w:t>方法或</w:t>
            </w:r>
            <w:r>
              <w:rPr>
                <w:rFonts w:hint="eastAsia" w:ascii="仿宋" w:hAnsi="仿宋" w:eastAsia="仿宋" w:cs="仿宋"/>
                <w:color w:val="auto"/>
                <w:sz w:val="21"/>
                <w:szCs w:val="21"/>
                <w:highlight w:val="none"/>
                <w:lang w:eastAsia="zh-CN"/>
              </w:rPr>
              <w:t>方案、</w:t>
            </w:r>
            <w:r>
              <w:rPr>
                <w:rFonts w:hint="eastAsia" w:ascii="仿宋" w:hAnsi="仿宋" w:eastAsia="仿宋" w:cs="仿宋"/>
                <w:b w:val="0"/>
                <w:bCs w:val="0"/>
                <w:sz w:val="21"/>
                <w:szCs w:val="21"/>
                <w:highlight w:val="none"/>
                <w:lang w:eastAsia="zh-CN"/>
              </w:rPr>
              <w:t>日常运行</w:t>
            </w:r>
            <w:r>
              <w:rPr>
                <w:rFonts w:hint="eastAsia" w:ascii="仿宋" w:hAnsi="仿宋" w:eastAsia="仿宋" w:cs="仿宋"/>
                <w:b w:val="0"/>
                <w:bCs w:val="0"/>
                <w:sz w:val="21"/>
                <w:szCs w:val="21"/>
                <w:highlight w:val="none"/>
                <w:lang w:val="en-US" w:eastAsia="zh-CN"/>
              </w:rPr>
              <w:t>及</w:t>
            </w:r>
            <w:r>
              <w:rPr>
                <w:rFonts w:hint="eastAsia" w:ascii="仿宋" w:hAnsi="仿宋" w:eastAsia="仿宋" w:cs="仿宋"/>
                <w:b w:val="0"/>
                <w:bCs w:val="0"/>
                <w:sz w:val="21"/>
                <w:szCs w:val="21"/>
                <w:highlight w:val="none"/>
                <w:lang w:eastAsia="zh-CN"/>
              </w:rPr>
              <w:t>保养方案</w:t>
            </w:r>
            <w:r>
              <w:rPr>
                <w:rFonts w:hint="eastAsia" w:ascii="仿宋" w:hAnsi="仿宋" w:eastAsia="仿宋" w:cs="仿宋"/>
                <w:b w:val="0"/>
                <w:bCs w:val="0"/>
                <w:sz w:val="21"/>
                <w:szCs w:val="21"/>
                <w:highlight w:val="none"/>
                <w:lang w:val="en-US" w:eastAsia="zh-CN"/>
              </w:rPr>
              <w:t>：专业、全面、详尽、</w:t>
            </w:r>
            <w:r>
              <w:rPr>
                <w:rFonts w:hint="eastAsia" w:ascii="仿宋" w:hAnsi="仿宋" w:eastAsia="仿宋" w:cs="仿宋"/>
                <w:b w:val="0"/>
                <w:bCs w:val="0"/>
                <w:sz w:val="21"/>
                <w:szCs w:val="21"/>
                <w:highlight w:val="none"/>
              </w:rPr>
              <w:t>针对采购需求及实际特点</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对教学有实质性辅助提升、</w:t>
            </w:r>
            <w:r>
              <w:rPr>
                <w:rFonts w:hint="eastAsia" w:ascii="仿宋" w:hAnsi="仿宋" w:eastAsia="仿宋" w:cs="仿宋"/>
                <w:b w:val="0"/>
                <w:bCs w:val="0"/>
                <w:color w:val="auto"/>
                <w:szCs w:val="21"/>
                <w:highlight w:val="none"/>
                <w:lang w:val="en-US" w:eastAsia="zh-CN"/>
              </w:rPr>
              <w:t>有利于产品验收及</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rPr>
            </w:pP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4</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Cs w:val="21"/>
                <w:highlight w:val="none"/>
                <w:lang w:eastAsia="zh-CN"/>
              </w:rPr>
              <w:t>材料分拣实训装置</w:t>
            </w:r>
            <w:r>
              <w:rPr>
                <w:rFonts w:hint="eastAsia" w:ascii="仿宋" w:hAnsi="仿宋" w:eastAsia="仿宋" w:cs="仿宋"/>
                <w:b w:val="0"/>
                <w:bCs w:val="0"/>
                <w:sz w:val="21"/>
                <w:szCs w:val="21"/>
                <w:highlight w:val="none"/>
                <w:lang w:val="en-US" w:eastAsia="zh-CN"/>
              </w:rPr>
              <w:t>结构（内部、外部等）、配置、功能（基础、扩展升级、软件等）、技术路线</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原理、核心等）[根据设计方案、产品或组件</w:t>
            </w:r>
            <w:r>
              <w:rPr>
                <w:rFonts w:hint="eastAsia" w:ascii="仿宋" w:hAnsi="仿宋" w:eastAsia="仿宋" w:cs="仿宋"/>
                <w:b w:val="0"/>
                <w:bCs w:val="0"/>
                <w:sz w:val="21"/>
                <w:szCs w:val="21"/>
                <w:highlight w:val="none"/>
              </w:rPr>
              <w:t>制造商公开发布的印刷资料（官网材料、彩页、Datasheet）或由有关政府部门或检测机构合法出具的文件或报告、</w:t>
            </w:r>
            <w:r>
              <w:rPr>
                <w:rFonts w:hint="eastAsia" w:ascii="仿宋" w:hAnsi="仿宋" w:eastAsia="仿宋" w:cs="仿宋"/>
                <w:b w:val="0"/>
                <w:bCs w:val="0"/>
                <w:sz w:val="21"/>
                <w:szCs w:val="21"/>
                <w:highlight w:val="none"/>
                <w:lang w:val="en-US" w:eastAsia="zh-CN"/>
              </w:rPr>
              <w:t>配置清单、功能界面（含软件）截图等评审]、</w:t>
            </w:r>
            <w:r>
              <w:rPr>
                <w:rFonts w:hint="eastAsia" w:ascii="仿宋" w:hAnsi="仿宋" w:eastAsia="仿宋" w:cs="仿宋"/>
                <w:color w:val="auto"/>
                <w:sz w:val="21"/>
                <w:szCs w:val="21"/>
                <w:highlight w:val="none"/>
                <w:lang w:eastAsia="zh-CN"/>
              </w:rPr>
              <w:t>安装调试</w:t>
            </w:r>
            <w:r>
              <w:rPr>
                <w:rFonts w:hint="eastAsia" w:ascii="仿宋" w:hAnsi="仿宋" w:eastAsia="仿宋" w:cs="仿宋"/>
                <w:color w:val="auto"/>
                <w:sz w:val="21"/>
                <w:szCs w:val="21"/>
                <w:highlight w:val="none"/>
              </w:rPr>
              <w:t>方法或</w:t>
            </w:r>
            <w:r>
              <w:rPr>
                <w:rFonts w:hint="eastAsia" w:ascii="仿宋" w:hAnsi="仿宋" w:eastAsia="仿宋" w:cs="仿宋"/>
                <w:color w:val="auto"/>
                <w:sz w:val="21"/>
                <w:szCs w:val="21"/>
                <w:highlight w:val="none"/>
                <w:lang w:eastAsia="zh-CN"/>
              </w:rPr>
              <w:t>方案、</w:t>
            </w:r>
            <w:r>
              <w:rPr>
                <w:rFonts w:hint="eastAsia" w:ascii="仿宋" w:hAnsi="仿宋" w:eastAsia="仿宋" w:cs="仿宋"/>
                <w:b w:val="0"/>
                <w:bCs w:val="0"/>
                <w:sz w:val="21"/>
                <w:szCs w:val="21"/>
                <w:highlight w:val="none"/>
                <w:lang w:eastAsia="zh-CN"/>
              </w:rPr>
              <w:t>日常运行</w:t>
            </w:r>
            <w:r>
              <w:rPr>
                <w:rFonts w:hint="eastAsia" w:ascii="仿宋" w:hAnsi="仿宋" w:eastAsia="仿宋" w:cs="仿宋"/>
                <w:b w:val="0"/>
                <w:bCs w:val="0"/>
                <w:sz w:val="21"/>
                <w:szCs w:val="21"/>
                <w:highlight w:val="none"/>
                <w:lang w:val="en-US" w:eastAsia="zh-CN"/>
              </w:rPr>
              <w:t>及</w:t>
            </w:r>
            <w:r>
              <w:rPr>
                <w:rFonts w:hint="eastAsia" w:ascii="仿宋" w:hAnsi="仿宋" w:eastAsia="仿宋" w:cs="仿宋"/>
                <w:b w:val="0"/>
                <w:bCs w:val="0"/>
                <w:sz w:val="21"/>
                <w:szCs w:val="21"/>
                <w:highlight w:val="none"/>
                <w:lang w:eastAsia="zh-CN"/>
              </w:rPr>
              <w:t>保养方案</w:t>
            </w:r>
            <w:r>
              <w:rPr>
                <w:rFonts w:hint="eastAsia" w:ascii="仿宋" w:hAnsi="仿宋" w:eastAsia="仿宋" w:cs="仿宋"/>
                <w:b w:val="0"/>
                <w:bCs w:val="0"/>
                <w:sz w:val="21"/>
                <w:szCs w:val="21"/>
                <w:highlight w:val="none"/>
                <w:lang w:val="en-US" w:eastAsia="zh-CN"/>
              </w:rPr>
              <w:t>：专业、全面、详尽、</w:t>
            </w:r>
            <w:r>
              <w:rPr>
                <w:rFonts w:hint="eastAsia" w:ascii="仿宋" w:hAnsi="仿宋" w:eastAsia="仿宋" w:cs="仿宋"/>
                <w:b w:val="0"/>
                <w:bCs w:val="0"/>
                <w:sz w:val="21"/>
                <w:szCs w:val="21"/>
                <w:highlight w:val="none"/>
              </w:rPr>
              <w:t>针对采购需求及实际特点</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对教学有实质性辅助提升、</w:t>
            </w:r>
            <w:r>
              <w:rPr>
                <w:rFonts w:hint="eastAsia" w:ascii="仿宋" w:hAnsi="仿宋" w:eastAsia="仿宋" w:cs="仿宋"/>
                <w:b w:val="0"/>
                <w:bCs w:val="0"/>
                <w:color w:val="auto"/>
                <w:szCs w:val="21"/>
                <w:highlight w:val="none"/>
                <w:lang w:val="en-US" w:eastAsia="zh-CN"/>
              </w:rPr>
              <w:t>有利于产品验收及</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rPr>
            </w:pPr>
          </w:p>
        </w:tc>
        <w:tc>
          <w:tcPr>
            <w:tcW w:w="6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4</w:t>
            </w:r>
          </w:p>
        </w:tc>
        <w:tc>
          <w:tcPr>
            <w:tcW w:w="752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仿宋" w:hAnsi="仿宋" w:eastAsia="仿宋" w:cs="仿宋"/>
                <w:color w:val="auto"/>
                <w:szCs w:val="21"/>
                <w:highlight w:val="none"/>
                <w:lang w:val="en-US" w:eastAsia="zh-CN"/>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Cs w:val="21"/>
                <w:highlight w:val="none"/>
                <w:lang w:eastAsia="zh-CN"/>
              </w:rPr>
              <w:t>立体车库实训装置</w:t>
            </w:r>
            <w:r>
              <w:rPr>
                <w:rFonts w:hint="eastAsia" w:ascii="仿宋" w:hAnsi="仿宋" w:eastAsia="仿宋" w:cs="仿宋"/>
                <w:b w:val="0"/>
                <w:bCs w:val="0"/>
                <w:sz w:val="21"/>
                <w:szCs w:val="21"/>
                <w:highlight w:val="none"/>
                <w:lang w:val="en-US" w:eastAsia="zh-CN"/>
              </w:rPr>
              <w:t>结构（内部、外部等）、配置、功能（基础、扩展升级、软件等）、技术路线</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原理、核心等）[根据设计方案、产品或组件</w:t>
            </w:r>
            <w:r>
              <w:rPr>
                <w:rFonts w:hint="eastAsia" w:ascii="仿宋" w:hAnsi="仿宋" w:eastAsia="仿宋" w:cs="仿宋"/>
                <w:b w:val="0"/>
                <w:bCs w:val="0"/>
                <w:sz w:val="21"/>
                <w:szCs w:val="21"/>
                <w:highlight w:val="none"/>
              </w:rPr>
              <w:t>制造商公开发布的印刷资料（官网材料、彩页、Datasheet）或由有关政府部门或检测机构合法出具的文件或报告、</w:t>
            </w:r>
            <w:r>
              <w:rPr>
                <w:rFonts w:hint="eastAsia" w:ascii="仿宋" w:hAnsi="仿宋" w:eastAsia="仿宋" w:cs="仿宋"/>
                <w:b w:val="0"/>
                <w:bCs w:val="0"/>
                <w:sz w:val="21"/>
                <w:szCs w:val="21"/>
                <w:highlight w:val="none"/>
                <w:lang w:val="en-US" w:eastAsia="zh-CN"/>
              </w:rPr>
              <w:t>配置清单、功能界面（含软件）截图等评审]、</w:t>
            </w:r>
            <w:r>
              <w:rPr>
                <w:rFonts w:hint="eastAsia" w:ascii="仿宋" w:hAnsi="仿宋" w:eastAsia="仿宋" w:cs="仿宋"/>
                <w:color w:val="auto"/>
                <w:sz w:val="21"/>
                <w:szCs w:val="21"/>
                <w:highlight w:val="none"/>
                <w:lang w:eastAsia="zh-CN"/>
              </w:rPr>
              <w:t>安装调试</w:t>
            </w:r>
            <w:r>
              <w:rPr>
                <w:rFonts w:hint="eastAsia" w:ascii="仿宋" w:hAnsi="仿宋" w:eastAsia="仿宋" w:cs="仿宋"/>
                <w:color w:val="auto"/>
                <w:sz w:val="21"/>
                <w:szCs w:val="21"/>
                <w:highlight w:val="none"/>
              </w:rPr>
              <w:t>方法或</w:t>
            </w:r>
            <w:r>
              <w:rPr>
                <w:rFonts w:hint="eastAsia" w:ascii="仿宋" w:hAnsi="仿宋" w:eastAsia="仿宋" w:cs="仿宋"/>
                <w:color w:val="auto"/>
                <w:sz w:val="21"/>
                <w:szCs w:val="21"/>
                <w:highlight w:val="none"/>
                <w:lang w:eastAsia="zh-CN"/>
              </w:rPr>
              <w:t>方案、</w:t>
            </w:r>
            <w:r>
              <w:rPr>
                <w:rFonts w:hint="eastAsia" w:ascii="仿宋" w:hAnsi="仿宋" w:eastAsia="仿宋" w:cs="仿宋"/>
                <w:b w:val="0"/>
                <w:bCs w:val="0"/>
                <w:sz w:val="21"/>
                <w:szCs w:val="21"/>
                <w:highlight w:val="none"/>
                <w:lang w:eastAsia="zh-CN"/>
              </w:rPr>
              <w:t>日常运行</w:t>
            </w:r>
            <w:r>
              <w:rPr>
                <w:rFonts w:hint="eastAsia" w:ascii="仿宋" w:hAnsi="仿宋" w:eastAsia="仿宋" w:cs="仿宋"/>
                <w:b w:val="0"/>
                <w:bCs w:val="0"/>
                <w:sz w:val="21"/>
                <w:szCs w:val="21"/>
                <w:highlight w:val="none"/>
                <w:lang w:val="en-US" w:eastAsia="zh-CN"/>
              </w:rPr>
              <w:t>及</w:t>
            </w:r>
            <w:r>
              <w:rPr>
                <w:rFonts w:hint="eastAsia" w:ascii="仿宋" w:hAnsi="仿宋" w:eastAsia="仿宋" w:cs="仿宋"/>
                <w:b w:val="0"/>
                <w:bCs w:val="0"/>
                <w:sz w:val="21"/>
                <w:szCs w:val="21"/>
                <w:highlight w:val="none"/>
                <w:lang w:eastAsia="zh-CN"/>
              </w:rPr>
              <w:t>保养方案</w:t>
            </w:r>
            <w:r>
              <w:rPr>
                <w:rFonts w:hint="eastAsia" w:ascii="仿宋" w:hAnsi="仿宋" w:eastAsia="仿宋" w:cs="仿宋"/>
                <w:b w:val="0"/>
                <w:bCs w:val="0"/>
                <w:sz w:val="21"/>
                <w:szCs w:val="21"/>
                <w:highlight w:val="none"/>
                <w:lang w:val="en-US" w:eastAsia="zh-CN"/>
              </w:rPr>
              <w:t>：专业、全面、详尽、</w:t>
            </w:r>
            <w:r>
              <w:rPr>
                <w:rFonts w:hint="eastAsia" w:ascii="仿宋" w:hAnsi="仿宋" w:eastAsia="仿宋" w:cs="仿宋"/>
                <w:b w:val="0"/>
                <w:bCs w:val="0"/>
                <w:sz w:val="21"/>
                <w:szCs w:val="21"/>
                <w:highlight w:val="none"/>
              </w:rPr>
              <w:t>针对采购需求及实际特点</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对教学有实质性辅助提升、</w:t>
            </w:r>
            <w:r>
              <w:rPr>
                <w:rFonts w:hint="eastAsia" w:ascii="仿宋" w:hAnsi="仿宋" w:eastAsia="仿宋" w:cs="仿宋"/>
                <w:b w:val="0"/>
                <w:bCs w:val="0"/>
                <w:color w:val="auto"/>
                <w:szCs w:val="21"/>
                <w:highlight w:val="none"/>
                <w:lang w:val="en-US" w:eastAsia="zh-CN"/>
              </w:rPr>
              <w:t>有利于产品验收及</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技术培训</w:t>
            </w:r>
          </w:p>
        </w:tc>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2</w:t>
            </w:r>
          </w:p>
        </w:tc>
        <w:tc>
          <w:tcPr>
            <w:tcW w:w="7525" w:type="dxa"/>
            <w:vAlign w:val="center"/>
          </w:tcPr>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 w:val="21"/>
                <w:szCs w:val="21"/>
                <w:highlight w:val="none"/>
              </w:rPr>
              <w:t>培训计划</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包括培训流程、培训方式、培训对象、培训内容、培训日程等</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全面、针对采购需求及实际特点</w:t>
            </w:r>
            <w:r>
              <w:rPr>
                <w:rFonts w:hint="eastAsia" w:ascii="仿宋" w:hAnsi="仿宋" w:eastAsia="仿宋" w:cs="仿宋"/>
                <w:sz w:val="21"/>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产品验收及日常运行</w:t>
            </w:r>
            <w:r>
              <w:rPr>
                <w:rFonts w:hint="eastAsia" w:ascii="仿宋" w:hAnsi="仿宋" w:eastAsia="仿宋" w:cs="仿宋"/>
                <w:b/>
                <w:bCs/>
                <w:sz w:val="21"/>
                <w:szCs w:val="21"/>
                <w:highlight w:val="none"/>
                <w:lang w:val="en-US" w:eastAsia="zh-CN"/>
              </w:rPr>
              <w:t>（评分范围:2,1.5,1,0.5,0）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售后服务</w:t>
            </w:r>
          </w:p>
        </w:tc>
        <w:tc>
          <w:tcPr>
            <w:tcW w:w="6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sz w:val="21"/>
                <w:szCs w:val="21"/>
                <w:highlight w:val="none"/>
                <w:lang w:val="en-US" w:eastAsia="zh-CN"/>
              </w:rPr>
              <w:t>2</w:t>
            </w:r>
          </w:p>
        </w:tc>
        <w:tc>
          <w:tcPr>
            <w:tcW w:w="7525" w:type="dxa"/>
            <w:vAlign w:val="center"/>
          </w:tcPr>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color w:val="auto"/>
                <w:szCs w:val="21"/>
                <w:highlight w:val="none"/>
              </w:rPr>
            </w:pPr>
            <w:r>
              <w:rPr>
                <w:rFonts w:hint="eastAsia" w:ascii="仿宋" w:hAnsi="仿宋" w:eastAsia="仿宋" w:cs="仿宋"/>
                <w:b/>
                <w:bCs/>
                <w:sz w:val="21"/>
                <w:szCs w:val="21"/>
                <w:highlight w:val="none"/>
                <w:lang w:val="en-US" w:eastAsia="zh-CN"/>
              </w:rPr>
              <w:t>[</w:t>
            </w:r>
            <w:r>
              <w:rPr>
                <w:rFonts w:hint="eastAsia" w:ascii="仿宋" w:hAnsi="仿宋" w:eastAsia="仿宋" w:cs="仿宋"/>
                <w:b/>
                <w:bCs/>
                <w:sz w:val="21"/>
                <w:szCs w:val="21"/>
                <w:highlight w:val="none"/>
              </w:rPr>
              <w:t>主观分</w:t>
            </w:r>
            <w:r>
              <w:rPr>
                <w:rFonts w:hint="eastAsia" w:ascii="仿宋" w:hAnsi="仿宋" w:eastAsia="仿宋" w:cs="仿宋"/>
                <w:b/>
                <w:bCs/>
                <w:sz w:val="21"/>
                <w:szCs w:val="21"/>
                <w:highlight w:val="none"/>
                <w:lang w:val="en-US" w:eastAsia="zh-CN"/>
              </w:rPr>
              <w:t>]</w:t>
            </w:r>
            <w:r>
              <w:rPr>
                <w:rFonts w:hint="eastAsia" w:ascii="仿宋" w:hAnsi="仿宋" w:eastAsia="仿宋" w:cs="仿宋"/>
                <w:sz w:val="21"/>
                <w:szCs w:val="21"/>
                <w:highlight w:val="none"/>
              </w:rPr>
              <w:t>售后服务方案</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包括</w:t>
            </w:r>
            <w:r>
              <w:rPr>
                <w:rFonts w:hint="eastAsia" w:ascii="仿宋" w:hAnsi="仿宋" w:eastAsia="仿宋" w:cs="仿宋"/>
                <w:sz w:val="21"/>
                <w:szCs w:val="21"/>
                <w:highlight w:val="none"/>
                <w:lang w:eastAsia="zh-CN"/>
              </w:rPr>
              <w:t>服务机构、服务内容、服务承诺</w:t>
            </w:r>
            <w:r>
              <w:rPr>
                <w:rFonts w:hint="eastAsia" w:ascii="仿宋" w:hAnsi="仿宋" w:eastAsia="仿宋" w:cs="仿宋"/>
                <w:sz w:val="21"/>
                <w:szCs w:val="21"/>
                <w:highlight w:val="none"/>
              </w:rPr>
              <w:t>、响应时间、服务方式、人员配备</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应急服务等</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全面、针对采购需求及实际特点</w:t>
            </w:r>
            <w:r>
              <w:rPr>
                <w:rFonts w:hint="eastAsia" w:ascii="仿宋" w:hAnsi="仿宋" w:eastAsia="仿宋" w:cs="仿宋"/>
                <w:sz w:val="21"/>
                <w:szCs w:val="21"/>
                <w:highlight w:val="none"/>
                <w:lang w:eastAsia="zh-CN"/>
              </w:rPr>
              <w:t>、</w:t>
            </w:r>
            <w:r>
              <w:rPr>
                <w:rFonts w:hint="eastAsia" w:ascii="仿宋" w:hAnsi="仿宋" w:eastAsia="仿宋" w:cs="仿宋"/>
                <w:color w:val="auto"/>
                <w:szCs w:val="21"/>
                <w:highlight w:val="none"/>
                <w:lang w:val="en-US" w:eastAsia="zh-CN"/>
              </w:rPr>
              <w:t>有利于产品</w:t>
            </w:r>
            <w:r>
              <w:rPr>
                <w:rFonts w:hint="eastAsia" w:ascii="仿宋" w:hAnsi="仿宋" w:eastAsia="仿宋" w:cs="仿宋"/>
                <w:b w:val="0"/>
                <w:bCs w:val="0"/>
                <w:color w:val="000000" w:themeColor="text1"/>
                <w:szCs w:val="21"/>
                <w:highlight w:val="none"/>
                <w:lang w:val="en-US" w:eastAsia="zh-CN"/>
                <w14:textFill>
                  <w14:solidFill>
                    <w14:schemeClr w14:val="tx1"/>
                  </w14:solidFill>
                </w14:textFill>
              </w:rPr>
              <w:t>日常运行</w:t>
            </w:r>
            <w:r>
              <w:rPr>
                <w:rFonts w:hint="eastAsia" w:ascii="仿宋" w:hAnsi="仿宋" w:eastAsia="仿宋" w:cs="仿宋"/>
                <w:b/>
                <w:bCs/>
                <w:sz w:val="21"/>
                <w:szCs w:val="21"/>
                <w:highlight w:val="none"/>
                <w:lang w:val="en-US" w:eastAsia="zh-CN"/>
              </w:rPr>
              <w:t>（评分范围:2,1.5,1,0.5,0）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仿宋" w:hAnsi="仿宋" w:eastAsia="仿宋" w:cs="仿宋"/>
                <w:b/>
                <w:bCs/>
                <w:color w:val="auto"/>
                <w:szCs w:val="21"/>
                <w:highlight w:val="none"/>
              </w:rPr>
            </w:pPr>
          </w:p>
        </w:tc>
        <w:tc>
          <w:tcPr>
            <w:tcW w:w="665"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szCs w:val="21"/>
                <w:highlight w:val="none"/>
                <w:lang w:val="en-US" w:eastAsia="zh-CN"/>
              </w:rPr>
              <w:t>1</w:t>
            </w:r>
          </w:p>
        </w:tc>
        <w:tc>
          <w:tcPr>
            <w:tcW w:w="7525" w:type="dxa"/>
            <w:vAlign w:val="center"/>
          </w:tcPr>
          <w:p>
            <w:pPr>
              <w:rPr>
                <w:rFonts w:ascii="仿宋" w:hAnsi="仿宋" w:eastAsia="仿宋" w:cs="仿宋"/>
                <w:color w:val="auto"/>
                <w:szCs w:val="21"/>
                <w:highlight w:val="none"/>
              </w:rPr>
            </w:pPr>
            <w:r>
              <w:rPr>
                <w:rFonts w:hint="eastAsia" w:ascii="仿宋" w:hAnsi="仿宋" w:eastAsia="仿宋" w:cs="仿宋"/>
                <w:b/>
                <w:bCs/>
                <w:szCs w:val="21"/>
                <w:highlight w:val="none"/>
                <w:lang w:val="en-US" w:eastAsia="zh-CN"/>
              </w:rPr>
              <w:t>[</w:t>
            </w:r>
            <w:r>
              <w:rPr>
                <w:rFonts w:hint="eastAsia" w:ascii="仿宋" w:hAnsi="仿宋" w:eastAsia="仿宋" w:cs="仿宋"/>
                <w:b/>
                <w:bCs/>
                <w:szCs w:val="21"/>
                <w:highlight w:val="none"/>
              </w:rPr>
              <w:t>主观分</w:t>
            </w:r>
            <w:r>
              <w:rPr>
                <w:rFonts w:hint="eastAsia" w:ascii="仿宋" w:hAnsi="仿宋" w:eastAsia="仿宋" w:cs="仿宋"/>
                <w:b/>
                <w:bCs/>
                <w:szCs w:val="21"/>
                <w:highlight w:val="none"/>
                <w:lang w:val="en-US" w:eastAsia="zh-CN"/>
              </w:rPr>
              <w:t>]</w:t>
            </w:r>
            <w:r>
              <w:rPr>
                <w:rFonts w:hint="eastAsia" w:ascii="仿宋" w:hAnsi="仿宋" w:eastAsia="仿宋" w:cs="仿宋"/>
                <w:b w:val="0"/>
                <w:bCs w:val="0"/>
                <w:szCs w:val="21"/>
                <w:highlight w:val="none"/>
                <w:lang w:val="en-US" w:eastAsia="zh-CN"/>
              </w:rPr>
              <w:t>随机标准附件、备品备件、专用检修工具等</w:t>
            </w:r>
            <w:r>
              <w:rPr>
                <w:rFonts w:hint="eastAsia" w:ascii="仿宋" w:hAnsi="仿宋" w:eastAsia="仿宋" w:cs="仿宋"/>
                <w:b w:val="0"/>
                <w:bCs w:val="0"/>
                <w:szCs w:val="21"/>
                <w:highlight w:val="none"/>
              </w:rPr>
              <w:t>准备和保障措施</w:t>
            </w:r>
            <w:r>
              <w:rPr>
                <w:rFonts w:hint="eastAsia" w:ascii="仿宋" w:hAnsi="仿宋" w:eastAsia="仿宋" w:cs="仿宋"/>
                <w:b w:val="0"/>
                <w:bCs w:val="0"/>
                <w:szCs w:val="21"/>
                <w:highlight w:val="none"/>
                <w:lang w:val="en-US" w:eastAsia="zh-CN"/>
              </w:rPr>
              <w:t>及所需选配件、维修配件、易耗件、年度运行维护费用购买折扣：措施充分、折扣力度大且合理</w:t>
            </w:r>
            <w:r>
              <w:rPr>
                <w:rFonts w:hint="eastAsia" w:ascii="仿宋" w:hAnsi="仿宋" w:eastAsia="仿宋" w:cs="仿宋"/>
                <w:b/>
                <w:bCs/>
                <w:sz w:val="21"/>
                <w:szCs w:val="21"/>
                <w:highlight w:val="none"/>
                <w:lang w:val="en-US" w:eastAsia="zh-CN"/>
              </w:rPr>
              <w:t>（评分范围:1,0.5,0.25,0）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样品</w:t>
            </w: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default" w:ascii="仿宋" w:hAnsi="仿宋" w:eastAsia="仿宋" w:cs="仿宋"/>
                <w:b/>
                <w:bCs/>
                <w:szCs w:val="21"/>
                <w:highlight w:val="none"/>
                <w:lang w:val="en-US" w:eastAsia="zh-CN"/>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color w:val="auto"/>
                <w:szCs w:val="21"/>
                <w:highlight w:val="none"/>
              </w:rPr>
              <w:t>PLC模组</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color w:val="auto"/>
                <w:szCs w:val="21"/>
                <w:highlight w:val="none"/>
              </w:rPr>
              <w:t>数模逻辑给定模组</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b w:val="0"/>
                <w:bCs w:val="0"/>
                <w:color w:val="auto"/>
                <w:szCs w:val="21"/>
                <w:highlight w:val="none"/>
              </w:rPr>
              <w:t>实验连接线</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color w:val="auto"/>
                <w:szCs w:val="21"/>
                <w:highlight w:val="none"/>
                <w:lang w:val="en-US" w:eastAsia="zh-CN"/>
              </w:rPr>
            </w:pPr>
          </w:p>
        </w:tc>
        <w:tc>
          <w:tcPr>
            <w:tcW w:w="665" w:type="dxa"/>
            <w:vAlign w:val="center"/>
          </w:tcPr>
          <w:p>
            <w:pPr>
              <w:jc w:val="center"/>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2</w:t>
            </w:r>
          </w:p>
        </w:tc>
        <w:tc>
          <w:tcPr>
            <w:tcW w:w="7525" w:type="dxa"/>
            <w:vAlign w:val="center"/>
          </w:tcPr>
          <w:p>
            <w:pP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color w:val="auto"/>
                <w:szCs w:val="21"/>
                <w:highlight w:val="none"/>
                <w:lang w:val="en-US" w:eastAsia="zh-CN"/>
              </w:rPr>
              <w:t>[客观分]</w:t>
            </w:r>
            <w:r>
              <w:rPr>
                <w:rFonts w:hint="eastAsia" w:ascii="仿宋" w:hAnsi="仿宋" w:eastAsia="仿宋" w:cs="仿宋"/>
                <w:b w:val="0"/>
                <w:bCs w:val="0"/>
                <w:color w:val="auto"/>
                <w:szCs w:val="21"/>
                <w:highlight w:val="none"/>
                <w:lang w:val="en-US" w:eastAsia="zh-CN"/>
              </w:rPr>
              <w:t>材料分拣实训装置</w:t>
            </w:r>
            <w:r>
              <w:rPr>
                <w:rFonts w:hint="eastAsia" w:ascii="仿宋" w:hAnsi="仿宋" w:eastAsia="仿宋" w:cs="仿宋"/>
                <w:b w:val="0"/>
                <w:bCs w:val="0"/>
                <w:color w:val="auto"/>
                <w:szCs w:val="21"/>
                <w:highlight w:val="none"/>
              </w:rPr>
              <w:t>接线端子</w:t>
            </w:r>
            <w:r>
              <w:rPr>
                <w:rFonts w:hint="eastAsia" w:ascii="仿宋" w:hAnsi="仿宋" w:eastAsia="仿宋" w:cs="仿宋"/>
                <w:b w:val="0"/>
                <w:bCs w:val="0"/>
                <w:color w:val="auto"/>
                <w:szCs w:val="21"/>
                <w:highlight w:val="none"/>
                <w:lang w:val="en-US" w:eastAsia="zh-CN"/>
              </w:rPr>
              <w:t>样品：满足采购需求2分、不满足或部分满足0分，未提供样品投标无效。</w:t>
            </w:r>
          </w:p>
        </w:tc>
      </w:tr>
    </w:tbl>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ascii="仿宋" w:hAnsi="仿宋" w:eastAsia="仿宋" w:cs="仿宋"/>
          <w:b/>
          <w:color w:val="auto"/>
          <w:sz w:val="18"/>
          <w:szCs w:val="18"/>
          <w:highlight w:val="none"/>
        </w:rPr>
      </w:pPr>
    </w:p>
    <w:p>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ascii="仿宋" w:hAnsi="仿宋" w:eastAsia="仿宋" w:cs="仿宋"/>
          <w:b/>
          <w:color w:val="auto"/>
          <w:sz w:val="18"/>
          <w:szCs w:val="18"/>
          <w:highlight w:val="none"/>
        </w:rPr>
      </w:pPr>
      <w:r>
        <w:rPr>
          <w:rFonts w:hint="eastAsia" w:ascii="仿宋" w:hAnsi="仿宋" w:eastAsia="仿宋" w:cs="仿宋"/>
          <w:b/>
          <w:bCs/>
          <w:color w:val="auto"/>
          <w:spacing w:val="-6"/>
          <w:sz w:val="18"/>
          <w:szCs w:val="18"/>
          <w:highlight w:val="none"/>
        </w:rPr>
        <w:t>说明：本项目专门面向中小企业采购，不再执行价格评审优惠的扶持政策。</w:t>
      </w:r>
    </w:p>
    <w:p>
      <w:pPr>
        <w:widowControl/>
        <w:adjustRightInd w:val="0"/>
        <w:snapToGrid w:val="0"/>
        <w:spacing w:line="288" w:lineRule="auto"/>
        <w:ind w:left="0" w:leftChars="0" w:right="0" w:rightChars="0" w:firstLine="0" w:firstLineChars="0"/>
        <w:jc w:val="center"/>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288" w:lineRule="auto"/>
        <w:ind w:left="0" w:leftChars="0" w:right="0" w:rightChars="0" w:firstLine="0" w:firstLineChars="0"/>
        <w:jc w:val="center"/>
        <w:outlineLvl w:val="0"/>
        <w:rPr>
          <w:rFonts w:ascii="仿宋" w:hAnsi="仿宋" w:eastAsia="仿宋" w:cs="仿宋"/>
          <w:color w:val="auto"/>
          <w:kern w:val="0"/>
          <w:sz w:val="32"/>
          <w:szCs w:val="32"/>
          <w:highlight w:val="none"/>
        </w:rPr>
      </w:pPr>
      <w:r>
        <w:rPr>
          <w:rFonts w:hint="eastAsia" w:ascii="仿宋" w:hAnsi="仿宋" w:eastAsia="仿宋" w:cs="仿宋"/>
          <w:b/>
          <w:color w:val="auto"/>
          <w:sz w:val="32"/>
          <w:szCs w:val="32"/>
          <w:highlight w:val="none"/>
        </w:rPr>
        <w:t>第五章  拟签订的合同文本</w:t>
      </w:r>
    </w:p>
    <w:p>
      <w:pPr>
        <w:spacing w:line="288" w:lineRule="auto"/>
        <w:ind w:left="0" w:leftChars="0" w:right="0" w:rightChars="0" w:firstLine="0" w:firstLineChars="0"/>
        <w:jc w:val="center"/>
        <w:outlineLvl w:val="1"/>
        <w:rPr>
          <w:rFonts w:hint="eastAsia" w:ascii="仿宋" w:hAnsi="仿宋" w:eastAsia="仿宋" w:cs="仿宋"/>
          <w:color w:val="auto"/>
          <w:spacing w:val="-6"/>
          <w:sz w:val="24"/>
          <w:highlight w:val="none"/>
          <w:lang w:eastAsia="zh-CN"/>
        </w:rPr>
      </w:pPr>
      <w:r>
        <w:rPr>
          <w:rFonts w:hint="eastAsia" w:ascii="仿宋" w:hAnsi="仿宋" w:eastAsia="仿宋" w:cs="仿宋"/>
          <w:b/>
          <w:color w:val="auto"/>
          <w:spacing w:val="-6"/>
          <w:sz w:val="24"/>
          <w:highlight w:val="none"/>
        </w:rPr>
        <w:t>浙江工业大学采购合同</w:t>
      </w:r>
    </w:p>
    <w:p>
      <w:pPr>
        <w:spacing w:line="288" w:lineRule="auto"/>
        <w:ind w:left="0" w:leftChars="0" w:right="0" w:rightChars="0" w:firstLine="0" w:firstLineChars="0"/>
        <w:jc w:val="center"/>
        <w:rPr>
          <w:rFonts w:ascii="仿宋" w:hAnsi="仿宋" w:eastAsia="仿宋" w:cs="仿宋"/>
          <w:color w:val="auto"/>
          <w:spacing w:val="-6"/>
          <w:szCs w:val="21"/>
          <w:highlight w:val="none"/>
        </w:rPr>
      </w:pPr>
      <w:r>
        <w:rPr>
          <w:rFonts w:hint="eastAsia" w:ascii="仿宋" w:hAnsi="仿宋" w:eastAsia="仿宋" w:cs="仿宋"/>
          <w:spacing w:val="-6"/>
          <w:sz w:val="18"/>
          <w:szCs w:val="18"/>
          <w:highlight w:val="none"/>
        </w:rPr>
        <w:t>（本合同为合同样稿，最终稿由甲乙丙三方协商后确定，合同实质性内容不得更改；签订合同时删除此行）</w:t>
      </w:r>
    </w:p>
    <w:p>
      <w:pPr>
        <w:keepNext w:val="0"/>
        <w:keepLines w:val="0"/>
        <w:pageBreakBefore w:val="0"/>
        <w:widowControl w:val="0"/>
        <w:kinsoku/>
        <w:wordWrap/>
        <w:overflowPunct/>
        <w:topLinePunct w:val="0"/>
        <w:autoSpaceDE/>
        <w:autoSpaceDN/>
        <w:bidi w:val="0"/>
        <w:adjustRightInd/>
        <w:snapToGrid/>
        <w:spacing w:line="288" w:lineRule="auto"/>
        <w:ind w:firstLine="5880" w:firstLineChars="28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项目编号：</w:t>
      </w:r>
      <w:r>
        <w:rPr>
          <w:rFonts w:hint="eastAsia" w:ascii="仿宋" w:hAnsi="仿宋" w:eastAsia="仿宋" w:cs="仿宋"/>
          <w:color w:val="auto"/>
          <w:szCs w:val="21"/>
          <w:highlight w:val="none"/>
          <w:lang w:eastAsia="zh-CN"/>
        </w:rPr>
        <w:t>QSZB-Z(H)-H24238(GK)</w:t>
      </w:r>
    </w:p>
    <w:p>
      <w:pPr>
        <w:keepNext w:val="0"/>
        <w:keepLines w:val="0"/>
        <w:pageBreakBefore w:val="0"/>
        <w:widowControl w:val="0"/>
        <w:kinsoku/>
        <w:wordWrap/>
        <w:overflowPunct/>
        <w:topLinePunct w:val="0"/>
        <w:autoSpaceDE/>
        <w:autoSpaceDN/>
        <w:bidi w:val="0"/>
        <w:adjustRightInd/>
        <w:snapToGrid/>
        <w:spacing w:line="288" w:lineRule="auto"/>
        <w:ind w:firstLine="5880" w:firstLineChars="2800"/>
        <w:textAlignment w:val="auto"/>
        <w:rPr>
          <w:rFonts w:ascii="仿宋" w:hAnsi="仿宋" w:eastAsia="仿宋" w:cs="仿宋"/>
          <w:color w:val="auto"/>
          <w:szCs w:val="21"/>
          <w:highlight w:val="none"/>
        </w:rPr>
      </w:pPr>
      <w:r>
        <w:rPr>
          <w:rFonts w:hint="eastAsia" w:ascii="仿宋" w:hAnsi="仿宋" w:eastAsia="仿宋" w:cs="仿宋"/>
          <w:color w:val="auto"/>
          <w:szCs w:val="21"/>
          <w:highlight w:val="none"/>
        </w:rPr>
        <w:t>确认书号：</w:t>
      </w:r>
      <w:r>
        <w:rPr>
          <w:rFonts w:hint="eastAsia" w:ascii="仿宋" w:hAnsi="仿宋" w:eastAsia="仿宋" w:cs="仿宋"/>
          <w:color w:val="auto"/>
          <w:szCs w:val="21"/>
          <w:highlight w:val="none"/>
          <w:lang w:eastAsia="zh-CN"/>
        </w:rPr>
        <w:t>[2024]42019</w:t>
      </w:r>
      <w:r>
        <w:rPr>
          <w:rFonts w:hint="eastAsia" w:ascii="仿宋" w:hAnsi="仿宋" w:eastAsia="仿宋" w:cs="仿宋"/>
          <w:color w:val="auto"/>
          <w:szCs w:val="21"/>
          <w:highlight w:val="none"/>
        </w:rPr>
        <w:t>号</w:t>
      </w:r>
    </w:p>
    <w:p>
      <w:pPr>
        <w:keepNext w:val="0"/>
        <w:keepLines w:val="0"/>
        <w:pageBreakBefore w:val="0"/>
        <w:widowControl w:val="0"/>
        <w:kinsoku/>
        <w:wordWrap/>
        <w:overflowPunct/>
        <w:topLinePunct w:val="0"/>
        <w:autoSpaceDE/>
        <w:autoSpaceDN/>
        <w:bidi w:val="0"/>
        <w:adjustRightInd/>
        <w:snapToGrid/>
        <w:spacing w:line="288" w:lineRule="auto"/>
        <w:ind w:firstLine="5880" w:firstLineChars="2800"/>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委托编号：ZJGDZC（W）-</w:t>
      </w:r>
      <w:r>
        <w:rPr>
          <w:rFonts w:hint="eastAsia" w:ascii="仿宋" w:hAnsi="仿宋" w:eastAsia="仿宋" w:cs="仿宋"/>
          <w:color w:val="auto"/>
          <w:szCs w:val="21"/>
          <w:highlight w:val="none"/>
          <w:lang w:eastAsia="zh-CN"/>
        </w:rPr>
        <w:t>202</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-QS</w:t>
      </w:r>
      <w:r>
        <w:rPr>
          <w:rFonts w:hint="eastAsia" w:ascii="仿宋" w:hAnsi="仿宋" w:eastAsia="仿宋" w:cs="仿宋"/>
          <w:color w:val="auto"/>
          <w:szCs w:val="21"/>
          <w:highlight w:val="none"/>
          <w:lang w:val="en-US" w:eastAsia="zh-CN"/>
        </w:rPr>
        <w:t>049</w:t>
      </w:r>
    </w:p>
    <w:p>
      <w:pPr>
        <w:spacing w:line="288"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项目名称：</w:t>
      </w:r>
      <w:r>
        <w:rPr>
          <w:rFonts w:hint="eastAsia" w:ascii="仿宋" w:hAnsi="仿宋" w:eastAsia="仿宋" w:cs="仿宋"/>
          <w:color w:val="auto"/>
          <w:szCs w:val="21"/>
          <w:highlight w:val="none"/>
          <w:lang w:eastAsia="zh-CN"/>
        </w:rPr>
        <w:t>浙江工业大学电工综合实训考核设备等</w:t>
      </w:r>
    </w:p>
    <w:p>
      <w:pPr>
        <w:spacing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甲方（采购方）：浙江工业大学</w:t>
      </w:r>
    </w:p>
    <w:p>
      <w:pPr>
        <w:spacing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乙方（供应方）：</w:t>
      </w:r>
    </w:p>
    <w:p>
      <w:pPr>
        <w:spacing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丙方（使用方）：</w:t>
      </w:r>
    </w:p>
    <w:p>
      <w:pPr>
        <w:spacing w:line="288" w:lineRule="auto"/>
        <w:rPr>
          <w:rFonts w:hint="eastAsia" w:ascii="仿宋" w:hAnsi="仿宋" w:eastAsia="仿宋" w:cs="仿宋"/>
          <w:bCs/>
          <w:color w:val="auto"/>
          <w:sz w:val="21"/>
          <w:szCs w:val="21"/>
          <w:highlight w:val="none"/>
        </w:rPr>
      </w:pPr>
      <w:r>
        <w:rPr>
          <w:rFonts w:hint="eastAsia" w:ascii="仿宋" w:hAnsi="仿宋" w:eastAsia="仿宋" w:cs="仿宋"/>
          <w:bCs/>
          <w:color w:val="auto"/>
          <w:spacing w:val="-6"/>
          <w:sz w:val="21"/>
          <w:szCs w:val="21"/>
          <w:highlight w:val="none"/>
        </w:rPr>
        <w:t>采购代理机构（鉴证方）：浙江求是招标代理有限公司</w:t>
      </w:r>
    </w:p>
    <w:p>
      <w:pPr>
        <w:spacing w:line="288"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甲、乙、丙三方根据浙江求是招标代理有限公司关于</w:t>
      </w:r>
      <w:r>
        <w:rPr>
          <w:rFonts w:hint="eastAsia" w:ascii="仿宋" w:hAnsi="仿宋" w:eastAsia="仿宋" w:cs="仿宋"/>
          <w:color w:val="auto"/>
          <w:sz w:val="21"/>
          <w:szCs w:val="21"/>
          <w:highlight w:val="none"/>
          <w:lang w:eastAsia="zh-CN"/>
        </w:rPr>
        <w:t>浙江工业大学电工综合实训考核设备等</w:t>
      </w:r>
      <w:r>
        <w:rPr>
          <w:rFonts w:hint="eastAsia" w:ascii="仿宋" w:hAnsi="仿宋" w:eastAsia="仿宋" w:cs="仿宋"/>
          <w:color w:val="auto"/>
          <w:sz w:val="21"/>
          <w:szCs w:val="21"/>
          <w:highlight w:val="none"/>
        </w:rPr>
        <w:t>项目公开招标的结果，签署本合同。</w:t>
      </w:r>
    </w:p>
    <w:p>
      <w:pPr>
        <w:spacing w:line="288"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一、货物内容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乙方保证本合同中所供应的国产商品是2024年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日以后生产的符合国家技术规格和质量标准的出厂原装合格产品。如发生所供商品与合同不符，甲方有权拒收或退货，由此产生的一切责任和后果由乙方承担。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1.货物名称：</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2.型号规格：</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3.技术参数：</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4.数量（单位）：</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（注：商品型号、数量、配置等要求等详见附件清单）</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二、合同金额</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本合同金额为人民币（大写）</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元（¥</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注：以上合同总价包括运抵各使用单位的运费及安装调试费等相关费用。</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三、技术资料</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1.乙方应向</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方提供使用货物的有关技术资料。</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四、知识产权</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乙方应保证所提供的货物或其任何一部分均不会侵犯任何第三方的知识产权。</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五、产权担保</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乙方保证所交付的货物所有权完全属于乙方且无任何抵押、查封等产权瑕疵。</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六、履约保证金</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1.比例：合同金额的1%，即人民币（大写）</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元（¥</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2.提交方式：支票、汇票、本票或者金融机构、担保机构出具的保函等非现金形式。</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3.提交时间：收到甲方发出的签订合同要约后7天内。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4.退还时间及条件：合同履约期间无违约情形的，项目经</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合格后甲方财务部门及时无息退还。如</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未通过，履约保证金不予退还。</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七、转包或分包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1.本合同范围的货物，应由乙方直接供应，不得转让他人供应。</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2.除非得到甲方的书面同意，乙方不得将本合同范围的货物全部或部分分包给他人供应。</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3.如有转让和未经甲方同意的分包行为，甲方有权解除合同，并追究乙方的违约责任。</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八、交货期、交货方式及交货地点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1.交货期：</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2.交货方式：</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3.交货地点：浙江工业大学丙方指定地点</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九、货款支付</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1.付款方式：合同生效以及具备实施条件后7个工作日内，甲方向乙方支付合同总价的40%作为预付款，合同货物送达</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指定地点，安装调试成功并经</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合格且收到乙方开具的增值税专用发票后，甲方于7个工作日内向乙方支付剩余合同价款。</w:t>
      </w:r>
    </w:p>
    <w:p>
      <w:pPr>
        <w:keepNext w:val="0"/>
        <w:keepLines w:val="0"/>
        <w:pageBreakBefore w:val="0"/>
        <w:widowControl w:val="0"/>
        <w:kinsoku/>
        <w:wordWrap/>
        <w:overflowPunct/>
        <w:topLinePunct w:val="0"/>
        <w:bidi w:val="0"/>
        <w:snapToGrid/>
        <w:spacing w:line="288" w:lineRule="auto"/>
        <w:ind w:left="0" w:leftChars="0" w:firstLine="361"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18"/>
          <w:szCs w:val="18"/>
          <w:highlight w:val="none"/>
        </w:rPr>
        <w:t>备注：在签订合同时，乙方明确表示无需预付款或主动要求降低预付款比例的，可降低预付款比例。</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2.当采购数量与实际使用数量不一致时，乙方应根据实际使用量供货，合同的最终结算金额按实际使用量乘以合同单价进行计算。</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十、税费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本合同执行中相关的一切税费均由乙方负担。</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十一、质量保证及售后服务</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1.乙方应按</w:t>
      </w:r>
      <w:bookmarkStart w:id="48" w:name="_Hlk117089330"/>
      <w:r>
        <w:rPr>
          <w:rFonts w:hint="eastAsia" w:ascii="仿宋" w:hAnsi="仿宋" w:eastAsia="仿宋" w:cs="仿宋"/>
          <w:sz w:val="21"/>
          <w:szCs w:val="21"/>
          <w:highlight w:val="none"/>
        </w:rPr>
        <w:t>合同附件</w:t>
      </w:r>
      <w:bookmarkEnd w:id="48"/>
      <w:r>
        <w:rPr>
          <w:rFonts w:hint="eastAsia" w:ascii="仿宋" w:hAnsi="仿宋" w:eastAsia="仿宋" w:cs="仿宋"/>
          <w:sz w:val="21"/>
          <w:szCs w:val="21"/>
          <w:highlight w:val="none"/>
        </w:rPr>
        <w:t>规定的货物性能、技术要求、质量标准向</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提供未经使用的全新产品。</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2.乙方提供的货物在质保期内因货物本身的质量问题发生故障，乙方应负责免费维修更换。</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3.如在使用过程中发生质量问题，乙方在接到</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方通知后，</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小时内到达</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方现场予以维修服务。</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4.在质保期内，乙方应对货物出现的质量及安全问题负责处理解决并承担一切费用。</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5.货物的质保期为</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年（项目经</w:t>
      </w:r>
      <w:r>
        <w:rPr>
          <w:rFonts w:hint="eastAsia" w:ascii="仿宋" w:hAnsi="仿宋" w:eastAsia="仿宋" w:cs="仿宋"/>
          <w:sz w:val="21"/>
          <w:szCs w:val="21"/>
          <w:highlight w:val="none"/>
          <w:lang w:eastAsia="zh-CN"/>
        </w:rPr>
        <w:t>验收</w:t>
      </w:r>
      <w:r>
        <w:rPr>
          <w:rFonts w:hint="eastAsia" w:ascii="仿宋" w:hAnsi="仿宋" w:eastAsia="仿宋" w:cs="仿宋"/>
          <w:sz w:val="21"/>
          <w:szCs w:val="21"/>
          <w:highlight w:val="none"/>
        </w:rPr>
        <w:t>合格后开始计算），因人为因素出现的故障不在免费保修范围内。超过质保期的货物，终身维修，维修时只收部件成本费。</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十二、调试和验收</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bookmarkStart w:id="49" w:name="_Hlk117089422"/>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对乙方提交的货物依据合同附件中的技术规格要求和国家有关质量标准进行现场初步验收，外观、说明书符合合同附件技术要求的，给予签收，初步验收不合格的不予签收。货到后，</w:t>
      </w:r>
      <w:r>
        <w:rPr>
          <w:rFonts w:hint="eastAsia" w:ascii="仿宋" w:hAnsi="仿宋" w:eastAsia="仿宋" w:cs="仿宋"/>
          <w:sz w:val="21"/>
          <w:szCs w:val="21"/>
          <w:highlight w:val="none"/>
          <w:lang w:val="en-US" w:eastAsia="zh-CN"/>
        </w:rPr>
        <w:t>丙</w:t>
      </w:r>
      <w:r>
        <w:rPr>
          <w:rFonts w:hint="eastAsia" w:ascii="仿宋" w:hAnsi="仿宋" w:eastAsia="仿宋" w:cs="仿宋"/>
          <w:sz w:val="21"/>
          <w:szCs w:val="21"/>
          <w:highlight w:val="none"/>
        </w:rPr>
        <w:t>方需在五个工作日内组织初验收。</w:t>
      </w:r>
    </w:p>
    <w:bookmarkEnd w:id="49"/>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2.乙方交货前应对产品作出全面检查和对验收文件进行整理，并列出清单，作为</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收货验收和使用的技术条件依据，检验的结果应随货物交</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对乙方提供的货物在使用前进行调试时，乙方需负责安装并培训</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的使用操作人员，并协助</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一起调试，直到符合技术要求，甲方才做最终验收。对技术复杂的货物，甲方有权邀请国家认可的专业检测机构参与初步验收及最终验收，并由其出具质量检测报告。验收时乙方必须在现场，验收完毕后作出验收结果报告；检测及验收费用全部由乙方负责。</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十三、货物包装、发运及运输</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1.乙方应在货物发运前对其进行满足运输距离、防潮、防震、防锈和防破损装卸等要求包装，以保证货物安全运达</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指定地点。</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2.使用说明书、质量检验证明书、随配附件和工具以及清单一并附于货物内。</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3.乙方在货物发运手续办理完毕后二十四小时内，或者货到</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四十八小时前通知</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，以准备接货。</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4.货物在交付</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前发生的风险均由乙方负责。</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5.货物在规定的交付期限内由乙方送达</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指定的地点视为交付，乙方同时需通知</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货物已送达。</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十四、违约责任</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1.甲方无正当理由拒收货物的，甲方向乙方偿付拒收货款总值的百分之十的违约金。</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2.甲方无故逾期验收和办理货款支付手续的,甲方应按逾期付款总额每日万分之五向乙方支付违约金。</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乙方逾期交付货物的，乙方应按逾期交货总额每日千分之六向甲方支付违约金，由甲方从待付货款中扣除。逾期超过约定日期十个工作日不能交货的，甲方可解除本合同。乙方因逾期交货或因其他违约行为导致甲方解除合同的，乙方应向甲方支付合同总值百分之十的违约金，如造成甲方损失超过违约金的，超出部分由乙方继续承担赔偿责任。</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4.乙方所交的货物品种、型号、规格、技术参数、质量不符合合同规定及招标文件规定标准的，</w:t>
      </w:r>
      <w:r>
        <w:rPr>
          <w:rFonts w:hint="eastAsia" w:ascii="仿宋" w:hAnsi="仿宋" w:eastAsia="仿宋" w:cs="仿宋"/>
          <w:sz w:val="21"/>
          <w:szCs w:val="21"/>
          <w:highlight w:val="none"/>
          <w:lang w:val="en-US" w:eastAsia="zh-CN"/>
        </w:rPr>
        <w:t>丙方</w:t>
      </w:r>
      <w:r>
        <w:rPr>
          <w:rFonts w:hint="eastAsia" w:ascii="仿宋" w:hAnsi="仿宋" w:eastAsia="仿宋" w:cs="仿宋"/>
          <w:sz w:val="21"/>
          <w:szCs w:val="21"/>
          <w:highlight w:val="none"/>
        </w:rPr>
        <w:t>有权拒收该货物，乙方愿意更换货物但逾期交货的，按乙方逾期交货处理。乙方拒绝更换货物的，甲方可单方面解除合同并没收履约保证金；若履约保证金不足以弥补甲方因乙方违约所受的损失，则还有权要求乙方赔偿不足部分。</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十五、不可抗力事件处理</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2.不可抗力事件发生后，应立即通知对方，并寄送有关权威机构出具的证明。</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3.不可抗力事件延续一百二十天以上，双方应通过友好协商，确定是否继续履行合同。</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十六、争议的解决</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双方在执行合同中所发生的一切争议，通过协商解决。如协商不成，由杭州仲裁委员会按该会仲裁规则裁决。</w:t>
      </w:r>
    </w:p>
    <w:p>
      <w:pPr>
        <w:keepNext w:val="0"/>
        <w:keepLines w:val="0"/>
        <w:pageBreakBefore w:val="0"/>
        <w:widowControl w:val="0"/>
        <w:kinsoku/>
        <w:wordWrap/>
        <w:overflowPunct/>
        <w:topLinePunct w:val="0"/>
        <w:bidi w:val="0"/>
        <w:snapToGrid/>
        <w:spacing w:line="288" w:lineRule="auto"/>
        <w:ind w:left="0" w:leftChars="0"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十七、合同生效及其它</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1.合同经四方法定代表人或授权代表签字并加盖单位公章后生效。</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2.合同执行中涉及采购资金和采购内容修改或补充的，须经财政部门审批，并签书面补充协议报政府采购监督管理部门备案，方可作为主合同不可分割的一部分。</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3.本合同未尽事宜，甲乙丙三方协商一致可以另行签订补充协议解决，或者遵照《中华人民共和国民法典》有关条文执行。</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4.本合同正本一式柒份，具有同等法律效力，甲乙丙三方各执贰份，采购代理机构执壹份。</w:t>
      </w:r>
    </w:p>
    <w:p>
      <w:pPr>
        <w:keepNext w:val="0"/>
        <w:keepLines w:val="0"/>
        <w:pageBreakBefore w:val="0"/>
        <w:widowControl w:val="0"/>
        <w:kinsoku/>
        <w:wordWrap/>
        <w:overflowPunct/>
        <w:topLinePunct w:val="0"/>
        <w:bidi w:val="0"/>
        <w:snapToGrid/>
        <w:spacing w:line="288" w:lineRule="auto"/>
        <w:ind w:left="0"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5.本合同附件及招标文件、投标文件、书面澄清（承诺）等系本合同的组成部分。</w:t>
      </w:r>
    </w:p>
    <w:p>
      <w:pPr>
        <w:pStyle w:val="2"/>
        <w:keepNext w:val="0"/>
        <w:keepLines w:val="0"/>
        <w:pageBreakBefore w:val="0"/>
        <w:widowControl w:val="0"/>
        <w:kinsoku/>
        <w:wordWrap/>
        <w:overflowPunct/>
        <w:topLinePunct w:val="0"/>
        <w:bidi w:val="0"/>
        <w:snapToGrid/>
        <w:spacing w:line="288" w:lineRule="auto"/>
        <w:ind w:left="0" w:leftChars="0"/>
        <w:jc w:val="center"/>
        <w:textAlignment w:val="auto"/>
        <w:rPr>
          <w:rFonts w:hint="eastAsia" w:ascii="仿宋" w:hAnsi="仿宋" w:eastAsia="仿宋" w:cs="仿宋"/>
          <w:b/>
          <w:bCs/>
          <w:color w:val="auto"/>
          <w:sz w:val="21"/>
          <w:szCs w:val="21"/>
          <w:highlight w:val="none"/>
        </w:rPr>
      </w:pPr>
    </w:p>
    <w:p>
      <w:pPr>
        <w:pStyle w:val="2"/>
        <w:keepNext w:val="0"/>
        <w:keepLines w:val="0"/>
        <w:pageBreakBefore w:val="0"/>
        <w:widowControl w:val="0"/>
        <w:kinsoku/>
        <w:wordWrap/>
        <w:overflowPunct/>
        <w:topLinePunct w:val="0"/>
        <w:bidi w:val="0"/>
        <w:snapToGrid/>
        <w:spacing w:line="288" w:lineRule="auto"/>
        <w:ind w:left="0" w:leftChars="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下无正文</w:t>
      </w:r>
    </w:p>
    <w:tbl>
      <w:tblPr>
        <w:tblStyle w:val="26"/>
        <w:tblW w:w="9628" w:type="dxa"/>
        <w:jc w:val="center"/>
        <w:tblLayout w:type="fixed"/>
        <w:tblCellMar>
          <w:top w:w="0" w:type="dxa"/>
          <w:left w:w="108" w:type="dxa"/>
          <w:bottom w:w="0" w:type="dxa"/>
          <w:right w:w="108" w:type="dxa"/>
        </w:tblCellMar>
      </w:tblPr>
      <w:tblGrid>
        <w:gridCol w:w="4814"/>
        <w:gridCol w:w="19"/>
        <w:gridCol w:w="4795"/>
      </w:tblGrid>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b/>
                <w:bCs/>
                <w:highlight w:val="none"/>
              </w:rPr>
            </w:pPr>
            <w:r>
              <w:rPr>
                <w:rFonts w:hint="eastAsia" w:ascii="仿宋" w:hAnsi="仿宋" w:eastAsia="仿宋" w:cs="仿宋"/>
                <w:b/>
                <w:bCs/>
                <w:highlight w:val="none"/>
              </w:rPr>
              <w:t>甲方（盖章）：</w:t>
            </w: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tc>
        <w:tc>
          <w:tcPr>
            <w:tcW w:w="4814" w:type="dxa"/>
            <w:gridSpan w:val="2"/>
            <w:vAlign w:val="center"/>
          </w:tcPr>
          <w:p>
            <w:pPr>
              <w:rPr>
                <w:rFonts w:hint="eastAsia" w:ascii="仿宋" w:hAnsi="仿宋" w:eastAsia="仿宋" w:cs="仿宋"/>
                <w:b/>
                <w:bCs/>
                <w:highlight w:val="none"/>
              </w:rPr>
            </w:pPr>
            <w:r>
              <w:rPr>
                <w:rFonts w:hint="eastAsia" w:ascii="仿宋" w:hAnsi="仿宋" w:eastAsia="仿宋" w:cs="仿宋"/>
                <w:b/>
                <w:bCs/>
                <w:highlight w:val="none"/>
              </w:rPr>
              <w:t>乙方（盖章）：</w:t>
            </w: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法定代表人或受委托人：</w:t>
            </w:r>
          </w:p>
          <w:p>
            <w:pPr>
              <w:rPr>
                <w:rFonts w:hint="eastAsia" w:ascii="仿宋" w:hAnsi="仿宋" w:eastAsia="仿宋" w:cs="仿宋"/>
                <w:highlight w:val="none"/>
              </w:rPr>
            </w:pPr>
            <w:r>
              <w:rPr>
                <w:rFonts w:hint="eastAsia" w:ascii="仿宋" w:hAnsi="仿宋" w:eastAsia="仿宋" w:cs="仿宋"/>
                <w:highlight w:val="none"/>
              </w:rPr>
              <w:t>（签字）</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法定代表人或受委托人：</w:t>
            </w:r>
          </w:p>
          <w:p>
            <w:pPr>
              <w:rPr>
                <w:rFonts w:hint="eastAsia" w:ascii="仿宋" w:hAnsi="仿宋" w:eastAsia="仿宋" w:cs="仿宋"/>
                <w:highlight w:val="none"/>
              </w:rPr>
            </w:pPr>
            <w:r>
              <w:rPr>
                <w:rFonts w:hint="eastAsia" w:ascii="仿宋" w:hAnsi="仿宋" w:eastAsia="仿宋" w:cs="仿宋"/>
                <w:highlight w:val="none"/>
              </w:rPr>
              <w:t>（签字）</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地址：</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地址：</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邮编：</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邮编：</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电话：</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电话：</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传真：</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传真：</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开户银行：农业银行杭州朝晖支行</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开户银行</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必填</w:t>
            </w:r>
            <w:r>
              <w:rPr>
                <w:rFonts w:hint="eastAsia" w:ascii="仿宋" w:hAnsi="仿宋" w:eastAsia="仿宋" w:cs="仿宋"/>
                <w:highlight w:val="none"/>
                <w:lang w:eastAsia="zh-CN"/>
              </w:rPr>
              <w:t>）</w:t>
            </w:r>
            <w:r>
              <w:rPr>
                <w:rFonts w:hint="eastAsia" w:ascii="仿宋" w:hAnsi="仿宋" w:eastAsia="仿宋" w:cs="仿宋"/>
                <w:highlight w:val="none"/>
              </w:rPr>
              <w:t>：</w:t>
            </w:r>
          </w:p>
        </w:tc>
      </w:tr>
      <w:tr>
        <w:tblPrEx>
          <w:tblCellMar>
            <w:top w:w="0" w:type="dxa"/>
            <w:left w:w="108" w:type="dxa"/>
            <w:bottom w:w="0" w:type="dxa"/>
            <w:right w:w="108" w:type="dxa"/>
          </w:tblCellMar>
        </w:tblPrEx>
        <w:trPr>
          <w:trHeight w:val="397" w:hRule="atLeast"/>
          <w:jc w:val="center"/>
        </w:trPr>
        <w:tc>
          <w:tcPr>
            <w:tcW w:w="4814" w:type="dxa"/>
            <w:vAlign w:val="center"/>
          </w:tcPr>
          <w:p>
            <w:pPr>
              <w:rPr>
                <w:rFonts w:hint="eastAsia" w:ascii="仿宋" w:hAnsi="仿宋" w:eastAsia="仿宋" w:cs="仿宋"/>
                <w:highlight w:val="none"/>
              </w:rPr>
            </w:pPr>
            <w:r>
              <w:rPr>
                <w:rFonts w:hint="eastAsia" w:ascii="仿宋" w:hAnsi="仿宋" w:eastAsia="仿宋" w:cs="仿宋"/>
                <w:highlight w:val="none"/>
              </w:rPr>
              <w:t>帐号：19015601040001412</w:t>
            </w:r>
          </w:p>
        </w:tc>
        <w:tc>
          <w:tcPr>
            <w:tcW w:w="4814" w:type="dxa"/>
            <w:gridSpan w:val="2"/>
            <w:vAlign w:val="center"/>
          </w:tcPr>
          <w:p>
            <w:pPr>
              <w:rPr>
                <w:rFonts w:hint="eastAsia" w:ascii="仿宋" w:hAnsi="仿宋" w:eastAsia="仿宋" w:cs="仿宋"/>
                <w:highlight w:val="none"/>
              </w:rPr>
            </w:pPr>
            <w:r>
              <w:rPr>
                <w:rFonts w:hint="eastAsia" w:ascii="仿宋" w:hAnsi="仿宋" w:eastAsia="仿宋" w:cs="仿宋"/>
                <w:highlight w:val="none"/>
              </w:rPr>
              <w:t>帐号</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必填</w:t>
            </w:r>
            <w:r>
              <w:rPr>
                <w:rFonts w:hint="eastAsia" w:ascii="仿宋" w:hAnsi="仿宋" w:eastAsia="仿宋" w:cs="仿宋"/>
                <w:highlight w:val="none"/>
                <w:lang w:eastAsia="zh-CN"/>
              </w:rPr>
              <w:t>）</w:t>
            </w:r>
            <w:r>
              <w:rPr>
                <w:rFonts w:hint="eastAsia" w:ascii="仿宋" w:hAnsi="仿宋" w:eastAsia="仿宋" w:cs="仿宋"/>
                <w:highlight w:val="none"/>
              </w:rPr>
              <w:t>：</w:t>
            </w:r>
          </w:p>
        </w:tc>
      </w:tr>
      <w:tr>
        <w:tblPrEx>
          <w:tblCellMar>
            <w:top w:w="0" w:type="dxa"/>
            <w:left w:w="108" w:type="dxa"/>
            <w:bottom w:w="0" w:type="dxa"/>
            <w:right w:w="108" w:type="dxa"/>
          </w:tblCellMar>
        </w:tblPrEx>
        <w:trPr>
          <w:trHeight w:val="397" w:hRule="atLeast"/>
          <w:jc w:val="center"/>
        </w:trPr>
        <w:tc>
          <w:tcPr>
            <w:tcW w:w="9628" w:type="dxa"/>
            <w:gridSpan w:val="3"/>
            <w:vAlign w:val="center"/>
          </w:tcPr>
          <w:p>
            <w:pPr>
              <w:rPr>
                <w:rFonts w:hint="eastAsia" w:ascii="仿宋" w:hAnsi="仿宋" w:eastAsia="仿宋" w:cs="仿宋"/>
                <w:highlight w:val="none"/>
              </w:rPr>
            </w:pPr>
            <w:r>
              <w:rPr>
                <w:rFonts w:hint="eastAsia" w:ascii="仿宋" w:hAnsi="仿宋" w:eastAsia="仿宋" w:cs="仿宋"/>
                <w:highlight w:val="none"/>
              </w:rPr>
              <w:t>签约地点：浙江工业大学朝晖校区                                  签订时间：     年   月   日</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r>
              <w:rPr>
                <w:rFonts w:hint="eastAsia" w:ascii="仿宋" w:hAnsi="仿宋" w:eastAsia="仿宋" w:cs="仿宋"/>
                <w:b/>
                <w:bCs/>
                <w:highlight w:val="none"/>
              </w:rPr>
              <w:t>丙方（盖章）：</w:t>
            </w:r>
          </w:p>
        </w:tc>
        <w:tc>
          <w:tcPr>
            <w:tcW w:w="4795" w:type="dxa"/>
            <w:vAlign w:val="center"/>
          </w:tcPr>
          <w:p>
            <w:pPr>
              <w:rPr>
                <w:rFonts w:hint="eastAsia" w:ascii="仿宋" w:hAnsi="仿宋" w:eastAsia="仿宋" w:cs="仿宋"/>
                <w:highlight w:val="none"/>
              </w:rPr>
            </w:pPr>
            <w:r>
              <w:rPr>
                <w:rFonts w:hint="eastAsia" w:ascii="仿宋" w:hAnsi="仿宋" w:eastAsia="仿宋" w:cs="仿宋"/>
                <w:b/>
                <w:bCs/>
                <w:highlight w:val="none"/>
              </w:rPr>
              <w:t>鉴证方（盖章）：浙江求是招标代理有限公司</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r>
              <w:rPr>
                <w:rFonts w:hint="eastAsia" w:ascii="仿宋" w:hAnsi="仿宋" w:eastAsia="仿宋" w:cs="仿宋"/>
                <w:highlight w:val="none"/>
                <w:lang w:eastAsia="zh-CN"/>
              </w:rPr>
              <w:t>负责人</w:t>
            </w:r>
            <w:r>
              <w:rPr>
                <w:rFonts w:hint="eastAsia" w:ascii="仿宋" w:hAnsi="仿宋" w:eastAsia="仿宋" w:cs="仿宋"/>
                <w:highlight w:val="none"/>
              </w:rPr>
              <w:t>：</w:t>
            </w:r>
          </w:p>
          <w:p>
            <w:pPr>
              <w:rPr>
                <w:rFonts w:hint="eastAsia" w:ascii="仿宋" w:hAnsi="仿宋" w:eastAsia="仿宋" w:cs="仿宋"/>
                <w:highlight w:val="none"/>
              </w:rPr>
            </w:pPr>
            <w:r>
              <w:rPr>
                <w:rFonts w:hint="eastAsia" w:ascii="仿宋" w:hAnsi="仿宋" w:eastAsia="仿宋" w:cs="仿宋"/>
                <w:highlight w:val="none"/>
              </w:rPr>
              <w:t>（签字）</w:t>
            </w: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法定代表人或受委托人：</w:t>
            </w:r>
          </w:p>
          <w:p>
            <w:pPr>
              <w:rPr>
                <w:rFonts w:hint="eastAsia" w:ascii="仿宋" w:hAnsi="仿宋" w:eastAsia="仿宋" w:cs="仿宋"/>
                <w:highlight w:val="none"/>
              </w:rPr>
            </w:pPr>
            <w:r>
              <w:rPr>
                <w:rFonts w:hint="eastAsia" w:ascii="仿宋" w:hAnsi="仿宋" w:eastAsia="仿宋" w:cs="仿宋"/>
                <w:highlight w:val="none"/>
              </w:rPr>
              <w:t>（签字）</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r>
              <w:rPr>
                <w:rFonts w:hint="eastAsia" w:ascii="仿宋" w:hAnsi="仿宋" w:eastAsia="仿宋" w:cs="仿宋"/>
                <w:highlight w:val="none"/>
              </w:rPr>
              <w:t>地址：</w:t>
            </w: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地址：杭州市西湖区玉古路173号中田大厦21楼</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电话：0571-87679349</w:t>
            </w:r>
          </w:p>
        </w:tc>
      </w:tr>
      <w:tr>
        <w:tblPrEx>
          <w:tblCellMar>
            <w:top w:w="0" w:type="dxa"/>
            <w:left w:w="108" w:type="dxa"/>
            <w:bottom w:w="0" w:type="dxa"/>
            <w:right w:w="108" w:type="dxa"/>
          </w:tblCellMar>
        </w:tblPrEx>
        <w:trPr>
          <w:trHeight w:val="397" w:hRule="atLeast"/>
          <w:jc w:val="center"/>
        </w:trPr>
        <w:tc>
          <w:tcPr>
            <w:tcW w:w="4833" w:type="dxa"/>
            <w:gridSpan w:val="2"/>
            <w:vAlign w:val="center"/>
          </w:tcPr>
          <w:p>
            <w:pPr>
              <w:rPr>
                <w:rFonts w:hint="eastAsia" w:ascii="仿宋" w:hAnsi="仿宋" w:eastAsia="仿宋" w:cs="仿宋"/>
                <w:highlight w:val="none"/>
              </w:rPr>
            </w:pPr>
          </w:p>
        </w:tc>
        <w:tc>
          <w:tcPr>
            <w:tcW w:w="4795" w:type="dxa"/>
            <w:vAlign w:val="center"/>
          </w:tcPr>
          <w:p>
            <w:pPr>
              <w:rPr>
                <w:rFonts w:hint="eastAsia" w:ascii="仿宋" w:hAnsi="仿宋" w:eastAsia="仿宋" w:cs="仿宋"/>
                <w:highlight w:val="none"/>
              </w:rPr>
            </w:pPr>
            <w:r>
              <w:rPr>
                <w:rFonts w:hint="eastAsia" w:ascii="仿宋" w:hAnsi="仿宋" w:eastAsia="仿宋" w:cs="仿宋"/>
                <w:highlight w:val="none"/>
              </w:rPr>
              <w:t>鉴证时间：     年   月   日</w:t>
            </w:r>
          </w:p>
        </w:tc>
      </w:tr>
    </w:tbl>
    <w:p>
      <w:pP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br w:type="page"/>
      </w:r>
    </w:p>
    <w:p>
      <w:pPr>
        <w:adjustRightInd w:val="0"/>
        <w:snapToGrid w:val="0"/>
        <w:spacing w:line="288" w:lineRule="auto"/>
        <w:jc w:val="center"/>
        <w:outlineLvl w:val="0"/>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rPr>
        <w:t>第六章  投标文件格式</w:t>
      </w:r>
    </w:p>
    <w:p>
      <w:pPr>
        <w:adjustRightInd w:val="0"/>
        <w:snapToGrid w:val="0"/>
        <w:spacing w:line="360" w:lineRule="auto"/>
        <w:rPr>
          <w:rFonts w:ascii="仿宋" w:hAnsi="仿宋" w:eastAsia="仿宋" w:cs="仿宋"/>
          <w:b/>
          <w:bCs/>
          <w:color w:val="auto"/>
          <w:spacing w:val="-6"/>
          <w:sz w:val="24"/>
          <w:szCs w:val="24"/>
          <w:highlight w:val="none"/>
        </w:rPr>
      </w:pPr>
    </w:p>
    <w:p>
      <w:pPr>
        <w:adjustRightInd w:val="0"/>
        <w:snapToGrid w:val="0"/>
        <w:spacing w:line="360" w:lineRule="auto"/>
        <w:jc w:val="center"/>
        <w:rPr>
          <w:rFonts w:ascii="仿宋" w:hAnsi="仿宋" w:eastAsia="仿宋" w:cs="仿宋"/>
          <w:b/>
          <w:bCs/>
          <w:color w:val="auto"/>
          <w:spacing w:val="-6"/>
          <w:sz w:val="24"/>
          <w:szCs w:val="24"/>
          <w:highlight w:val="none"/>
        </w:rPr>
      </w:pPr>
      <w:r>
        <w:rPr>
          <w:rFonts w:hint="eastAsia" w:ascii="仿宋" w:hAnsi="仿宋" w:eastAsia="仿宋" w:cs="仿宋"/>
          <w:b/>
          <w:bCs/>
          <w:color w:val="auto"/>
          <w:spacing w:val="-6"/>
          <w:sz w:val="24"/>
          <w:szCs w:val="24"/>
          <w:highlight w:val="none"/>
        </w:rPr>
        <w:t>目  录</w:t>
      </w:r>
    </w:p>
    <w:p>
      <w:pPr>
        <w:adjustRightInd w:val="0"/>
        <w:snapToGrid w:val="0"/>
        <w:spacing w:line="360" w:lineRule="auto"/>
        <w:rPr>
          <w:rFonts w:ascii="仿宋" w:hAnsi="仿宋" w:eastAsia="仿宋" w:cs="仿宋"/>
          <w:b/>
          <w:bCs/>
          <w:color w:val="auto"/>
          <w:spacing w:val="-6"/>
          <w:sz w:val="24"/>
          <w:szCs w:val="24"/>
          <w:highlight w:val="none"/>
        </w:rPr>
      </w:pPr>
    </w:p>
    <w:p>
      <w:pPr>
        <w:adjustRightInd w:val="0"/>
        <w:snapToGrid w:val="0"/>
        <w:spacing w:line="360" w:lineRule="auto"/>
        <w:ind w:firstLine="398" w:firstLineChars="200"/>
        <w:jc w:val="left"/>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▲1.资格文件（单独上传）</w:t>
      </w:r>
    </w:p>
    <w:p>
      <w:pPr>
        <w:adjustRightInd w:val="0"/>
        <w:snapToGrid w:val="0"/>
        <w:spacing w:line="360"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资格审查要求的资格证明材料（均需加盖公章）</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1）有效的法人或者其他组织的营业执照等证明文件/自然人的身份证明</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eastAsia="zh-CN"/>
        </w:rPr>
        <w:t>（</w:t>
      </w:r>
      <w:r>
        <w:rPr>
          <w:rFonts w:hint="eastAsia" w:ascii="仿宋" w:hAnsi="仿宋" w:eastAsia="仿宋" w:cs="仿宋"/>
          <w:b/>
          <w:color w:val="auto"/>
          <w:spacing w:val="-6"/>
          <w:szCs w:val="21"/>
          <w:highlight w:val="none"/>
        </w:rPr>
        <w:t>2）符合参加政府采购活动应当具备的一般条件的承诺函</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（3</w:t>
      </w:r>
      <w:r>
        <w:rPr>
          <w:rFonts w:hint="eastAsia" w:ascii="仿宋" w:hAnsi="仿宋" w:eastAsia="仿宋" w:cs="仿宋"/>
          <w:b/>
          <w:color w:val="auto"/>
          <w:spacing w:val="-6"/>
          <w:szCs w:val="21"/>
          <w:highlight w:val="none"/>
        </w:rPr>
        <w:t>）落实政府采购政策需满足的资格要求</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（4）</w:t>
      </w:r>
      <w:r>
        <w:rPr>
          <w:rFonts w:hint="eastAsia" w:ascii="仿宋" w:hAnsi="仿宋" w:eastAsia="仿宋" w:cs="仿宋"/>
          <w:b/>
          <w:color w:val="auto"/>
          <w:spacing w:val="-6"/>
          <w:szCs w:val="21"/>
          <w:highlight w:val="none"/>
        </w:rPr>
        <w:t>联合协议（若联合体投标）</w:t>
      </w:r>
    </w:p>
    <w:p>
      <w:pPr>
        <w:adjustRightInd w:val="0"/>
        <w:snapToGrid w:val="0"/>
        <w:spacing w:line="360" w:lineRule="auto"/>
        <w:ind w:firstLine="398" w:firstLineChars="200"/>
        <w:jc w:val="left"/>
        <w:rPr>
          <w:rFonts w:hint="eastAsia"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▲联合体投标的，联合体各方均应提供（1）</w:t>
      </w:r>
      <w:r>
        <w:rPr>
          <w:rFonts w:hint="eastAsia" w:ascii="仿宋" w:hAnsi="仿宋" w:eastAsia="仿宋" w:cs="仿宋"/>
          <w:b/>
          <w:color w:val="auto"/>
          <w:spacing w:val="-6"/>
          <w:szCs w:val="21"/>
          <w:highlight w:val="none"/>
          <w:lang w:val="en-US" w:eastAsia="zh-CN"/>
        </w:rPr>
        <w:t>&amp;</w:t>
      </w:r>
      <w:r>
        <w:rPr>
          <w:rFonts w:hint="eastAsia" w:ascii="仿宋" w:hAnsi="仿宋" w:eastAsia="仿宋" w:cs="仿宋"/>
          <w:b/>
          <w:color w:val="auto"/>
          <w:spacing w:val="-6"/>
          <w:szCs w:val="21"/>
          <w:highlight w:val="none"/>
        </w:rPr>
        <w:t>（2）</w:t>
      </w:r>
      <w:r>
        <w:rPr>
          <w:rFonts w:hint="eastAsia" w:ascii="仿宋" w:hAnsi="仿宋" w:eastAsia="仿宋" w:cs="仿宋"/>
          <w:b/>
          <w:color w:val="auto"/>
          <w:spacing w:val="-6"/>
          <w:szCs w:val="21"/>
          <w:highlight w:val="none"/>
          <w:lang w:val="en-US" w:eastAsia="zh-CN"/>
        </w:rPr>
        <w:t>项</w:t>
      </w:r>
      <w:r>
        <w:rPr>
          <w:rFonts w:hint="eastAsia" w:ascii="仿宋" w:hAnsi="仿宋" w:eastAsia="仿宋" w:cs="仿宋"/>
          <w:b/>
          <w:color w:val="auto"/>
          <w:spacing w:val="-6"/>
          <w:szCs w:val="21"/>
          <w:highlight w:val="none"/>
        </w:rPr>
        <w:t>材料</w:t>
      </w:r>
    </w:p>
    <w:p>
      <w:pPr>
        <w:adjustRightInd w:val="0"/>
        <w:snapToGrid w:val="0"/>
        <w:spacing w:line="360"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color w:val="auto"/>
          <w:spacing w:val="-6"/>
          <w:szCs w:val="21"/>
          <w:highlight w:val="none"/>
        </w:rPr>
        <w:t>2.商务和</w:t>
      </w:r>
      <w:r>
        <w:rPr>
          <w:rFonts w:hint="eastAsia" w:ascii="仿宋" w:hAnsi="仿宋" w:eastAsia="仿宋" w:cs="仿宋"/>
          <w:b/>
          <w:bCs/>
          <w:color w:val="auto"/>
          <w:spacing w:val="-6"/>
          <w:szCs w:val="21"/>
          <w:highlight w:val="none"/>
        </w:rPr>
        <w:t>技术文件（单独上传）</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1）投标函</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2）法定代表人（单位负责人、自然人本人）身份证明</w:t>
      </w:r>
      <w:r>
        <w:rPr>
          <w:rFonts w:hint="eastAsia" w:ascii="仿宋" w:hAnsi="仿宋" w:eastAsia="仿宋" w:cs="仿宋"/>
          <w:color w:val="auto"/>
          <w:spacing w:val="-6"/>
          <w:szCs w:val="21"/>
          <w:highlight w:val="none"/>
          <w:lang w:val="en-US" w:eastAsia="zh-CN"/>
        </w:rPr>
        <w:t>/</w:t>
      </w:r>
      <w:r>
        <w:rPr>
          <w:rFonts w:hint="eastAsia" w:ascii="仿宋" w:hAnsi="仿宋" w:eastAsia="仿宋" w:cs="仿宋"/>
          <w:color w:val="auto"/>
          <w:spacing w:val="-6"/>
          <w:szCs w:val="21"/>
          <w:highlight w:val="none"/>
          <w:lang w:eastAsia="zh-CN"/>
        </w:rPr>
        <w:t>授权委托书</w:t>
      </w:r>
    </w:p>
    <w:p>
      <w:pPr>
        <w:adjustRightInd w:val="0"/>
        <w:snapToGrid w:val="0"/>
        <w:spacing w:line="360" w:lineRule="auto"/>
        <w:ind w:firstLine="735" w:firstLineChars="350"/>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lang w:eastAsia="zh-CN"/>
        </w:rPr>
        <w:t>2024年1月（含）至今任意一月</w:t>
      </w:r>
      <w:r>
        <w:rPr>
          <w:rFonts w:hint="eastAsia" w:ascii="仿宋" w:hAnsi="仿宋" w:eastAsia="仿宋" w:cs="仿宋"/>
          <w:color w:val="auto"/>
          <w:spacing w:val="-6"/>
          <w:szCs w:val="21"/>
          <w:highlight w:val="none"/>
        </w:rPr>
        <w:t>投标授权代表社保缴纳证明</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3）采购需求偏离表</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（4）标★条款相关佐证材料</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（5）投标人同类合同实施情况一览表</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（6）节能、环保产品证明材料</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（7）货物配置清单</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（8）技术方案</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（9）培训计划</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（10）售后服务方案</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（11）随机标准附件、备品备件、专用检修工具等</w:t>
      </w:r>
    </w:p>
    <w:p>
      <w:pPr>
        <w:adjustRightInd w:val="0"/>
        <w:snapToGrid w:val="0"/>
        <w:spacing w:line="360" w:lineRule="auto"/>
        <w:ind w:firstLine="396" w:firstLineChars="200"/>
        <w:jc w:val="left"/>
        <w:rPr>
          <w:rFonts w:hint="default"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（12）所需选配件、维修配件、易耗件、年度运行维护费用一览表</w:t>
      </w:r>
    </w:p>
    <w:p>
      <w:pPr>
        <w:adjustRightInd w:val="0"/>
        <w:snapToGrid w:val="0"/>
        <w:spacing w:line="360"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3.报价文件</w:t>
      </w:r>
      <w:r>
        <w:rPr>
          <w:rFonts w:hint="eastAsia" w:ascii="仿宋" w:hAnsi="仿宋" w:eastAsia="仿宋" w:cs="仿宋"/>
          <w:b/>
          <w:bCs/>
          <w:color w:val="auto"/>
          <w:spacing w:val="-6"/>
          <w:szCs w:val="21"/>
          <w:highlight w:val="none"/>
        </w:rPr>
        <w:t>（单独上传）</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1）开标一览表</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outlineLvl w:val="1"/>
        <w:rPr>
          <w:rFonts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资格文件</w:t>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Cs w:val="21"/>
          <w:highlight w:val="none"/>
        </w:rPr>
      </w:pPr>
      <w:bookmarkStart w:id="50" w:name="_Hlk94097338"/>
      <w:r>
        <w:rPr>
          <w:rFonts w:hint="eastAsia" w:ascii="仿宋" w:hAnsi="仿宋" w:eastAsia="仿宋" w:cs="仿宋"/>
          <w:b/>
          <w:bCs/>
          <w:color w:val="auto"/>
          <w:sz w:val="24"/>
          <w:szCs w:val="24"/>
          <w:highlight w:val="none"/>
        </w:rPr>
        <w:t>资格审查要求的资格证明材料（均需加盖公章）</w:t>
      </w:r>
      <w:bookmarkEnd w:id="50"/>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有效的法人或者其他组织的营业执照等证明文件/自然人的身份证明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（联合体投标的，联合体各方均需提供）</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zCs w:val="21"/>
          <w:highlight w:val="none"/>
        </w:rPr>
      </w:pP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是企业（包括合伙企业），提供在工商部门注册的有效“企业法人营业执照”或“营业执照”；</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是事业单位，提供有效的“事业单位法人证书”；</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是非企业专业服务机构，提供执业许可证等证明文件；</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4.如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是个体工商户，提供有效的“个体工商户营业执照”；</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
          <w:bCs/>
          <w:color w:val="auto"/>
          <w:sz w:val="18"/>
          <w:szCs w:val="18"/>
          <w:highlight w:val="none"/>
        </w:rPr>
        <w:t>5.如</w:t>
      </w:r>
      <w:r>
        <w:rPr>
          <w:rFonts w:hint="eastAsia" w:ascii="仿宋" w:hAnsi="仿宋" w:eastAsia="仿宋" w:cs="仿宋"/>
          <w:b/>
          <w:bCs/>
          <w:color w:val="auto"/>
          <w:sz w:val="18"/>
          <w:szCs w:val="18"/>
          <w:highlight w:val="none"/>
          <w:lang w:eastAsia="zh-CN"/>
        </w:rPr>
        <w:t>投标人</w:t>
      </w:r>
      <w:r>
        <w:rPr>
          <w:rFonts w:hint="eastAsia" w:ascii="仿宋" w:hAnsi="仿宋" w:eastAsia="仿宋" w:cs="仿宋"/>
          <w:b/>
          <w:bCs/>
          <w:color w:val="auto"/>
          <w:sz w:val="18"/>
          <w:szCs w:val="18"/>
          <w:highlight w:val="none"/>
        </w:rPr>
        <w:t>是自然人，提供有效的自然人身份证明。</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Cs/>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pacing w:val="-6"/>
          <w:sz w:val="24"/>
          <w:szCs w:val="24"/>
          <w:highlight w:val="none"/>
        </w:rPr>
      </w:pPr>
      <w:r>
        <w:rPr>
          <w:rFonts w:hint="eastAsia" w:ascii="仿宋" w:hAnsi="仿宋" w:eastAsia="仿宋" w:cs="仿宋"/>
          <w:b/>
          <w:bCs/>
          <w:color w:val="auto"/>
          <w:sz w:val="24"/>
          <w:szCs w:val="24"/>
          <w:highlight w:val="none"/>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（联合体投标的，联合体各方均需提供）</w:t>
      </w:r>
    </w:p>
    <w:p>
      <w:pPr>
        <w:adjustRightInd w:val="0"/>
        <w:snapToGrid w:val="0"/>
        <w:spacing w:line="360" w:lineRule="auto"/>
        <w:rPr>
          <w:rFonts w:ascii="仿宋" w:hAnsi="仿宋" w:eastAsia="仿宋" w:cs="仿宋"/>
          <w:color w:val="auto"/>
          <w:spacing w:val="-6"/>
          <w:szCs w:val="21"/>
          <w:highlight w:val="none"/>
        </w:rPr>
      </w:pPr>
      <w:r>
        <w:rPr>
          <w:rFonts w:hint="eastAsia" w:ascii="仿宋" w:hAnsi="仿宋" w:eastAsia="仿宋" w:cs="仿宋"/>
          <w:b/>
          <w:bCs/>
          <w:color w:val="auto"/>
          <w:spacing w:val="-6"/>
          <w:szCs w:val="21"/>
          <w:highlight w:val="none"/>
        </w:rPr>
        <w:t>致：浙江工业大学、浙江求是招标代理有限公司</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（投标人名称）参加</w:t>
      </w:r>
      <w:r>
        <w:rPr>
          <w:rFonts w:hint="eastAsia" w:ascii="仿宋" w:hAnsi="仿宋" w:eastAsia="仿宋" w:cs="仿宋"/>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项目的采购活动并承诺如下：</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一、我方满足《中华人民共和国政府采购法》第二十二条规定：</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（一）具有独立承担民事责任的能力；</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（二）具有良好的商业信誉和健全的财务会计制度；</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（三）具有履行合同所必需的设备和专业技术能力；</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（四）有依法缴纳税收和社会保障资金的良好记录；</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（五）参加本项目政府采购活动前三年内，在经营活动中</w:t>
      </w:r>
      <w:r>
        <w:rPr>
          <w:rFonts w:hint="eastAsia" w:ascii="仿宋" w:hAnsi="仿宋" w:eastAsia="仿宋" w:cs="仿宋"/>
          <w:b/>
          <w:color w:val="auto"/>
          <w:spacing w:val="-6"/>
          <w:szCs w:val="21"/>
          <w:highlight w:val="none"/>
          <w:u w:val="single"/>
        </w:rPr>
        <w:t xml:space="preserve">     </w:t>
      </w:r>
      <w:r>
        <w:rPr>
          <w:rFonts w:hint="eastAsia" w:ascii="仿宋" w:hAnsi="仿宋" w:eastAsia="仿宋" w:cs="仿宋"/>
          <w:b/>
          <w:color w:val="auto"/>
          <w:spacing w:val="-6"/>
          <w:szCs w:val="21"/>
          <w:highlight w:val="none"/>
        </w:rPr>
        <w:t>（填写“有”或“没有”）</w:t>
      </w:r>
      <w:r>
        <w:rPr>
          <w:rFonts w:hint="eastAsia" w:ascii="仿宋" w:hAnsi="仿宋" w:eastAsia="仿宋" w:cs="仿宋"/>
          <w:color w:val="auto"/>
          <w:spacing w:val="-6"/>
          <w:szCs w:val="21"/>
          <w:highlight w:val="none"/>
        </w:rPr>
        <w:t>重大违法记录（重大违法记录是指投标人因违法经营受到刑事处罚或者责令停产停业、吊销许可证或者执照、较大数额罚款等行政处罚）。</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（六）法律、行政法规规定的其他条件。</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二、未被信用中国（www.creditchina.gov.cn)、中国政府采购网（www.ccgp.gov.cn）列入失信被执行人、重大税收违法案件当事人名单、政府采购严重违法失信行为记录名单。</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三、不存在以下情况：</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1.单位负责人为同一人或者存在直接控股、管理关系的不同供应商参加同一合同项下的政府采购活动的；</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2.为采购项目提供整体设计、规范编制或者项目管理、监理、检测等服务后再参加该采购项目的其他采购活动的。</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四、以上事项如有虚假或隐瞒，我方愿意承担一切后果和责任。</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360" w:lineRule="auto"/>
        <w:ind w:left="0" w:leftChars="0" w:right="0" w:rightChars="0" w:firstLine="0" w:firstLineChars="0"/>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落实政府采购政策需满足的资格要求</w:t>
      </w:r>
    </w:p>
    <w:p>
      <w:pPr>
        <w:spacing w:line="360" w:lineRule="auto"/>
        <w:ind w:left="0" w:leftChars="0" w:right="0" w:rightChars="0" w:firstLine="0" w:firstLineChars="0"/>
        <w:jc w:val="center"/>
        <w:outlineLvl w:val="3"/>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中小企业声明函</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本公司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联合体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郑重声明，根据《政府采购促进中小企业发展管理办法》（财库[2020]46号）的规定，本公司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联合体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w:t>
      </w:r>
      <w:r>
        <w:rPr>
          <w:rFonts w:hint="eastAsia" w:ascii="仿宋" w:hAnsi="仿宋" w:eastAsia="仿宋" w:cs="仿宋"/>
          <w:bCs/>
          <w:color w:val="auto"/>
          <w:spacing w:val="-6"/>
          <w:szCs w:val="21"/>
          <w:highlight w:val="none"/>
        </w:rPr>
        <w:t>浙江工业大学</w:t>
      </w:r>
      <w:r>
        <w:rPr>
          <w:rFonts w:hint="eastAsia" w:ascii="仿宋" w:hAnsi="仿宋" w:eastAsia="仿宋" w:cs="仿宋"/>
          <w:color w:val="auto"/>
          <w:szCs w:val="21"/>
          <w:highlight w:val="none"/>
        </w:rPr>
        <w:t>的</w:t>
      </w:r>
      <w:r>
        <w:rPr>
          <w:rFonts w:hint="eastAsia" w:ascii="仿宋" w:hAnsi="仿宋" w:eastAsia="仿宋" w:cs="仿宋"/>
          <w:bCs/>
          <w:color w:val="auto"/>
          <w:spacing w:val="-6"/>
          <w:szCs w:val="21"/>
          <w:highlight w:val="none"/>
          <w:lang w:eastAsia="zh-CN"/>
        </w:rPr>
        <w:t>电工综合实训考核设备等</w:t>
      </w:r>
      <w:r>
        <w:rPr>
          <w:rFonts w:hint="eastAsia" w:ascii="仿宋" w:hAnsi="仿宋" w:eastAsia="仿宋" w:cs="仿宋"/>
          <w:color w:val="auto"/>
          <w:szCs w:val="21"/>
          <w:highlight w:val="none"/>
        </w:rPr>
        <w:t>采购活动，提供的货物全部由符合政策要求的中小企业制造。相关企业（含联合体中的中小企业）的具体情况如下：</w:t>
      </w:r>
    </w:p>
    <w:p>
      <w:pPr>
        <w:adjustRightInd w:val="0"/>
        <w:snapToGrid w:val="0"/>
        <w:spacing w:line="360" w:lineRule="auto"/>
        <w:ind w:firstLine="420" w:firstLineChars="200"/>
        <w:rPr>
          <w:rFonts w:hint="eastAsia" w:ascii="仿宋" w:hAnsi="仿宋" w:eastAsia="仿宋" w:cs="仿宋"/>
          <w:b/>
          <w:bCs/>
          <w:iCs/>
          <w:szCs w:val="21"/>
          <w:highlight w:val="none"/>
          <w:lang w:eastAsia="zh-CN"/>
        </w:rPr>
      </w:pPr>
      <w:r>
        <w:rPr>
          <w:rFonts w:hint="eastAsia" w:ascii="仿宋" w:hAnsi="仿宋" w:eastAsia="仿宋" w:cs="仿宋"/>
          <w:szCs w:val="21"/>
          <w:highlight w:val="none"/>
          <w:lang w:val="en-US" w:eastAsia="zh-CN"/>
        </w:rPr>
        <w:t>1.</w:t>
      </w:r>
      <w:r>
        <w:rPr>
          <w:rFonts w:hint="eastAsia" w:ascii="仿宋" w:hAnsi="仿宋" w:eastAsia="仿宋" w:cs="仿宋"/>
          <w:szCs w:val="21"/>
          <w:highlight w:val="none"/>
          <w:lang w:eastAsia="zh-CN"/>
        </w:rPr>
        <w:t>电工综合实训考核设备（PLC立式实训台）</w:t>
      </w:r>
      <w:r>
        <w:rPr>
          <w:rFonts w:hint="eastAsia" w:ascii="仿宋" w:hAnsi="仿宋" w:eastAsia="仿宋" w:cs="仿宋"/>
          <w:szCs w:val="21"/>
          <w:highlight w:val="none"/>
        </w:rPr>
        <w:t>，属于</w:t>
      </w:r>
      <w:r>
        <w:rPr>
          <w:rFonts w:hint="eastAsia" w:ascii="仿宋" w:hAnsi="仿宋" w:eastAsia="仿宋" w:cs="仿宋"/>
          <w:szCs w:val="21"/>
          <w:highlight w:val="none"/>
          <w:lang w:eastAsia="zh-CN"/>
        </w:rPr>
        <w:t>工业</w:t>
      </w:r>
      <w:r>
        <w:rPr>
          <w:rFonts w:hint="eastAsia" w:ascii="仿宋" w:hAnsi="仿宋" w:eastAsia="仿宋" w:cs="仿宋"/>
          <w:szCs w:val="21"/>
          <w:highlight w:val="none"/>
        </w:rPr>
        <w:t>；制造商为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b/>
          <w:bCs/>
          <w:szCs w:val="21"/>
          <w:highlight w:val="non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万元，属于</w:t>
      </w:r>
      <w:r>
        <w:rPr>
          <w:rFonts w:hint="eastAsia" w:ascii="MS Gothic" w:hAnsi="MS Gothic" w:eastAsia="仿宋" w:cs="仿宋"/>
          <w:kern w:val="0"/>
          <w:szCs w:val="21"/>
          <w:highlight w:val="none"/>
        </w:rPr>
        <w:t>☐</w:t>
      </w:r>
      <w:r>
        <w:rPr>
          <w:rFonts w:hint="eastAsia" w:ascii="仿宋" w:hAnsi="仿宋" w:eastAsia="仿宋" w:cs="仿宋"/>
          <w:iCs/>
          <w:szCs w:val="21"/>
          <w:highlight w:val="none"/>
        </w:rPr>
        <w:t>中型企业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小型企业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微型企业</w:t>
      </w:r>
      <w:r>
        <w:rPr>
          <w:rFonts w:hint="eastAsia" w:ascii="仿宋" w:hAnsi="仿宋" w:eastAsia="仿宋" w:cs="仿宋"/>
          <w:b/>
          <w:bCs/>
          <w:iCs/>
          <w:szCs w:val="21"/>
          <w:highlight w:val="none"/>
        </w:rPr>
        <w:t>（如实勾选）</w:t>
      </w:r>
      <w:r>
        <w:rPr>
          <w:rFonts w:hint="eastAsia" w:ascii="仿宋" w:hAnsi="仿宋" w:eastAsia="仿宋" w:cs="仿宋"/>
          <w:b/>
          <w:bCs/>
          <w:iCs/>
          <w:szCs w:val="21"/>
          <w:highlight w:val="none"/>
          <w:lang w:eastAsia="zh-CN"/>
        </w:rPr>
        <w:t>；</w:t>
      </w:r>
    </w:p>
    <w:p>
      <w:pPr>
        <w:adjustRightInd w:val="0"/>
        <w:snapToGrid w:val="0"/>
        <w:spacing w:line="360" w:lineRule="auto"/>
        <w:ind w:firstLine="420" w:firstLineChars="200"/>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2.</w:t>
      </w:r>
      <w:r>
        <w:rPr>
          <w:rFonts w:hint="eastAsia" w:ascii="仿宋" w:hAnsi="仿宋" w:eastAsia="仿宋" w:cs="仿宋"/>
          <w:szCs w:val="21"/>
          <w:highlight w:val="none"/>
          <w:lang w:eastAsia="zh-CN"/>
        </w:rPr>
        <w:t>材料分拣实训装置</w:t>
      </w:r>
      <w:r>
        <w:rPr>
          <w:rFonts w:hint="eastAsia" w:ascii="仿宋" w:hAnsi="仿宋" w:eastAsia="仿宋" w:cs="仿宋"/>
          <w:szCs w:val="21"/>
          <w:highlight w:val="none"/>
        </w:rPr>
        <w:t>，属于</w:t>
      </w:r>
      <w:r>
        <w:rPr>
          <w:rFonts w:hint="eastAsia" w:ascii="仿宋" w:hAnsi="仿宋" w:eastAsia="仿宋" w:cs="仿宋"/>
          <w:szCs w:val="21"/>
          <w:highlight w:val="none"/>
          <w:lang w:eastAsia="zh-CN"/>
        </w:rPr>
        <w:t>工业</w:t>
      </w:r>
      <w:r>
        <w:rPr>
          <w:rFonts w:hint="eastAsia" w:ascii="仿宋" w:hAnsi="仿宋" w:eastAsia="仿宋" w:cs="仿宋"/>
          <w:szCs w:val="21"/>
          <w:highlight w:val="none"/>
        </w:rPr>
        <w:t>；制造商为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b/>
          <w:bCs/>
          <w:szCs w:val="21"/>
          <w:highlight w:val="non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万元，属于</w:t>
      </w:r>
      <w:r>
        <w:rPr>
          <w:rFonts w:hint="eastAsia" w:ascii="MS Gothic" w:hAnsi="MS Gothic" w:eastAsia="仿宋" w:cs="仿宋"/>
          <w:kern w:val="0"/>
          <w:szCs w:val="21"/>
          <w:highlight w:val="none"/>
        </w:rPr>
        <w:t>☐</w:t>
      </w:r>
      <w:r>
        <w:rPr>
          <w:rFonts w:hint="eastAsia" w:ascii="仿宋" w:hAnsi="仿宋" w:eastAsia="仿宋" w:cs="仿宋"/>
          <w:iCs/>
          <w:szCs w:val="21"/>
          <w:highlight w:val="none"/>
        </w:rPr>
        <w:t>中型企业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小型企业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微型企业</w:t>
      </w:r>
      <w:r>
        <w:rPr>
          <w:rFonts w:hint="eastAsia" w:ascii="仿宋" w:hAnsi="仿宋" w:eastAsia="仿宋" w:cs="仿宋"/>
          <w:b/>
          <w:bCs/>
          <w:iCs/>
          <w:szCs w:val="21"/>
          <w:highlight w:val="none"/>
        </w:rPr>
        <w:t>（如实勾选）</w:t>
      </w:r>
      <w:r>
        <w:rPr>
          <w:rFonts w:hint="eastAsia" w:ascii="仿宋" w:hAnsi="仿宋" w:eastAsia="仿宋" w:cs="仿宋"/>
          <w:b/>
          <w:bCs/>
          <w:iCs/>
          <w:szCs w:val="21"/>
          <w:highlight w:val="none"/>
          <w:lang w:eastAsia="zh-CN"/>
        </w:rPr>
        <w:t>；</w:t>
      </w:r>
    </w:p>
    <w:p>
      <w:pPr>
        <w:adjustRightInd w:val="0"/>
        <w:snapToGrid w:val="0"/>
        <w:spacing w:line="360" w:lineRule="auto"/>
        <w:ind w:firstLine="420" w:firstLineChars="200"/>
        <w:rPr>
          <w:rFonts w:hint="eastAsia" w:ascii="仿宋" w:hAnsi="仿宋" w:eastAsia="仿宋" w:cs="仿宋"/>
          <w:b/>
          <w:bCs/>
          <w:iCs/>
          <w:szCs w:val="21"/>
          <w:highlight w:val="none"/>
          <w:lang w:eastAsia="zh-CN"/>
        </w:rPr>
      </w:pPr>
      <w:r>
        <w:rPr>
          <w:rFonts w:hint="eastAsia" w:ascii="仿宋" w:hAnsi="仿宋" w:eastAsia="仿宋" w:cs="仿宋"/>
          <w:szCs w:val="21"/>
          <w:highlight w:val="none"/>
          <w:lang w:val="en-US" w:eastAsia="zh-CN"/>
        </w:rPr>
        <w:t>3.</w:t>
      </w:r>
      <w:r>
        <w:rPr>
          <w:rFonts w:hint="eastAsia" w:ascii="仿宋" w:hAnsi="仿宋" w:eastAsia="仿宋" w:cs="仿宋"/>
          <w:szCs w:val="21"/>
          <w:highlight w:val="none"/>
          <w:lang w:eastAsia="zh-CN"/>
        </w:rPr>
        <w:t>立体车库实训装置</w:t>
      </w:r>
      <w:r>
        <w:rPr>
          <w:rFonts w:hint="eastAsia" w:ascii="仿宋" w:hAnsi="仿宋" w:eastAsia="仿宋" w:cs="仿宋"/>
          <w:szCs w:val="21"/>
          <w:highlight w:val="none"/>
        </w:rPr>
        <w:t>，属于</w:t>
      </w:r>
      <w:r>
        <w:rPr>
          <w:rFonts w:hint="eastAsia" w:ascii="仿宋" w:hAnsi="仿宋" w:eastAsia="仿宋" w:cs="仿宋"/>
          <w:szCs w:val="21"/>
          <w:highlight w:val="none"/>
          <w:lang w:eastAsia="zh-CN"/>
        </w:rPr>
        <w:t>工业</w:t>
      </w:r>
      <w:r>
        <w:rPr>
          <w:rFonts w:hint="eastAsia" w:ascii="仿宋" w:hAnsi="仿宋" w:eastAsia="仿宋" w:cs="仿宋"/>
          <w:szCs w:val="21"/>
          <w:highlight w:val="none"/>
        </w:rPr>
        <w:t>；制造商为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b/>
          <w:bCs/>
          <w:szCs w:val="21"/>
          <w:highlight w:val="non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万元，属于</w:t>
      </w:r>
      <w:r>
        <w:rPr>
          <w:rFonts w:hint="eastAsia" w:ascii="MS Gothic" w:hAnsi="MS Gothic" w:eastAsia="仿宋" w:cs="仿宋"/>
          <w:kern w:val="0"/>
          <w:szCs w:val="21"/>
          <w:highlight w:val="none"/>
        </w:rPr>
        <w:t>☐</w:t>
      </w:r>
      <w:r>
        <w:rPr>
          <w:rFonts w:hint="eastAsia" w:ascii="仿宋" w:hAnsi="仿宋" w:eastAsia="仿宋" w:cs="仿宋"/>
          <w:iCs/>
          <w:szCs w:val="21"/>
          <w:highlight w:val="none"/>
        </w:rPr>
        <w:t>中型企业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小型企业</w:t>
      </w:r>
      <w:r>
        <w:rPr>
          <w:rFonts w:hint="eastAsia" w:ascii="仿宋" w:hAnsi="仿宋" w:eastAsia="仿宋" w:cs="仿宋"/>
          <w:kern w:val="0"/>
          <w:szCs w:val="21"/>
          <w:highlight w:val="none"/>
        </w:rPr>
        <w:t>☐</w:t>
      </w:r>
      <w:r>
        <w:rPr>
          <w:rFonts w:hint="eastAsia" w:ascii="仿宋" w:hAnsi="仿宋" w:eastAsia="仿宋" w:cs="仿宋"/>
          <w:iCs/>
          <w:szCs w:val="21"/>
          <w:highlight w:val="none"/>
        </w:rPr>
        <w:t>微型企业</w:t>
      </w:r>
      <w:r>
        <w:rPr>
          <w:rFonts w:hint="eastAsia" w:ascii="仿宋" w:hAnsi="仿宋" w:eastAsia="仿宋" w:cs="仿宋"/>
          <w:b/>
          <w:bCs/>
          <w:iCs/>
          <w:szCs w:val="21"/>
          <w:highlight w:val="none"/>
        </w:rPr>
        <w:t>（如实勾选）</w:t>
      </w:r>
      <w:r>
        <w:rPr>
          <w:rFonts w:hint="eastAsia" w:ascii="仿宋" w:hAnsi="仿宋" w:eastAsia="仿宋" w:cs="仿宋"/>
          <w:b/>
          <w:bCs/>
          <w:iCs/>
          <w:szCs w:val="21"/>
          <w:highlight w:val="none"/>
          <w:lang w:eastAsia="zh-CN"/>
        </w:rPr>
        <w:t>。</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以上企业，不属于大企业的分支机构，不存在控股股东为大企业的情形，也不存在与大企业的负责人为同一人的情形。</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本企业对上述声明内容的真实性负责。如有虚假，将依法承担相应责任。</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企业名称（盖章）：</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日期：</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注：</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1.中小企业参加政府采购活动，应当出具财库[2020]46号文件规定的《中小企业声明函》，否则不得享受相关中小企业扶持政策;</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2.从业人员、营业收入、资产总额填报上一年度数据，无上一年度数据的新成立企业可不填报;</w:t>
      </w:r>
    </w:p>
    <w:p>
      <w:pPr>
        <w:adjustRightInd w:val="0"/>
        <w:snapToGrid w:val="0"/>
        <w:spacing w:line="360" w:lineRule="auto"/>
        <w:ind w:firstLine="361" w:firstLineChars="200"/>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rPr>
        <w:t>3.《中小企业声明函》填写不全（从业人员、营业收入、资产总额在中小企业划型标准规定中不涉及的除外）或未按照《中小企业声明函》要求填写的，视为未提供《中小企业声明函》</w:t>
      </w:r>
      <w:r>
        <w:rPr>
          <w:rFonts w:hint="eastAsia" w:ascii="仿宋" w:hAnsi="仿宋" w:eastAsia="仿宋" w:cs="仿宋"/>
          <w:b/>
          <w:bCs/>
          <w:color w:val="auto"/>
          <w:sz w:val="18"/>
          <w:szCs w:val="18"/>
          <w:highlight w:val="none"/>
          <w:lang w:eastAsia="zh-CN"/>
        </w:rPr>
        <w:t>；</w:t>
      </w:r>
    </w:p>
    <w:p>
      <w:pPr>
        <w:adjustRightInd w:val="0"/>
        <w:snapToGrid w:val="0"/>
        <w:spacing w:line="360" w:lineRule="auto"/>
        <w:ind w:firstLine="361" w:firstLineChars="200"/>
        <w:rPr>
          <w:rFonts w:hint="default"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rPr>
        <w:t>4.</w:t>
      </w:r>
      <w:r>
        <w:rPr>
          <w:rFonts w:hint="eastAsia" w:ascii="仿宋" w:hAnsi="仿宋" w:eastAsia="仿宋" w:cs="仿宋"/>
          <w:b/>
          <w:bCs/>
          <w:color w:val="auto"/>
          <w:sz w:val="18"/>
          <w:szCs w:val="18"/>
          <w:highlight w:val="none"/>
          <w:lang w:val="en-US" w:eastAsia="zh-CN"/>
        </w:rPr>
        <w:t>非联合体投标的可删除“（）”中相应内容；</w:t>
      </w:r>
    </w:p>
    <w:p>
      <w:pPr>
        <w:adjustRightInd w:val="0"/>
        <w:snapToGrid w:val="0"/>
        <w:spacing w:line="360" w:lineRule="auto"/>
        <w:ind w:firstLine="361" w:firstLineChars="200"/>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5.</w:t>
      </w:r>
      <w:r>
        <w:rPr>
          <w:rFonts w:hint="eastAsia" w:ascii="仿宋" w:hAnsi="仿宋" w:eastAsia="仿宋" w:cs="仿宋"/>
          <w:b/>
          <w:bCs/>
          <w:color w:val="auto"/>
          <w:sz w:val="18"/>
          <w:szCs w:val="18"/>
          <w:highlight w:val="none"/>
        </w:rPr>
        <w:t>投标人提供《中小企业声明函》内容不实的，属于提供虚假材料谋取中标，依照《中华人民共和国政府采购法》等国家有关规定追究相应责任;</w:t>
      </w:r>
    </w:p>
    <w:p>
      <w:pPr>
        <w:adjustRightInd w:val="0"/>
        <w:snapToGrid w:val="0"/>
        <w:spacing w:line="360" w:lineRule="auto"/>
        <w:ind w:firstLine="361" w:firstLineChars="200"/>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6</w:t>
      </w:r>
      <w:r>
        <w:rPr>
          <w:rFonts w:hint="eastAsia" w:ascii="仿宋" w:hAnsi="仿宋" w:eastAsia="仿宋" w:cs="仿宋"/>
          <w:b/>
          <w:bCs/>
          <w:color w:val="auto"/>
          <w:sz w:val="18"/>
          <w:szCs w:val="18"/>
          <w:highlight w:val="none"/>
        </w:rPr>
        <w:t>.本项目仅以《中小企业声明函》作为评判投标人是否属于中小企业的唯一依据。</w:t>
      </w:r>
    </w:p>
    <w:p>
      <w:pPr>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br w:type="page"/>
      </w:r>
    </w:p>
    <w:p>
      <w:pPr>
        <w:spacing w:line="360" w:lineRule="auto"/>
        <w:ind w:left="0" w:leftChars="0" w:right="0" w:rightChars="0" w:firstLine="0" w:firstLineChars="0"/>
        <w:jc w:val="center"/>
        <w:outlineLvl w:val="3"/>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属于监狱企业的证明文件</w:t>
      </w:r>
    </w:p>
    <w:p>
      <w:pPr>
        <w:adjustRightInd w:val="0"/>
        <w:snapToGrid w:val="0"/>
        <w:spacing w:line="360" w:lineRule="auto"/>
        <w:jc w:val="center"/>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（若属于监狱企业）</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kern w:val="0"/>
          <w:sz w:val="18"/>
          <w:szCs w:val="18"/>
          <w:highlight w:val="none"/>
        </w:rPr>
      </w:pPr>
      <w:r>
        <w:rPr>
          <w:rFonts w:hint="eastAsia" w:ascii="仿宋" w:hAnsi="仿宋" w:eastAsia="仿宋" w:cs="仿宋"/>
          <w:b/>
          <w:bCs/>
          <w:color w:val="auto"/>
          <w:sz w:val="18"/>
          <w:szCs w:val="18"/>
          <w:highlight w:val="none"/>
        </w:rPr>
        <w:t>说明：</w:t>
      </w:r>
      <w:r>
        <w:rPr>
          <w:rFonts w:hint="eastAsia" w:ascii="仿宋" w:hAnsi="仿宋" w:eastAsia="仿宋" w:cs="仿宋"/>
          <w:b/>
          <w:bCs/>
          <w:color w:val="auto"/>
          <w:kern w:val="0"/>
          <w:sz w:val="18"/>
          <w:szCs w:val="18"/>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政府采购活动中，监狱企业视同小型、微型企业，享受预留份额、评审中价格扣除等政府采购促进中小企业发展的政府采购政策。</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spacing w:line="360" w:lineRule="auto"/>
        <w:ind w:left="0" w:leftChars="0" w:right="0" w:rightChars="0" w:firstLine="0" w:firstLineChars="0"/>
        <w:jc w:val="center"/>
        <w:outlineLvl w:val="3"/>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残疾人福利性单位声明函</w:t>
      </w:r>
    </w:p>
    <w:p>
      <w:pPr>
        <w:adjustRightInd w:val="0"/>
        <w:snapToGrid w:val="0"/>
        <w:spacing w:line="360"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 w:val="18"/>
          <w:szCs w:val="18"/>
          <w:highlight w:val="none"/>
        </w:rPr>
        <w:t>（若属于残疾人福利性单位）</w:t>
      </w:r>
    </w:p>
    <w:p>
      <w:pPr>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本单位郑重声明，根据《财政部 民政部 中国残疾人联合会关于促进残疾人就业政府采购政策的通知》（财库[</w:t>
      </w:r>
      <w:r>
        <w:rPr>
          <w:rFonts w:hint="eastAsia" w:ascii="仿宋" w:hAnsi="仿宋" w:eastAsia="仿宋" w:cs="仿宋"/>
          <w:color w:val="auto"/>
          <w:szCs w:val="21"/>
          <w:highlight w:val="none"/>
        </w:rPr>
        <w:t>2017]141</w:t>
      </w:r>
      <w:r>
        <w:rPr>
          <w:rFonts w:hint="eastAsia" w:ascii="仿宋" w:hAnsi="仿宋" w:eastAsia="仿宋" w:cs="仿宋"/>
          <w:color w:val="auto"/>
          <w:spacing w:val="6"/>
          <w:szCs w:val="21"/>
          <w:highlight w:val="none"/>
        </w:rPr>
        <w:t>号）的规定，</w:t>
      </w:r>
      <w:r>
        <w:rPr>
          <w:rFonts w:hint="eastAsia" w:ascii="仿宋" w:hAnsi="仿宋" w:eastAsia="仿宋" w:cs="仿宋"/>
          <w:b/>
          <w:bCs/>
          <w:color w:val="auto"/>
          <w:spacing w:val="6"/>
          <w:szCs w:val="21"/>
          <w:highlight w:val="none"/>
        </w:rPr>
        <w:t>本单位为符合条件的残疾人福利性单位</w:t>
      </w:r>
      <w:r>
        <w:rPr>
          <w:rFonts w:hint="eastAsia" w:ascii="仿宋" w:hAnsi="仿宋" w:eastAsia="仿宋" w:cs="仿宋"/>
          <w:color w:val="auto"/>
          <w:spacing w:val="6"/>
          <w:szCs w:val="21"/>
          <w:highlight w:val="none"/>
        </w:rPr>
        <w:t>，且本单位参加</w:t>
      </w:r>
      <w:r>
        <w:rPr>
          <w:rFonts w:hint="eastAsia" w:ascii="仿宋" w:hAnsi="仿宋" w:eastAsia="仿宋" w:cs="仿宋"/>
          <w:bCs/>
          <w:color w:val="auto"/>
          <w:spacing w:val="-6"/>
          <w:szCs w:val="21"/>
          <w:highlight w:val="none"/>
        </w:rPr>
        <w:t>浙江工业大学</w:t>
      </w:r>
      <w:r>
        <w:rPr>
          <w:rFonts w:hint="eastAsia" w:ascii="仿宋" w:hAnsi="仿宋" w:eastAsia="仿宋" w:cs="仿宋"/>
          <w:color w:val="auto"/>
          <w:spacing w:val="6"/>
          <w:szCs w:val="21"/>
          <w:highlight w:val="none"/>
        </w:rPr>
        <w:t>的</w:t>
      </w:r>
      <w:r>
        <w:rPr>
          <w:rFonts w:hint="eastAsia" w:ascii="仿宋" w:hAnsi="仿宋" w:eastAsia="仿宋" w:cs="仿宋"/>
          <w:color w:val="auto"/>
          <w:spacing w:val="6"/>
          <w:szCs w:val="21"/>
          <w:highlight w:val="none"/>
          <w:lang w:eastAsia="zh-CN"/>
        </w:rPr>
        <w:t>电工综合实训考核设备等</w:t>
      </w:r>
      <w:r>
        <w:rPr>
          <w:rFonts w:hint="eastAsia" w:ascii="仿宋" w:hAnsi="仿宋" w:eastAsia="仿宋" w:cs="仿宋"/>
          <w:color w:val="auto"/>
          <w:spacing w:val="6"/>
          <w:szCs w:val="21"/>
          <w:highlight w:val="none"/>
        </w:rPr>
        <w:t>项目采购活动提供本单位制造的货物，或者提供其他残疾人福利性单位制造的货物（不包括使用非残疾人福利性单位注册商标的货物）。</w:t>
      </w:r>
    </w:p>
    <w:p>
      <w:pPr>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本单位对上述声明的真实性负责。如有虚假，将依法承担相应责任。</w:t>
      </w: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单位名称（盖章）：</w:t>
      </w: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日期：</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1.享受政府采购支持政策的残疾人福利性单位应当同时满足以下条件：</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（一）安置的残疾人占本单位在职职工人数的比例不低于25%（含25%），并且安置的残疾人人数不少于10人（含10人）；</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（二）依法与安置的每位残疾人签订了一年以上（含一年）的劳动合同或服务协议；</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（三）为安置的每位残疾人按月足额缴纳了基本养老保险、基本医疗保险、失业保险、工伤保险和生育保险等社会保险费；</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（四）通过银行等金融机构向安置的每位残疾人，按月支付了不低于单位所在区县适用的经省级人民政府批准的月最低工资标准的工资；</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（五）提供本单位制造的货物、承担的工程或者服务（以下简称产品），或者提供其他残疾人福利性单位制造的货物（不包括使用非残疾人福利性单位注册商标的货物）。</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24"/>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2.符合条件的残疾人福利性单位在参加政府采购活动时，应当提供财库[2017]141号文件规定的《残疾人福利性单位声明函》，并对声明的真实性负责;</w:t>
      </w:r>
    </w:p>
    <w:p>
      <w:pPr>
        <w:pStyle w:val="24"/>
        <w:shd w:val="clear" w:color="auto" w:fill="FFFFFF"/>
        <w:adjustRightInd w:val="0"/>
        <w:snapToGrid w:val="0"/>
        <w:spacing w:before="0" w:beforeAutospacing="0" w:after="0" w:afterAutospacing="0" w:line="360" w:lineRule="auto"/>
        <w:ind w:firstLine="361" w:firstLineChars="200"/>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3.在政府采购活动中，残疾人福利性单位视同小型、微型企业，享受预留份额、评审中价格扣除等促进中小企业发展的政府采购政策。残疾人福利性单位属于小型、微型企业的，不重复享受政策。</w:t>
      </w:r>
    </w:p>
    <w:p>
      <w:pPr>
        <w:ind w:left="0" w:leftChars="0" w:right="0" w:rightChars="0" w:firstLine="0" w:firstLineChars="0"/>
        <w:jc w:val="center"/>
        <w:rPr>
          <w:rFonts w:hint="eastAsia"/>
          <w:highlight w:val="none"/>
        </w:rPr>
      </w:pPr>
      <w:r>
        <w:rPr>
          <w:rFonts w:hint="eastAsia" w:ascii="仿宋" w:hAnsi="仿宋" w:eastAsia="仿宋" w:cs="仿宋"/>
          <w:b/>
          <w:bCs/>
          <w:color w:val="auto"/>
          <w:sz w:val="18"/>
          <w:szCs w:val="18"/>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联合协议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（若联合体投标）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color w:val="auto"/>
          <w:spacing w:val="-6"/>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说明：格式见附件2</w:t>
      </w:r>
    </w:p>
    <w:p>
      <w:pPr>
        <w:ind w:left="0" w:leftChars="0" w:right="0" w:rightChars="0" w:firstLine="0" w:firstLineChars="0"/>
        <w:jc w:val="center"/>
        <w:rPr>
          <w:rFonts w:hint="eastAsia" w:ascii="仿宋" w:hAnsi="仿宋" w:eastAsia="仿宋" w:cs="仿宋"/>
          <w:b/>
          <w:color w:val="auto"/>
          <w:spacing w:val="-6"/>
          <w:szCs w:val="21"/>
          <w:highlight w:val="none"/>
          <w:lang w:val="en-US" w:eastAsia="zh-CN"/>
        </w:rPr>
      </w:pPr>
      <w:r>
        <w:rPr>
          <w:rFonts w:hint="eastAsia" w:ascii="仿宋" w:hAnsi="仿宋" w:eastAsia="仿宋" w:cs="仿宋"/>
          <w:b/>
          <w:color w:val="auto"/>
          <w:spacing w:val="-6"/>
          <w:szCs w:val="21"/>
          <w:highlight w:val="none"/>
          <w:lang w:val="en-US" w:eastAsia="zh-CN"/>
        </w:rPr>
        <w:br w:type="page"/>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overflowPunct w:val="0"/>
        <w:adjustRightInd w:val="0"/>
        <w:snapToGrid w:val="0"/>
        <w:spacing w:line="288" w:lineRule="auto"/>
        <w:jc w:val="center"/>
        <w:outlineLvl w:val="1"/>
        <w:rPr>
          <w:rFonts w:ascii="仿宋" w:hAnsi="仿宋" w:eastAsia="仿宋" w:cs="仿宋"/>
          <w:bCs/>
          <w:color w:val="auto"/>
          <w:spacing w:val="-6"/>
          <w:sz w:val="84"/>
          <w:szCs w:val="84"/>
          <w:highlight w:val="none"/>
        </w:rPr>
      </w:pPr>
      <w:r>
        <w:rPr>
          <w:rFonts w:hint="eastAsia" w:ascii="仿宋" w:hAnsi="仿宋" w:eastAsia="仿宋" w:cs="仿宋"/>
          <w:b/>
          <w:bCs/>
          <w:color w:val="auto"/>
          <w:sz w:val="84"/>
          <w:szCs w:val="84"/>
          <w:highlight w:val="none"/>
        </w:rPr>
        <w:t>商务和技术文件</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color w:val="auto"/>
          <w:spacing w:val="-6"/>
          <w:sz w:val="24"/>
          <w:szCs w:val="24"/>
          <w:highlight w:val="none"/>
        </w:rPr>
      </w:pPr>
      <w:r>
        <w:rPr>
          <w:rFonts w:hint="eastAsia" w:ascii="仿宋" w:hAnsi="仿宋" w:eastAsia="仿宋" w:cs="仿宋"/>
          <w:b/>
          <w:bCs/>
          <w:color w:val="auto"/>
          <w:sz w:val="24"/>
          <w:szCs w:val="24"/>
          <w:highlight w:val="none"/>
        </w:rPr>
        <w:t>投标函</w:t>
      </w:r>
    </w:p>
    <w:p>
      <w:pPr>
        <w:adjustRightInd w:val="0"/>
        <w:snapToGrid w:val="0"/>
        <w:spacing w:line="360" w:lineRule="auto"/>
        <w:rPr>
          <w:rFonts w:ascii="仿宋" w:hAnsi="仿宋" w:eastAsia="仿宋" w:cs="仿宋"/>
          <w:color w:val="auto"/>
          <w:spacing w:val="-6"/>
          <w:szCs w:val="21"/>
          <w:highlight w:val="none"/>
        </w:rPr>
      </w:pPr>
      <w:r>
        <w:rPr>
          <w:rFonts w:hint="eastAsia" w:ascii="仿宋" w:hAnsi="仿宋" w:eastAsia="仿宋" w:cs="仿宋"/>
          <w:b/>
          <w:bCs/>
          <w:color w:val="auto"/>
          <w:spacing w:val="-6"/>
          <w:szCs w:val="21"/>
          <w:highlight w:val="none"/>
        </w:rPr>
        <w:t>致：浙江工业大学、浙江求是招标代理有限公司</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我方参加</w:t>
      </w:r>
      <w:r>
        <w:rPr>
          <w:rFonts w:hint="eastAsia" w:ascii="仿宋" w:hAnsi="仿宋" w:eastAsia="仿宋" w:cs="仿宋"/>
          <w:bCs/>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项目</w:t>
      </w:r>
      <w:r>
        <w:rPr>
          <w:rFonts w:hint="eastAsia" w:ascii="仿宋" w:hAnsi="仿宋" w:eastAsia="仿宋" w:cs="仿宋"/>
          <w:bCs/>
          <w:color w:val="auto"/>
          <w:spacing w:val="-6"/>
          <w:szCs w:val="21"/>
          <w:highlight w:val="none"/>
          <w:lang w:eastAsia="zh-CN"/>
        </w:rPr>
        <w:t>[</w:t>
      </w:r>
      <w:r>
        <w:rPr>
          <w:rFonts w:hint="eastAsia" w:ascii="仿宋" w:hAnsi="仿宋" w:eastAsia="仿宋" w:cs="仿宋"/>
          <w:color w:val="auto"/>
          <w:spacing w:val="-6"/>
          <w:szCs w:val="21"/>
          <w:highlight w:val="none"/>
        </w:rPr>
        <w:t>项目编号</w:t>
      </w:r>
      <w:r>
        <w:rPr>
          <w:rFonts w:hint="eastAsia" w:ascii="仿宋" w:hAnsi="仿宋" w:eastAsia="仿宋" w:cs="仿宋"/>
          <w:bCs/>
          <w:color w:val="auto"/>
          <w:spacing w:val="-6"/>
          <w:szCs w:val="21"/>
          <w:highlight w:val="none"/>
        </w:rPr>
        <w:t>：</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color w:val="auto"/>
          <w:spacing w:val="-6"/>
          <w:szCs w:val="21"/>
          <w:highlight w:val="none"/>
        </w:rPr>
        <w:t>，为此，我方提交电子加密投标文件一份、以介质（U盘）存储的数据电文形式的备份投标文件一份。宣布同意如下：</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1.我方已详细审查全部“招标文件”，包括修改文件（如有）以及全部参考资料和有关附件，已经了解我方对于招标文件、招标过程、中标结果有依法进行询问、质疑、投诉的权利及相关渠道和要求。</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2.我方在投标之前已经与贵方进行了充分的沟通，完全理解并接受招标文件的各项规定和要求，对招标文件的合理性、合法性不再有异议。</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3.投标有效期自提交投标文件的截止之日起</w:t>
      </w:r>
      <w:r>
        <w:rPr>
          <w:rFonts w:hint="eastAsia" w:ascii="仿宋" w:hAnsi="仿宋" w:eastAsia="仿宋" w:cs="仿宋"/>
          <w:b/>
          <w:color w:val="auto"/>
          <w:spacing w:val="-6"/>
          <w:szCs w:val="21"/>
          <w:highlight w:val="none"/>
          <w:u w:val="single"/>
        </w:rPr>
        <w:t xml:space="preserve"> 90 </w:t>
      </w:r>
      <w:r>
        <w:rPr>
          <w:rFonts w:hint="eastAsia" w:ascii="仿宋" w:hAnsi="仿宋" w:eastAsia="仿宋" w:cs="仿宋"/>
          <w:color w:val="auto"/>
          <w:spacing w:val="-6"/>
          <w:szCs w:val="21"/>
          <w:highlight w:val="none"/>
        </w:rPr>
        <w:t>天。</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4.如中标，本投标文件至本项目合同履行完毕止均保持有效，我方将按“招标文件”及政府采购法律、法规的规定履行合同责任和义务。关于代理服务费，我方承诺按照招标文件的规定履行并承担相应的责任。</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5.我方同意按照贵方要求提供与投标有关的一切数据或资料。</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6.与本投标有关的一切正式往来信函联系：</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7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手机</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地址</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7340" w:type="dxa"/>
            <w:vAlign w:val="center"/>
          </w:tcPr>
          <w:p>
            <w:pPr>
              <w:jc w:val="cente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法定代表人（单位负责人、自然人本人）身份证明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color w:val="auto"/>
          <w:sz w:val="18"/>
          <w:szCs w:val="18"/>
          <w:highlight w:val="none"/>
          <w:lang w:eastAsia="zh-CN"/>
        </w:rPr>
      </w:pP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适用于法定代表人（单位负责人、自然人本人）</w:t>
      </w:r>
      <w:r>
        <w:rPr>
          <w:rFonts w:hint="eastAsia" w:ascii="仿宋" w:hAnsi="仿宋" w:eastAsia="仿宋" w:cs="仿宋"/>
          <w:b/>
          <w:bCs/>
          <w:color w:val="auto"/>
          <w:spacing w:val="-6"/>
          <w:sz w:val="18"/>
          <w:szCs w:val="18"/>
          <w:highlight w:val="none"/>
        </w:rPr>
        <w:t>代表投标人参加投标</w:t>
      </w:r>
      <w:r>
        <w:rPr>
          <w:rFonts w:hint="eastAsia" w:ascii="仿宋" w:hAnsi="仿宋" w:eastAsia="仿宋" w:cs="仿宋"/>
          <w:b/>
          <w:bCs/>
          <w:color w:val="auto"/>
          <w:spacing w:val="-6"/>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身份证件复印件</w:t>
      </w:r>
    </w:p>
    <w:tbl>
      <w:tblPr>
        <w:tblStyle w:val="11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4814" w:type="dxa"/>
          </w:tcPr>
          <w:p>
            <w:pPr>
              <w:adjustRightInd w:val="0"/>
              <w:snapToGrid w:val="0"/>
              <w:spacing w:line="288"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正面：</w:t>
            </w:r>
          </w:p>
        </w:tc>
        <w:tc>
          <w:tcPr>
            <w:tcW w:w="4814" w:type="dxa"/>
          </w:tcPr>
          <w:p>
            <w:pPr>
              <w:adjustRightInd w:val="0"/>
              <w:snapToGrid w:val="0"/>
              <w:spacing w:line="288"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反面：</w:t>
            </w:r>
          </w:p>
        </w:tc>
      </w:tr>
    </w:tbl>
    <w:p>
      <w:pP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授权委托书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color w:val="auto"/>
          <w:spacing w:val="-6"/>
          <w:sz w:val="18"/>
          <w:szCs w:val="18"/>
          <w:highlight w:val="none"/>
          <w:lang w:eastAsia="zh-CN"/>
        </w:rPr>
      </w:pP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适用于投标人代表不是法定代表人（单位负责人、自然人本人）</w:t>
      </w:r>
      <w:r>
        <w:rPr>
          <w:rFonts w:hint="eastAsia" w:ascii="仿宋" w:hAnsi="仿宋" w:eastAsia="仿宋" w:cs="仿宋"/>
          <w:b/>
          <w:bCs/>
          <w:color w:val="auto"/>
          <w:spacing w:val="-6"/>
          <w:sz w:val="18"/>
          <w:szCs w:val="18"/>
          <w:highlight w:val="none"/>
        </w:rPr>
        <w:t>代表投标人参加投标</w:t>
      </w:r>
      <w:r>
        <w:rPr>
          <w:rFonts w:hint="eastAsia" w:ascii="仿宋" w:hAnsi="仿宋" w:eastAsia="仿宋" w:cs="仿宋"/>
          <w:b/>
          <w:bCs/>
          <w:color w:val="auto"/>
          <w:spacing w:val="-6"/>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致：</w:t>
      </w:r>
      <w:r>
        <w:rPr>
          <w:rFonts w:hint="eastAsia" w:ascii="仿宋" w:hAnsi="仿宋" w:eastAsia="仿宋" w:cs="仿宋"/>
          <w:b/>
          <w:color w:val="auto"/>
          <w:spacing w:val="-6"/>
          <w:szCs w:val="21"/>
          <w:highlight w:val="none"/>
          <w:lang w:eastAsia="zh-CN"/>
        </w:rPr>
        <w:t>浙江工业大学</w:t>
      </w:r>
      <w:r>
        <w:rPr>
          <w:rFonts w:hint="eastAsia" w:ascii="仿宋" w:hAnsi="仿宋" w:eastAsia="仿宋" w:cs="仿宋"/>
          <w:b/>
          <w:color w:val="auto"/>
          <w:spacing w:val="-6"/>
          <w:szCs w:val="21"/>
          <w:highlight w:val="none"/>
        </w:rPr>
        <w:t>、浙江求是招标代理有限公司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现授权委托：</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（授权代表姓名）（身份证号码：</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，手机：</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）以我方的名义参加</w:t>
      </w:r>
      <w:r>
        <w:rPr>
          <w:rFonts w:hint="eastAsia" w:ascii="仿宋" w:hAnsi="仿宋" w:eastAsia="仿宋" w:cs="仿宋"/>
          <w:bCs/>
          <w:color w:val="auto"/>
          <w:spacing w:val="-6"/>
          <w:szCs w:val="21"/>
          <w:highlight w:val="none"/>
          <w:lang w:eastAsia="zh-CN"/>
        </w:rPr>
        <w:t>浙江工业大学电工综合实训考核设备等</w:t>
      </w:r>
      <w:r>
        <w:rPr>
          <w:rFonts w:hint="eastAsia" w:ascii="仿宋" w:hAnsi="仿宋" w:eastAsia="仿宋" w:cs="仿宋"/>
          <w:color w:val="auto"/>
          <w:spacing w:val="-6"/>
          <w:szCs w:val="21"/>
          <w:highlight w:val="none"/>
        </w:rPr>
        <w:t>项目</w:t>
      </w:r>
      <w:r>
        <w:rPr>
          <w:rFonts w:hint="eastAsia" w:ascii="仿宋" w:hAnsi="仿宋" w:eastAsia="仿宋" w:cs="仿宋"/>
          <w:bCs/>
          <w:color w:val="auto"/>
          <w:spacing w:val="-6"/>
          <w:szCs w:val="21"/>
          <w:highlight w:val="none"/>
          <w:lang w:eastAsia="zh-CN"/>
        </w:rPr>
        <w:t>[</w:t>
      </w:r>
      <w:r>
        <w:rPr>
          <w:rFonts w:hint="eastAsia" w:ascii="仿宋" w:hAnsi="仿宋" w:eastAsia="仿宋" w:cs="仿宋"/>
          <w:color w:val="auto"/>
          <w:spacing w:val="-6"/>
          <w:szCs w:val="21"/>
          <w:highlight w:val="none"/>
        </w:rPr>
        <w:t>项目编号</w:t>
      </w:r>
      <w:r>
        <w:rPr>
          <w:rFonts w:hint="eastAsia" w:ascii="仿宋" w:hAnsi="仿宋" w:eastAsia="仿宋" w:cs="仿宋"/>
          <w:bCs/>
          <w:color w:val="auto"/>
          <w:spacing w:val="-6"/>
          <w:szCs w:val="21"/>
          <w:highlight w:val="none"/>
        </w:rPr>
        <w:t>：</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bCs/>
          <w:color w:val="auto"/>
          <w:spacing w:val="-6"/>
          <w:szCs w:val="21"/>
          <w:highlight w:val="none"/>
          <w:lang w:val="en-US" w:eastAsia="zh-CN"/>
        </w:rPr>
        <w:t>的</w:t>
      </w:r>
      <w:r>
        <w:rPr>
          <w:rFonts w:hint="eastAsia" w:ascii="仿宋" w:hAnsi="仿宋" w:eastAsia="仿宋" w:cs="仿宋"/>
          <w:color w:val="auto"/>
          <w:spacing w:val="-6"/>
          <w:szCs w:val="21"/>
          <w:highlight w:val="none"/>
        </w:rPr>
        <w:t>投标活动，并代表我方全权办理针对上述项目的投标、开标、评标、签约等具体事务和签署相关文件。</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我方对被授权人的签名负全部责任。</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在撤销授权的书面通知以前，本授权书一直有效。被授权人在授权书有效期内签署的所有文件不因授权的撤销而失效。</w:t>
      </w:r>
    </w:p>
    <w:p>
      <w:pPr>
        <w:keepNext w:val="0"/>
        <w:keepLines w:val="0"/>
        <w:pageBreakBefore w:val="0"/>
        <w:widowControl w:val="0"/>
        <w:kinsoku/>
        <w:wordWrap/>
        <w:overflowPunct/>
        <w:topLinePunct w:val="0"/>
        <w:autoSpaceDE/>
        <w:autoSpaceDN/>
        <w:bidi w:val="0"/>
        <w:adjustRightInd w:val="0"/>
        <w:snapToGrid w:val="0"/>
        <w:spacing w:line="360" w:lineRule="auto"/>
        <w:ind w:firstLine="396" w:firstLineChars="200"/>
        <w:textAlignment w:val="auto"/>
        <w:rPr>
          <w:rFonts w:ascii="仿宋" w:hAnsi="仿宋" w:eastAsia="仿宋" w:cs="仿宋"/>
          <w:b/>
          <w:bCs/>
          <w:color w:val="auto"/>
          <w:spacing w:val="-6"/>
          <w:szCs w:val="21"/>
          <w:highlight w:val="none"/>
        </w:rPr>
      </w:pPr>
      <w:r>
        <w:rPr>
          <w:rFonts w:hint="eastAsia" w:ascii="仿宋" w:hAnsi="仿宋" w:eastAsia="仿宋" w:cs="仿宋"/>
          <w:color w:val="auto"/>
          <w:spacing w:val="-6"/>
          <w:szCs w:val="21"/>
          <w:highlight w:val="none"/>
        </w:rPr>
        <w:t>被授权人无转委托权，特此告知。</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ind w:left="0" w:leftChars="0" w:right="0" w:rightChars="0" w:firstLine="0" w:firstLineChars="0"/>
        <w:jc w:val="both"/>
        <w:rPr>
          <w:rFonts w:hint="eastAsia" w:ascii="仿宋" w:hAnsi="仿宋" w:eastAsia="仿宋" w:cs="仿宋"/>
          <w:b/>
          <w:bCs/>
          <w:color w:val="auto"/>
          <w:sz w:val="24"/>
          <w:szCs w:val="24"/>
          <w:highlight w:val="none"/>
        </w:rPr>
      </w:pPr>
    </w:p>
    <w:p>
      <w:pPr>
        <w:ind w:left="0" w:leftChars="0" w:right="0" w:rightChars="0" w:firstLine="0" w:firstLineChars="0"/>
        <w:jc w:val="both"/>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lang w:val="en-US" w:eastAsia="zh-CN"/>
        </w:rPr>
        <w:t>说明</w:t>
      </w:r>
      <w:r>
        <w:rPr>
          <w:rFonts w:hint="eastAsia" w:ascii="仿宋" w:hAnsi="仿宋" w:eastAsia="仿宋" w:cs="仿宋"/>
          <w:b/>
          <w:bCs/>
          <w:color w:val="auto"/>
          <w:sz w:val="18"/>
          <w:szCs w:val="18"/>
          <w:highlight w:val="none"/>
        </w:rPr>
        <w:t>：投标人是联合体的</w:t>
      </w:r>
      <w:r>
        <w:rPr>
          <w:rFonts w:hint="eastAsia" w:ascii="仿宋" w:hAnsi="仿宋" w:eastAsia="仿宋" w:cs="仿宋"/>
          <w:b/>
          <w:bCs/>
          <w:color w:val="auto"/>
          <w:sz w:val="18"/>
          <w:szCs w:val="18"/>
          <w:highlight w:val="none"/>
          <w:lang w:val="en-US" w:eastAsia="zh-CN"/>
        </w:rPr>
        <w:t>则</w:t>
      </w:r>
      <w:r>
        <w:rPr>
          <w:rFonts w:hint="eastAsia" w:ascii="仿宋" w:hAnsi="仿宋" w:eastAsia="仿宋" w:cs="仿宋"/>
          <w:b/>
          <w:bCs/>
          <w:color w:val="auto"/>
          <w:sz w:val="18"/>
          <w:szCs w:val="18"/>
          <w:highlight w:val="none"/>
        </w:rPr>
        <w:t>联合体各成员均应在“授权委托书”上盖章（电子签名/公章）</w:t>
      </w:r>
    </w:p>
    <w:p>
      <w:pPr>
        <w:ind w:left="0" w:leftChars="0" w:right="0" w:rightChars="0" w:firstLine="0" w:firstLineChars="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3"/>
        <w:rPr>
          <w:rFonts w:ascii="仿宋" w:hAnsi="仿宋" w:eastAsia="仿宋" w:cs="仿宋"/>
          <w:bCs/>
          <w:color w:val="auto"/>
          <w:spacing w:val="-6"/>
          <w:szCs w:val="21"/>
          <w:highlight w:val="none"/>
        </w:rPr>
      </w:pPr>
      <w:r>
        <w:rPr>
          <w:rFonts w:hint="eastAsia" w:ascii="仿宋" w:hAnsi="仿宋" w:eastAsia="仿宋" w:cs="仿宋"/>
          <w:b/>
          <w:bCs/>
          <w:color w:val="auto"/>
          <w:sz w:val="24"/>
          <w:szCs w:val="24"/>
          <w:highlight w:val="none"/>
          <w:lang w:eastAsia="zh-CN"/>
        </w:rPr>
        <w:t>2024年1月（含）至今任意一月</w:t>
      </w:r>
      <w:r>
        <w:rPr>
          <w:rFonts w:hint="eastAsia" w:ascii="仿宋" w:hAnsi="仿宋" w:eastAsia="仿宋" w:cs="仿宋"/>
          <w:b/>
          <w:bCs/>
          <w:color w:val="auto"/>
          <w:sz w:val="24"/>
          <w:szCs w:val="24"/>
          <w:highlight w:val="none"/>
        </w:rPr>
        <w:t>投标授权代表社保缴纳证明</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color w:val="auto"/>
          <w:spacing w:val="-6"/>
          <w:szCs w:val="21"/>
          <w:highlight w:val="none"/>
        </w:rPr>
      </w:pPr>
    </w:p>
    <w:p>
      <w:pPr>
        <w:adjustRightInd w:val="0"/>
        <w:snapToGrid w:val="0"/>
        <w:spacing w:line="360" w:lineRule="auto"/>
        <w:jc w:val="both"/>
        <w:rPr>
          <w:rFonts w:ascii="仿宋" w:hAnsi="仿宋" w:eastAsia="仿宋" w:cs="仿宋"/>
          <w:b/>
          <w:color w:val="auto"/>
          <w:spacing w:val="-6"/>
          <w:szCs w:val="21"/>
          <w:highlight w:val="none"/>
        </w:rPr>
      </w:pPr>
      <w:r>
        <w:rPr>
          <w:rFonts w:hint="eastAsia" w:ascii="仿宋" w:hAnsi="仿宋" w:eastAsia="仿宋" w:cs="仿宋"/>
          <w:b/>
          <w:color w:val="auto"/>
          <w:spacing w:val="-6"/>
          <w:sz w:val="18"/>
          <w:szCs w:val="18"/>
          <w:highlight w:val="none"/>
          <w:lang w:val="en-US" w:eastAsia="zh-CN"/>
        </w:rPr>
        <w:t>说明：投标人委派不在本单位缴纳社保的人员作为授权代表的，在投标文件中说明具体原因、授权代表缴纳社保单位并附列该授权代表缴纳社保清单。</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采购需求偏离表</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采 购 人：浙江工业大学</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项目名称：</w:t>
      </w:r>
      <w:r>
        <w:rPr>
          <w:rFonts w:hint="eastAsia" w:ascii="仿宋" w:hAnsi="仿宋" w:eastAsia="仿宋" w:cs="仿宋"/>
          <w:bCs/>
          <w:color w:val="auto"/>
          <w:spacing w:val="-6"/>
          <w:szCs w:val="21"/>
          <w:highlight w:val="none"/>
          <w:lang w:eastAsia="zh-CN"/>
        </w:rPr>
        <w:t>浙江工业大学电工综合实训考核设备等</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项目编号：</w:t>
      </w:r>
      <w:r>
        <w:rPr>
          <w:rFonts w:hint="eastAsia" w:ascii="仿宋" w:hAnsi="仿宋" w:eastAsia="仿宋" w:cs="仿宋"/>
          <w:bCs/>
          <w:color w:val="auto"/>
          <w:spacing w:val="-6"/>
          <w:szCs w:val="21"/>
          <w:highlight w:val="none"/>
          <w:lang w:eastAsia="zh-CN"/>
        </w:rPr>
        <w:t>QSZB-Z(H)-H24238(GK)</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480"/>
        <w:gridCol w:w="2911"/>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348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招标文件要求</w:t>
            </w:r>
          </w:p>
        </w:tc>
        <w:tc>
          <w:tcPr>
            <w:tcW w:w="2911"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响应规格</w:t>
            </w:r>
          </w:p>
        </w:tc>
        <w:tc>
          <w:tcPr>
            <w:tcW w:w="240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合同条款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1.逐项按照招标文件要求填写响应规格；</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2.偏离说明是指对招标文件要求存在不同之处的解释说明，偏离系指</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正偏离（高于采购需求）、负偏离（低于采购需求）、无偏离（满足采购需求）；</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3.如不填写或未如实填写，自行承担投标风险。</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5"/>
        <w:spacing w:line="360" w:lineRule="auto"/>
        <w:ind w:firstLine="0"/>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日期：     年   月   日</w:t>
      </w:r>
    </w:p>
    <w:p>
      <w:pP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adjustRightInd w:val="0"/>
        <w:snapToGrid w:val="0"/>
        <w:spacing w:line="360" w:lineRule="auto"/>
        <w:jc w:val="center"/>
        <w:outlineLvl w:val="2"/>
        <w:rPr>
          <w:rFonts w:hint="eastAsia"/>
          <w:highlight w:val="none"/>
        </w:rPr>
      </w:pPr>
      <w:r>
        <w:rPr>
          <w:rFonts w:hint="eastAsia" w:ascii="仿宋" w:hAnsi="仿宋" w:eastAsia="仿宋" w:cs="仿宋"/>
          <w:b/>
          <w:bCs/>
          <w:sz w:val="24"/>
          <w:szCs w:val="24"/>
          <w:highlight w:val="none"/>
          <w:lang w:eastAsia="zh-CN"/>
        </w:rPr>
        <w:t>标★条款相关佐证材</w:t>
      </w:r>
      <w:r>
        <w:rPr>
          <w:rFonts w:hint="eastAsia" w:ascii="仿宋" w:hAnsi="仿宋" w:eastAsia="仿宋" w:cs="仿宋"/>
          <w:b/>
          <w:bCs/>
          <w:sz w:val="24"/>
          <w:szCs w:val="24"/>
          <w:highlight w:val="none"/>
        </w:rPr>
        <w:t>料</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highlight w:val="none"/>
        </w:rPr>
      </w:pPr>
      <w:r>
        <w:rPr>
          <w:rFonts w:hint="eastAsia" w:ascii="仿宋" w:hAnsi="仿宋" w:eastAsia="仿宋" w:cs="仿宋"/>
          <w:b/>
          <w:color w:val="auto"/>
          <w:spacing w:val="-6"/>
          <w:sz w:val="18"/>
          <w:szCs w:val="18"/>
          <w:highlight w:val="none"/>
          <w:lang w:val="en-US" w:eastAsia="zh-CN"/>
        </w:rPr>
        <w:t>说明：标★条款在相关佐证材料中标注清晰，如因未标注清晰导致评标委员会漏看、错看造成的评标风险由投标人自行承担。</w:t>
      </w:r>
    </w:p>
    <w:p>
      <w:pPr>
        <w:ind w:left="0" w:leftChars="0" w:right="0" w:rightChars="0" w:firstLine="0" w:firstLineChars="0"/>
        <w:jc w:val="cente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adjustRightInd w:val="0"/>
        <w:snapToGrid w:val="0"/>
        <w:spacing w:line="360" w:lineRule="auto"/>
        <w:jc w:val="center"/>
        <w:outlineLvl w:val="2"/>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投标人同类合同实施情况一览表</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1133"/>
        <w:gridCol w:w="1441"/>
        <w:gridCol w:w="683"/>
        <w:gridCol w:w="1153"/>
        <w:gridCol w:w="829"/>
        <w:gridCol w:w="1556"/>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采购单位</w:t>
            </w: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项目名称</w:t>
            </w: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合同金额</w:t>
            </w:r>
          </w:p>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（万元）</w:t>
            </w: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附件页码</w:t>
            </w: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合同签订时间</w:t>
            </w: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采购单位联系人</w:t>
            </w:r>
          </w:p>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b/>
                <w:bCs/>
                <w:color w:val="auto"/>
                <w:szCs w:val="21"/>
                <w:highlight w:val="none"/>
              </w:rPr>
            </w:pPr>
          </w:p>
        </w:tc>
      </w:tr>
    </w:tbl>
    <w:p>
      <w:pPr>
        <w:pStyle w:val="22"/>
        <w:spacing w:line="360" w:lineRule="auto"/>
        <w:ind w:left="420" w:hanging="420"/>
        <w:rPr>
          <w:rFonts w:ascii="仿宋" w:hAnsi="仿宋" w:eastAsia="仿宋" w:cs="仿宋"/>
          <w:color w:val="auto"/>
          <w:sz w:val="21"/>
          <w:szCs w:val="21"/>
          <w:highlight w:val="none"/>
        </w:rPr>
      </w:pP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说明：</w:t>
      </w: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1.投标人须提供上述业绩合同及对应验收报告扫描件</w:t>
      </w:r>
      <w:r>
        <w:rPr>
          <w:rFonts w:hint="eastAsia" w:ascii="仿宋" w:hAnsi="仿宋" w:eastAsia="仿宋" w:cs="仿宋"/>
          <w:b/>
          <w:color w:val="auto"/>
          <w:spacing w:val="-6"/>
          <w:sz w:val="18"/>
          <w:szCs w:val="18"/>
          <w:highlight w:val="none"/>
          <w:lang w:val="en-US" w:eastAsia="zh-CN"/>
        </w:rPr>
        <w:t>或</w:t>
      </w:r>
      <w:r>
        <w:rPr>
          <w:rFonts w:hint="eastAsia" w:ascii="仿宋" w:hAnsi="仿宋" w:eastAsia="仿宋" w:cs="仿宋"/>
          <w:b/>
          <w:color w:val="auto"/>
          <w:spacing w:val="-6"/>
          <w:sz w:val="18"/>
          <w:szCs w:val="18"/>
          <w:highlight w:val="none"/>
        </w:rPr>
        <w:t>省级以上主管部门认定的首台套产品</w:t>
      </w:r>
      <w:r>
        <w:rPr>
          <w:rFonts w:hint="eastAsia" w:ascii="仿宋" w:hAnsi="仿宋" w:eastAsia="仿宋" w:cs="仿宋"/>
          <w:b/>
          <w:color w:val="auto"/>
          <w:spacing w:val="-6"/>
          <w:sz w:val="18"/>
          <w:szCs w:val="18"/>
          <w:highlight w:val="none"/>
          <w:lang w:val="en-US" w:eastAsia="zh-CN"/>
        </w:rPr>
        <w:t>相关证明材料</w:t>
      </w:r>
      <w:r>
        <w:rPr>
          <w:rFonts w:hint="eastAsia" w:ascii="仿宋" w:hAnsi="仿宋" w:eastAsia="仿宋" w:cs="仿宋"/>
          <w:b/>
          <w:color w:val="auto"/>
          <w:spacing w:val="-6"/>
          <w:sz w:val="18"/>
          <w:szCs w:val="18"/>
          <w:highlight w:val="none"/>
        </w:rPr>
        <w:t>；</w:t>
      </w: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2.所有合同扫描件应清晰，应能体现合同签订时间、双方签字盖章等内容；</w:t>
      </w:r>
    </w:p>
    <w:p>
      <w:pPr>
        <w:adjustRightInd w:val="0"/>
        <w:snapToGrid w:val="0"/>
        <w:spacing w:line="360" w:lineRule="auto"/>
        <w:rPr>
          <w:rFonts w:ascii="仿宋" w:hAnsi="仿宋" w:eastAsia="仿宋" w:cs="仿宋"/>
          <w:color w:val="auto"/>
          <w:sz w:val="18"/>
          <w:szCs w:val="18"/>
          <w:highlight w:val="none"/>
        </w:rPr>
      </w:pPr>
      <w:r>
        <w:rPr>
          <w:rFonts w:hint="eastAsia" w:ascii="仿宋" w:hAnsi="仿宋" w:eastAsia="仿宋" w:cs="仿宋"/>
          <w:b/>
          <w:color w:val="auto"/>
          <w:spacing w:val="-6"/>
          <w:sz w:val="18"/>
          <w:szCs w:val="18"/>
          <w:highlight w:val="none"/>
        </w:rPr>
        <w:t>3.投标人应在不涉及商业秘密的前提下尽可能提供详细的合同扫描件内容。</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5"/>
        <w:spacing w:line="360" w:lineRule="auto"/>
        <w:ind w:firstLine="0"/>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日期：     年   月   日</w:t>
      </w:r>
    </w:p>
    <w:p>
      <w:pP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节能、环保产品证明材料</w:t>
      </w:r>
    </w:p>
    <w:p>
      <w:pPr>
        <w:keepNext w:val="0"/>
        <w:keepLines w:val="0"/>
        <w:pageBreakBefore w:val="0"/>
        <w:widowControl w:val="0"/>
        <w:kinsoku/>
        <w:wordWrap/>
        <w:overflowPunct/>
        <w:topLinePunct w:val="0"/>
        <w:autoSpaceDE/>
        <w:autoSpaceDN/>
        <w:bidi w:val="0"/>
        <w:snapToGrid w:val="0"/>
        <w:spacing w:line="360" w:lineRule="auto"/>
        <w:ind w:firstLine="0"/>
        <w:jc w:val="both"/>
        <w:textAlignment w:val="auto"/>
        <w:rPr>
          <w:rFonts w:ascii="仿宋" w:hAnsi="仿宋" w:eastAsia="仿宋" w:cs="仿宋"/>
          <w:b/>
          <w:bCs/>
          <w:color w:val="auto"/>
          <w:spacing w:val="-6"/>
          <w:kern w:val="2"/>
          <w:sz w:val="18"/>
          <w:szCs w:val="18"/>
          <w:highlight w:val="none"/>
          <w:lang w:val="en-US" w:eastAsia="zh-CN" w:bidi="ar-SA"/>
        </w:rPr>
      </w:pPr>
      <w:r>
        <w:rPr>
          <w:rFonts w:hint="eastAsia" w:ascii="仿宋" w:hAnsi="仿宋" w:eastAsia="仿宋" w:cs="仿宋"/>
          <w:b/>
          <w:bCs/>
          <w:color w:val="auto"/>
          <w:spacing w:val="-6"/>
          <w:kern w:val="2"/>
          <w:sz w:val="18"/>
          <w:szCs w:val="18"/>
          <w:highlight w:val="none"/>
          <w:lang w:val="en-US" w:eastAsia="zh-CN" w:bidi="ar-SA"/>
        </w:rPr>
        <w:t>说明：</w:t>
      </w:r>
    </w:p>
    <w:p>
      <w:pPr>
        <w:keepNext w:val="0"/>
        <w:keepLines w:val="0"/>
        <w:pageBreakBefore w:val="0"/>
        <w:widowControl w:val="0"/>
        <w:kinsoku/>
        <w:wordWrap/>
        <w:overflowPunct/>
        <w:topLinePunct w:val="0"/>
        <w:autoSpaceDE/>
        <w:autoSpaceDN/>
        <w:bidi w:val="0"/>
        <w:snapToGrid w:val="0"/>
        <w:spacing w:line="360" w:lineRule="auto"/>
        <w:ind w:firstLine="0"/>
        <w:jc w:val="both"/>
        <w:textAlignment w:val="auto"/>
        <w:rPr>
          <w:rFonts w:hint="eastAsia" w:ascii="仿宋" w:hAnsi="仿宋" w:eastAsia="仿宋" w:cs="仿宋"/>
          <w:b/>
          <w:bCs/>
          <w:color w:val="auto"/>
          <w:spacing w:val="-6"/>
          <w:kern w:val="2"/>
          <w:sz w:val="18"/>
          <w:szCs w:val="18"/>
          <w:highlight w:val="none"/>
          <w:lang w:val="en-US" w:eastAsia="zh-CN" w:bidi="ar-SA"/>
        </w:rPr>
      </w:pPr>
      <w:r>
        <w:rPr>
          <w:rFonts w:hint="eastAsia" w:ascii="仿宋" w:hAnsi="仿宋" w:eastAsia="仿宋" w:cs="仿宋"/>
          <w:b/>
          <w:bCs/>
          <w:color w:val="auto"/>
          <w:spacing w:val="-6"/>
          <w:kern w:val="2"/>
          <w:sz w:val="18"/>
          <w:szCs w:val="18"/>
          <w:highlight w:val="none"/>
          <w:lang w:val="en-US" w:eastAsia="zh-CN" w:bidi="ar-SA"/>
        </w:rPr>
        <w:t>1.投标产品或部件属于财政部、发展改革委公布的“节能产品政府采购品目清单”范围且由国家确定的认证机构出具的处于有效期之内的节能产品认证证书</w:t>
      </w:r>
    </w:p>
    <w:p>
      <w:pPr>
        <w:keepNext w:val="0"/>
        <w:keepLines w:val="0"/>
        <w:pageBreakBefore w:val="0"/>
        <w:widowControl w:val="0"/>
        <w:kinsoku/>
        <w:wordWrap/>
        <w:overflowPunct/>
        <w:topLinePunct w:val="0"/>
        <w:autoSpaceDE/>
        <w:autoSpaceDN/>
        <w:bidi w:val="0"/>
        <w:snapToGrid w:val="0"/>
        <w:spacing w:line="360" w:lineRule="auto"/>
        <w:ind w:firstLine="0"/>
        <w:jc w:val="both"/>
        <w:textAlignment w:val="auto"/>
        <w:rPr>
          <w:rFonts w:hint="eastAsia"/>
        </w:rPr>
      </w:pPr>
      <w:r>
        <w:rPr>
          <w:rFonts w:hint="eastAsia" w:ascii="仿宋" w:hAnsi="仿宋" w:eastAsia="仿宋" w:cs="仿宋"/>
          <w:b/>
          <w:bCs/>
          <w:color w:val="auto"/>
          <w:spacing w:val="-6"/>
          <w:kern w:val="2"/>
          <w:sz w:val="18"/>
          <w:szCs w:val="18"/>
          <w:highlight w:val="none"/>
          <w:lang w:val="en-US" w:eastAsia="zh-CN" w:bidi="ar-SA"/>
        </w:rPr>
        <w:t>2.投标产品或部件属于财政部、生态环境部公布的“环境标志产品政府采购品目清单”范围且由国家确定的认证机构出具的处于有效期之内的环境标志产品认证证书</w:t>
      </w:r>
    </w:p>
    <w:p>
      <w:pP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br w:type="page"/>
      </w:r>
    </w:p>
    <w:p>
      <w:pPr>
        <w:adjustRightInd w:val="0"/>
        <w:snapToGrid w:val="0"/>
        <w:spacing w:line="360" w:lineRule="auto"/>
        <w:jc w:val="center"/>
        <w:outlineLvl w:val="2"/>
        <w:rPr>
          <w:rFonts w:ascii="仿宋" w:hAnsi="仿宋" w:eastAsia="仿宋" w:cs="仿宋"/>
          <w:spacing w:val="-6"/>
          <w:szCs w:val="21"/>
          <w:highlight w:val="none"/>
        </w:rPr>
      </w:pPr>
      <w:r>
        <w:rPr>
          <w:rFonts w:hint="eastAsia" w:ascii="仿宋" w:hAnsi="仿宋" w:eastAsia="仿宋" w:cs="仿宋"/>
          <w:b/>
          <w:bCs/>
          <w:sz w:val="24"/>
          <w:szCs w:val="24"/>
          <w:highlight w:val="none"/>
        </w:rPr>
        <w:t>货物配置清单</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1"/>
        <w:gridCol w:w="1874"/>
        <w:gridCol w:w="1029"/>
        <w:gridCol w:w="2143"/>
        <w:gridCol w:w="770"/>
        <w:gridCol w:w="1029"/>
        <w:gridCol w:w="20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品牌</w:t>
            </w: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规格型号</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产地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10"/>
        <w:spacing w:line="360" w:lineRule="auto"/>
        <w:ind w:left="0"/>
        <w:rPr>
          <w:rFonts w:ascii="仿宋" w:hAnsi="仿宋" w:eastAsia="仿宋" w:cs="仿宋"/>
          <w:color w:val="auto"/>
          <w:spacing w:val="-6"/>
          <w:sz w:val="24"/>
          <w:highlight w:val="none"/>
        </w:rPr>
      </w:pPr>
      <w:r>
        <w:rPr>
          <w:rFonts w:hint="eastAsia" w:ascii="仿宋" w:hAnsi="仿宋" w:eastAsia="仿宋" w:cs="仿宋"/>
          <w:b/>
          <w:bCs/>
          <w:color w:val="auto"/>
          <w:spacing w:val="-6"/>
          <w:szCs w:val="21"/>
          <w:highlight w:val="none"/>
        </w:rPr>
        <w:t>日期：     年   月   日</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keepNext w:val="0"/>
        <w:keepLines w:val="0"/>
        <w:pageBreakBefore w:val="0"/>
        <w:kinsoku/>
        <w:wordWrap/>
        <w:overflowPunct/>
        <w:topLinePunct w:val="0"/>
        <w:autoSpaceDE/>
        <w:autoSpaceDN/>
        <w:bidi w:val="0"/>
        <w:spacing w:line="360" w:lineRule="auto"/>
        <w:jc w:val="center"/>
        <w:textAlignment w:val="auto"/>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技术方案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w:t>
      </w:r>
      <w:r>
        <w:rPr>
          <w:rFonts w:hint="eastAsia" w:ascii="仿宋" w:hAnsi="仿宋" w:eastAsia="仿宋" w:cs="仿宋"/>
          <w:b/>
          <w:color w:val="auto"/>
          <w:spacing w:val="-6"/>
          <w:sz w:val="18"/>
          <w:szCs w:val="18"/>
          <w:highlight w:val="none"/>
          <w:lang w:eastAsia="zh-CN"/>
        </w:rPr>
        <w:t>评分标准</w:t>
      </w:r>
      <w:r>
        <w:rPr>
          <w:rFonts w:hint="eastAsia" w:ascii="仿宋" w:hAnsi="仿宋" w:eastAsia="仿宋" w:cs="仿宋"/>
          <w:b/>
          <w:color w:val="auto"/>
          <w:spacing w:val="-6"/>
          <w:sz w:val="18"/>
          <w:szCs w:val="18"/>
          <w:highlight w:val="none"/>
        </w:rPr>
        <w:t>提供和编写（格式自拟），包括但不仅限于：</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1.电工综合实训考核设备（PLC立式实训台）设计方案、产品或组件制造商公开发布的印刷资料（官网材料、彩页、Datasheet）或由有关政府部门或检测机构合法出具的文件或报告、功能界面（含软件）截图等、安装调试方法或方案、日常运行及保养方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2.材料分拣实训装置设计方案、产品或组件制造商公开发布的印刷资料（官网材料、彩页、Datasheet）或由有关政府部门或检测机构合法出具的文件或报告、功能界面（含软件）截图等、安装调试方法或方案、日常运行及保养方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3.立体车库实训装置设计方案、产品或组件制造商公开发布的印刷资料（官网材料、彩页、Datasheet）或由有关政府部门或检测机构合法出具的文件或报告、功能界面（含软件）截图等、安装调试方法或方案、日常运行及保养方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培训计划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color w:val="auto"/>
          <w:spacing w:val="-6"/>
          <w:sz w:val="24"/>
          <w:highlight w:val="none"/>
        </w:rPr>
      </w:pPr>
      <w:r>
        <w:rPr>
          <w:rFonts w:hint="eastAsia" w:ascii="仿宋" w:hAnsi="仿宋" w:eastAsia="仿宋" w:cs="仿宋"/>
          <w:b/>
          <w:color w:val="auto"/>
          <w:spacing w:val="-6"/>
          <w:sz w:val="18"/>
          <w:szCs w:val="18"/>
          <w:highlight w:val="none"/>
        </w:rPr>
        <w:t>根据</w:t>
      </w:r>
      <w:r>
        <w:rPr>
          <w:rFonts w:hint="eastAsia" w:ascii="仿宋" w:hAnsi="仿宋" w:eastAsia="仿宋" w:cs="仿宋"/>
          <w:b/>
          <w:color w:val="auto"/>
          <w:spacing w:val="-6"/>
          <w:sz w:val="18"/>
          <w:szCs w:val="18"/>
          <w:highlight w:val="none"/>
          <w:lang w:eastAsia="zh-CN"/>
        </w:rPr>
        <w:t>评分标准</w:t>
      </w:r>
      <w:r>
        <w:rPr>
          <w:rFonts w:hint="eastAsia" w:ascii="仿宋" w:hAnsi="仿宋" w:eastAsia="仿宋" w:cs="仿宋"/>
          <w:b/>
          <w:color w:val="auto"/>
          <w:spacing w:val="-6"/>
          <w:sz w:val="18"/>
          <w:szCs w:val="18"/>
          <w:highlight w:val="none"/>
        </w:rPr>
        <w:t>提供和编写（格式自拟），包括但不仅限于培训流程、培训方式、培训对象、培训内容、培训日程等。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售后服务方案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w:t>
      </w:r>
      <w:r>
        <w:rPr>
          <w:rFonts w:hint="eastAsia" w:ascii="仿宋" w:hAnsi="仿宋" w:eastAsia="仿宋" w:cs="仿宋"/>
          <w:b/>
          <w:color w:val="auto"/>
          <w:spacing w:val="-6"/>
          <w:sz w:val="18"/>
          <w:szCs w:val="18"/>
          <w:highlight w:val="none"/>
          <w:lang w:eastAsia="zh-CN"/>
        </w:rPr>
        <w:t>评分标准</w:t>
      </w:r>
      <w:r>
        <w:rPr>
          <w:rFonts w:hint="eastAsia" w:ascii="仿宋" w:hAnsi="仿宋" w:eastAsia="仿宋" w:cs="仿宋"/>
          <w:b/>
          <w:color w:val="auto"/>
          <w:spacing w:val="-6"/>
          <w:sz w:val="18"/>
          <w:szCs w:val="18"/>
          <w:highlight w:val="none"/>
        </w:rPr>
        <w:t>提供和编写（格式自拟），包括但不仅限于：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w:t>
      </w:r>
      <w:r>
        <w:rPr>
          <w:rFonts w:hint="eastAsia" w:ascii="仿宋" w:hAnsi="仿宋" w:eastAsia="仿宋" w:cs="仿宋"/>
          <w:b/>
          <w:color w:val="auto"/>
          <w:spacing w:val="-6"/>
          <w:sz w:val="18"/>
          <w:szCs w:val="18"/>
          <w:highlight w:val="none"/>
          <w:lang w:eastAsia="zh-CN"/>
        </w:rPr>
        <w:t>服务机构、服务内容、服务承诺、响应时间、服务方式</w:t>
      </w:r>
      <w:r>
        <w:rPr>
          <w:rFonts w:hint="eastAsia" w:ascii="仿宋" w:hAnsi="仿宋" w:eastAsia="仿宋" w:cs="仿宋"/>
          <w:b/>
          <w:color w:val="auto"/>
          <w:spacing w:val="-6"/>
          <w:sz w:val="18"/>
          <w:szCs w:val="18"/>
          <w:highlight w:val="none"/>
        </w:rPr>
        <w:t>、人员配备、应急服务等</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ascii="仿宋" w:hAnsi="仿宋" w:eastAsia="仿宋" w:cs="仿宋"/>
          <w:b/>
          <w:color w:val="auto"/>
          <w:spacing w:val="-6"/>
          <w:sz w:val="18"/>
          <w:szCs w:val="18"/>
          <w:highlight w:val="none"/>
        </w:rPr>
        <w:t>2.随机标准附件、备品备件、专用检修工具等保障措施</w:t>
      </w:r>
    </w:p>
    <w:p>
      <w:pPr>
        <w:spacing w:line="360" w:lineRule="auto"/>
        <w:jc w:val="center"/>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br w:type="page"/>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2"/>
        <w:rPr>
          <w:rFonts w:hint="eastAsia" w:ascii="仿宋" w:hAnsi="仿宋" w:eastAsia="仿宋" w:cs="仿宋"/>
          <w:b/>
          <w:spacing w:val="-6"/>
          <w:sz w:val="24"/>
          <w:highlight w:val="none"/>
        </w:rPr>
      </w:pPr>
      <w:r>
        <w:rPr>
          <w:rFonts w:hint="eastAsia" w:ascii="仿宋" w:hAnsi="仿宋" w:eastAsia="仿宋" w:cs="仿宋"/>
          <w:b/>
          <w:spacing w:val="-6"/>
          <w:sz w:val="24"/>
          <w:highlight w:val="none"/>
        </w:rPr>
        <w:t>随机标准附件、备品备件、专用检修工具等</w:t>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9"/>
        <w:rPr>
          <w:rFonts w:hint="eastAsia" w:ascii="仿宋" w:hAnsi="仿宋" w:eastAsia="仿宋" w:cs="仿宋"/>
          <w:b/>
          <w:spacing w:val="-6"/>
          <w:sz w:val="21"/>
          <w:szCs w:val="21"/>
          <w:highlight w:val="none"/>
          <w:lang w:val="en-US" w:eastAsia="zh-CN"/>
        </w:rPr>
      </w:pPr>
      <w:r>
        <w:rPr>
          <w:rFonts w:hint="eastAsia" w:ascii="仿宋" w:hAnsi="仿宋" w:eastAsia="仿宋" w:cs="仿宋"/>
          <w:b/>
          <w:spacing w:val="-6"/>
          <w:sz w:val="21"/>
          <w:szCs w:val="21"/>
          <w:highlight w:val="none"/>
          <w:lang w:eastAsia="zh-CN"/>
        </w:rPr>
        <w:t>（</w:t>
      </w:r>
      <w:r>
        <w:rPr>
          <w:rFonts w:hint="eastAsia" w:ascii="仿宋" w:hAnsi="仿宋" w:eastAsia="仿宋" w:cs="仿宋"/>
          <w:b/>
          <w:spacing w:val="-6"/>
          <w:sz w:val="21"/>
          <w:szCs w:val="21"/>
          <w:highlight w:val="none"/>
          <w:lang w:val="en-US" w:eastAsia="zh-CN"/>
        </w:rPr>
        <w:t>费用包含在投标总价内</w:t>
      </w:r>
      <w:r>
        <w:rPr>
          <w:rFonts w:hint="eastAsia" w:ascii="仿宋" w:hAnsi="仿宋" w:eastAsia="仿宋" w:cs="仿宋"/>
          <w:b/>
          <w:spacing w:val="-6"/>
          <w:sz w:val="21"/>
          <w:szCs w:val="21"/>
          <w:highlight w:val="none"/>
          <w:lang w:eastAsia="zh-CN"/>
        </w:rPr>
        <w:t>）</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2221"/>
        <w:gridCol w:w="1386"/>
        <w:gridCol w:w="1387"/>
        <w:gridCol w:w="1093"/>
        <w:gridCol w:w="1416"/>
        <w:gridCol w:w="1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pacing w:val="-6"/>
                <w:szCs w:val="21"/>
                <w:highlight w:val="none"/>
                <w:lang w:val="en-US" w:eastAsia="zh-CN"/>
              </w:rPr>
              <w:t>名称</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规格</w:t>
            </w: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用途</w:t>
            </w: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pacing w:val="-6"/>
                <w:szCs w:val="21"/>
                <w:highlight w:val="none"/>
                <w:lang w:val="en-US" w:eastAsia="zh-CN"/>
              </w:rPr>
              <w:t>数量</w:t>
            </w: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单价（元）</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总价</w:t>
            </w:r>
            <w:r>
              <w:rPr>
                <w:rFonts w:hint="eastAsia" w:ascii="仿宋" w:hAnsi="仿宋" w:eastAsia="仿宋" w:cs="仿宋"/>
                <w:b/>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bl>
    <w:p>
      <w:pPr>
        <w:rPr>
          <w:rFonts w:hint="eastAsia" w:ascii="仿宋" w:hAnsi="仿宋" w:eastAsia="仿宋" w:cs="仿宋"/>
          <w:b/>
          <w:spacing w:val="-6"/>
          <w:sz w:val="24"/>
          <w:highlight w:val="none"/>
        </w:rPr>
      </w:pPr>
      <w:r>
        <w:rPr>
          <w:rFonts w:hint="eastAsia" w:ascii="仿宋" w:hAnsi="仿宋" w:eastAsia="仿宋" w:cs="仿宋"/>
          <w:b/>
          <w:spacing w:val="-6"/>
          <w:sz w:val="24"/>
          <w:highlight w:val="none"/>
        </w:rPr>
        <w:br w:type="page"/>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2"/>
        <w:rPr>
          <w:rFonts w:hint="eastAsia" w:ascii="仿宋" w:hAnsi="仿宋" w:eastAsia="仿宋" w:cs="仿宋"/>
          <w:b/>
          <w:spacing w:val="-6"/>
          <w:sz w:val="24"/>
          <w:highlight w:val="none"/>
        </w:rPr>
      </w:pPr>
      <w:r>
        <w:rPr>
          <w:rFonts w:hint="eastAsia" w:ascii="仿宋" w:hAnsi="仿宋" w:eastAsia="仿宋" w:cs="仿宋"/>
          <w:b/>
          <w:spacing w:val="-6"/>
          <w:sz w:val="24"/>
          <w:highlight w:val="none"/>
        </w:rPr>
        <w:t>所需选配件、维修配件、易耗件、年度运行维护费用一览表</w:t>
      </w: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outlineLvl w:val="9"/>
        <w:rPr>
          <w:rFonts w:hint="default" w:ascii="仿宋" w:hAnsi="仿宋" w:eastAsia="仿宋" w:cs="仿宋"/>
          <w:b/>
          <w:spacing w:val="-6"/>
          <w:sz w:val="24"/>
          <w:highlight w:val="none"/>
          <w:lang w:val="en-US" w:eastAsia="zh-CN"/>
        </w:rPr>
      </w:pPr>
      <w:r>
        <w:rPr>
          <w:rFonts w:hint="eastAsia" w:ascii="仿宋" w:hAnsi="仿宋" w:eastAsia="仿宋" w:cs="仿宋"/>
          <w:b/>
          <w:spacing w:val="-6"/>
          <w:sz w:val="21"/>
          <w:szCs w:val="21"/>
          <w:highlight w:val="none"/>
          <w:lang w:eastAsia="zh-CN"/>
        </w:rPr>
        <w:t>（</w:t>
      </w:r>
      <w:r>
        <w:rPr>
          <w:rFonts w:hint="eastAsia" w:ascii="仿宋" w:hAnsi="仿宋" w:eastAsia="仿宋" w:cs="仿宋"/>
          <w:b/>
          <w:spacing w:val="-6"/>
          <w:sz w:val="21"/>
          <w:szCs w:val="21"/>
          <w:highlight w:val="none"/>
          <w:lang w:val="en-US" w:eastAsia="zh-CN"/>
        </w:rPr>
        <w:t>费用不包含在投标总价内</w:t>
      </w:r>
      <w:r>
        <w:rPr>
          <w:rFonts w:hint="eastAsia" w:ascii="仿宋" w:hAnsi="仿宋" w:eastAsia="仿宋" w:cs="仿宋"/>
          <w:b/>
          <w:spacing w:val="-6"/>
          <w:sz w:val="21"/>
          <w:szCs w:val="21"/>
          <w:highlight w:val="none"/>
          <w:lang w:eastAsia="zh-CN"/>
        </w:rPr>
        <w:t>）</w:t>
      </w:r>
    </w:p>
    <w:tbl>
      <w:tblPr>
        <w:tblStyle w:val="26"/>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2221"/>
        <w:gridCol w:w="1386"/>
        <w:gridCol w:w="1387"/>
        <w:gridCol w:w="1093"/>
        <w:gridCol w:w="1227"/>
        <w:gridCol w:w="16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pacing w:val="-6"/>
                <w:szCs w:val="21"/>
                <w:highlight w:val="none"/>
                <w:lang w:val="en-US" w:eastAsia="zh-CN"/>
              </w:rPr>
              <w:t>名称</w:t>
            </w: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规格</w:t>
            </w: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用途</w:t>
            </w: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pacing w:val="-6"/>
                <w:szCs w:val="21"/>
                <w:highlight w:val="none"/>
                <w:lang w:val="en-US" w:eastAsia="zh-CN"/>
              </w:rPr>
              <w:t>数量</w:t>
            </w: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单价（元）</w:t>
            </w: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购买折扣数（%）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22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3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Cs w:val="21"/>
                <w:highlight w:val="none"/>
              </w:rPr>
            </w:pPr>
          </w:p>
        </w:tc>
        <w:tc>
          <w:tcPr>
            <w:tcW w:w="10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c>
          <w:tcPr>
            <w:tcW w:w="160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2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keepNext w:val="0"/>
              <w:keepLines w:val="0"/>
              <w:pageBreakBefore w:val="0"/>
              <w:widowControl w:val="0"/>
              <w:kinsoku/>
              <w:wordWrap/>
              <w:overflowPunct/>
              <w:topLinePunct w:val="0"/>
              <w:autoSpaceDE/>
              <w:autoSpaceDN/>
              <w:bidi w:val="0"/>
              <w:adjustRightInd/>
              <w:snapToGrid w:val="0"/>
              <w:textAlignment w:val="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1.折扣数90%即9折</w:t>
            </w:r>
          </w:p>
          <w:p>
            <w:pPr>
              <w:keepNext w:val="0"/>
              <w:keepLines w:val="0"/>
              <w:pageBreakBefore w:val="0"/>
              <w:widowControl w:val="0"/>
              <w:kinsoku/>
              <w:wordWrap/>
              <w:overflowPunct/>
              <w:topLinePunct w:val="0"/>
              <w:autoSpaceDE/>
              <w:autoSpaceDN/>
              <w:bidi w:val="0"/>
              <w:adjustRightInd/>
              <w:snapToGrid w:val="0"/>
              <w:jc w:val="both"/>
              <w:textAlignment w:val="auto"/>
              <w:rPr>
                <w:rFonts w:ascii="仿宋" w:hAnsi="仿宋" w:eastAsia="仿宋" w:cs="仿宋"/>
                <w:b/>
                <w:bCs/>
                <w:color w:val="auto"/>
                <w:szCs w:val="21"/>
                <w:highlight w:val="none"/>
              </w:rPr>
            </w:pPr>
            <w:r>
              <w:rPr>
                <w:rFonts w:hint="eastAsia" w:ascii="仿宋" w:hAnsi="仿宋" w:eastAsia="仿宋" w:cs="仿宋"/>
                <w:b/>
                <w:bCs/>
                <w:color w:val="auto"/>
                <w:sz w:val="18"/>
                <w:szCs w:val="18"/>
                <w:highlight w:val="none"/>
              </w:rPr>
              <w:t>2.列出易损件清单（包括名称、安装部位、更换周期和价格）</w:t>
            </w:r>
          </w:p>
        </w:tc>
      </w:tr>
    </w:tbl>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overflowPunct w:val="0"/>
        <w:adjustRightInd w:val="0"/>
        <w:snapToGrid w:val="0"/>
        <w:spacing w:line="288" w:lineRule="auto"/>
        <w:jc w:val="center"/>
        <w:outlineLvl w:val="1"/>
        <w:rPr>
          <w:rFonts w:ascii="仿宋" w:hAnsi="仿宋" w:eastAsia="仿宋" w:cs="仿宋"/>
          <w:b/>
          <w:color w:val="auto"/>
          <w:spacing w:val="-6"/>
          <w:sz w:val="84"/>
          <w:szCs w:val="84"/>
          <w:highlight w:val="none"/>
        </w:rPr>
      </w:pPr>
      <w:r>
        <w:rPr>
          <w:rFonts w:hint="eastAsia" w:ascii="仿宋" w:hAnsi="仿宋" w:eastAsia="仿宋" w:cs="仿宋"/>
          <w:b/>
          <w:bCs/>
          <w:color w:val="auto"/>
          <w:sz w:val="84"/>
          <w:szCs w:val="84"/>
          <w:highlight w:val="none"/>
        </w:rPr>
        <w:t>报价文件</w:t>
      </w:r>
    </w:p>
    <w:p>
      <w:pPr>
        <w:widowControl/>
        <w:adjustRightInd w:val="0"/>
        <w:snapToGrid w:val="0"/>
        <w:spacing w:line="288" w:lineRule="auto"/>
        <w:ind w:left="0" w:leftChars="0" w:right="0" w:rightChars="0" w:firstLine="0" w:firstLineChars="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spacing w:line="360" w:lineRule="auto"/>
        <w:jc w:val="center"/>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开标一览表</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采 购 人：浙江工业大学</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项目名称：</w:t>
      </w:r>
      <w:r>
        <w:rPr>
          <w:rFonts w:hint="eastAsia" w:ascii="仿宋" w:hAnsi="仿宋" w:eastAsia="仿宋" w:cs="仿宋"/>
          <w:bCs/>
          <w:color w:val="auto"/>
          <w:spacing w:val="-6"/>
          <w:szCs w:val="21"/>
          <w:highlight w:val="none"/>
          <w:lang w:eastAsia="zh-CN"/>
        </w:rPr>
        <w:t>浙江工业大学电工综合实训考核设备等</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项目编号：</w:t>
      </w:r>
      <w:r>
        <w:rPr>
          <w:rFonts w:hint="eastAsia" w:ascii="仿宋" w:hAnsi="仿宋" w:eastAsia="仿宋" w:cs="仿宋"/>
          <w:bCs/>
          <w:color w:val="auto"/>
          <w:spacing w:val="-6"/>
          <w:szCs w:val="21"/>
          <w:highlight w:val="none"/>
          <w:lang w:eastAsia="zh-CN"/>
        </w:rPr>
        <w:t>QSZB-Z(H)-H24238(GK)</w:t>
      </w:r>
    </w:p>
    <w:tbl>
      <w:tblPr>
        <w:tblStyle w:val="26"/>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7"/>
        <w:gridCol w:w="1785"/>
        <w:gridCol w:w="688"/>
        <w:gridCol w:w="1652"/>
        <w:gridCol w:w="734"/>
        <w:gridCol w:w="981"/>
        <w:gridCol w:w="1285"/>
        <w:gridCol w:w="1808"/>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序号</w:t>
            </w: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名称</w:t>
            </w: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品牌</w:t>
            </w: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规格型号</w:t>
            </w: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产地</w:t>
            </w: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数量</w:t>
            </w: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单价（元）</w:t>
            </w: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highlight w:val="none"/>
              </w:rPr>
            </w:pPr>
          </w:p>
        </w:tc>
        <w:tc>
          <w:tcPr>
            <w:tcW w:w="68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62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left"/>
              <w:rPr>
                <w:rFonts w:ascii="仿宋" w:hAnsi="仿宋" w:eastAsia="仿宋" w:cs="仿宋"/>
                <w:b/>
                <w:bCs/>
                <w:color w:val="auto"/>
                <w:szCs w:val="21"/>
                <w:highlight w:val="none"/>
              </w:rPr>
            </w:pPr>
            <w:r>
              <w:rPr>
                <w:rFonts w:hint="eastAsia" w:ascii="仿宋" w:hAnsi="仿宋" w:eastAsia="仿宋" w:cs="仿宋"/>
                <w:b/>
                <w:color w:val="auto"/>
                <w:spacing w:val="-6"/>
                <w:szCs w:val="21"/>
                <w:highlight w:val="none"/>
              </w:rPr>
              <w:t>▲说明：采购人将以合同形式</w:t>
            </w:r>
            <w:r>
              <w:rPr>
                <w:rFonts w:hint="eastAsia" w:ascii="仿宋" w:hAnsi="仿宋" w:eastAsia="仿宋" w:cs="仿宋"/>
                <w:b/>
                <w:color w:val="auto"/>
                <w:spacing w:val="-6"/>
                <w:szCs w:val="21"/>
                <w:highlight w:val="none"/>
                <w:lang w:eastAsia="zh-CN"/>
              </w:rPr>
              <w:t>有偿取得货物、服务</w:t>
            </w:r>
            <w:r>
              <w:rPr>
                <w:rFonts w:hint="eastAsia" w:ascii="仿宋" w:hAnsi="仿宋" w:eastAsia="仿宋" w:cs="仿宋"/>
                <w:b/>
                <w:color w:val="auto"/>
                <w:spacing w:val="-6"/>
                <w:szCs w:val="21"/>
                <w:highlight w:val="none"/>
              </w:rPr>
              <w:t>，不接受投标人给予的赠品、回扣或者与采购无关的其他商品、服务。</w:t>
            </w:r>
          </w:p>
          <w:p>
            <w:pPr>
              <w:adjustRightInd w:val="0"/>
              <w:snapToGrid w:val="0"/>
              <w:spacing w:line="288"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投标总价（人民币元）</w:t>
            </w:r>
          </w:p>
          <w:p>
            <w:pPr>
              <w:adjustRightInd w:val="0"/>
              <w:snapToGrid w:val="0"/>
              <w:spacing w:line="288" w:lineRule="auto"/>
              <w:rPr>
                <w:rFonts w:ascii="仿宋" w:hAnsi="仿宋" w:eastAsia="仿宋" w:cs="仿宋"/>
                <w:b/>
                <w:bCs/>
                <w:color w:val="auto"/>
                <w:szCs w:val="21"/>
                <w:highlight w:val="none"/>
              </w:rPr>
            </w:pPr>
          </w:p>
          <w:p>
            <w:pPr>
              <w:adjustRightInd w:val="0"/>
              <w:snapToGrid w:val="0"/>
              <w:spacing w:line="288"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小写：_________________________</w:t>
            </w:r>
          </w:p>
          <w:p>
            <w:pPr>
              <w:adjustRightInd w:val="0"/>
              <w:snapToGrid w:val="0"/>
              <w:spacing w:line="288" w:lineRule="auto"/>
              <w:rPr>
                <w:rFonts w:ascii="仿宋" w:hAnsi="仿宋" w:eastAsia="仿宋" w:cs="仿宋"/>
                <w:b/>
                <w:bCs/>
                <w:color w:val="auto"/>
                <w:szCs w:val="21"/>
                <w:highlight w:val="none"/>
              </w:rPr>
            </w:pPr>
          </w:p>
          <w:p>
            <w:pPr>
              <w:adjustRightInd w:val="0"/>
              <w:snapToGrid w:val="0"/>
              <w:spacing w:line="288"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大写：_________________________</w:t>
            </w:r>
          </w:p>
          <w:p>
            <w:pPr>
              <w:adjustRightInd w:val="0"/>
              <w:snapToGrid w:val="0"/>
              <w:spacing w:line="288" w:lineRule="auto"/>
              <w:rPr>
                <w:rFonts w:ascii="仿宋" w:hAnsi="仿宋" w:eastAsia="仿宋" w:cs="仿宋"/>
                <w:b/>
                <w:bCs/>
                <w:color w:val="auto"/>
                <w:szCs w:val="21"/>
                <w:highlight w:val="none"/>
              </w:rPr>
            </w:pPr>
          </w:p>
        </w:tc>
      </w:tr>
    </w:tbl>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说明：</w:t>
      </w:r>
    </w:p>
    <w:p>
      <w:pPr>
        <w:adjustRightInd w:val="0"/>
        <w:snapToGrid w:val="0"/>
        <w:spacing w:line="360" w:lineRule="auto"/>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1.此表在不改变格式要求的情况下可自行增行；</w:t>
      </w:r>
    </w:p>
    <w:p>
      <w:pPr>
        <w:adjustRightInd w:val="0"/>
        <w:snapToGrid w:val="0"/>
        <w:spacing w:line="360" w:lineRule="auto"/>
        <w:jc w:val="left"/>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2.有关本项目实施所涉及的一切费用均计入报价；</w:t>
      </w:r>
    </w:p>
    <w:p>
      <w:pPr>
        <w:adjustRightInd w:val="0"/>
        <w:snapToGrid w:val="0"/>
        <w:spacing w:line="360" w:lineRule="auto"/>
        <w:jc w:val="left"/>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3.以上表格要求细分项目及报价。</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Cs/>
          <w:color w:val="auto"/>
          <w:spacing w:val="-6"/>
          <w:szCs w:val="21"/>
          <w:highlight w:val="none"/>
        </w:rPr>
        <w:br w:type="page"/>
      </w:r>
    </w:p>
    <w:p>
      <w:pPr>
        <w:keepNext w:val="0"/>
        <w:keepLines w:val="0"/>
        <w:pageBreakBefore w:val="0"/>
        <w:widowControl w:val="0"/>
        <w:kinsoku/>
        <w:wordWrap/>
        <w:overflowPunct/>
        <w:topLinePunct w:val="0"/>
        <w:autoSpaceDE/>
        <w:autoSpaceDN/>
        <w:bidi w:val="0"/>
        <w:spacing w:line="360" w:lineRule="auto"/>
        <w:textAlignment w:val="auto"/>
        <w:outlineLvl w:val="1"/>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附件1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2"/>
        <w:rPr>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t>业务专用章使用说明函</w:t>
      </w:r>
    </w:p>
    <w:p>
      <w:pPr>
        <w:keepNext w:val="0"/>
        <w:keepLines w:val="0"/>
        <w:pageBreakBefore w:val="0"/>
        <w:widowControl w:val="0"/>
        <w:kinsoku/>
        <w:wordWrap/>
        <w:overflowPunct/>
        <w:topLinePunct w:val="0"/>
        <w:autoSpaceDE/>
        <w:autoSpaceDN/>
        <w:bidi w:val="0"/>
        <w:snapToGrid w:val="0"/>
        <w:spacing w:line="360" w:lineRule="auto"/>
        <w:textAlignment w:val="auto"/>
        <w:rPr>
          <w:rFonts w:ascii="仿宋" w:hAnsi="仿宋" w:eastAsia="仿宋" w:cs="仿宋"/>
          <w:color w:val="auto"/>
          <w:szCs w:val="21"/>
          <w:highlight w:val="none"/>
        </w:rPr>
      </w:pPr>
      <w:r>
        <w:rPr>
          <w:rFonts w:hint="eastAsia" w:ascii="仿宋" w:hAnsi="仿宋" w:eastAsia="仿宋" w:cs="仿宋"/>
          <w:b/>
          <w:bCs/>
          <w:color w:val="auto"/>
          <w:spacing w:val="-6"/>
          <w:szCs w:val="21"/>
          <w:highlight w:val="none"/>
        </w:rPr>
        <w:t>浙江工业大学、浙江求是招标代理有限公司</w:t>
      </w:r>
    </w:p>
    <w:p>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kern w:val="0"/>
          <w:szCs w:val="21"/>
          <w:highlight w:val="none"/>
          <w:lang w:val="zh-CN"/>
        </w:rPr>
        <w:t>我方</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（投标人名称）</w:t>
      </w:r>
      <w:r>
        <w:rPr>
          <w:rFonts w:hint="eastAsia" w:ascii="仿宋" w:hAnsi="仿宋" w:eastAsia="仿宋" w:cs="仿宋"/>
          <w:color w:val="auto"/>
          <w:szCs w:val="21"/>
          <w:highlight w:val="none"/>
        </w:rPr>
        <w:t>是中华人民共和国依法登记注册的合法企业，</w:t>
      </w:r>
      <w:r>
        <w:rPr>
          <w:rFonts w:hint="eastAsia" w:ascii="仿宋" w:hAnsi="仿宋" w:eastAsia="仿宋" w:cs="仿宋"/>
          <w:bCs/>
          <w:color w:val="auto"/>
          <w:szCs w:val="21"/>
          <w:highlight w:val="none"/>
        </w:rPr>
        <w:t>在参加</w:t>
      </w:r>
      <w:r>
        <w:rPr>
          <w:rFonts w:hint="eastAsia" w:ascii="仿宋" w:hAnsi="仿宋" w:eastAsia="仿宋" w:cs="仿宋"/>
          <w:color w:val="auto"/>
          <w:szCs w:val="21"/>
          <w:highlight w:val="none"/>
        </w:rPr>
        <w:t>你方组织的</w:t>
      </w:r>
      <w:r>
        <w:rPr>
          <w:rFonts w:hint="eastAsia" w:ascii="仿宋" w:hAnsi="仿宋" w:eastAsia="仿宋" w:cs="仿宋"/>
          <w:color w:val="auto"/>
          <w:szCs w:val="21"/>
          <w:highlight w:val="none"/>
          <w:lang w:eastAsia="zh-CN"/>
        </w:rPr>
        <w:t>浙江工业大学电工综合实训考核设备等</w:t>
      </w: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bCs/>
          <w:color w:val="auto"/>
          <w:szCs w:val="21"/>
          <w:highlight w:val="none"/>
        </w:rPr>
        <w:t>投标活动中作如下说明：</w:t>
      </w:r>
      <w:r>
        <w:rPr>
          <w:rFonts w:hint="eastAsia" w:ascii="仿宋" w:hAnsi="仿宋" w:eastAsia="仿宋" w:cs="仿宋"/>
          <w:color w:val="auto"/>
          <w:szCs w:val="21"/>
          <w:highlight w:val="none"/>
        </w:rPr>
        <w:t>我方所使用的“XX专用章”与法定名称章具有同等的法律效力，对使用“XX专用章”的行为予以完全承认，并愿意承担相应责任。</w:t>
      </w:r>
    </w:p>
    <w:p>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特此说明。</w:t>
      </w:r>
    </w:p>
    <w:p>
      <w:pPr>
        <w:snapToGrid w:val="0"/>
        <w:spacing w:line="360" w:lineRule="auto"/>
        <w:ind w:firstLine="424" w:firstLineChars="202"/>
        <w:rPr>
          <w:rFonts w:ascii="仿宋" w:hAnsi="仿宋" w:eastAsia="仿宋" w:cs="仿宋"/>
          <w:color w:val="auto"/>
          <w:szCs w:val="21"/>
          <w:highlight w:val="none"/>
        </w:rPr>
      </w:pP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供应商（法定名称章）：</w:t>
      </w: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pacing w:val="-6"/>
          <w:szCs w:val="21"/>
          <w:highlight w:val="none"/>
        </w:rPr>
        <w:t>日期：     年   月   日</w:t>
      </w:r>
    </w:p>
    <w:p>
      <w:pPr>
        <w:snapToGrid w:val="0"/>
        <w:spacing w:line="360" w:lineRule="auto"/>
        <w:rPr>
          <w:rFonts w:ascii="仿宋" w:hAnsi="仿宋" w:eastAsia="仿宋" w:cs="仿宋"/>
          <w:b/>
          <w:bCs/>
          <w:color w:val="auto"/>
          <w:szCs w:val="21"/>
          <w:highlight w:val="none"/>
        </w:rPr>
      </w:pP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附：</w:t>
      </w:r>
    </w:p>
    <w:p>
      <w:pPr>
        <w:snapToGrid w:val="0"/>
        <w:spacing w:line="360" w:lineRule="auto"/>
        <w:ind w:firstLine="843" w:firstLineChars="4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供应商法定名称章（印模）                 供应商“XX专用章”（印模）</w:t>
      </w:r>
    </w:p>
    <w:p>
      <w:pPr>
        <w:snapToGrid w:val="0"/>
        <w:spacing w:line="288"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rPr>
        <mc:AlternateContent>
          <mc:Choice Requires="wps">
            <w:drawing>
              <wp:inline distT="0" distB="0" distL="0" distR="0">
                <wp:extent cx="2647950" cy="2253615"/>
                <wp:effectExtent l="5080" t="4445" r="13970" b="15240"/>
                <wp:docPr id="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AL1XYt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pPr>
        <w:ind w:left="0" w:leftChars="0" w:right="0" w:rightChars="0" w:firstLine="0" w:firstLineChars="0"/>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eastAsia" w:ascii="仿宋" w:hAnsi="仿宋" w:eastAsia="仿宋" w:cs="仿宋"/>
          <w:b/>
          <w:color w:val="auto"/>
          <w:spacing w:val="-6"/>
          <w:sz w:val="24"/>
          <w:highlight w:val="none"/>
          <w:lang w:val="zh-CN"/>
        </w:rPr>
      </w:pPr>
      <w:r>
        <w:rPr>
          <w:rFonts w:hint="eastAsia" w:ascii="仿宋" w:hAnsi="仿宋" w:eastAsia="仿宋" w:cs="仿宋"/>
          <w:b/>
          <w:color w:val="auto"/>
          <w:spacing w:val="-6"/>
          <w:sz w:val="24"/>
          <w:highlight w:val="none"/>
          <w:lang w:val="zh-CN"/>
        </w:rPr>
        <w:t>附件2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联合协议</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center"/>
        <w:textAlignment w:val="auto"/>
        <w:outlineLvl w:val="9"/>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（以联合体形式投标的提供联合协议</w:t>
      </w:r>
      <w:r>
        <w:rPr>
          <w:rFonts w:hint="eastAsia" w:ascii="仿宋" w:hAnsi="仿宋" w:eastAsia="仿宋" w:cs="仿宋"/>
          <w:b/>
          <w:color w:val="auto"/>
          <w:sz w:val="18"/>
          <w:szCs w:val="18"/>
          <w:highlight w:val="none"/>
          <w:lang w:val="en-US" w:eastAsia="zh-CN"/>
        </w:rPr>
        <w:t>,</w:t>
      </w:r>
      <w:r>
        <w:rPr>
          <w:rFonts w:hint="eastAsia" w:ascii="仿宋" w:hAnsi="仿宋" w:eastAsia="仿宋" w:cs="仿宋"/>
          <w:b/>
          <w:color w:val="auto"/>
          <w:sz w:val="18"/>
          <w:szCs w:val="18"/>
          <w:highlight w:val="none"/>
        </w:rPr>
        <w:t>项目不接受联合体投标或投标人不以联合体形式投标的则不需要提供）</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（联合体所有成员名称）</w:t>
      </w:r>
      <w:r>
        <w:rPr>
          <w:rFonts w:hint="eastAsia" w:ascii="仿宋" w:hAnsi="仿宋" w:eastAsia="仿宋" w:cs="仿宋"/>
          <w:color w:val="auto"/>
          <w:kern w:val="0"/>
          <w:szCs w:val="21"/>
          <w:highlight w:val="none"/>
        </w:rPr>
        <w:t>自愿</w:t>
      </w:r>
      <w:r>
        <w:rPr>
          <w:rFonts w:hint="eastAsia" w:ascii="仿宋" w:hAnsi="仿宋" w:eastAsia="仿宋" w:cs="仿宋"/>
          <w:color w:val="auto"/>
          <w:kern w:val="0"/>
          <w:szCs w:val="21"/>
          <w:highlight w:val="none"/>
          <w:lang w:val="zh-CN"/>
        </w:rPr>
        <w:t>组成一个联合体，以一个投标人的身份</w:t>
      </w:r>
      <w:r>
        <w:rPr>
          <w:rFonts w:hint="eastAsia" w:ascii="仿宋" w:hAnsi="仿宋" w:eastAsia="仿宋" w:cs="仿宋"/>
          <w:color w:val="auto"/>
          <w:kern w:val="0"/>
          <w:szCs w:val="21"/>
          <w:highlight w:val="none"/>
        </w:rPr>
        <w:t>参加</w:t>
      </w:r>
      <w:r>
        <w:rPr>
          <w:rFonts w:hint="eastAsia" w:ascii="仿宋" w:hAnsi="仿宋" w:eastAsia="仿宋" w:cs="仿宋"/>
          <w:color w:val="auto"/>
          <w:kern w:val="0"/>
          <w:szCs w:val="21"/>
          <w:highlight w:val="none"/>
          <w:lang w:eastAsia="zh-CN"/>
        </w:rPr>
        <w:t>浙江工业大学电工综合实训考核设备等</w:t>
      </w:r>
      <w:r>
        <w:rPr>
          <w:rFonts w:hint="eastAsia" w:ascii="仿宋" w:hAnsi="仿宋" w:eastAsia="仿宋" w:cs="仿宋"/>
          <w:color w:val="auto"/>
          <w:kern w:val="0"/>
          <w:szCs w:val="21"/>
          <w:highlight w:val="none"/>
          <w:lang w:val="en-US" w:eastAsia="zh-CN"/>
        </w:rPr>
        <w:t>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zh-CN"/>
        </w:rPr>
        <w:t>投标。</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一、各方一致决定，</w:t>
      </w:r>
      <w:r>
        <w:rPr>
          <w:rFonts w:hint="eastAsia" w:ascii="仿宋" w:hAnsi="仿宋" w:eastAsia="仿宋" w:cs="仿宋"/>
          <w:color w:val="auto"/>
          <w:kern w:val="0"/>
          <w:szCs w:val="21"/>
          <w:highlight w:val="none"/>
          <w:u w:val="single"/>
        </w:rPr>
        <w:t>（某联合体成员名称）</w:t>
      </w:r>
      <w:r>
        <w:rPr>
          <w:rFonts w:hint="eastAsia" w:ascii="仿宋" w:hAnsi="仿宋" w:eastAsia="仿宋" w:cs="仿宋"/>
          <w:color w:val="auto"/>
          <w:kern w:val="0"/>
          <w:szCs w:val="21"/>
          <w:highlight w:val="none"/>
        </w:rPr>
        <w:t>为联合体</w:t>
      </w:r>
      <w:r>
        <w:rPr>
          <w:rFonts w:hint="eastAsia" w:ascii="仿宋" w:hAnsi="仿宋" w:eastAsia="仿宋" w:cs="仿宋"/>
          <w:color w:val="auto"/>
          <w:kern w:val="0"/>
          <w:szCs w:val="21"/>
          <w:highlight w:val="none"/>
          <w:lang w:val="zh-CN"/>
        </w:rPr>
        <w:t>牵头人</w:t>
      </w:r>
      <w:r>
        <w:rPr>
          <w:rFonts w:hint="eastAsia" w:ascii="仿宋" w:hAnsi="仿宋" w:eastAsia="仿宋" w:cs="仿宋"/>
          <w:color w:val="auto"/>
          <w:szCs w:val="21"/>
          <w:highlight w:val="none"/>
        </w:rPr>
        <w:t>，代表所有联合体成员负责投标和合同实施阶段的主办、协调工作</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二、</w:t>
      </w:r>
      <w:r>
        <w:rPr>
          <w:rFonts w:hint="eastAsia" w:ascii="仿宋" w:hAnsi="仿宋" w:eastAsia="仿宋" w:cs="仿宋"/>
          <w:color w:val="auto"/>
          <w:szCs w:val="21"/>
          <w:highlight w:val="none"/>
        </w:rPr>
        <w:t>所有联合体成员各方签署授权书，授权书载明的</w:t>
      </w:r>
      <w:r>
        <w:rPr>
          <w:rFonts w:hint="eastAsia" w:ascii="仿宋" w:hAnsi="仿宋" w:eastAsia="仿宋" w:cs="仿宋"/>
          <w:color w:val="auto"/>
          <w:kern w:val="0"/>
          <w:szCs w:val="21"/>
          <w:highlight w:val="none"/>
          <w:lang w:val="zh-CN"/>
        </w:rPr>
        <w:t>授权代表根据招标文件规定及投标内容而对采购人、采购代理机构所作的任何合法承诺，包括书面澄清及</w:t>
      </w:r>
      <w:r>
        <w:rPr>
          <w:rFonts w:hint="eastAsia" w:ascii="仿宋" w:hAnsi="仿宋" w:eastAsia="仿宋" w:cs="仿宋"/>
          <w:color w:val="auto"/>
          <w:kern w:val="0"/>
          <w:szCs w:val="21"/>
          <w:highlight w:val="none"/>
          <w:lang w:val="en-US" w:eastAsia="zh-CN"/>
        </w:rPr>
        <w:t>响应</w:t>
      </w:r>
      <w:r>
        <w:rPr>
          <w:rFonts w:hint="eastAsia" w:ascii="仿宋" w:hAnsi="仿宋" w:eastAsia="仿宋" w:cs="仿宋"/>
          <w:color w:val="auto"/>
          <w:kern w:val="0"/>
          <w:szCs w:val="21"/>
          <w:highlight w:val="none"/>
          <w:lang w:val="zh-CN"/>
        </w:rPr>
        <w:t>等均对联合投标各方产生约束力。</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三、本次联合投标中，分工如下：</w:t>
      </w:r>
      <w:r>
        <w:rPr>
          <w:rFonts w:hint="eastAsia" w:ascii="仿宋" w:hAnsi="仿宋" w:eastAsia="仿宋" w:cs="仿宋"/>
          <w:color w:val="auto"/>
          <w:kern w:val="0"/>
          <w:szCs w:val="21"/>
          <w:highlight w:val="none"/>
          <w:u w:val="single"/>
        </w:rPr>
        <w:t>（联合体其中一方成员名称）</w:t>
      </w:r>
      <w:r>
        <w:rPr>
          <w:rFonts w:hint="eastAsia" w:ascii="仿宋" w:hAnsi="仿宋" w:eastAsia="仿宋" w:cs="仿宋"/>
          <w:color w:val="auto"/>
          <w:kern w:val="0"/>
          <w:szCs w:val="21"/>
          <w:highlight w:val="none"/>
          <w:lang w:val="zh-CN"/>
        </w:rPr>
        <w:t>承担的工作和义务为：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四、</w:t>
      </w:r>
      <w:r>
        <w:rPr>
          <w:rFonts w:hint="eastAsia" w:ascii="仿宋" w:hAnsi="仿宋" w:eastAsia="仿宋" w:cs="仿宋"/>
          <w:color w:val="auto"/>
          <w:kern w:val="0"/>
          <w:szCs w:val="21"/>
          <w:highlight w:val="none"/>
          <w:u w:val="single"/>
        </w:rPr>
        <w:t>（联合体其中一方成员名称）</w:t>
      </w:r>
      <w:r>
        <w:rPr>
          <w:rFonts w:hint="eastAsia" w:ascii="仿宋" w:hAnsi="仿宋" w:eastAsia="仿宋" w:cs="仿宋"/>
          <w:color w:val="auto"/>
          <w:kern w:val="0"/>
          <w:szCs w:val="21"/>
          <w:highlight w:val="none"/>
        </w:rPr>
        <w:t>提供的全部货物由小微企业制造，其合同份额占到合同总金额</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%以上；</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五、如果中标，</w:t>
      </w:r>
      <w:r>
        <w:rPr>
          <w:rFonts w:hint="eastAsia" w:ascii="仿宋" w:hAnsi="仿宋" w:eastAsia="仿宋" w:cs="仿宋"/>
          <w:color w:val="auto"/>
          <w:szCs w:val="21"/>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六、有关本次联合投标的其他事宜：</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1、联合体各方不再单独参加或者与其他供应商另外组成联合体参加同一合同项下的政府采购活动</w:t>
      </w:r>
      <w:r>
        <w:rPr>
          <w:rFonts w:hint="eastAsia" w:ascii="仿宋" w:hAnsi="仿宋" w:eastAsia="仿宋" w:cs="仿宋"/>
          <w:color w:val="auto"/>
          <w:kern w:val="0"/>
          <w:szCs w:val="21"/>
          <w:highlight w:val="none"/>
          <w:lang w:val="en-US" w:eastAsia="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2、联合体中有同类资质的各方按照联合体分工承担相同工作的，按照资质等级较低的供应商确定资质等级</w:t>
      </w:r>
      <w:r>
        <w:rPr>
          <w:rFonts w:hint="eastAsia" w:ascii="仿宋" w:hAnsi="仿宋" w:eastAsia="仿宋" w:cs="仿宋"/>
          <w:color w:val="auto"/>
          <w:kern w:val="0"/>
          <w:szCs w:val="21"/>
          <w:highlight w:val="none"/>
          <w:lang w:val="en-US" w:eastAsia="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1"/>
        <w:textAlignment w:val="auto"/>
        <w:outlineLvl w:val="9"/>
        <w:rPr>
          <w:rFonts w:hint="eastAsia" w:ascii="仿宋" w:hAnsi="仿宋" w:eastAsia="仿宋" w:cs="仿宋"/>
          <w:color w:val="auto"/>
          <w:kern w:val="0"/>
          <w:szCs w:val="21"/>
          <w:highlight w:val="none"/>
          <w:lang w:val="zh-CN"/>
        </w:rPr>
      </w:pP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联合体成员名称(电子签名/公章)：</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spacing w:val="-6"/>
          <w:szCs w:val="21"/>
          <w:highlight w:val="none"/>
        </w:rPr>
        <w:t>日期：     年   月   日</w:t>
      </w:r>
    </w:p>
    <w:p>
      <w:pPr>
        <w:widowControl/>
        <w:ind w:left="0" w:leftChars="0" w:right="0" w:rightChars="0" w:firstLine="0" w:firstLineChars="0"/>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eastAsia" w:ascii="仿宋" w:hAnsi="仿宋" w:eastAsia="仿宋" w:cs="仿宋"/>
          <w:b/>
          <w:color w:val="auto"/>
          <w:spacing w:val="-6"/>
          <w:sz w:val="24"/>
          <w:highlight w:val="none"/>
          <w:lang w:val="zh-CN"/>
        </w:rPr>
      </w:pPr>
      <w:r>
        <w:rPr>
          <w:rFonts w:hint="eastAsia" w:ascii="仿宋" w:hAnsi="仿宋" w:eastAsia="仿宋" w:cs="仿宋"/>
          <w:b/>
          <w:color w:val="auto"/>
          <w:spacing w:val="-6"/>
          <w:sz w:val="24"/>
          <w:highlight w:val="none"/>
          <w:lang w:val="zh-CN"/>
        </w:rPr>
        <w:t>附件3</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分包意向协议</w:t>
      </w:r>
    </w:p>
    <w:p>
      <w:pPr>
        <w:keepNext w:val="0"/>
        <w:keepLines w:val="0"/>
        <w:pageBreakBefore w:val="0"/>
        <w:widowControl/>
        <w:kinsoku/>
        <w:wordWrap/>
        <w:overflowPunct/>
        <w:topLinePunct w:val="0"/>
        <w:autoSpaceDE/>
        <w:autoSpaceDN/>
        <w:bidi w:val="0"/>
        <w:adjustRightInd/>
        <w:snapToGrid w:val="0"/>
        <w:spacing w:line="360" w:lineRule="auto"/>
        <w:ind w:right="0" w:rightChars="0"/>
        <w:jc w:val="center"/>
        <w:textAlignment w:val="auto"/>
        <w:outlineLvl w:val="9"/>
        <w:rPr>
          <w:rFonts w:hint="eastAsia"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（中标后以分包方式履行合同的提供分包意向协议</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rPr>
        <w:t>采购人不同意分包或中标后不以分包方式履行合同的则不需要提供）</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lang w:val="zh-CN"/>
        </w:rPr>
        <w:t>若成为</w:t>
      </w:r>
      <w:r>
        <w:rPr>
          <w:rFonts w:hint="eastAsia" w:ascii="仿宋" w:hAnsi="仿宋" w:eastAsia="仿宋" w:cs="仿宋"/>
          <w:color w:val="auto"/>
          <w:kern w:val="0"/>
          <w:szCs w:val="21"/>
          <w:highlight w:val="none"/>
          <w:lang w:eastAsia="zh-CN"/>
        </w:rPr>
        <w:t>浙江工业大学电工综合实训考核设备等</w:t>
      </w:r>
      <w:r>
        <w:rPr>
          <w:rFonts w:hint="eastAsia" w:ascii="仿宋" w:hAnsi="仿宋" w:eastAsia="仿宋" w:cs="仿宋"/>
          <w:color w:val="auto"/>
          <w:kern w:val="0"/>
          <w:szCs w:val="21"/>
          <w:highlight w:val="none"/>
          <w:lang w:val="en-US" w:eastAsia="zh-CN"/>
        </w:rPr>
        <w:t>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QSZB-Z(H)-H24238(GK)</w:t>
      </w: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zh-CN"/>
        </w:rPr>
        <w:t>的中标</w:t>
      </w:r>
      <w:r>
        <w:rPr>
          <w:rFonts w:hint="eastAsia" w:ascii="仿宋" w:hAnsi="仿宋" w:eastAsia="仿宋" w:cs="仿宋"/>
          <w:color w:val="auto"/>
          <w:kern w:val="0"/>
          <w:szCs w:val="21"/>
          <w:highlight w:val="none"/>
          <w:lang w:val="en-US" w:eastAsia="zh-CN"/>
        </w:rPr>
        <w:t>人</w:t>
      </w:r>
      <w:r>
        <w:rPr>
          <w:rFonts w:hint="eastAsia" w:ascii="仿宋" w:hAnsi="仿宋" w:eastAsia="仿宋" w:cs="仿宋"/>
          <w:color w:val="auto"/>
          <w:kern w:val="0"/>
          <w:szCs w:val="21"/>
          <w:highlight w:val="none"/>
          <w:lang w:val="zh-CN"/>
        </w:rPr>
        <w:t>，将依法采取分包方式履行合同。</w:t>
      </w: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rPr>
        <w:t>与</w:t>
      </w:r>
      <w:r>
        <w:rPr>
          <w:rFonts w:hint="eastAsia" w:ascii="仿宋" w:hAnsi="仿宋" w:eastAsia="仿宋" w:cs="仿宋"/>
          <w:color w:val="auto"/>
          <w:kern w:val="0"/>
          <w:szCs w:val="21"/>
          <w:highlight w:val="none"/>
          <w:u w:val="single"/>
        </w:rPr>
        <w:t>（所有分包供应商名称）</w:t>
      </w:r>
      <w:r>
        <w:rPr>
          <w:rFonts w:hint="eastAsia" w:ascii="仿宋" w:hAnsi="仿宋" w:eastAsia="仿宋" w:cs="仿宋"/>
          <w:color w:val="auto"/>
          <w:kern w:val="0"/>
          <w:szCs w:val="21"/>
          <w:highlight w:val="none"/>
        </w:rPr>
        <w:t>达成分包意向协议</w:t>
      </w: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一、分包标的及数量</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lang w:val="zh-CN"/>
        </w:rPr>
        <w:t>将</w:t>
      </w:r>
      <w:r>
        <w:rPr>
          <w:rFonts w:hint="eastAsia" w:ascii="仿宋" w:hAnsi="仿宋" w:eastAsia="仿宋" w:cs="仿宋"/>
          <w:color w:val="auto"/>
          <w:szCs w:val="21"/>
          <w:highlight w:val="none"/>
          <w:u w:val="single"/>
        </w:rPr>
        <w:t>XX工作内容</w:t>
      </w:r>
      <w:r>
        <w:rPr>
          <w:rFonts w:hint="eastAsia" w:ascii="仿宋" w:hAnsi="仿宋" w:eastAsia="仿宋" w:cs="仿宋"/>
          <w:color w:val="auto"/>
          <w:szCs w:val="21"/>
          <w:highlight w:val="none"/>
        </w:rPr>
        <w:t>分包给</w:t>
      </w: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lang w:val="zh-CN"/>
        </w:rPr>
        <w:t>，</w:t>
      </w: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lang w:val="zh-CN"/>
        </w:rPr>
        <w:t>具备承</w:t>
      </w:r>
      <w:r>
        <w:rPr>
          <w:rFonts w:hint="eastAsia" w:ascii="仿宋" w:hAnsi="仿宋" w:eastAsia="仿宋" w:cs="仿宋"/>
          <w:color w:val="auto"/>
          <w:kern w:val="0"/>
          <w:szCs w:val="21"/>
          <w:highlight w:val="none"/>
        </w:rPr>
        <w:t>担</w:t>
      </w:r>
      <w:r>
        <w:rPr>
          <w:rFonts w:hint="eastAsia" w:ascii="仿宋" w:hAnsi="仿宋" w:eastAsia="仿宋" w:cs="仿宋"/>
          <w:color w:val="auto"/>
          <w:szCs w:val="21"/>
          <w:highlight w:val="none"/>
          <w:u w:val="single"/>
        </w:rPr>
        <w:t>XX工作内容</w:t>
      </w:r>
      <w:r>
        <w:rPr>
          <w:rFonts w:hint="eastAsia" w:ascii="仿宋" w:hAnsi="仿宋" w:eastAsia="仿宋" w:cs="仿宋"/>
          <w:color w:val="auto"/>
          <w:kern w:val="0"/>
          <w:szCs w:val="21"/>
          <w:highlight w:val="none"/>
          <w:lang w:val="zh-CN"/>
        </w:rPr>
        <w:t>相应资质条件且不得再次分包；</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二、分包工作履行期限、地点、方式：</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三、质量：</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四、价款或者报酬：</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五、违约责任：</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六、争议解决的办法：</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七、其他：</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u w:val="none"/>
        </w:rPr>
        <w:t>提供的货物全部由小微企业制造，</w:t>
      </w:r>
      <w:r>
        <w:rPr>
          <w:rFonts w:hint="eastAsia" w:ascii="仿宋" w:hAnsi="仿宋" w:eastAsia="仿宋" w:cs="仿宋"/>
          <w:color w:val="auto"/>
          <w:kern w:val="0"/>
          <w:szCs w:val="21"/>
          <w:highlight w:val="none"/>
        </w:rPr>
        <w:t>其合同份额占到合同总金额</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%以上</w:t>
      </w:r>
      <w:r>
        <w:rPr>
          <w:rFonts w:hint="eastAsia" w:ascii="仿宋" w:hAnsi="仿宋" w:eastAsia="仿宋" w:cs="仿宋"/>
          <w:color w:val="auto"/>
          <w:szCs w:val="21"/>
          <w:highlight w:val="none"/>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eastAsia" w:ascii="仿宋" w:hAnsi="仿宋" w:eastAsia="仿宋" w:cs="仿宋"/>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0"/>
        <w:textAlignment w:val="auto"/>
        <w:outlineLvl w:val="9"/>
        <w:rPr>
          <w:rFonts w:hint="eastAsia" w:ascii="仿宋" w:hAnsi="仿宋" w:eastAsia="仿宋" w:cs="仿宋"/>
          <w:b/>
          <w:bCs/>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2" w:firstLineChars="200"/>
        <w:textAlignment w:val="auto"/>
        <w:outlineLvl w:val="9"/>
        <w:rPr>
          <w:rFonts w:hint="eastAsia" w:ascii="仿宋" w:hAnsi="仿宋" w:eastAsia="仿宋" w:cs="仿宋"/>
          <w:b/>
          <w:bCs/>
          <w:color w:val="auto"/>
          <w:kern w:val="0"/>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right="0" w:rightChars="0"/>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投标人名称（电子签名/公章）：</w:t>
      </w:r>
    </w:p>
    <w:p>
      <w:pPr>
        <w:keepNext w:val="0"/>
        <w:keepLines w:val="0"/>
        <w:pageBreakBefore w:val="0"/>
        <w:kinsoku/>
        <w:wordWrap/>
        <w:overflowPunct/>
        <w:topLinePunct w:val="0"/>
        <w:autoSpaceDE/>
        <w:autoSpaceDN/>
        <w:bidi w:val="0"/>
        <w:adjustRightInd/>
        <w:snapToGrid w:val="0"/>
        <w:spacing w:line="360" w:lineRule="auto"/>
        <w:ind w:right="0" w:rightChars="0"/>
        <w:textAlignment w:val="auto"/>
        <w:outlineLvl w:val="9"/>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分包供应商名称：（电子签名/公章）：</w:t>
      </w:r>
    </w:p>
    <w:p>
      <w:pPr>
        <w:keepNext w:val="0"/>
        <w:keepLines w:val="0"/>
        <w:pageBreakBefore w:val="0"/>
        <w:kinsoku/>
        <w:wordWrap/>
        <w:overflowPunct/>
        <w:topLinePunct w:val="0"/>
        <w:autoSpaceDE/>
        <w:autoSpaceDN/>
        <w:bidi w:val="0"/>
        <w:adjustRightInd/>
        <w:snapToGrid w:val="0"/>
        <w:spacing w:line="360" w:lineRule="auto"/>
        <w:ind w:right="0" w:rightChars="0"/>
        <w:textAlignment w:val="auto"/>
        <w:outlineLvl w:val="9"/>
        <w:rPr>
          <w:color w:val="auto"/>
          <w:highlight w:val="none"/>
        </w:rPr>
      </w:pPr>
      <w:r>
        <w:rPr>
          <w:rFonts w:hint="eastAsia" w:ascii="仿宋" w:hAnsi="仿宋" w:eastAsia="仿宋" w:cs="仿宋"/>
          <w:b/>
          <w:bCs/>
          <w:color w:val="auto"/>
          <w:spacing w:val="-6"/>
          <w:szCs w:val="21"/>
          <w:highlight w:val="none"/>
        </w:rPr>
        <w:t>日期：     年   月   日</w:t>
      </w:r>
    </w:p>
    <w:sectPr>
      <w:footerReference r:id="rId5" w:type="default"/>
      <w:pgSz w:w="11906" w:h="16838"/>
      <w:pgMar w:top="1440" w:right="1247" w:bottom="1440" w:left="1247" w:header="340" w:footer="850" w:gutter="0"/>
      <w:pgNumType w:start="1"/>
      <w:cols w:space="0" w:num="1"/>
      <w:rtlGutter w:val="0"/>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apple-system">
    <w:altName w:val="Malgun Gothic Semiligh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Helvetica Neue Light">
    <w:altName w:val="Segoe Print"/>
    <w:panose1 w:val="00000000000000000000"/>
    <w:charset w:val="00"/>
    <w:family w:val="auto"/>
    <w:pitch w:val="default"/>
    <w:sig w:usb0="00000000" w:usb1="00000000" w:usb2="00000002" w:usb3="00000000" w:csb0="00000007" w:csb1="00000000"/>
  </w:font>
  <w:font w:name="ヒラギノ角ゴ Pro W3">
    <w:altName w:val="Yu Gothic"/>
    <w:panose1 w:val="00000000000000000000"/>
    <w:charset w:val="80"/>
    <w:family w:val="auto"/>
    <w:pitch w:val="default"/>
    <w:sig w:usb0="00000000" w:usb1="00000000" w:usb2="00000012" w:usb3="00000000" w:csb0="0002000D"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ascii="宋体" w:hAnsi="宋体" w:eastAsia="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1</w:t>
                          </w:r>
                          <w:r>
                            <w:rPr>
                              <w:rFonts w:hint="eastAsia" w:ascii="仿宋" w:hAnsi="仿宋" w:eastAsia="仿宋" w:cs="仿宋"/>
                              <w:b/>
                              <w:bCs/>
                            </w:rPr>
                            <w:fldChar w:fldCharType="end"/>
                          </w:r>
                          <w:r>
                            <w:rPr>
                              <w:rFonts w:hint="eastAsia" w:ascii="仿宋" w:hAnsi="仿宋" w:eastAsia="仿宋" w:cs="仿宋"/>
                              <w:b/>
                              <w:bCs/>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0"/>
                      <w:rPr>
                        <w:rFonts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1</w:t>
                    </w:r>
                    <w:r>
                      <w:rPr>
                        <w:rFonts w:hint="eastAsia" w:ascii="仿宋" w:hAnsi="仿宋" w:eastAsia="仿宋" w:cs="仿宋"/>
                        <w:b/>
                        <w:bCs/>
                      </w:rPr>
                      <w:fldChar w:fldCharType="end"/>
                    </w:r>
                    <w:r>
                      <w:rPr>
                        <w:rFonts w:hint="eastAsia" w:ascii="仿宋" w:hAnsi="仿宋" w:eastAsia="仿宋" w:cs="仿宋"/>
                        <w:b/>
                        <w:bCs/>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eastAsiaTheme="minorEastAsia"/>
        <w:lang w:eastAsia="zh-CN"/>
      </w:rPr>
      <w:drawing>
        <wp:inline distT="0" distB="0" distL="114300" distR="114300">
          <wp:extent cx="5906770" cy="676910"/>
          <wp:effectExtent l="0" t="0" r="6350" b="8890"/>
          <wp:docPr id="2" name="图片 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眉"/>
                  <pic:cNvPicPr>
                    <a:picLocks noChangeAspect="1"/>
                  </pic:cNvPicPr>
                </pic:nvPicPr>
                <pic:blipFill>
                  <a:blip r:embed="rId1"/>
                  <a:stretch>
                    <a:fillRect/>
                  </a:stretch>
                </pic:blipFill>
                <pic:spPr>
                  <a:xfrm>
                    <a:off x="0" y="0"/>
                    <a:ext cx="5906770" cy="6769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pStyle w:val="8"/>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4YTY2NzNjYzhhMDBjYjhiZDFjNDRhZjk5ZjcyM2MifQ=="/>
  </w:docVars>
  <w:rsids>
    <w:rsidRoot w:val="00756626"/>
    <w:rsid w:val="000009E4"/>
    <w:rsid w:val="0000114F"/>
    <w:rsid w:val="0000436F"/>
    <w:rsid w:val="00006469"/>
    <w:rsid w:val="00006CFD"/>
    <w:rsid w:val="000116E4"/>
    <w:rsid w:val="00013608"/>
    <w:rsid w:val="00013B07"/>
    <w:rsid w:val="00014530"/>
    <w:rsid w:val="00015995"/>
    <w:rsid w:val="00016D69"/>
    <w:rsid w:val="00037CC3"/>
    <w:rsid w:val="00037F12"/>
    <w:rsid w:val="000404C3"/>
    <w:rsid w:val="0004184A"/>
    <w:rsid w:val="00042FA2"/>
    <w:rsid w:val="00043D3F"/>
    <w:rsid w:val="0004610A"/>
    <w:rsid w:val="00046C0F"/>
    <w:rsid w:val="00047FBE"/>
    <w:rsid w:val="000505CC"/>
    <w:rsid w:val="000536E0"/>
    <w:rsid w:val="00057E8D"/>
    <w:rsid w:val="0006261A"/>
    <w:rsid w:val="00065AAC"/>
    <w:rsid w:val="00066C2F"/>
    <w:rsid w:val="00067CDC"/>
    <w:rsid w:val="00074377"/>
    <w:rsid w:val="000765FF"/>
    <w:rsid w:val="00080197"/>
    <w:rsid w:val="00080E86"/>
    <w:rsid w:val="000814E9"/>
    <w:rsid w:val="00082DB5"/>
    <w:rsid w:val="00082FB1"/>
    <w:rsid w:val="00085C8D"/>
    <w:rsid w:val="00085FCC"/>
    <w:rsid w:val="00091AA5"/>
    <w:rsid w:val="00091FF9"/>
    <w:rsid w:val="000922B3"/>
    <w:rsid w:val="000949E6"/>
    <w:rsid w:val="0009761D"/>
    <w:rsid w:val="000A108A"/>
    <w:rsid w:val="000A68FB"/>
    <w:rsid w:val="000A74CF"/>
    <w:rsid w:val="000A7D0F"/>
    <w:rsid w:val="000B1B92"/>
    <w:rsid w:val="000B5BC8"/>
    <w:rsid w:val="000C1DE2"/>
    <w:rsid w:val="000C1EF8"/>
    <w:rsid w:val="000C3537"/>
    <w:rsid w:val="000C587E"/>
    <w:rsid w:val="000C67A6"/>
    <w:rsid w:val="000D0B38"/>
    <w:rsid w:val="000D107B"/>
    <w:rsid w:val="000D4121"/>
    <w:rsid w:val="000D763B"/>
    <w:rsid w:val="000E0B46"/>
    <w:rsid w:val="000E12A8"/>
    <w:rsid w:val="000E6420"/>
    <w:rsid w:val="000F4562"/>
    <w:rsid w:val="00103101"/>
    <w:rsid w:val="00106A4D"/>
    <w:rsid w:val="001137C8"/>
    <w:rsid w:val="00117EF1"/>
    <w:rsid w:val="001203D7"/>
    <w:rsid w:val="00120781"/>
    <w:rsid w:val="00130294"/>
    <w:rsid w:val="001358FA"/>
    <w:rsid w:val="00137FB9"/>
    <w:rsid w:val="00145597"/>
    <w:rsid w:val="001466D3"/>
    <w:rsid w:val="001472FE"/>
    <w:rsid w:val="00147E13"/>
    <w:rsid w:val="00154E6E"/>
    <w:rsid w:val="00160F71"/>
    <w:rsid w:val="00162355"/>
    <w:rsid w:val="00162B7F"/>
    <w:rsid w:val="001639E5"/>
    <w:rsid w:val="00164553"/>
    <w:rsid w:val="00164E88"/>
    <w:rsid w:val="00166D36"/>
    <w:rsid w:val="00167EC3"/>
    <w:rsid w:val="0017064E"/>
    <w:rsid w:val="00170DD1"/>
    <w:rsid w:val="00172304"/>
    <w:rsid w:val="0018079E"/>
    <w:rsid w:val="00182FEC"/>
    <w:rsid w:val="00183AD9"/>
    <w:rsid w:val="00191976"/>
    <w:rsid w:val="00197EDA"/>
    <w:rsid w:val="001A1C51"/>
    <w:rsid w:val="001A2D63"/>
    <w:rsid w:val="001A2F81"/>
    <w:rsid w:val="001B01EC"/>
    <w:rsid w:val="001B03B6"/>
    <w:rsid w:val="001B1958"/>
    <w:rsid w:val="001B2E94"/>
    <w:rsid w:val="001B63B2"/>
    <w:rsid w:val="001B6AE4"/>
    <w:rsid w:val="001B6C0D"/>
    <w:rsid w:val="001C1474"/>
    <w:rsid w:val="001C2000"/>
    <w:rsid w:val="001C2933"/>
    <w:rsid w:val="001C4075"/>
    <w:rsid w:val="001D157A"/>
    <w:rsid w:val="001D2D58"/>
    <w:rsid w:val="001D7868"/>
    <w:rsid w:val="001E1516"/>
    <w:rsid w:val="001E3085"/>
    <w:rsid w:val="001F36AC"/>
    <w:rsid w:val="001F7274"/>
    <w:rsid w:val="002004E1"/>
    <w:rsid w:val="00200536"/>
    <w:rsid w:val="00201125"/>
    <w:rsid w:val="00201321"/>
    <w:rsid w:val="00204F17"/>
    <w:rsid w:val="00210339"/>
    <w:rsid w:val="00211660"/>
    <w:rsid w:val="00213589"/>
    <w:rsid w:val="00221BD1"/>
    <w:rsid w:val="00223595"/>
    <w:rsid w:val="00224BD6"/>
    <w:rsid w:val="002265A9"/>
    <w:rsid w:val="00230DA7"/>
    <w:rsid w:val="002336BD"/>
    <w:rsid w:val="00236327"/>
    <w:rsid w:val="00236937"/>
    <w:rsid w:val="002402D1"/>
    <w:rsid w:val="002435F2"/>
    <w:rsid w:val="00243D1E"/>
    <w:rsid w:val="0025569A"/>
    <w:rsid w:val="00255E9B"/>
    <w:rsid w:val="00255F77"/>
    <w:rsid w:val="0025659F"/>
    <w:rsid w:val="002570E8"/>
    <w:rsid w:val="00257110"/>
    <w:rsid w:val="002607CF"/>
    <w:rsid w:val="00262884"/>
    <w:rsid w:val="00263BCE"/>
    <w:rsid w:val="00264D84"/>
    <w:rsid w:val="00267917"/>
    <w:rsid w:val="00272073"/>
    <w:rsid w:val="00275FBD"/>
    <w:rsid w:val="00283AE2"/>
    <w:rsid w:val="00283EB5"/>
    <w:rsid w:val="00296AB0"/>
    <w:rsid w:val="002A7085"/>
    <w:rsid w:val="002A799A"/>
    <w:rsid w:val="002B0296"/>
    <w:rsid w:val="002B1048"/>
    <w:rsid w:val="002B4AE9"/>
    <w:rsid w:val="002C3342"/>
    <w:rsid w:val="002D2EAF"/>
    <w:rsid w:val="002D3A28"/>
    <w:rsid w:val="002E3494"/>
    <w:rsid w:val="002E3E0B"/>
    <w:rsid w:val="002E4545"/>
    <w:rsid w:val="002E46E3"/>
    <w:rsid w:val="002F13BD"/>
    <w:rsid w:val="002F14C6"/>
    <w:rsid w:val="002F55DD"/>
    <w:rsid w:val="002F75BD"/>
    <w:rsid w:val="00302870"/>
    <w:rsid w:val="00303255"/>
    <w:rsid w:val="00304616"/>
    <w:rsid w:val="00304855"/>
    <w:rsid w:val="00305DE7"/>
    <w:rsid w:val="0030628A"/>
    <w:rsid w:val="00306563"/>
    <w:rsid w:val="00306AB0"/>
    <w:rsid w:val="003117B9"/>
    <w:rsid w:val="00311A4B"/>
    <w:rsid w:val="00312BBF"/>
    <w:rsid w:val="00317A81"/>
    <w:rsid w:val="00320EE9"/>
    <w:rsid w:val="00321487"/>
    <w:rsid w:val="00327618"/>
    <w:rsid w:val="0033301D"/>
    <w:rsid w:val="00336F68"/>
    <w:rsid w:val="00336FDD"/>
    <w:rsid w:val="00341604"/>
    <w:rsid w:val="00347CBA"/>
    <w:rsid w:val="003502B4"/>
    <w:rsid w:val="00352E2F"/>
    <w:rsid w:val="003560E6"/>
    <w:rsid w:val="00357CF0"/>
    <w:rsid w:val="00363F3D"/>
    <w:rsid w:val="003665F6"/>
    <w:rsid w:val="0036728D"/>
    <w:rsid w:val="00371425"/>
    <w:rsid w:val="00371E29"/>
    <w:rsid w:val="0037508B"/>
    <w:rsid w:val="0038111B"/>
    <w:rsid w:val="00381C15"/>
    <w:rsid w:val="00382F41"/>
    <w:rsid w:val="0038494C"/>
    <w:rsid w:val="003868F7"/>
    <w:rsid w:val="00392BF4"/>
    <w:rsid w:val="003940F4"/>
    <w:rsid w:val="003959FD"/>
    <w:rsid w:val="003961ED"/>
    <w:rsid w:val="0039799B"/>
    <w:rsid w:val="003A0ADB"/>
    <w:rsid w:val="003A188A"/>
    <w:rsid w:val="003A1BED"/>
    <w:rsid w:val="003A1C79"/>
    <w:rsid w:val="003A2DAB"/>
    <w:rsid w:val="003A3152"/>
    <w:rsid w:val="003A454D"/>
    <w:rsid w:val="003A4659"/>
    <w:rsid w:val="003A7992"/>
    <w:rsid w:val="003A7D03"/>
    <w:rsid w:val="003B064C"/>
    <w:rsid w:val="003B13A5"/>
    <w:rsid w:val="003B3605"/>
    <w:rsid w:val="003B5B05"/>
    <w:rsid w:val="003B6DAB"/>
    <w:rsid w:val="003C3454"/>
    <w:rsid w:val="003C4781"/>
    <w:rsid w:val="003C5468"/>
    <w:rsid w:val="003C7A4A"/>
    <w:rsid w:val="003D1ED8"/>
    <w:rsid w:val="003D26B2"/>
    <w:rsid w:val="003D3515"/>
    <w:rsid w:val="003D6E1E"/>
    <w:rsid w:val="003E24B1"/>
    <w:rsid w:val="003E60E1"/>
    <w:rsid w:val="003F52EA"/>
    <w:rsid w:val="004011A4"/>
    <w:rsid w:val="00403B44"/>
    <w:rsid w:val="00403FBB"/>
    <w:rsid w:val="00405332"/>
    <w:rsid w:val="0041002E"/>
    <w:rsid w:val="00413B01"/>
    <w:rsid w:val="004142D4"/>
    <w:rsid w:val="004173F4"/>
    <w:rsid w:val="0043170C"/>
    <w:rsid w:val="004327AE"/>
    <w:rsid w:val="00433671"/>
    <w:rsid w:val="004430E8"/>
    <w:rsid w:val="0045480E"/>
    <w:rsid w:val="00456743"/>
    <w:rsid w:val="00456DA5"/>
    <w:rsid w:val="00457EA2"/>
    <w:rsid w:val="00461FD3"/>
    <w:rsid w:val="00462180"/>
    <w:rsid w:val="00463860"/>
    <w:rsid w:val="00463AF9"/>
    <w:rsid w:val="004644FC"/>
    <w:rsid w:val="00464B58"/>
    <w:rsid w:val="00464D58"/>
    <w:rsid w:val="004719AB"/>
    <w:rsid w:val="0047231B"/>
    <w:rsid w:val="0047725C"/>
    <w:rsid w:val="004840CF"/>
    <w:rsid w:val="0048470A"/>
    <w:rsid w:val="00484EC1"/>
    <w:rsid w:val="004866A5"/>
    <w:rsid w:val="00491047"/>
    <w:rsid w:val="004914C8"/>
    <w:rsid w:val="0049330E"/>
    <w:rsid w:val="004934D4"/>
    <w:rsid w:val="004967FF"/>
    <w:rsid w:val="00497365"/>
    <w:rsid w:val="004977E3"/>
    <w:rsid w:val="00497B33"/>
    <w:rsid w:val="004A0913"/>
    <w:rsid w:val="004A1C68"/>
    <w:rsid w:val="004A2732"/>
    <w:rsid w:val="004A2B24"/>
    <w:rsid w:val="004A4BA1"/>
    <w:rsid w:val="004A62EE"/>
    <w:rsid w:val="004A758D"/>
    <w:rsid w:val="004A7612"/>
    <w:rsid w:val="004B1139"/>
    <w:rsid w:val="004B7ECD"/>
    <w:rsid w:val="004C0ACF"/>
    <w:rsid w:val="004C38B7"/>
    <w:rsid w:val="004C4AEA"/>
    <w:rsid w:val="004C5359"/>
    <w:rsid w:val="004D0781"/>
    <w:rsid w:val="004D2BC8"/>
    <w:rsid w:val="004D3156"/>
    <w:rsid w:val="004D3FD1"/>
    <w:rsid w:val="004D6D2F"/>
    <w:rsid w:val="004D71C3"/>
    <w:rsid w:val="004E373B"/>
    <w:rsid w:val="004E40A7"/>
    <w:rsid w:val="004E764E"/>
    <w:rsid w:val="004F1F7A"/>
    <w:rsid w:val="004F749F"/>
    <w:rsid w:val="005000B3"/>
    <w:rsid w:val="005004BC"/>
    <w:rsid w:val="0050432A"/>
    <w:rsid w:val="0051415E"/>
    <w:rsid w:val="0051461C"/>
    <w:rsid w:val="00516C2B"/>
    <w:rsid w:val="00517F0F"/>
    <w:rsid w:val="00520566"/>
    <w:rsid w:val="00520844"/>
    <w:rsid w:val="00520CCA"/>
    <w:rsid w:val="0052332C"/>
    <w:rsid w:val="005238C8"/>
    <w:rsid w:val="0052419B"/>
    <w:rsid w:val="00525513"/>
    <w:rsid w:val="00530E18"/>
    <w:rsid w:val="00533573"/>
    <w:rsid w:val="0053482D"/>
    <w:rsid w:val="005349E7"/>
    <w:rsid w:val="00536EA4"/>
    <w:rsid w:val="00543979"/>
    <w:rsid w:val="0055295C"/>
    <w:rsid w:val="005541E6"/>
    <w:rsid w:val="005552F4"/>
    <w:rsid w:val="00555329"/>
    <w:rsid w:val="005579AA"/>
    <w:rsid w:val="0056031C"/>
    <w:rsid w:val="00561927"/>
    <w:rsid w:val="00563576"/>
    <w:rsid w:val="00565695"/>
    <w:rsid w:val="005666C3"/>
    <w:rsid w:val="00567903"/>
    <w:rsid w:val="005735F1"/>
    <w:rsid w:val="005762C1"/>
    <w:rsid w:val="00577861"/>
    <w:rsid w:val="00584B0A"/>
    <w:rsid w:val="00585951"/>
    <w:rsid w:val="00592BC6"/>
    <w:rsid w:val="00593624"/>
    <w:rsid w:val="005936D5"/>
    <w:rsid w:val="0059376A"/>
    <w:rsid w:val="005938EE"/>
    <w:rsid w:val="00594309"/>
    <w:rsid w:val="00595A42"/>
    <w:rsid w:val="00597EA9"/>
    <w:rsid w:val="005A2031"/>
    <w:rsid w:val="005A603C"/>
    <w:rsid w:val="005A6A8A"/>
    <w:rsid w:val="005B2265"/>
    <w:rsid w:val="005B7D64"/>
    <w:rsid w:val="005C25EA"/>
    <w:rsid w:val="005D0C62"/>
    <w:rsid w:val="005D4D28"/>
    <w:rsid w:val="005D5F6E"/>
    <w:rsid w:val="005E2D92"/>
    <w:rsid w:val="005E632D"/>
    <w:rsid w:val="005E74BA"/>
    <w:rsid w:val="005F1144"/>
    <w:rsid w:val="005F14E1"/>
    <w:rsid w:val="005F2651"/>
    <w:rsid w:val="005F531A"/>
    <w:rsid w:val="005F5528"/>
    <w:rsid w:val="005F65C8"/>
    <w:rsid w:val="005F70AB"/>
    <w:rsid w:val="005F7DB1"/>
    <w:rsid w:val="00602E5E"/>
    <w:rsid w:val="0060397B"/>
    <w:rsid w:val="006070EC"/>
    <w:rsid w:val="006072E8"/>
    <w:rsid w:val="00611AFB"/>
    <w:rsid w:val="006135DB"/>
    <w:rsid w:val="006143BF"/>
    <w:rsid w:val="006153AB"/>
    <w:rsid w:val="006175EF"/>
    <w:rsid w:val="006279EA"/>
    <w:rsid w:val="006314E7"/>
    <w:rsid w:val="00635BD5"/>
    <w:rsid w:val="00640CB4"/>
    <w:rsid w:val="00641772"/>
    <w:rsid w:val="00642A44"/>
    <w:rsid w:val="00657DC0"/>
    <w:rsid w:val="00660BB7"/>
    <w:rsid w:val="00664079"/>
    <w:rsid w:val="006642C4"/>
    <w:rsid w:val="00664DAA"/>
    <w:rsid w:val="00664F3B"/>
    <w:rsid w:val="006713B5"/>
    <w:rsid w:val="00674C38"/>
    <w:rsid w:val="006763DA"/>
    <w:rsid w:val="00681FEB"/>
    <w:rsid w:val="006823E7"/>
    <w:rsid w:val="0068459B"/>
    <w:rsid w:val="00685148"/>
    <w:rsid w:val="006900EA"/>
    <w:rsid w:val="0069103C"/>
    <w:rsid w:val="00691AD4"/>
    <w:rsid w:val="00693005"/>
    <w:rsid w:val="00693820"/>
    <w:rsid w:val="00696E42"/>
    <w:rsid w:val="00697054"/>
    <w:rsid w:val="00697CA8"/>
    <w:rsid w:val="006A43F9"/>
    <w:rsid w:val="006A4806"/>
    <w:rsid w:val="006A4E30"/>
    <w:rsid w:val="006B4735"/>
    <w:rsid w:val="006B60FC"/>
    <w:rsid w:val="006C0103"/>
    <w:rsid w:val="006C1090"/>
    <w:rsid w:val="006C3E32"/>
    <w:rsid w:val="006C5E79"/>
    <w:rsid w:val="006C7249"/>
    <w:rsid w:val="006D584E"/>
    <w:rsid w:val="006D5DA2"/>
    <w:rsid w:val="006E0F3D"/>
    <w:rsid w:val="006F1A49"/>
    <w:rsid w:val="006F4883"/>
    <w:rsid w:val="006F6B94"/>
    <w:rsid w:val="00701FAE"/>
    <w:rsid w:val="00710E91"/>
    <w:rsid w:val="00712B38"/>
    <w:rsid w:val="00716277"/>
    <w:rsid w:val="0071668C"/>
    <w:rsid w:val="0071784C"/>
    <w:rsid w:val="00722B86"/>
    <w:rsid w:val="00725627"/>
    <w:rsid w:val="007258CF"/>
    <w:rsid w:val="00726EB1"/>
    <w:rsid w:val="00732E62"/>
    <w:rsid w:val="007359D0"/>
    <w:rsid w:val="00735C25"/>
    <w:rsid w:val="0073691D"/>
    <w:rsid w:val="00737B87"/>
    <w:rsid w:val="00742745"/>
    <w:rsid w:val="007433C8"/>
    <w:rsid w:val="0074775E"/>
    <w:rsid w:val="00756626"/>
    <w:rsid w:val="007572BE"/>
    <w:rsid w:val="00763093"/>
    <w:rsid w:val="00764B19"/>
    <w:rsid w:val="00765853"/>
    <w:rsid w:val="0076760A"/>
    <w:rsid w:val="00774D1E"/>
    <w:rsid w:val="007765A6"/>
    <w:rsid w:val="00777132"/>
    <w:rsid w:val="0078494B"/>
    <w:rsid w:val="00784A57"/>
    <w:rsid w:val="007851E4"/>
    <w:rsid w:val="00785B83"/>
    <w:rsid w:val="00785D4D"/>
    <w:rsid w:val="0078688E"/>
    <w:rsid w:val="00787700"/>
    <w:rsid w:val="007910A8"/>
    <w:rsid w:val="00791D7E"/>
    <w:rsid w:val="0079274B"/>
    <w:rsid w:val="00792E7D"/>
    <w:rsid w:val="00796DBA"/>
    <w:rsid w:val="007A1535"/>
    <w:rsid w:val="007A2697"/>
    <w:rsid w:val="007A3332"/>
    <w:rsid w:val="007A4000"/>
    <w:rsid w:val="007A6DC4"/>
    <w:rsid w:val="007A7660"/>
    <w:rsid w:val="007A7E00"/>
    <w:rsid w:val="007B2A33"/>
    <w:rsid w:val="007B3510"/>
    <w:rsid w:val="007B70E0"/>
    <w:rsid w:val="007D0155"/>
    <w:rsid w:val="007D0409"/>
    <w:rsid w:val="007D0DB5"/>
    <w:rsid w:val="007D299D"/>
    <w:rsid w:val="007D3533"/>
    <w:rsid w:val="007D5A95"/>
    <w:rsid w:val="007D736C"/>
    <w:rsid w:val="007D7DBA"/>
    <w:rsid w:val="007E0063"/>
    <w:rsid w:val="007E13AE"/>
    <w:rsid w:val="007E5D59"/>
    <w:rsid w:val="007E6466"/>
    <w:rsid w:val="007E6782"/>
    <w:rsid w:val="007E74B9"/>
    <w:rsid w:val="007E7D3E"/>
    <w:rsid w:val="007F3874"/>
    <w:rsid w:val="007F46A2"/>
    <w:rsid w:val="007F5783"/>
    <w:rsid w:val="007F58B9"/>
    <w:rsid w:val="007F73C5"/>
    <w:rsid w:val="007F7402"/>
    <w:rsid w:val="008051C0"/>
    <w:rsid w:val="008062F5"/>
    <w:rsid w:val="00810B33"/>
    <w:rsid w:val="00814392"/>
    <w:rsid w:val="008143E7"/>
    <w:rsid w:val="008147B0"/>
    <w:rsid w:val="0081666D"/>
    <w:rsid w:val="00816F86"/>
    <w:rsid w:val="00826BEC"/>
    <w:rsid w:val="008309E3"/>
    <w:rsid w:val="0083275D"/>
    <w:rsid w:val="008331E4"/>
    <w:rsid w:val="0083518C"/>
    <w:rsid w:val="00835258"/>
    <w:rsid w:val="00836C7B"/>
    <w:rsid w:val="00837A11"/>
    <w:rsid w:val="008400F7"/>
    <w:rsid w:val="00845785"/>
    <w:rsid w:val="0084629B"/>
    <w:rsid w:val="008470A5"/>
    <w:rsid w:val="008524BA"/>
    <w:rsid w:val="00854FBA"/>
    <w:rsid w:val="00860FD0"/>
    <w:rsid w:val="008629F4"/>
    <w:rsid w:val="0087038D"/>
    <w:rsid w:val="008800E3"/>
    <w:rsid w:val="008807C0"/>
    <w:rsid w:val="00887F0C"/>
    <w:rsid w:val="00893A32"/>
    <w:rsid w:val="008A1A9C"/>
    <w:rsid w:val="008A541E"/>
    <w:rsid w:val="008B0ED1"/>
    <w:rsid w:val="008B3188"/>
    <w:rsid w:val="008B336F"/>
    <w:rsid w:val="008B56D2"/>
    <w:rsid w:val="008B7147"/>
    <w:rsid w:val="008C23E0"/>
    <w:rsid w:val="008C3D8A"/>
    <w:rsid w:val="008C3FF0"/>
    <w:rsid w:val="008C56F5"/>
    <w:rsid w:val="008C6787"/>
    <w:rsid w:val="008C7394"/>
    <w:rsid w:val="008C7810"/>
    <w:rsid w:val="008D0FB0"/>
    <w:rsid w:val="008D2DB0"/>
    <w:rsid w:val="008D3747"/>
    <w:rsid w:val="008D6BE2"/>
    <w:rsid w:val="008E0100"/>
    <w:rsid w:val="008E7989"/>
    <w:rsid w:val="008E7DD4"/>
    <w:rsid w:val="008F3F87"/>
    <w:rsid w:val="008F3FFA"/>
    <w:rsid w:val="0090229C"/>
    <w:rsid w:val="00903112"/>
    <w:rsid w:val="0090469F"/>
    <w:rsid w:val="0090555B"/>
    <w:rsid w:val="00912B21"/>
    <w:rsid w:val="00917842"/>
    <w:rsid w:val="009207E0"/>
    <w:rsid w:val="00921DF6"/>
    <w:rsid w:val="00924893"/>
    <w:rsid w:val="00926422"/>
    <w:rsid w:val="009302F3"/>
    <w:rsid w:val="00934006"/>
    <w:rsid w:val="009369AF"/>
    <w:rsid w:val="00937328"/>
    <w:rsid w:val="0093779E"/>
    <w:rsid w:val="00940228"/>
    <w:rsid w:val="00945580"/>
    <w:rsid w:val="00950D6E"/>
    <w:rsid w:val="009548AD"/>
    <w:rsid w:val="0096020D"/>
    <w:rsid w:val="009652E1"/>
    <w:rsid w:val="009700EA"/>
    <w:rsid w:val="00975C50"/>
    <w:rsid w:val="00976106"/>
    <w:rsid w:val="009816FF"/>
    <w:rsid w:val="009837EC"/>
    <w:rsid w:val="009845F3"/>
    <w:rsid w:val="00990633"/>
    <w:rsid w:val="00991551"/>
    <w:rsid w:val="00994B9D"/>
    <w:rsid w:val="009A2069"/>
    <w:rsid w:val="009A24DD"/>
    <w:rsid w:val="009A506D"/>
    <w:rsid w:val="009A55BF"/>
    <w:rsid w:val="009A73F9"/>
    <w:rsid w:val="009B0065"/>
    <w:rsid w:val="009B2CDC"/>
    <w:rsid w:val="009B4FED"/>
    <w:rsid w:val="009B6FEB"/>
    <w:rsid w:val="009C428B"/>
    <w:rsid w:val="009C5F48"/>
    <w:rsid w:val="009C62B5"/>
    <w:rsid w:val="009D4E08"/>
    <w:rsid w:val="009D5CF6"/>
    <w:rsid w:val="009D79D9"/>
    <w:rsid w:val="009E0D54"/>
    <w:rsid w:val="009E2C98"/>
    <w:rsid w:val="009E5DE6"/>
    <w:rsid w:val="009E6E7D"/>
    <w:rsid w:val="009F00CA"/>
    <w:rsid w:val="009F6E40"/>
    <w:rsid w:val="00A01CA9"/>
    <w:rsid w:val="00A02B70"/>
    <w:rsid w:val="00A02EC0"/>
    <w:rsid w:val="00A11D23"/>
    <w:rsid w:val="00A12BFB"/>
    <w:rsid w:val="00A131C6"/>
    <w:rsid w:val="00A14643"/>
    <w:rsid w:val="00A153E2"/>
    <w:rsid w:val="00A208BD"/>
    <w:rsid w:val="00A20C0F"/>
    <w:rsid w:val="00A24843"/>
    <w:rsid w:val="00A272A5"/>
    <w:rsid w:val="00A31583"/>
    <w:rsid w:val="00A31B9C"/>
    <w:rsid w:val="00A32353"/>
    <w:rsid w:val="00A32B99"/>
    <w:rsid w:val="00A33534"/>
    <w:rsid w:val="00A34503"/>
    <w:rsid w:val="00A36534"/>
    <w:rsid w:val="00A365B5"/>
    <w:rsid w:val="00A37F7F"/>
    <w:rsid w:val="00A41840"/>
    <w:rsid w:val="00A436D8"/>
    <w:rsid w:val="00A500FC"/>
    <w:rsid w:val="00A50DF7"/>
    <w:rsid w:val="00A5356D"/>
    <w:rsid w:val="00A56E2F"/>
    <w:rsid w:val="00A63F72"/>
    <w:rsid w:val="00A66EBD"/>
    <w:rsid w:val="00A739E7"/>
    <w:rsid w:val="00A75C85"/>
    <w:rsid w:val="00A8478E"/>
    <w:rsid w:val="00A85D86"/>
    <w:rsid w:val="00A91A61"/>
    <w:rsid w:val="00A91F9F"/>
    <w:rsid w:val="00A93BEF"/>
    <w:rsid w:val="00AA1EC4"/>
    <w:rsid w:val="00AA26BF"/>
    <w:rsid w:val="00AA4EEB"/>
    <w:rsid w:val="00AA6158"/>
    <w:rsid w:val="00AB197A"/>
    <w:rsid w:val="00AB538C"/>
    <w:rsid w:val="00AB6351"/>
    <w:rsid w:val="00AC0C26"/>
    <w:rsid w:val="00AC2AE1"/>
    <w:rsid w:val="00AC729C"/>
    <w:rsid w:val="00AD15D6"/>
    <w:rsid w:val="00AD4215"/>
    <w:rsid w:val="00AD454A"/>
    <w:rsid w:val="00AD7AC4"/>
    <w:rsid w:val="00AE109C"/>
    <w:rsid w:val="00AE2D51"/>
    <w:rsid w:val="00AE5218"/>
    <w:rsid w:val="00AE6143"/>
    <w:rsid w:val="00AE6479"/>
    <w:rsid w:val="00AE65DE"/>
    <w:rsid w:val="00AF0A8C"/>
    <w:rsid w:val="00AF0D11"/>
    <w:rsid w:val="00AF2EB1"/>
    <w:rsid w:val="00AF4159"/>
    <w:rsid w:val="00AF47F0"/>
    <w:rsid w:val="00AF4C17"/>
    <w:rsid w:val="00AF57C7"/>
    <w:rsid w:val="00AF7D17"/>
    <w:rsid w:val="00AF7E39"/>
    <w:rsid w:val="00B016AA"/>
    <w:rsid w:val="00B11414"/>
    <w:rsid w:val="00B2224D"/>
    <w:rsid w:val="00B26485"/>
    <w:rsid w:val="00B27103"/>
    <w:rsid w:val="00B27134"/>
    <w:rsid w:val="00B27466"/>
    <w:rsid w:val="00B31493"/>
    <w:rsid w:val="00B408F4"/>
    <w:rsid w:val="00B41A65"/>
    <w:rsid w:val="00B44146"/>
    <w:rsid w:val="00B5172B"/>
    <w:rsid w:val="00B5208F"/>
    <w:rsid w:val="00B54056"/>
    <w:rsid w:val="00B54F8A"/>
    <w:rsid w:val="00B608E3"/>
    <w:rsid w:val="00B6179A"/>
    <w:rsid w:val="00B63121"/>
    <w:rsid w:val="00B64886"/>
    <w:rsid w:val="00B6513B"/>
    <w:rsid w:val="00B66247"/>
    <w:rsid w:val="00B6671E"/>
    <w:rsid w:val="00B709E0"/>
    <w:rsid w:val="00B71159"/>
    <w:rsid w:val="00B724F3"/>
    <w:rsid w:val="00B76833"/>
    <w:rsid w:val="00B76BE5"/>
    <w:rsid w:val="00B83888"/>
    <w:rsid w:val="00B852B1"/>
    <w:rsid w:val="00B85628"/>
    <w:rsid w:val="00B90814"/>
    <w:rsid w:val="00B90B33"/>
    <w:rsid w:val="00B91B56"/>
    <w:rsid w:val="00B962D4"/>
    <w:rsid w:val="00B96B37"/>
    <w:rsid w:val="00BA396F"/>
    <w:rsid w:val="00BA4D43"/>
    <w:rsid w:val="00BA74CC"/>
    <w:rsid w:val="00BB0B3D"/>
    <w:rsid w:val="00BB5F21"/>
    <w:rsid w:val="00BB5FAE"/>
    <w:rsid w:val="00BC1A71"/>
    <w:rsid w:val="00BC48DB"/>
    <w:rsid w:val="00BC4928"/>
    <w:rsid w:val="00BC74E1"/>
    <w:rsid w:val="00BC78C9"/>
    <w:rsid w:val="00BD2CA3"/>
    <w:rsid w:val="00BD2EE6"/>
    <w:rsid w:val="00BD5352"/>
    <w:rsid w:val="00BD7446"/>
    <w:rsid w:val="00BE0F12"/>
    <w:rsid w:val="00BE21D5"/>
    <w:rsid w:val="00BE5332"/>
    <w:rsid w:val="00BF3D5C"/>
    <w:rsid w:val="00C01687"/>
    <w:rsid w:val="00C02080"/>
    <w:rsid w:val="00C02627"/>
    <w:rsid w:val="00C03DE1"/>
    <w:rsid w:val="00C049FB"/>
    <w:rsid w:val="00C07B07"/>
    <w:rsid w:val="00C10A57"/>
    <w:rsid w:val="00C111CD"/>
    <w:rsid w:val="00C11B1B"/>
    <w:rsid w:val="00C12647"/>
    <w:rsid w:val="00C12F52"/>
    <w:rsid w:val="00C2067F"/>
    <w:rsid w:val="00C21AEB"/>
    <w:rsid w:val="00C25177"/>
    <w:rsid w:val="00C25898"/>
    <w:rsid w:val="00C266F1"/>
    <w:rsid w:val="00C270E3"/>
    <w:rsid w:val="00C31323"/>
    <w:rsid w:val="00C32230"/>
    <w:rsid w:val="00C343E2"/>
    <w:rsid w:val="00C3722B"/>
    <w:rsid w:val="00C373A3"/>
    <w:rsid w:val="00C41A90"/>
    <w:rsid w:val="00C41BEC"/>
    <w:rsid w:val="00C44455"/>
    <w:rsid w:val="00C5397C"/>
    <w:rsid w:val="00C57474"/>
    <w:rsid w:val="00C6026E"/>
    <w:rsid w:val="00C61007"/>
    <w:rsid w:val="00C61726"/>
    <w:rsid w:val="00C641CA"/>
    <w:rsid w:val="00C6577C"/>
    <w:rsid w:val="00C667C1"/>
    <w:rsid w:val="00C674A0"/>
    <w:rsid w:val="00C71F89"/>
    <w:rsid w:val="00C72C1E"/>
    <w:rsid w:val="00C72F15"/>
    <w:rsid w:val="00C74B9A"/>
    <w:rsid w:val="00C77FD8"/>
    <w:rsid w:val="00C855AA"/>
    <w:rsid w:val="00C87192"/>
    <w:rsid w:val="00C96C41"/>
    <w:rsid w:val="00C97128"/>
    <w:rsid w:val="00CA086A"/>
    <w:rsid w:val="00CA1738"/>
    <w:rsid w:val="00CA1B4D"/>
    <w:rsid w:val="00CA245C"/>
    <w:rsid w:val="00CA3FFB"/>
    <w:rsid w:val="00CA4FE5"/>
    <w:rsid w:val="00CA575F"/>
    <w:rsid w:val="00CA5D7B"/>
    <w:rsid w:val="00CA6539"/>
    <w:rsid w:val="00CB1761"/>
    <w:rsid w:val="00CB3645"/>
    <w:rsid w:val="00CB3776"/>
    <w:rsid w:val="00CB4BED"/>
    <w:rsid w:val="00CC100D"/>
    <w:rsid w:val="00CC1CB3"/>
    <w:rsid w:val="00CC370C"/>
    <w:rsid w:val="00CC37F5"/>
    <w:rsid w:val="00CC4070"/>
    <w:rsid w:val="00CC477F"/>
    <w:rsid w:val="00CC4A5C"/>
    <w:rsid w:val="00CC5DA0"/>
    <w:rsid w:val="00CD1574"/>
    <w:rsid w:val="00CD15DC"/>
    <w:rsid w:val="00CD4CE1"/>
    <w:rsid w:val="00CD674E"/>
    <w:rsid w:val="00CD6C86"/>
    <w:rsid w:val="00CD6CAD"/>
    <w:rsid w:val="00CD7100"/>
    <w:rsid w:val="00CE1BC2"/>
    <w:rsid w:val="00CE3C16"/>
    <w:rsid w:val="00CE6FB6"/>
    <w:rsid w:val="00CE7AD9"/>
    <w:rsid w:val="00CF3576"/>
    <w:rsid w:val="00CF4740"/>
    <w:rsid w:val="00CF6826"/>
    <w:rsid w:val="00CF7A2E"/>
    <w:rsid w:val="00D00847"/>
    <w:rsid w:val="00D03363"/>
    <w:rsid w:val="00D04AA5"/>
    <w:rsid w:val="00D14CB3"/>
    <w:rsid w:val="00D20C5C"/>
    <w:rsid w:val="00D23BB6"/>
    <w:rsid w:val="00D24377"/>
    <w:rsid w:val="00D25F8C"/>
    <w:rsid w:val="00D26829"/>
    <w:rsid w:val="00D279B4"/>
    <w:rsid w:val="00D304E2"/>
    <w:rsid w:val="00D33AD3"/>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3C6"/>
    <w:rsid w:val="00D601FB"/>
    <w:rsid w:val="00D618F4"/>
    <w:rsid w:val="00D642C9"/>
    <w:rsid w:val="00D66FB7"/>
    <w:rsid w:val="00D72413"/>
    <w:rsid w:val="00D7265F"/>
    <w:rsid w:val="00D737DF"/>
    <w:rsid w:val="00D769DE"/>
    <w:rsid w:val="00D76D20"/>
    <w:rsid w:val="00D81C37"/>
    <w:rsid w:val="00D82CD2"/>
    <w:rsid w:val="00D938B2"/>
    <w:rsid w:val="00D944DF"/>
    <w:rsid w:val="00DA023F"/>
    <w:rsid w:val="00DA249D"/>
    <w:rsid w:val="00DA739D"/>
    <w:rsid w:val="00DB1340"/>
    <w:rsid w:val="00DB18EF"/>
    <w:rsid w:val="00DB23D8"/>
    <w:rsid w:val="00DB3FB2"/>
    <w:rsid w:val="00DB4B8D"/>
    <w:rsid w:val="00DB52B1"/>
    <w:rsid w:val="00DB696D"/>
    <w:rsid w:val="00DB7068"/>
    <w:rsid w:val="00DC4D9B"/>
    <w:rsid w:val="00DD013F"/>
    <w:rsid w:val="00DD17D3"/>
    <w:rsid w:val="00DD3FB1"/>
    <w:rsid w:val="00DD4E42"/>
    <w:rsid w:val="00DD5814"/>
    <w:rsid w:val="00DD6C53"/>
    <w:rsid w:val="00DE123F"/>
    <w:rsid w:val="00DE2C67"/>
    <w:rsid w:val="00DE45BC"/>
    <w:rsid w:val="00DE5638"/>
    <w:rsid w:val="00DE7182"/>
    <w:rsid w:val="00DF02C6"/>
    <w:rsid w:val="00DF11F5"/>
    <w:rsid w:val="00DF26D8"/>
    <w:rsid w:val="00DF3656"/>
    <w:rsid w:val="00DF3A80"/>
    <w:rsid w:val="00DF4586"/>
    <w:rsid w:val="00DF5B5D"/>
    <w:rsid w:val="00DF5D92"/>
    <w:rsid w:val="00DF65B2"/>
    <w:rsid w:val="00DF73F4"/>
    <w:rsid w:val="00E001D9"/>
    <w:rsid w:val="00E03ACF"/>
    <w:rsid w:val="00E03B2B"/>
    <w:rsid w:val="00E03DEE"/>
    <w:rsid w:val="00E04498"/>
    <w:rsid w:val="00E04709"/>
    <w:rsid w:val="00E048FB"/>
    <w:rsid w:val="00E0701D"/>
    <w:rsid w:val="00E1306D"/>
    <w:rsid w:val="00E136E8"/>
    <w:rsid w:val="00E151D8"/>
    <w:rsid w:val="00E15522"/>
    <w:rsid w:val="00E159C7"/>
    <w:rsid w:val="00E17491"/>
    <w:rsid w:val="00E215AB"/>
    <w:rsid w:val="00E22BDB"/>
    <w:rsid w:val="00E261F0"/>
    <w:rsid w:val="00E3394F"/>
    <w:rsid w:val="00E3640D"/>
    <w:rsid w:val="00E370BD"/>
    <w:rsid w:val="00E379E2"/>
    <w:rsid w:val="00E402DD"/>
    <w:rsid w:val="00E4041E"/>
    <w:rsid w:val="00E43AF2"/>
    <w:rsid w:val="00E43B06"/>
    <w:rsid w:val="00E45A9D"/>
    <w:rsid w:val="00E46D21"/>
    <w:rsid w:val="00E507E2"/>
    <w:rsid w:val="00E51D4F"/>
    <w:rsid w:val="00E55076"/>
    <w:rsid w:val="00E5522B"/>
    <w:rsid w:val="00E554E7"/>
    <w:rsid w:val="00E62869"/>
    <w:rsid w:val="00E63216"/>
    <w:rsid w:val="00E70FDF"/>
    <w:rsid w:val="00E71E33"/>
    <w:rsid w:val="00E73AEE"/>
    <w:rsid w:val="00E74ABE"/>
    <w:rsid w:val="00E8199F"/>
    <w:rsid w:val="00E81C2D"/>
    <w:rsid w:val="00E826D9"/>
    <w:rsid w:val="00E849B4"/>
    <w:rsid w:val="00E84C89"/>
    <w:rsid w:val="00E85DFB"/>
    <w:rsid w:val="00E8633D"/>
    <w:rsid w:val="00E87852"/>
    <w:rsid w:val="00E90F4F"/>
    <w:rsid w:val="00E920B9"/>
    <w:rsid w:val="00E92C09"/>
    <w:rsid w:val="00E9413C"/>
    <w:rsid w:val="00E94676"/>
    <w:rsid w:val="00E96BF3"/>
    <w:rsid w:val="00EA0C3B"/>
    <w:rsid w:val="00EA1755"/>
    <w:rsid w:val="00EA18DE"/>
    <w:rsid w:val="00EA4F01"/>
    <w:rsid w:val="00EA6C57"/>
    <w:rsid w:val="00EB0A8D"/>
    <w:rsid w:val="00EB32D8"/>
    <w:rsid w:val="00EB7AB1"/>
    <w:rsid w:val="00EC2397"/>
    <w:rsid w:val="00EC4F83"/>
    <w:rsid w:val="00ED15BD"/>
    <w:rsid w:val="00ED1947"/>
    <w:rsid w:val="00ED1C7D"/>
    <w:rsid w:val="00ED22B7"/>
    <w:rsid w:val="00ED487B"/>
    <w:rsid w:val="00ED558D"/>
    <w:rsid w:val="00EE04AC"/>
    <w:rsid w:val="00EE20BA"/>
    <w:rsid w:val="00EE2E85"/>
    <w:rsid w:val="00EE370B"/>
    <w:rsid w:val="00EE3A4F"/>
    <w:rsid w:val="00EE6014"/>
    <w:rsid w:val="00EE69E7"/>
    <w:rsid w:val="00EF2298"/>
    <w:rsid w:val="00EF23EC"/>
    <w:rsid w:val="00EF4317"/>
    <w:rsid w:val="00EF50C5"/>
    <w:rsid w:val="00EF560F"/>
    <w:rsid w:val="00F06AEE"/>
    <w:rsid w:val="00F10C79"/>
    <w:rsid w:val="00F13AE7"/>
    <w:rsid w:val="00F14F28"/>
    <w:rsid w:val="00F15F50"/>
    <w:rsid w:val="00F20358"/>
    <w:rsid w:val="00F23FE1"/>
    <w:rsid w:val="00F244B7"/>
    <w:rsid w:val="00F24546"/>
    <w:rsid w:val="00F249B5"/>
    <w:rsid w:val="00F25AE9"/>
    <w:rsid w:val="00F25FC8"/>
    <w:rsid w:val="00F26F38"/>
    <w:rsid w:val="00F27C4E"/>
    <w:rsid w:val="00F30E12"/>
    <w:rsid w:val="00F33F8B"/>
    <w:rsid w:val="00F343CD"/>
    <w:rsid w:val="00F37864"/>
    <w:rsid w:val="00F431A3"/>
    <w:rsid w:val="00F43AE5"/>
    <w:rsid w:val="00F44EFF"/>
    <w:rsid w:val="00F45A96"/>
    <w:rsid w:val="00F45C23"/>
    <w:rsid w:val="00F5041F"/>
    <w:rsid w:val="00F529D3"/>
    <w:rsid w:val="00F5535C"/>
    <w:rsid w:val="00F55A1E"/>
    <w:rsid w:val="00F55A6D"/>
    <w:rsid w:val="00F56BE9"/>
    <w:rsid w:val="00F612B8"/>
    <w:rsid w:val="00F61515"/>
    <w:rsid w:val="00F63B33"/>
    <w:rsid w:val="00F65007"/>
    <w:rsid w:val="00F65257"/>
    <w:rsid w:val="00F66744"/>
    <w:rsid w:val="00F7137A"/>
    <w:rsid w:val="00F75F0C"/>
    <w:rsid w:val="00F76A54"/>
    <w:rsid w:val="00F827AA"/>
    <w:rsid w:val="00F85469"/>
    <w:rsid w:val="00F855E3"/>
    <w:rsid w:val="00F857AF"/>
    <w:rsid w:val="00F86F0B"/>
    <w:rsid w:val="00F87AC8"/>
    <w:rsid w:val="00F87B12"/>
    <w:rsid w:val="00F90BB7"/>
    <w:rsid w:val="00F91A27"/>
    <w:rsid w:val="00F94E51"/>
    <w:rsid w:val="00F9692B"/>
    <w:rsid w:val="00FA15C6"/>
    <w:rsid w:val="00FA3C67"/>
    <w:rsid w:val="00FA4722"/>
    <w:rsid w:val="00FA4BE6"/>
    <w:rsid w:val="00FA52DE"/>
    <w:rsid w:val="00FA5F22"/>
    <w:rsid w:val="00FB4062"/>
    <w:rsid w:val="00FC0078"/>
    <w:rsid w:val="00FC59A5"/>
    <w:rsid w:val="00FD1F23"/>
    <w:rsid w:val="00FD3E41"/>
    <w:rsid w:val="00FD4A9E"/>
    <w:rsid w:val="00FD55B1"/>
    <w:rsid w:val="00FD6717"/>
    <w:rsid w:val="00FE0D9E"/>
    <w:rsid w:val="00FE1EE7"/>
    <w:rsid w:val="00FE5A7E"/>
    <w:rsid w:val="00FF3198"/>
    <w:rsid w:val="010033FE"/>
    <w:rsid w:val="01285229"/>
    <w:rsid w:val="018C1267"/>
    <w:rsid w:val="01E81FFF"/>
    <w:rsid w:val="01F81427"/>
    <w:rsid w:val="02012A20"/>
    <w:rsid w:val="0255631B"/>
    <w:rsid w:val="025A1D16"/>
    <w:rsid w:val="02600725"/>
    <w:rsid w:val="02675FA2"/>
    <w:rsid w:val="029858A5"/>
    <w:rsid w:val="02B01928"/>
    <w:rsid w:val="03E17F2F"/>
    <w:rsid w:val="03F93561"/>
    <w:rsid w:val="04932572"/>
    <w:rsid w:val="049E488E"/>
    <w:rsid w:val="05156760"/>
    <w:rsid w:val="05362D79"/>
    <w:rsid w:val="05702602"/>
    <w:rsid w:val="059E7BA9"/>
    <w:rsid w:val="05D34727"/>
    <w:rsid w:val="05D66602"/>
    <w:rsid w:val="05F3515E"/>
    <w:rsid w:val="06495BAA"/>
    <w:rsid w:val="067A5D0F"/>
    <w:rsid w:val="06887ED4"/>
    <w:rsid w:val="068E57D3"/>
    <w:rsid w:val="06D0191A"/>
    <w:rsid w:val="070150DB"/>
    <w:rsid w:val="082206AB"/>
    <w:rsid w:val="08931933"/>
    <w:rsid w:val="08A42702"/>
    <w:rsid w:val="08E550FE"/>
    <w:rsid w:val="09F27F75"/>
    <w:rsid w:val="0A270D93"/>
    <w:rsid w:val="0A6F7309"/>
    <w:rsid w:val="0A754277"/>
    <w:rsid w:val="0A8A3923"/>
    <w:rsid w:val="0ABA333B"/>
    <w:rsid w:val="0B1110DC"/>
    <w:rsid w:val="0B4A1776"/>
    <w:rsid w:val="0B71123C"/>
    <w:rsid w:val="0C1214DA"/>
    <w:rsid w:val="0C525A8C"/>
    <w:rsid w:val="0C786503"/>
    <w:rsid w:val="0CE9115E"/>
    <w:rsid w:val="0D1A04C9"/>
    <w:rsid w:val="0D3C08AB"/>
    <w:rsid w:val="0D3E3F80"/>
    <w:rsid w:val="0D60217F"/>
    <w:rsid w:val="0E3A13A6"/>
    <w:rsid w:val="0F3516D1"/>
    <w:rsid w:val="0F583081"/>
    <w:rsid w:val="10757130"/>
    <w:rsid w:val="10C446C9"/>
    <w:rsid w:val="11116365"/>
    <w:rsid w:val="112A7CC0"/>
    <w:rsid w:val="112B34AD"/>
    <w:rsid w:val="1196719B"/>
    <w:rsid w:val="11FF5827"/>
    <w:rsid w:val="12425AC4"/>
    <w:rsid w:val="12532F3F"/>
    <w:rsid w:val="13220891"/>
    <w:rsid w:val="13C67CD0"/>
    <w:rsid w:val="140A4210"/>
    <w:rsid w:val="148B57E4"/>
    <w:rsid w:val="14DF4CF8"/>
    <w:rsid w:val="14E34758"/>
    <w:rsid w:val="156C32AB"/>
    <w:rsid w:val="157E0164"/>
    <w:rsid w:val="15D06A51"/>
    <w:rsid w:val="15D34AAC"/>
    <w:rsid w:val="15E05F5F"/>
    <w:rsid w:val="15E74DD8"/>
    <w:rsid w:val="166F0578"/>
    <w:rsid w:val="17176AAE"/>
    <w:rsid w:val="177A7EAB"/>
    <w:rsid w:val="179F160C"/>
    <w:rsid w:val="17A11E41"/>
    <w:rsid w:val="18070575"/>
    <w:rsid w:val="18090C43"/>
    <w:rsid w:val="180F13CC"/>
    <w:rsid w:val="18185587"/>
    <w:rsid w:val="188F1B48"/>
    <w:rsid w:val="18C2062B"/>
    <w:rsid w:val="18FB5F15"/>
    <w:rsid w:val="19477B5C"/>
    <w:rsid w:val="19770184"/>
    <w:rsid w:val="1A7148DF"/>
    <w:rsid w:val="1A996F8F"/>
    <w:rsid w:val="1B066372"/>
    <w:rsid w:val="1B321622"/>
    <w:rsid w:val="1CA16F1C"/>
    <w:rsid w:val="1D4A6188"/>
    <w:rsid w:val="1DAA2193"/>
    <w:rsid w:val="1E0452FB"/>
    <w:rsid w:val="1E511B62"/>
    <w:rsid w:val="1EA9678E"/>
    <w:rsid w:val="1EBA3927"/>
    <w:rsid w:val="1F3E36B9"/>
    <w:rsid w:val="1F9C38D3"/>
    <w:rsid w:val="202078F6"/>
    <w:rsid w:val="20767551"/>
    <w:rsid w:val="2113535D"/>
    <w:rsid w:val="215A3673"/>
    <w:rsid w:val="21DB64E2"/>
    <w:rsid w:val="221C4C30"/>
    <w:rsid w:val="222346A9"/>
    <w:rsid w:val="22A70B6C"/>
    <w:rsid w:val="22C4388F"/>
    <w:rsid w:val="23C14303"/>
    <w:rsid w:val="23CB4DD1"/>
    <w:rsid w:val="23FF4622"/>
    <w:rsid w:val="24086AFE"/>
    <w:rsid w:val="2489326F"/>
    <w:rsid w:val="24CD7D3C"/>
    <w:rsid w:val="250138AE"/>
    <w:rsid w:val="257C56A5"/>
    <w:rsid w:val="26096519"/>
    <w:rsid w:val="26612121"/>
    <w:rsid w:val="26B15F84"/>
    <w:rsid w:val="27026C3C"/>
    <w:rsid w:val="27432BC1"/>
    <w:rsid w:val="27791A74"/>
    <w:rsid w:val="27F0275A"/>
    <w:rsid w:val="28580092"/>
    <w:rsid w:val="28757D97"/>
    <w:rsid w:val="28BC23D4"/>
    <w:rsid w:val="28D03787"/>
    <w:rsid w:val="28F563E3"/>
    <w:rsid w:val="290578B9"/>
    <w:rsid w:val="29293308"/>
    <w:rsid w:val="29822826"/>
    <w:rsid w:val="299C4EC0"/>
    <w:rsid w:val="29D9700E"/>
    <w:rsid w:val="2A407C2A"/>
    <w:rsid w:val="2AA10ED5"/>
    <w:rsid w:val="2ADA0518"/>
    <w:rsid w:val="2AF05838"/>
    <w:rsid w:val="2B087B04"/>
    <w:rsid w:val="2B4A2EDD"/>
    <w:rsid w:val="2B8D1B43"/>
    <w:rsid w:val="2C921974"/>
    <w:rsid w:val="2C970B72"/>
    <w:rsid w:val="2D242B88"/>
    <w:rsid w:val="2D3C464C"/>
    <w:rsid w:val="2D4F2439"/>
    <w:rsid w:val="2DAE7AA9"/>
    <w:rsid w:val="2DBE14C9"/>
    <w:rsid w:val="2E084AD9"/>
    <w:rsid w:val="2E251D02"/>
    <w:rsid w:val="2EB035A9"/>
    <w:rsid w:val="2ECE0839"/>
    <w:rsid w:val="2F1B5E2A"/>
    <w:rsid w:val="2F6A64D8"/>
    <w:rsid w:val="2FA10B9C"/>
    <w:rsid w:val="30362265"/>
    <w:rsid w:val="30393F2D"/>
    <w:rsid w:val="30616EA9"/>
    <w:rsid w:val="30F2130F"/>
    <w:rsid w:val="31020E5A"/>
    <w:rsid w:val="31085620"/>
    <w:rsid w:val="31A44D82"/>
    <w:rsid w:val="31F950A2"/>
    <w:rsid w:val="32031DC2"/>
    <w:rsid w:val="320609C3"/>
    <w:rsid w:val="32B70A61"/>
    <w:rsid w:val="32BE120D"/>
    <w:rsid w:val="32D2015C"/>
    <w:rsid w:val="330C0EF9"/>
    <w:rsid w:val="33261E23"/>
    <w:rsid w:val="33291024"/>
    <w:rsid w:val="33506DE6"/>
    <w:rsid w:val="33A9206B"/>
    <w:rsid w:val="33FA529D"/>
    <w:rsid w:val="341A4047"/>
    <w:rsid w:val="3517359F"/>
    <w:rsid w:val="351F03F9"/>
    <w:rsid w:val="355F0FC1"/>
    <w:rsid w:val="359615AC"/>
    <w:rsid w:val="359A6216"/>
    <w:rsid w:val="35A54CED"/>
    <w:rsid w:val="35B162D5"/>
    <w:rsid w:val="370430F3"/>
    <w:rsid w:val="37203345"/>
    <w:rsid w:val="37534CA7"/>
    <w:rsid w:val="37D824F1"/>
    <w:rsid w:val="388A0A03"/>
    <w:rsid w:val="38F0685B"/>
    <w:rsid w:val="3923276A"/>
    <w:rsid w:val="392C1E69"/>
    <w:rsid w:val="39331197"/>
    <w:rsid w:val="396E5D7C"/>
    <w:rsid w:val="39E42CC8"/>
    <w:rsid w:val="3A172FBE"/>
    <w:rsid w:val="3A29071D"/>
    <w:rsid w:val="3A3F6146"/>
    <w:rsid w:val="3B0C4DFA"/>
    <w:rsid w:val="3B4C12FB"/>
    <w:rsid w:val="3B972F43"/>
    <w:rsid w:val="3C022D13"/>
    <w:rsid w:val="3C4D26C6"/>
    <w:rsid w:val="3D044EFC"/>
    <w:rsid w:val="3D476A8F"/>
    <w:rsid w:val="3D6C15E5"/>
    <w:rsid w:val="3E062677"/>
    <w:rsid w:val="3E3C3E33"/>
    <w:rsid w:val="3E6946AD"/>
    <w:rsid w:val="3EB60CB3"/>
    <w:rsid w:val="3EBE0D9B"/>
    <w:rsid w:val="3EC436F9"/>
    <w:rsid w:val="3EC47F7D"/>
    <w:rsid w:val="3EFB063C"/>
    <w:rsid w:val="3F740895"/>
    <w:rsid w:val="3F7F04F6"/>
    <w:rsid w:val="3FB93DC6"/>
    <w:rsid w:val="3FCD45DE"/>
    <w:rsid w:val="40253F4D"/>
    <w:rsid w:val="402A691C"/>
    <w:rsid w:val="40456F61"/>
    <w:rsid w:val="40B21DC7"/>
    <w:rsid w:val="40B956E1"/>
    <w:rsid w:val="40C31DD9"/>
    <w:rsid w:val="41200E1E"/>
    <w:rsid w:val="417D6BDB"/>
    <w:rsid w:val="419104D9"/>
    <w:rsid w:val="41C24ED2"/>
    <w:rsid w:val="41D90132"/>
    <w:rsid w:val="41EF252B"/>
    <w:rsid w:val="422E66F3"/>
    <w:rsid w:val="42395211"/>
    <w:rsid w:val="4275164D"/>
    <w:rsid w:val="430A3262"/>
    <w:rsid w:val="438A27C8"/>
    <w:rsid w:val="43E47456"/>
    <w:rsid w:val="441309F0"/>
    <w:rsid w:val="44310C44"/>
    <w:rsid w:val="44644583"/>
    <w:rsid w:val="4484575B"/>
    <w:rsid w:val="44AF0CED"/>
    <w:rsid w:val="45572A56"/>
    <w:rsid w:val="45675BEC"/>
    <w:rsid w:val="457E42F3"/>
    <w:rsid w:val="46101B39"/>
    <w:rsid w:val="46A824B9"/>
    <w:rsid w:val="46BB170B"/>
    <w:rsid w:val="47367DA2"/>
    <w:rsid w:val="47510906"/>
    <w:rsid w:val="47567AEE"/>
    <w:rsid w:val="47882EEC"/>
    <w:rsid w:val="47AF42F0"/>
    <w:rsid w:val="495D70F7"/>
    <w:rsid w:val="4A262AF4"/>
    <w:rsid w:val="4AA95443"/>
    <w:rsid w:val="4ADD244D"/>
    <w:rsid w:val="4B0A4380"/>
    <w:rsid w:val="4B414A2E"/>
    <w:rsid w:val="4B4C5A72"/>
    <w:rsid w:val="4B642F54"/>
    <w:rsid w:val="4B7074E5"/>
    <w:rsid w:val="4B716301"/>
    <w:rsid w:val="4B7D5F80"/>
    <w:rsid w:val="4BF40741"/>
    <w:rsid w:val="4C5E019B"/>
    <w:rsid w:val="4C7A3E2A"/>
    <w:rsid w:val="4CE054BE"/>
    <w:rsid w:val="4E397895"/>
    <w:rsid w:val="4E475085"/>
    <w:rsid w:val="4E6179A5"/>
    <w:rsid w:val="4EE70E00"/>
    <w:rsid w:val="4F54289B"/>
    <w:rsid w:val="4F64249F"/>
    <w:rsid w:val="4F6E1200"/>
    <w:rsid w:val="4FCF3A38"/>
    <w:rsid w:val="4FE072F9"/>
    <w:rsid w:val="4FEE189E"/>
    <w:rsid w:val="4FF5727D"/>
    <w:rsid w:val="50945995"/>
    <w:rsid w:val="50E02600"/>
    <w:rsid w:val="50EB6E9C"/>
    <w:rsid w:val="510113CF"/>
    <w:rsid w:val="51070878"/>
    <w:rsid w:val="5148519A"/>
    <w:rsid w:val="51FB1FE6"/>
    <w:rsid w:val="52121B0D"/>
    <w:rsid w:val="52605404"/>
    <w:rsid w:val="527D4949"/>
    <w:rsid w:val="52DA5B1C"/>
    <w:rsid w:val="53121571"/>
    <w:rsid w:val="532332A7"/>
    <w:rsid w:val="539F2EE7"/>
    <w:rsid w:val="53F038EA"/>
    <w:rsid w:val="543F264E"/>
    <w:rsid w:val="54E160E1"/>
    <w:rsid w:val="54EC69DB"/>
    <w:rsid w:val="55473849"/>
    <w:rsid w:val="554930D2"/>
    <w:rsid w:val="55C15F0B"/>
    <w:rsid w:val="55C43C6A"/>
    <w:rsid w:val="56482C85"/>
    <w:rsid w:val="56724FD9"/>
    <w:rsid w:val="568F0218"/>
    <w:rsid w:val="56C65928"/>
    <w:rsid w:val="56C972A1"/>
    <w:rsid w:val="57045AA2"/>
    <w:rsid w:val="57642636"/>
    <w:rsid w:val="57793602"/>
    <w:rsid w:val="58055B79"/>
    <w:rsid w:val="58D41D8A"/>
    <w:rsid w:val="5948194C"/>
    <w:rsid w:val="595A333D"/>
    <w:rsid w:val="59BA69E3"/>
    <w:rsid w:val="5A063425"/>
    <w:rsid w:val="5A275DD7"/>
    <w:rsid w:val="5A417035"/>
    <w:rsid w:val="5A4B453D"/>
    <w:rsid w:val="5A522A93"/>
    <w:rsid w:val="5A661DF4"/>
    <w:rsid w:val="5A7F74DE"/>
    <w:rsid w:val="5A935F96"/>
    <w:rsid w:val="5ACF0178"/>
    <w:rsid w:val="5B0C5D54"/>
    <w:rsid w:val="5B2402E4"/>
    <w:rsid w:val="5B763444"/>
    <w:rsid w:val="5B7D0B78"/>
    <w:rsid w:val="5C3E17F9"/>
    <w:rsid w:val="5C537D21"/>
    <w:rsid w:val="5CFA53B0"/>
    <w:rsid w:val="5D3A6920"/>
    <w:rsid w:val="5D4A02A9"/>
    <w:rsid w:val="5D8135CC"/>
    <w:rsid w:val="5DA64C8A"/>
    <w:rsid w:val="5DEB03AE"/>
    <w:rsid w:val="5E002DDD"/>
    <w:rsid w:val="5E071F26"/>
    <w:rsid w:val="5E23788C"/>
    <w:rsid w:val="5E551C67"/>
    <w:rsid w:val="5E566CF4"/>
    <w:rsid w:val="5E6C7908"/>
    <w:rsid w:val="5E8B218C"/>
    <w:rsid w:val="5EED05F3"/>
    <w:rsid w:val="5F064C35"/>
    <w:rsid w:val="600446EC"/>
    <w:rsid w:val="600D2EE6"/>
    <w:rsid w:val="601E7EAA"/>
    <w:rsid w:val="603E63C5"/>
    <w:rsid w:val="6091207C"/>
    <w:rsid w:val="61BE6360"/>
    <w:rsid w:val="61CC1B81"/>
    <w:rsid w:val="61D0464C"/>
    <w:rsid w:val="61DB5D3A"/>
    <w:rsid w:val="621760F6"/>
    <w:rsid w:val="62246B60"/>
    <w:rsid w:val="62E36EC5"/>
    <w:rsid w:val="62E81FE8"/>
    <w:rsid w:val="62E97B13"/>
    <w:rsid w:val="63582110"/>
    <w:rsid w:val="636F54EC"/>
    <w:rsid w:val="63B73FF8"/>
    <w:rsid w:val="644F1ACD"/>
    <w:rsid w:val="64A8372F"/>
    <w:rsid w:val="64C035B4"/>
    <w:rsid w:val="653F3838"/>
    <w:rsid w:val="658D6058"/>
    <w:rsid w:val="65FC336D"/>
    <w:rsid w:val="66007761"/>
    <w:rsid w:val="662D19F1"/>
    <w:rsid w:val="66A53123"/>
    <w:rsid w:val="66F85BDC"/>
    <w:rsid w:val="671F2FEE"/>
    <w:rsid w:val="675E1AFC"/>
    <w:rsid w:val="67897CFE"/>
    <w:rsid w:val="679F25C0"/>
    <w:rsid w:val="67A212D9"/>
    <w:rsid w:val="67EA44FC"/>
    <w:rsid w:val="67FF1998"/>
    <w:rsid w:val="680C374A"/>
    <w:rsid w:val="680D1D99"/>
    <w:rsid w:val="681A7759"/>
    <w:rsid w:val="6840613C"/>
    <w:rsid w:val="6876068B"/>
    <w:rsid w:val="68BE3CA3"/>
    <w:rsid w:val="68C97848"/>
    <w:rsid w:val="68E7433A"/>
    <w:rsid w:val="68E86ABE"/>
    <w:rsid w:val="69056BF9"/>
    <w:rsid w:val="691E67B1"/>
    <w:rsid w:val="69431270"/>
    <w:rsid w:val="6A7F4F75"/>
    <w:rsid w:val="6AB0129D"/>
    <w:rsid w:val="6ACA16F9"/>
    <w:rsid w:val="6AFF00CA"/>
    <w:rsid w:val="6B16774A"/>
    <w:rsid w:val="6BAB2FCD"/>
    <w:rsid w:val="6C492D55"/>
    <w:rsid w:val="6C8178B4"/>
    <w:rsid w:val="6C84727C"/>
    <w:rsid w:val="6E2D30BE"/>
    <w:rsid w:val="6E2F78A7"/>
    <w:rsid w:val="6E8509EA"/>
    <w:rsid w:val="6EB54E50"/>
    <w:rsid w:val="6ECE2681"/>
    <w:rsid w:val="6EF77006"/>
    <w:rsid w:val="6F656567"/>
    <w:rsid w:val="6F9441FC"/>
    <w:rsid w:val="6FB9715F"/>
    <w:rsid w:val="6FC96403"/>
    <w:rsid w:val="700D4ACD"/>
    <w:rsid w:val="708A3C8C"/>
    <w:rsid w:val="70A12054"/>
    <w:rsid w:val="71030383"/>
    <w:rsid w:val="71197B42"/>
    <w:rsid w:val="7126775B"/>
    <w:rsid w:val="720811E2"/>
    <w:rsid w:val="72340F9C"/>
    <w:rsid w:val="72686EF1"/>
    <w:rsid w:val="72777EBD"/>
    <w:rsid w:val="729965A8"/>
    <w:rsid w:val="72B65B08"/>
    <w:rsid w:val="72F52C2C"/>
    <w:rsid w:val="72FA70AF"/>
    <w:rsid w:val="73087812"/>
    <w:rsid w:val="731E5707"/>
    <w:rsid w:val="737238D8"/>
    <w:rsid w:val="73AB63BB"/>
    <w:rsid w:val="73C623CD"/>
    <w:rsid w:val="73D4787E"/>
    <w:rsid w:val="746F4A04"/>
    <w:rsid w:val="7478277B"/>
    <w:rsid w:val="7488264F"/>
    <w:rsid w:val="74BD630E"/>
    <w:rsid w:val="74CB259B"/>
    <w:rsid w:val="75EF44CC"/>
    <w:rsid w:val="76056734"/>
    <w:rsid w:val="762D38BA"/>
    <w:rsid w:val="76741247"/>
    <w:rsid w:val="76F21D7B"/>
    <w:rsid w:val="774152C9"/>
    <w:rsid w:val="78264ECC"/>
    <w:rsid w:val="78310922"/>
    <w:rsid w:val="78C15396"/>
    <w:rsid w:val="793070F8"/>
    <w:rsid w:val="79347CC6"/>
    <w:rsid w:val="796F195D"/>
    <w:rsid w:val="79D825C1"/>
    <w:rsid w:val="7A3F6AB2"/>
    <w:rsid w:val="7A5D1027"/>
    <w:rsid w:val="7A8555FE"/>
    <w:rsid w:val="7A971B46"/>
    <w:rsid w:val="7ADC408A"/>
    <w:rsid w:val="7B133128"/>
    <w:rsid w:val="7B1959FC"/>
    <w:rsid w:val="7B1C502C"/>
    <w:rsid w:val="7B3202D1"/>
    <w:rsid w:val="7B52681B"/>
    <w:rsid w:val="7B5D131E"/>
    <w:rsid w:val="7BC44ABA"/>
    <w:rsid w:val="7BF60D85"/>
    <w:rsid w:val="7D545AE8"/>
    <w:rsid w:val="7D7C4AB4"/>
    <w:rsid w:val="7D7D75C8"/>
    <w:rsid w:val="7DB41B16"/>
    <w:rsid w:val="7DEB79E2"/>
    <w:rsid w:val="7DFC5027"/>
    <w:rsid w:val="7E002D54"/>
    <w:rsid w:val="7E1A04DD"/>
    <w:rsid w:val="7E74358B"/>
    <w:rsid w:val="7F0F534D"/>
    <w:rsid w:val="7F600D62"/>
    <w:rsid w:val="7FB56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2"/>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5">
    <w:name w:val="heading 2"/>
    <w:basedOn w:val="1"/>
    <w:next w:val="1"/>
    <w:link w:val="43"/>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6">
    <w:name w:val="heading 3"/>
    <w:basedOn w:val="1"/>
    <w:next w:val="1"/>
    <w:link w:val="44"/>
    <w:autoRedefine/>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7">
    <w:name w:val="heading 4"/>
    <w:basedOn w:val="1"/>
    <w:next w:val="1"/>
    <w:autoRedefine/>
    <w:qFormat/>
    <w:uiPriority w:val="9"/>
    <w:pPr>
      <w:keepNext/>
      <w:keepLines/>
      <w:spacing w:before="280" w:after="290"/>
      <w:outlineLvl w:val="3"/>
    </w:pPr>
    <w:rPr>
      <w:rFonts w:ascii="Calibri Light" w:hAnsi="Calibri Light" w:eastAsia="微软雅黑"/>
      <w:b/>
      <w:bCs/>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3"/>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styleId="8">
    <w:name w:val="List Number"/>
    <w:basedOn w:val="1"/>
    <w:autoRedefine/>
    <w:qFormat/>
    <w:uiPriority w:val="0"/>
    <w:pPr>
      <w:widowControl/>
      <w:numPr>
        <w:ilvl w:val="0"/>
        <w:numId w:val="1"/>
      </w:numPr>
      <w:tabs>
        <w:tab w:val="left" w:pos="454"/>
        <w:tab w:val="clear" w:pos="720"/>
      </w:tabs>
      <w:spacing w:after="156" w:afterLines="50"/>
      <w:ind w:left="454" w:hanging="284"/>
      <w:jc w:val="left"/>
    </w:pPr>
    <w:rPr>
      <w:rFonts w:ascii="Times New Roman" w:hAnsi="Times New Roman" w:eastAsia="宋体" w:cs="Times New Roman"/>
      <w:kern w:val="0"/>
      <w:sz w:val="24"/>
      <w:szCs w:val="20"/>
    </w:rPr>
  </w:style>
  <w:style w:type="paragraph" w:styleId="9">
    <w:name w:val="Normal Indent"/>
    <w:basedOn w:val="1"/>
    <w:next w:val="10"/>
    <w:link w:val="51"/>
    <w:autoRedefine/>
    <w:qFormat/>
    <w:uiPriority w:val="0"/>
    <w:pPr>
      <w:ind w:firstLine="420"/>
    </w:pPr>
    <w:rPr>
      <w:rFonts w:eastAsia="宋体"/>
    </w:rPr>
  </w:style>
  <w:style w:type="paragraph" w:styleId="10">
    <w:name w:val="Plain Text"/>
    <w:basedOn w:val="1"/>
    <w:link w:val="60"/>
    <w:autoRedefine/>
    <w:qFormat/>
    <w:uiPriority w:val="99"/>
    <w:pPr>
      <w:spacing w:before="156" w:beforeLines="50" w:after="156" w:afterLines="50" w:line="400" w:lineRule="atLeast"/>
    </w:pPr>
    <w:rPr>
      <w:rFonts w:ascii="宋体" w:hAnsi="Courier New"/>
      <w:sz w:val="24"/>
      <w:szCs w:val="24"/>
    </w:rPr>
  </w:style>
  <w:style w:type="paragraph" w:styleId="11">
    <w:name w:val="caption"/>
    <w:basedOn w:val="1"/>
    <w:next w:val="1"/>
    <w:autoRedefine/>
    <w:qFormat/>
    <w:uiPriority w:val="0"/>
    <w:pPr>
      <w:spacing w:before="152" w:after="160"/>
    </w:pPr>
    <w:rPr>
      <w:rFonts w:ascii="Arial" w:hAnsi="Arial" w:eastAsia="黑体" w:cs="Arial"/>
      <w:sz w:val="20"/>
      <w:szCs w:val="20"/>
    </w:rPr>
  </w:style>
  <w:style w:type="paragraph" w:styleId="12">
    <w:name w:val="Document Map"/>
    <w:basedOn w:val="1"/>
    <w:link w:val="48"/>
    <w:autoRedefine/>
    <w:unhideWhenUsed/>
    <w:qFormat/>
    <w:uiPriority w:val="99"/>
    <w:rPr>
      <w:rFonts w:ascii="宋体"/>
      <w:sz w:val="18"/>
      <w:szCs w:val="18"/>
    </w:rPr>
  </w:style>
  <w:style w:type="paragraph" w:styleId="13">
    <w:name w:val="annotation text"/>
    <w:basedOn w:val="1"/>
    <w:link w:val="83"/>
    <w:autoRedefine/>
    <w:unhideWhenUsed/>
    <w:qFormat/>
    <w:uiPriority w:val="99"/>
    <w:pPr>
      <w:jc w:val="left"/>
    </w:pPr>
  </w:style>
  <w:style w:type="paragraph" w:styleId="14">
    <w:name w:val="Body Text"/>
    <w:basedOn w:val="1"/>
    <w:next w:val="1"/>
    <w:link w:val="86"/>
    <w:autoRedefine/>
    <w:unhideWhenUsed/>
    <w:qFormat/>
    <w:uiPriority w:val="99"/>
    <w:pPr>
      <w:spacing w:after="120"/>
    </w:pPr>
    <w:rPr>
      <w:rFonts w:ascii="Times New Roman" w:hAnsi="Times New Roman" w:eastAsia="宋体" w:cs="Times New Roman"/>
      <w:sz w:val="28"/>
      <w:szCs w:val="24"/>
    </w:rPr>
  </w:style>
  <w:style w:type="paragraph" w:styleId="15">
    <w:name w:val="Body Text Indent"/>
    <w:basedOn w:val="1"/>
    <w:next w:val="16"/>
    <w:link w:val="75"/>
    <w:autoRedefine/>
    <w:qFormat/>
    <w:uiPriority w:val="0"/>
    <w:pPr>
      <w:spacing w:line="200" w:lineRule="atLeast"/>
      <w:ind w:firstLine="301"/>
    </w:pPr>
    <w:rPr>
      <w:rFonts w:ascii="宋体" w:hAnsi="Courier New"/>
      <w:spacing w:val="-4"/>
      <w:sz w:val="18"/>
    </w:rPr>
  </w:style>
  <w:style w:type="paragraph" w:styleId="16">
    <w:name w:val="Body Text First Indent 2"/>
    <w:basedOn w:val="15"/>
    <w:link w:val="91"/>
    <w:autoRedefine/>
    <w:unhideWhenUsed/>
    <w:qFormat/>
    <w:uiPriority w:val="99"/>
    <w:pPr>
      <w:ind w:firstLine="420"/>
    </w:pPr>
  </w:style>
  <w:style w:type="paragraph" w:styleId="17">
    <w:name w:val="List 2"/>
    <w:basedOn w:val="1"/>
    <w:autoRedefine/>
    <w:unhideWhenUsed/>
    <w:qFormat/>
    <w:uiPriority w:val="99"/>
    <w:pPr>
      <w:ind w:left="100" w:leftChars="200" w:hanging="200" w:hangingChars="200"/>
      <w:contextualSpacing/>
    </w:pPr>
    <w:rPr>
      <w:rFonts w:ascii="Times New Roman" w:hAnsi="Times New Roman" w:eastAsia="宋体" w:cs="Times New Roman"/>
      <w:sz w:val="28"/>
      <w:szCs w:val="24"/>
    </w:rPr>
  </w:style>
  <w:style w:type="paragraph" w:styleId="18">
    <w:name w:val="Date"/>
    <w:basedOn w:val="1"/>
    <w:next w:val="1"/>
    <w:link w:val="89"/>
    <w:autoRedefine/>
    <w:qFormat/>
    <w:uiPriority w:val="0"/>
    <w:pPr>
      <w:ind w:left="2500" w:leftChars="2500"/>
    </w:pPr>
    <w:rPr>
      <w:rFonts w:ascii="Times New Roman" w:hAnsi="Times New Roman" w:eastAsia="楷体_GB2312" w:cs="Times New Roman"/>
      <w:sz w:val="32"/>
      <w:szCs w:val="20"/>
    </w:rPr>
  </w:style>
  <w:style w:type="paragraph" w:styleId="19">
    <w:name w:val="Balloon Text"/>
    <w:basedOn w:val="1"/>
    <w:link w:val="87"/>
    <w:autoRedefine/>
    <w:qFormat/>
    <w:uiPriority w:val="0"/>
    <w:rPr>
      <w:rFonts w:ascii="Times New Roman" w:hAnsi="Times New Roman" w:eastAsia="宋体" w:cs="Times New Roman"/>
      <w:sz w:val="18"/>
      <w:szCs w:val="18"/>
    </w:rPr>
  </w:style>
  <w:style w:type="paragraph" w:styleId="20">
    <w:name w:val="footer"/>
    <w:basedOn w:val="1"/>
    <w:link w:val="41"/>
    <w:autoRedefine/>
    <w:unhideWhenUsed/>
    <w:qFormat/>
    <w:uiPriority w:val="99"/>
    <w:pPr>
      <w:tabs>
        <w:tab w:val="center" w:pos="4153"/>
        <w:tab w:val="right" w:pos="8306"/>
      </w:tabs>
      <w:snapToGrid w:val="0"/>
      <w:jc w:val="left"/>
    </w:pPr>
    <w:rPr>
      <w:sz w:val="18"/>
      <w:szCs w:val="18"/>
    </w:rPr>
  </w:style>
  <w:style w:type="paragraph" w:styleId="21">
    <w:name w:val="header"/>
    <w:basedOn w:val="1"/>
    <w:link w:val="4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List"/>
    <w:basedOn w:val="1"/>
    <w:autoRedefine/>
    <w:qFormat/>
    <w:uiPriority w:val="0"/>
    <w:pPr>
      <w:ind w:left="200" w:hanging="200" w:hangingChars="200"/>
    </w:pPr>
    <w:rPr>
      <w:rFonts w:ascii="Times New Roman" w:hAnsi="Times New Roman" w:eastAsia="宋体" w:cs="Times New Roman"/>
      <w:sz w:val="28"/>
      <w:szCs w:val="24"/>
    </w:rPr>
  </w:style>
  <w:style w:type="paragraph" w:styleId="23">
    <w:name w:val="Body Text 2"/>
    <w:basedOn w:val="1"/>
    <w:link w:val="77"/>
    <w:autoRedefine/>
    <w:qFormat/>
    <w:uiPriority w:val="0"/>
    <w:pPr>
      <w:widowControl/>
      <w:snapToGrid w:val="0"/>
      <w:spacing w:before="50" w:after="156" w:afterLines="50" w:line="400" w:lineRule="atLeast"/>
      <w:jc w:val="left"/>
    </w:pPr>
    <w:rPr>
      <w:rFonts w:hint="eastAsia" w:ascii="宋体" w:hAnsi="宋体" w:eastAsia="宋体" w:cs="Times New Roman"/>
      <w:color w:val="000000"/>
      <w:sz w:val="24"/>
      <w:szCs w:val="24"/>
    </w:rPr>
  </w:style>
  <w:style w:type="paragraph" w:styleId="24">
    <w:name w:val="Normal (Web)"/>
    <w:basedOn w:val="1"/>
    <w:autoRedefine/>
    <w:qFormat/>
    <w:uiPriority w:val="99"/>
    <w:pPr>
      <w:widowControl/>
      <w:spacing w:before="100" w:beforeAutospacing="1" w:after="100" w:afterAutospacing="1"/>
      <w:ind w:firstLine="420"/>
      <w:jc w:val="left"/>
    </w:pPr>
    <w:rPr>
      <w:rFonts w:ascii="宋体" w:hAnsi="宋体" w:eastAsia="宋体" w:cs="Times New Roman"/>
      <w:kern w:val="0"/>
      <w:sz w:val="20"/>
      <w:szCs w:val="20"/>
    </w:rPr>
  </w:style>
  <w:style w:type="paragraph" w:styleId="25">
    <w:name w:val="annotation subject"/>
    <w:basedOn w:val="13"/>
    <w:next w:val="13"/>
    <w:link w:val="61"/>
    <w:autoRedefine/>
    <w:unhideWhenUsed/>
    <w:qFormat/>
    <w:uiPriority w:val="99"/>
    <w:rPr>
      <w:b/>
      <w:bCs/>
      <w:sz w:val="28"/>
      <w:szCs w:val="24"/>
    </w:r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b/>
      <w:bCs/>
    </w:rPr>
  </w:style>
  <w:style w:type="character" w:styleId="30">
    <w:name w:val="page number"/>
    <w:basedOn w:val="28"/>
    <w:autoRedefine/>
    <w:qFormat/>
    <w:uiPriority w:val="0"/>
  </w:style>
  <w:style w:type="character" w:styleId="31">
    <w:name w:val="FollowedHyperlink"/>
    <w:autoRedefine/>
    <w:unhideWhenUsed/>
    <w:qFormat/>
    <w:uiPriority w:val="99"/>
    <w:rPr>
      <w:color w:val="5579A7"/>
      <w:u w:val="none"/>
    </w:rPr>
  </w:style>
  <w:style w:type="character" w:styleId="32">
    <w:name w:val="Emphasis"/>
    <w:basedOn w:val="28"/>
    <w:autoRedefine/>
    <w:qFormat/>
    <w:uiPriority w:val="20"/>
    <w:rPr>
      <w:i/>
    </w:rPr>
  </w:style>
  <w:style w:type="character" w:styleId="33">
    <w:name w:val="HTML Definition"/>
    <w:autoRedefine/>
    <w:unhideWhenUsed/>
    <w:qFormat/>
    <w:uiPriority w:val="99"/>
    <w:rPr>
      <w:i/>
    </w:rPr>
  </w:style>
  <w:style w:type="character" w:styleId="34">
    <w:name w:val="Hyperlink"/>
    <w:autoRedefine/>
    <w:qFormat/>
    <w:uiPriority w:val="0"/>
    <w:rPr>
      <w:color w:val="5579A7"/>
      <w:u w:val="none"/>
    </w:rPr>
  </w:style>
  <w:style w:type="character" w:styleId="35">
    <w:name w:val="HTML Code"/>
    <w:autoRedefine/>
    <w:unhideWhenUsed/>
    <w:qFormat/>
    <w:uiPriority w:val="99"/>
    <w:rPr>
      <w:rFonts w:ascii="-apple-system" w:hAnsi="-apple-system" w:eastAsia="-apple-system" w:cs="-apple-system"/>
      <w:sz w:val="21"/>
      <w:szCs w:val="21"/>
    </w:rPr>
  </w:style>
  <w:style w:type="character" w:styleId="36">
    <w:name w:val="annotation reference"/>
    <w:autoRedefine/>
    <w:unhideWhenUsed/>
    <w:qFormat/>
    <w:uiPriority w:val="99"/>
    <w:rPr>
      <w:sz w:val="21"/>
      <w:szCs w:val="21"/>
    </w:rPr>
  </w:style>
  <w:style w:type="character" w:styleId="37">
    <w:name w:val="HTML Keyboard"/>
    <w:autoRedefine/>
    <w:unhideWhenUsed/>
    <w:qFormat/>
    <w:uiPriority w:val="99"/>
    <w:rPr>
      <w:rFonts w:hint="default" w:ascii="-apple-system" w:hAnsi="-apple-system" w:eastAsia="-apple-system" w:cs="-apple-system"/>
      <w:sz w:val="21"/>
      <w:szCs w:val="21"/>
    </w:rPr>
  </w:style>
  <w:style w:type="character" w:styleId="38">
    <w:name w:val="HTML Sample"/>
    <w:autoRedefine/>
    <w:unhideWhenUsed/>
    <w:qFormat/>
    <w:uiPriority w:val="99"/>
    <w:rPr>
      <w:rFonts w:hint="default" w:ascii="-apple-system" w:hAnsi="-apple-system" w:eastAsia="-apple-system" w:cs="-apple-system"/>
      <w:sz w:val="21"/>
      <w:szCs w:val="21"/>
    </w:rPr>
  </w:style>
  <w:style w:type="paragraph" w:customStyle="1" w:styleId="39">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40">
    <w:name w:val="页眉 字符"/>
    <w:basedOn w:val="28"/>
    <w:link w:val="21"/>
    <w:autoRedefine/>
    <w:qFormat/>
    <w:uiPriority w:val="99"/>
    <w:rPr>
      <w:sz w:val="18"/>
      <w:szCs w:val="18"/>
    </w:rPr>
  </w:style>
  <w:style w:type="character" w:customStyle="1" w:styleId="41">
    <w:name w:val="页脚 字符"/>
    <w:basedOn w:val="28"/>
    <w:link w:val="20"/>
    <w:autoRedefine/>
    <w:qFormat/>
    <w:uiPriority w:val="99"/>
    <w:rPr>
      <w:sz w:val="18"/>
      <w:szCs w:val="18"/>
    </w:rPr>
  </w:style>
  <w:style w:type="character" w:customStyle="1" w:styleId="42">
    <w:name w:val="标题 1 字符"/>
    <w:basedOn w:val="28"/>
    <w:link w:val="4"/>
    <w:autoRedefine/>
    <w:qFormat/>
    <w:uiPriority w:val="9"/>
    <w:rPr>
      <w:rFonts w:ascii="Times New Roman" w:hAnsi="Times New Roman" w:eastAsia="宋体" w:cs="Times New Roman"/>
      <w:b/>
      <w:bCs/>
      <w:kern w:val="44"/>
      <w:sz w:val="44"/>
      <w:szCs w:val="44"/>
    </w:rPr>
  </w:style>
  <w:style w:type="character" w:customStyle="1" w:styleId="43">
    <w:name w:val="标题 2 字符"/>
    <w:basedOn w:val="28"/>
    <w:link w:val="5"/>
    <w:autoRedefine/>
    <w:qFormat/>
    <w:uiPriority w:val="9"/>
    <w:rPr>
      <w:rFonts w:ascii="Cambria" w:hAnsi="Cambria" w:eastAsia="宋体" w:cs="Times New Roman"/>
      <w:b/>
      <w:bCs/>
      <w:sz w:val="32"/>
      <w:szCs w:val="32"/>
    </w:rPr>
  </w:style>
  <w:style w:type="character" w:customStyle="1" w:styleId="44">
    <w:name w:val="标题 3 字符"/>
    <w:basedOn w:val="28"/>
    <w:link w:val="6"/>
    <w:autoRedefine/>
    <w:qFormat/>
    <w:uiPriority w:val="9"/>
    <w:rPr>
      <w:rFonts w:ascii="Times New Roman" w:hAnsi="Times New Roman" w:eastAsia="宋体" w:cs="Times New Roman"/>
      <w:b/>
      <w:bCs/>
      <w:sz w:val="32"/>
      <w:szCs w:val="32"/>
    </w:rPr>
  </w:style>
  <w:style w:type="character" w:customStyle="1" w:styleId="45">
    <w:name w:val="jbox-icon-none"/>
    <w:autoRedefine/>
    <w:qFormat/>
    <w:uiPriority w:val="0"/>
    <w:rPr>
      <w:vanish/>
    </w:rPr>
  </w:style>
  <w:style w:type="character" w:customStyle="1" w:styleId="46">
    <w:name w:val="z-窗体底端 字符"/>
    <w:link w:val="47"/>
    <w:autoRedefine/>
    <w:qFormat/>
    <w:uiPriority w:val="99"/>
    <w:rPr>
      <w:rFonts w:ascii="Arial" w:hAnsi="Arial"/>
      <w:vanish/>
      <w:sz w:val="16"/>
      <w:szCs w:val="16"/>
    </w:rPr>
  </w:style>
  <w:style w:type="paragraph" w:customStyle="1" w:styleId="47">
    <w:name w:val="z-窗体底端1"/>
    <w:basedOn w:val="1"/>
    <w:next w:val="1"/>
    <w:link w:val="46"/>
    <w:autoRedefine/>
    <w:unhideWhenUsed/>
    <w:qFormat/>
    <w:uiPriority w:val="99"/>
    <w:pPr>
      <w:widowControl/>
      <w:pBdr>
        <w:top w:val="single" w:color="auto" w:sz="6" w:space="1"/>
      </w:pBdr>
      <w:jc w:val="center"/>
    </w:pPr>
    <w:rPr>
      <w:rFonts w:ascii="Arial" w:hAnsi="Arial"/>
      <w:vanish/>
      <w:sz w:val="16"/>
      <w:szCs w:val="16"/>
    </w:rPr>
  </w:style>
  <w:style w:type="character" w:customStyle="1" w:styleId="48">
    <w:name w:val="文档结构图 字符"/>
    <w:link w:val="12"/>
    <w:autoRedefine/>
    <w:qFormat/>
    <w:uiPriority w:val="99"/>
    <w:rPr>
      <w:rFonts w:ascii="宋体"/>
      <w:sz w:val="18"/>
      <w:szCs w:val="18"/>
    </w:rPr>
  </w:style>
  <w:style w:type="character" w:customStyle="1" w:styleId="49">
    <w:name w:val="black601"/>
    <w:autoRedefine/>
    <w:qFormat/>
    <w:uiPriority w:val="0"/>
    <w:rPr>
      <w:color w:val="666666"/>
    </w:rPr>
  </w:style>
  <w:style w:type="character" w:customStyle="1" w:styleId="50">
    <w:name w:val="hour_pm"/>
    <w:basedOn w:val="28"/>
    <w:qFormat/>
    <w:uiPriority w:val="0"/>
  </w:style>
  <w:style w:type="character" w:customStyle="1" w:styleId="51">
    <w:name w:val="正文缩进 字符"/>
    <w:link w:val="9"/>
    <w:autoRedefine/>
    <w:qFormat/>
    <w:uiPriority w:val="0"/>
    <w:rPr>
      <w:rFonts w:eastAsia="宋体"/>
    </w:rPr>
  </w:style>
  <w:style w:type="character" w:customStyle="1" w:styleId="52">
    <w:name w:val="标题 1 Char Char"/>
    <w:autoRedefine/>
    <w:qFormat/>
    <w:uiPriority w:val="0"/>
    <w:rPr>
      <w:rFonts w:eastAsia="宋体"/>
      <w:b/>
      <w:spacing w:val="-2"/>
      <w:sz w:val="24"/>
      <w:lang w:val="en-US" w:eastAsia="zh-CN" w:bidi="ar-SA"/>
    </w:rPr>
  </w:style>
  <w:style w:type="character" w:customStyle="1" w:styleId="53">
    <w:name w:val="jbox-icon-info"/>
    <w:basedOn w:val="28"/>
    <w:autoRedefine/>
    <w:qFormat/>
    <w:uiPriority w:val="0"/>
  </w:style>
  <w:style w:type="character" w:customStyle="1" w:styleId="54">
    <w:name w:val="hover9"/>
    <w:autoRedefine/>
    <w:qFormat/>
    <w:uiPriority w:val="0"/>
    <w:rPr>
      <w:shd w:val="clear" w:color="auto" w:fill="EEEEEE"/>
    </w:rPr>
  </w:style>
  <w:style w:type="character" w:customStyle="1" w:styleId="55">
    <w:name w:val="maywed421"/>
    <w:autoRedefine/>
    <w:qFormat/>
    <w:uiPriority w:val="0"/>
    <w:rPr>
      <w:color w:val="366FB6"/>
      <w:u w:val="none"/>
    </w:rPr>
  </w:style>
  <w:style w:type="character" w:customStyle="1" w:styleId="56">
    <w:name w:val="old"/>
    <w:autoRedefine/>
    <w:qFormat/>
    <w:uiPriority w:val="0"/>
    <w:rPr>
      <w:color w:val="999999"/>
    </w:rPr>
  </w:style>
  <w:style w:type="character" w:customStyle="1" w:styleId="57">
    <w:name w:val="jbox-icon-warning"/>
    <w:basedOn w:val="28"/>
    <w:autoRedefine/>
    <w:qFormat/>
    <w:uiPriority w:val="0"/>
  </w:style>
  <w:style w:type="character" w:customStyle="1" w:styleId="58">
    <w:name w:val="z-窗体顶端 字符"/>
    <w:link w:val="59"/>
    <w:autoRedefine/>
    <w:qFormat/>
    <w:uiPriority w:val="99"/>
    <w:rPr>
      <w:rFonts w:ascii="Arial" w:hAnsi="Arial"/>
      <w:vanish/>
      <w:sz w:val="16"/>
      <w:szCs w:val="16"/>
    </w:rPr>
  </w:style>
  <w:style w:type="paragraph" w:customStyle="1" w:styleId="59">
    <w:name w:val="z-窗体顶端1"/>
    <w:basedOn w:val="1"/>
    <w:next w:val="1"/>
    <w:link w:val="58"/>
    <w:autoRedefine/>
    <w:unhideWhenUsed/>
    <w:qFormat/>
    <w:uiPriority w:val="99"/>
    <w:pPr>
      <w:widowControl/>
      <w:pBdr>
        <w:bottom w:val="single" w:color="auto" w:sz="6" w:space="1"/>
      </w:pBdr>
      <w:jc w:val="center"/>
    </w:pPr>
    <w:rPr>
      <w:rFonts w:ascii="Arial" w:hAnsi="Arial"/>
      <w:vanish/>
      <w:sz w:val="16"/>
      <w:szCs w:val="16"/>
    </w:rPr>
  </w:style>
  <w:style w:type="character" w:customStyle="1" w:styleId="60">
    <w:name w:val="纯文本 字符1"/>
    <w:link w:val="10"/>
    <w:autoRedefine/>
    <w:qFormat/>
    <w:uiPriority w:val="99"/>
    <w:rPr>
      <w:rFonts w:ascii="宋体" w:hAnsi="Courier New"/>
      <w:sz w:val="24"/>
      <w:szCs w:val="24"/>
    </w:rPr>
  </w:style>
  <w:style w:type="character" w:customStyle="1" w:styleId="61">
    <w:name w:val="批注主题 字符"/>
    <w:link w:val="25"/>
    <w:autoRedefine/>
    <w:qFormat/>
    <w:uiPriority w:val="99"/>
    <w:rPr>
      <w:b/>
      <w:bCs/>
      <w:sz w:val="28"/>
      <w:szCs w:val="24"/>
    </w:rPr>
  </w:style>
  <w:style w:type="character" w:customStyle="1" w:styleId="62">
    <w:name w:val="jbox-icon-loading"/>
    <w:basedOn w:val="28"/>
    <w:autoRedefine/>
    <w:qFormat/>
    <w:uiPriority w:val="0"/>
  </w:style>
  <w:style w:type="character" w:customStyle="1" w:styleId="63">
    <w:name w:val="正文文本缩进 字符"/>
    <w:autoRedefine/>
    <w:qFormat/>
    <w:uiPriority w:val="0"/>
    <w:rPr>
      <w:rFonts w:ascii="宋体" w:hAnsi="Courier New"/>
      <w:spacing w:val="-4"/>
      <w:kern w:val="2"/>
      <w:sz w:val="18"/>
    </w:rPr>
  </w:style>
  <w:style w:type="character" w:customStyle="1" w:styleId="64">
    <w:name w:val="正文文本缩进 字符1"/>
    <w:autoRedefine/>
    <w:qFormat/>
    <w:uiPriority w:val="0"/>
    <w:rPr>
      <w:rFonts w:ascii="宋体" w:hAnsi="Courier New"/>
      <w:spacing w:val="-4"/>
      <w:kern w:val="2"/>
      <w:sz w:val="18"/>
    </w:rPr>
  </w:style>
  <w:style w:type="character" w:customStyle="1" w:styleId="65">
    <w:name w:val="纯文本 字符"/>
    <w:autoRedefine/>
    <w:qFormat/>
    <w:uiPriority w:val="99"/>
    <w:rPr>
      <w:rFonts w:ascii="宋体" w:hAnsi="Courier New"/>
      <w:kern w:val="2"/>
      <w:sz w:val="24"/>
      <w:szCs w:val="24"/>
    </w:rPr>
  </w:style>
  <w:style w:type="character" w:customStyle="1" w:styleId="66">
    <w:name w:val="jbox-icon-question"/>
    <w:basedOn w:val="28"/>
    <w:autoRedefine/>
    <w:qFormat/>
    <w:uiPriority w:val="0"/>
  </w:style>
  <w:style w:type="character" w:customStyle="1" w:styleId="67">
    <w:name w:val="jbox-icon"/>
    <w:basedOn w:val="28"/>
    <w:autoRedefine/>
    <w:qFormat/>
    <w:uiPriority w:val="0"/>
  </w:style>
  <w:style w:type="character" w:customStyle="1" w:styleId="68">
    <w:name w:val="纯文本 字符2"/>
    <w:autoRedefine/>
    <w:qFormat/>
    <w:uiPriority w:val="99"/>
    <w:rPr>
      <w:rFonts w:ascii="宋体" w:hAnsi="Courier New"/>
      <w:kern w:val="2"/>
      <w:sz w:val="24"/>
      <w:szCs w:val="24"/>
    </w:rPr>
  </w:style>
  <w:style w:type="character" w:customStyle="1" w:styleId="69">
    <w:name w:val="hour_am"/>
    <w:basedOn w:val="28"/>
    <w:autoRedefine/>
    <w:qFormat/>
    <w:uiPriority w:val="0"/>
  </w:style>
  <w:style w:type="character" w:customStyle="1" w:styleId="70">
    <w:name w:val="jbox-icon-success"/>
    <w:basedOn w:val="28"/>
    <w:autoRedefine/>
    <w:qFormat/>
    <w:uiPriority w:val="0"/>
  </w:style>
  <w:style w:type="character" w:customStyle="1" w:styleId="71">
    <w:name w:val="批注文字 字符"/>
    <w:autoRedefine/>
    <w:qFormat/>
    <w:uiPriority w:val="99"/>
    <w:rPr>
      <w:kern w:val="2"/>
      <w:sz w:val="28"/>
      <w:szCs w:val="24"/>
    </w:rPr>
  </w:style>
  <w:style w:type="character" w:customStyle="1" w:styleId="72">
    <w:name w:val="纯文本 Char1"/>
    <w:autoRedefine/>
    <w:qFormat/>
    <w:uiPriority w:val="0"/>
    <w:rPr>
      <w:rFonts w:ascii="宋体" w:hAnsi="Courier New"/>
      <w:kern w:val="2"/>
      <w:sz w:val="21"/>
    </w:rPr>
  </w:style>
  <w:style w:type="character" w:customStyle="1" w:styleId="73">
    <w:name w:val="纯文本 Char"/>
    <w:autoRedefine/>
    <w:qFormat/>
    <w:uiPriority w:val="99"/>
    <w:rPr>
      <w:rFonts w:ascii="宋体" w:hAnsi="Courier New"/>
      <w:kern w:val="2"/>
      <w:sz w:val="24"/>
      <w:szCs w:val="24"/>
    </w:rPr>
  </w:style>
  <w:style w:type="character" w:customStyle="1" w:styleId="74">
    <w:name w:val="sub_title s0"/>
    <w:basedOn w:val="28"/>
    <w:autoRedefine/>
    <w:qFormat/>
    <w:uiPriority w:val="0"/>
  </w:style>
  <w:style w:type="character" w:customStyle="1" w:styleId="75">
    <w:name w:val="正文文本缩进 字符2"/>
    <w:link w:val="15"/>
    <w:autoRedefine/>
    <w:qFormat/>
    <w:uiPriority w:val="0"/>
    <w:rPr>
      <w:rFonts w:ascii="宋体" w:hAnsi="Courier New"/>
      <w:spacing w:val="-4"/>
      <w:sz w:val="18"/>
    </w:rPr>
  </w:style>
  <w:style w:type="character" w:customStyle="1" w:styleId="76">
    <w:name w:val="jbox-icon-error"/>
    <w:basedOn w:val="28"/>
    <w:autoRedefine/>
    <w:qFormat/>
    <w:uiPriority w:val="0"/>
  </w:style>
  <w:style w:type="character" w:customStyle="1" w:styleId="77">
    <w:name w:val="正文文本 2 字符"/>
    <w:basedOn w:val="28"/>
    <w:link w:val="23"/>
    <w:autoRedefine/>
    <w:qFormat/>
    <w:uiPriority w:val="0"/>
    <w:rPr>
      <w:rFonts w:ascii="宋体" w:hAnsi="宋体" w:eastAsia="宋体" w:cs="Times New Roman"/>
      <w:color w:val="000000"/>
      <w:sz w:val="24"/>
      <w:szCs w:val="24"/>
    </w:rPr>
  </w:style>
  <w:style w:type="paragraph" w:customStyle="1" w:styleId="7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79">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80">
    <w:name w:val="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81">
    <w:name w:val="z-窗体顶端 字符1"/>
    <w:basedOn w:val="28"/>
    <w:autoRedefine/>
    <w:semiHidden/>
    <w:qFormat/>
    <w:uiPriority w:val="99"/>
    <w:rPr>
      <w:rFonts w:ascii="Arial" w:hAnsi="Arial" w:cs="Arial"/>
      <w:vanish/>
      <w:sz w:val="16"/>
      <w:szCs w:val="16"/>
    </w:rPr>
  </w:style>
  <w:style w:type="paragraph" w:customStyle="1" w:styleId="82">
    <w:name w:val="正文段"/>
    <w:basedOn w:val="1"/>
    <w:autoRedefine/>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character" w:customStyle="1" w:styleId="83">
    <w:name w:val="批注文字 字符1"/>
    <w:basedOn w:val="28"/>
    <w:link w:val="13"/>
    <w:autoRedefine/>
    <w:semiHidden/>
    <w:qFormat/>
    <w:uiPriority w:val="99"/>
  </w:style>
  <w:style w:type="character" w:customStyle="1" w:styleId="84">
    <w:name w:val="批注主题 字符1"/>
    <w:basedOn w:val="83"/>
    <w:autoRedefine/>
    <w:semiHidden/>
    <w:qFormat/>
    <w:uiPriority w:val="99"/>
    <w:rPr>
      <w:b/>
      <w:bCs/>
    </w:rPr>
  </w:style>
  <w:style w:type="character" w:customStyle="1" w:styleId="85">
    <w:name w:val="文档结构图 字符1"/>
    <w:basedOn w:val="28"/>
    <w:autoRedefine/>
    <w:semiHidden/>
    <w:qFormat/>
    <w:uiPriority w:val="99"/>
    <w:rPr>
      <w:rFonts w:ascii="Microsoft YaHei UI" w:eastAsia="Microsoft YaHei UI"/>
      <w:sz w:val="18"/>
      <w:szCs w:val="18"/>
    </w:rPr>
  </w:style>
  <w:style w:type="character" w:customStyle="1" w:styleId="86">
    <w:name w:val="正文文本 字符"/>
    <w:basedOn w:val="28"/>
    <w:link w:val="14"/>
    <w:autoRedefine/>
    <w:qFormat/>
    <w:uiPriority w:val="99"/>
    <w:rPr>
      <w:rFonts w:ascii="Times New Roman" w:hAnsi="Times New Roman" w:eastAsia="宋体" w:cs="Times New Roman"/>
      <w:sz w:val="28"/>
      <w:szCs w:val="24"/>
    </w:rPr>
  </w:style>
  <w:style w:type="character" w:customStyle="1" w:styleId="87">
    <w:name w:val="批注框文本 字符"/>
    <w:basedOn w:val="28"/>
    <w:link w:val="19"/>
    <w:autoRedefine/>
    <w:qFormat/>
    <w:uiPriority w:val="0"/>
    <w:rPr>
      <w:rFonts w:ascii="Times New Roman" w:hAnsi="Times New Roman" w:eastAsia="宋体" w:cs="Times New Roman"/>
      <w:sz w:val="18"/>
      <w:szCs w:val="18"/>
    </w:rPr>
  </w:style>
  <w:style w:type="character" w:customStyle="1" w:styleId="88">
    <w:name w:val="正文文本缩进 字符3"/>
    <w:basedOn w:val="28"/>
    <w:autoRedefine/>
    <w:semiHidden/>
    <w:qFormat/>
    <w:uiPriority w:val="99"/>
  </w:style>
  <w:style w:type="character" w:customStyle="1" w:styleId="89">
    <w:name w:val="日期 字符"/>
    <w:basedOn w:val="28"/>
    <w:link w:val="18"/>
    <w:autoRedefine/>
    <w:qFormat/>
    <w:uiPriority w:val="0"/>
    <w:rPr>
      <w:rFonts w:ascii="Times New Roman" w:hAnsi="Times New Roman" w:eastAsia="楷体_GB2312" w:cs="Times New Roman"/>
      <w:sz w:val="32"/>
      <w:szCs w:val="20"/>
    </w:rPr>
  </w:style>
  <w:style w:type="character" w:customStyle="1" w:styleId="90">
    <w:name w:val="纯文本 字符3"/>
    <w:basedOn w:val="28"/>
    <w:autoRedefine/>
    <w:semiHidden/>
    <w:qFormat/>
    <w:uiPriority w:val="99"/>
    <w:rPr>
      <w:rFonts w:hAnsi="Courier New" w:cs="Courier New" w:asciiTheme="minorEastAsia"/>
    </w:rPr>
  </w:style>
  <w:style w:type="character" w:customStyle="1" w:styleId="91">
    <w:name w:val="正文文本首行缩进 2 字符"/>
    <w:basedOn w:val="88"/>
    <w:link w:val="16"/>
    <w:autoRedefine/>
    <w:qFormat/>
    <w:uiPriority w:val="99"/>
    <w:rPr>
      <w:rFonts w:ascii="宋体" w:hAnsi="Courier New"/>
      <w:spacing w:val="-4"/>
      <w:sz w:val="18"/>
    </w:rPr>
  </w:style>
  <w:style w:type="character" w:customStyle="1" w:styleId="92">
    <w:name w:val="z-窗体底端 字符1"/>
    <w:basedOn w:val="28"/>
    <w:autoRedefine/>
    <w:semiHidden/>
    <w:qFormat/>
    <w:uiPriority w:val="99"/>
    <w:rPr>
      <w:rFonts w:ascii="Arial" w:hAnsi="Arial" w:cs="Arial"/>
      <w:vanish/>
      <w:sz w:val="16"/>
      <w:szCs w:val="16"/>
    </w:rPr>
  </w:style>
  <w:style w:type="paragraph" w:customStyle="1" w:styleId="93">
    <w:name w:val="此正文"/>
    <w:basedOn w:val="1"/>
    <w:autoRedefine/>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4">
    <w:name w:val="表内文字"/>
    <w:basedOn w:val="1"/>
    <w:autoRedefine/>
    <w:qFormat/>
    <w:uiPriority w:val="0"/>
    <w:pPr>
      <w:tabs>
        <w:tab w:val="left" w:pos="1418"/>
      </w:tabs>
      <w:spacing w:line="360" w:lineRule="auto"/>
      <w:jc w:val="center"/>
    </w:pPr>
    <w:rPr>
      <w:rFonts w:hint="eastAsia" w:ascii="仿宋_GB2312" w:hAnsi="Times New Roman" w:eastAsia="仿宋_GB2312" w:cs="Times New Roman"/>
      <w:spacing w:val="-20"/>
      <w:kern w:val="0"/>
      <w:sz w:val="24"/>
      <w:szCs w:val="24"/>
    </w:rPr>
  </w:style>
  <w:style w:type="paragraph" w:customStyle="1" w:styleId="95">
    <w:name w:val="正文 A"/>
    <w:autoRedefine/>
    <w:qFormat/>
    <w:uiPriority w:val="0"/>
    <w:pPr>
      <w:widowControl w:val="0"/>
      <w:jc w:val="both"/>
    </w:pPr>
    <w:rPr>
      <w:rFonts w:hint="eastAsia" w:ascii="Arial Unicode MS" w:hAnsi="Arial Unicode MS" w:eastAsia="Times New Roman" w:cs="Arial Unicode MS"/>
      <w:color w:val="000000"/>
      <w:kern w:val="2"/>
      <w:sz w:val="28"/>
      <w:szCs w:val="28"/>
      <w:u w:color="000000"/>
      <w:lang w:val="en-US" w:eastAsia="zh-CN" w:bidi="ar-SA"/>
    </w:rPr>
  </w:style>
  <w:style w:type="paragraph" w:customStyle="1" w:styleId="96">
    <w:name w:val="正文1"/>
    <w:autoRedefine/>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97">
    <w:name w:val="Char Char Char Char1"/>
    <w:basedOn w:val="1"/>
    <w:autoRedefine/>
    <w:qFormat/>
    <w:uiPriority w:val="0"/>
    <w:rPr>
      <w:rFonts w:ascii="Tahoma" w:hAnsi="Tahoma" w:eastAsia="宋体" w:cs="Times New Roman"/>
      <w:sz w:val="24"/>
      <w:szCs w:val="20"/>
    </w:rPr>
  </w:style>
  <w:style w:type="paragraph" w:customStyle="1" w:styleId="98">
    <w:name w:val="彩色列表 - 强调文字颜色 11"/>
    <w:basedOn w:val="1"/>
    <w:autoRedefine/>
    <w:qFormat/>
    <w:uiPriority w:val="34"/>
    <w:pPr>
      <w:ind w:firstLine="420" w:firstLineChars="200"/>
    </w:pPr>
    <w:rPr>
      <w:rFonts w:ascii="Calibri" w:hAnsi="Calibri" w:eastAsia="宋体" w:cs="Times New Roman"/>
    </w:rPr>
  </w:style>
  <w:style w:type="paragraph" w:customStyle="1" w:styleId="99">
    <w:name w:val="Proposals body"/>
    <w:basedOn w:val="1"/>
    <w:next w:val="1"/>
    <w:autoRedefine/>
    <w:qFormat/>
    <w:uiPriority w:val="0"/>
    <w:pPr>
      <w:widowControl/>
      <w:spacing w:line="460" w:lineRule="exact"/>
      <w:jc w:val="left"/>
    </w:pPr>
    <w:rPr>
      <w:rFonts w:ascii="仿宋_GB2312" w:hAnsi="Times New Roman" w:eastAsia="仿宋_GB2312" w:cs="Times New Roman"/>
      <w:snapToGrid w:val="0"/>
      <w:kern w:val="0"/>
      <w:sz w:val="24"/>
      <w:szCs w:val="24"/>
    </w:rPr>
  </w:style>
  <w:style w:type="paragraph" w:customStyle="1" w:styleId="100">
    <w:name w:val="正文2"/>
    <w:basedOn w:val="1"/>
    <w:link w:val="109"/>
    <w:autoRedefine/>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10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02">
    <w:name w:val="无间距"/>
    <w:autoRedefine/>
    <w:qFormat/>
    <w:uiPriority w:val="0"/>
    <w:pPr>
      <w:widowControl w:val="0"/>
      <w:jc w:val="both"/>
    </w:pPr>
    <w:rPr>
      <w:rFonts w:ascii="Calibri" w:hAnsi="Calibri" w:eastAsia="宋体" w:cs="Times New Roman"/>
      <w:kern w:val="2"/>
      <w:sz w:val="21"/>
      <w:szCs w:val="22"/>
      <w:lang w:val="en-US" w:eastAsia="zh-CN" w:bidi="ar-SA"/>
    </w:rPr>
  </w:style>
  <w:style w:type="paragraph" w:styleId="103">
    <w:name w:val="List Paragraph"/>
    <w:basedOn w:val="1"/>
    <w:autoRedefine/>
    <w:qFormat/>
    <w:uiPriority w:val="34"/>
    <w:pPr>
      <w:ind w:left="720"/>
      <w:contextualSpacing/>
    </w:pPr>
    <w:rPr>
      <w:rFonts w:ascii="Times New Roman" w:hAnsi="Times New Roman" w:eastAsia="宋体" w:cs="Times New Roman"/>
      <w:sz w:val="28"/>
      <w:szCs w:val="20"/>
    </w:rPr>
  </w:style>
  <w:style w:type="paragraph" w:customStyle="1" w:styleId="104">
    <w:name w:val="List Paragraph1"/>
    <w:basedOn w:val="1"/>
    <w:autoRedefine/>
    <w:qFormat/>
    <w:uiPriority w:val="0"/>
    <w:pPr>
      <w:ind w:firstLine="420" w:firstLineChars="200"/>
    </w:pPr>
    <w:rPr>
      <w:rFonts w:ascii="Times New Roman" w:hAnsi="Times New Roman" w:eastAsia="宋体" w:cs="Times New Roman"/>
      <w:szCs w:val="24"/>
    </w:rPr>
  </w:style>
  <w:style w:type="paragraph" w:customStyle="1" w:styleId="105">
    <w:name w:val="标题 10"/>
    <w:basedOn w:val="5"/>
    <w:autoRedefine/>
    <w:qFormat/>
    <w:uiPriority w:val="0"/>
    <w:pPr>
      <w:jc w:val="center"/>
    </w:pPr>
    <w:rPr>
      <w:kern w:val="0"/>
    </w:rPr>
  </w:style>
  <w:style w:type="character" w:customStyle="1" w:styleId="106">
    <w:name w:val="未处理的提及1"/>
    <w:autoRedefine/>
    <w:semiHidden/>
    <w:unhideWhenUsed/>
    <w:qFormat/>
    <w:uiPriority w:val="99"/>
    <w:rPr>
      <w:color w:val="605E5C"/>
      <w:shd w:val="clear" w:color="auto" w:fill="E1DFDD"/>
    </w:rPr>
  </w:style>
  <w:style w:type="character" w:customStyle="1" w:styleId="107">
    <w:name w:val="未处理的提及2"/>
    <w:basedOn w:val="28"/>
    <w:autoRedefine/>
    <w:semiHidden/>
    <w:unhideWhenUsed/>
    <w:qFormat/>
    <w:uiPriority w:val="99"/>
    <w:rPr>
      <w:color w:val="605E5C"/>
      <w:shd w:val="clear" w:color="auto" w:fill="E1DFDD"/>
    </w:rPr>
  </w:style>
  <w:style w:type="character" w:customStyle="1" w:styleId="108">
    <w:name w:val="未处理的提及3"/>
    <w:basedOn w:val="28"/>
    <w:autoRedefine/>
    <w:semiHidden/>
    <w:unhideWhenUsed/>
    <w:qFormat/>
    <w:uiPriority w:val="99"/>
    <w:rPr>
      <w:color w:val="605E5C"/>
      <w:shd w:val="clear" w:color="auto" w:fill="E1DFDD"/>
    </w:rPr>
  </w:style>
  <w:style w:type="character" w:customStyle="1" w:styleId="109">
    <w:name w:val="正文2 Char Char"/>
    <w:link w:val="100"/>
    <w:autoRedefine/>
    <w:qFormat/>
    <w:uiPriority w:val="0"/>
    <w:rPr>
      <w:kern w:val="2"/>
      <w:sz w:val="24"/>
    </w:rPr>
  </w:style>
  <w:style w:type="paragraph" w:customStyle="1" w:styleId="110">
    <w:name w:val="TOC 72"/>
    <w:next w:val="1"/>
    <w:autoRedefine/>
    <w:qFormat/>
    <w:uiPriority w:val="0"/>
    <w:pPr>
      <w:wordWrap w:val="0"/>
      <w:ind w:left="2550"/>
      <w:jc w:val="both"/>
    </w:pPr>
    <w:rPr>
      <w:rFonts w:ascii="Calibri" w:hAnsi="Calibri" w:eastAsia="宋体" w:cs="Times New Roman"/>
      <w:sz w:val="21"/>
      <w:szCs w:val="22"/>
      <w:lang w:val="en-US" w:eastAsia="zh-CN" w:bidi="ar-SA"/>
    </w:rPr>
  </w:style>
  <w:style w:type="table" w:customStyle="1" w:styleId="111">
    <w:name w:val="网格型1"/>
    <w:basedOn w:val="26"/>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2">
    <w:name w:val="Normal Indent1"/>
    <w:autoRedefine/>
    <w:qFormat/>
    <w:uiPriority w:val="0"/>
    <w:pPr>
      <w:ind w:firstLine="420"/>
    </w:pPr>
    <w:rPr>
      <w:rFonts w:ascii="Times New Roman" w:hAnsi="Times New Roman" w:eastAsia="仿宋_GB2312" w:cs="宋体"/>
      <w:b/>
      <w:bCs/>
      <w:color w:val="000000"/>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31015</Words>
  <Characters>33461</Characters>
  <Lines>32</Lines>
  <Paragraphs>64</Paragraphs>
  <TotalTime>5</TotalTime>
  <ScaleCrop>false</ScaleCrop>
  <LinksUpToDate>false</LinksUpToDate>
  <CharactersWithSpaces>33968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2021-05-13T05:24:00Z</dcterms:created>
  <dc:creator>hj j</dc:creator>
  <cp:lastModifiedBy>WPS_1657520795</cp:lastModifiedBy>
  <dcterms:modified xsi:type="dcterms:W3CDTF">2024-09-30T05:21:57Z</dcterms:modified>
  <cp:revision>771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B363B45C01FF4C5A8AB2573BD522DAF7</vt:lpwstr>
  </property>
</Properties>
</file>