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hint="eastAsia" w:ascii="楷体" w:hAnsi="楷体" w:eastAsia="楷体" w:cs="Times New Roman"/>
          <w:b/>
          <w:spacing w:val="-6"/>
          <w:sz w:val="44"/>
          <w:szCs w:val="44"/>
        </w:rPr>
      </w:pPr>
    </w:p>
    <w:p>
      <w:pPr>
        <w:pStyle w:val="21"/>
        <w:spacing w:after="120"/>
      </w:pPr>
      <w:r>
        <w:t>.</w:t>
      </w:r>
    </w:p>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52"/>
          <w:szCs w:val="52"/>
        </w:rPr>
        <w:t>浙江省公安科技研究所</w:t>
      </w:r>
    </w:p>
    <w:p>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lang w:eastAsia="zh-CN"/>
        </w:rPr>
        <w:t>浙江公安终端安全管控系统维保项目（2024年度）</w:t>
      </w:r>
    </w:p>
    <w:p>
      <w:pPr>
        <w:adjustRightInd w:val="0"/>
        <w:snapToGrid w:val="0"/>
        <w:spacing w:line="288" w:lineRule="auto"/>
        <w:jc w:val="center"/>
        <w:rPr>
          <w:rFonts w:hint="eastAsia" w:ascii="楷体" w:hAnsi="楷体" w:eastAsia="楷体" w:cs="Times New Roman"/>
          <w:b/>
          <w:spacing w:val="-6"/>
          <w:sz w:val="48"/>
          <w:szCs w:val="48"/>
        </w:rPr>
      </w:pPr>
    </w:p>
    <w:p>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hint="eastAsia" w:ascii="楷体" w:hAnsi="楷体" w:eastAsia="楷体" w:cs="Times New Roman"/>
          <w:sz w:val="44"/>
          <w:szCs w:val="44"/>
        </w:rPr>
      </w:pPr>
    </w:p>
    <w:p>
      <w:pPr>
        <w:adjustRightInd w:val="0"/>
        <w:snapToGrid w:val="0"/>
        <w:spacing w:line="288" w:lineRule="auto"/>
        <w:jc w:val="center"/>
        <w:rPr>
          <w:rFonts w:hint="eastAsia"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浙江公安终端安全管控系统维保项目（2024年度）</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 xml:space="preserve">QSZB-Z(F)-A24422(GK) </w:t>
      </w:r>
    </w:p>
    <w:p>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人：浙江省公安科技研究所</w:t>
      </w:r>
    </w:p>
    <w:p>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采购计划文号：临[2024]58022号、[2024]55593号</w:t>
      </w:r>
    </w:p>
    <w:p>
      <w:pPr>
        <w:adjustRightInd w:val="0"/>
        <w:snapToGrid w:val="0"/>
        <w:spacing w:line="288" w:lineRule="auto"/>
        <w:rPr>
          <w:rFonts w:hint="eastAsia" w:ascii="楷体" w:hAnsi="楷体" w:eastAsia="楷体" w:cs="Times New Roman"/>
          <w:b/>
          <w:spacing w:val="-6"/>
          <w:sz w:val="30"/>
          <w:szCs w:val="30"/>
        </w:rPr>
      </w:pPr>
    </w:p>
    <w:p>
      <w:pPr>
        <w:adjustRightInd w:val="0"/>
        <w:snapToGrid w:val="0"/>
        <w:spacing w:line="288" w:lineRule="auto"/>
        <w:rPr>
          <w:rFonts w:hint="eastAsia" w:ascii="楷体" w:hAnsi="楷体" w:eastAsia="楷体" w:cs="Times New Roman"/>
          <w:b/>
          <w:szCs w:val="21"/>
        </w:rPr>
      </w:pPr>
    </w:p>
    <w:p>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hint="eastAsia" w:ascii="楷体" w:hAnsi="楷体" w:eastAsia="楷体" w:cs="Times New Roman"/>
          <w:b/>
          <w:sz w:val="30"/>
          <w:szCs w:val="30"/>
        </w:rPr>
      </w:pPr>
    </w:p>
    <w:p>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hint="eastAsia" w:ascii="楷体" w:hAnsi="楷体" w:eastAsia="楷体" w:cs="Times New Roman"/>
          <w:b/>
          <w:sz w:val="30"/>
          <w:szCs w:val="30"/>
        </w:rPr>
      </w:pP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hint="eastAsia" w:ascii="宋体" w:hAnsi="宋体" w:eastAsia="宋体" w:cs="Times New Roman"/>
          <w:szCs w:val="21"/>
        </w:rPr>
      </w:pPr>
    </w:p>
    <w:p>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0" w:firstLineChars="200"/>
        <w:rPr>
          <w:rFonts w:hint="eastAsia"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0" w:firstLineChars="200"/>
        <w:rPr>
          <w:rFonts w:hint="eastAsia" w:ascii="宋体" w:hAnsi="宋体" w:eastAsia="宋体" w:cs="Times New Roman"/>
          <w:b/>
          <w:szCs w:val="21"/>
        </w:rPr>
      </w:pPr>
      <w:r>
        <w:rPr>
          <w:rFonts w:hint="eastAsia" w:ascii="宋体" w:hAnsi="宋体" w:eastAsia="宋体" w:cs="Times New Roman"/>
          <w:b/>
          <w:szCs w:val="21"/>
          <w:u w:val="single"/>
          <w:lang w:eastAsia="zh-CN"/>
        </w:rPr>
        <w:t>浙江公安终端安全管控系统维保项目（2024年度）</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rPr>
        <w:t>2024年</w:t>
      </w:r>
      <w:r>
        <w:rPr>
          <w:rFonts w:hint="eastAsia" w:ascii="宋体" w:hAnsi="宋体" w:eastAsia="宋体" w:cs="Times New Roman"/>
          <w:b/>
          <w:szCs w:val="21"/>
          <w:highlight w:val="none"/>
          <w:u w:val="single"/>
          <w:lang w:val="en-US" w:eastAsia="zh-CN"/>
        </w:rPr>
        <w:t>10</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10</w:t>
      </w:r>
      <w:r>
        <w:rPr>
          <w:rFonts w:hint="eastAsia" w:ascii="宋体" w:hAnsi="宋体" w:eastAsia="宋体" w:cs="Times New Roman"/>
          <w:b/>
          <w:szCs w:val="21"/>
          <w:highlight w:val="none"/>
          <w:u w:val="single"/>
        </w:rPr>
        <w:t>日</w:t>
      </w:r>
      <w:r>
        <w:rPr>
          <w:rFonts w:hint="eastAsia" w:ascii="宋体" w:hAnsi="宋体" w:eastAsia="宋体" w:cs="Times New Roman"/>
          <w:b/>
          <w:szCs w:val="21"/>
          <w:highlight w:val="none"/>
          <w:u w:val="single"/>
          <w:lang w:val="en-US" w:eastAsia="zh-CN"/>
        </w:rPr>
        <w:t>9</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00</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00</w:t>
      </w:r>
      <w:r>
        <w:rPr>
          <w:rFonts w:hint="eastAsia" w:ascii="宋体" w:hAnsi="宋体" w:eastAsia="宋体" w:cs="Times New Roman"/>
          <w:b/>
          <w:szCs w:val="21"/>
          <w:highlight w:val="none"/>
          <w:u w:val="single"/>
        </w:rPr>
        <w:t>（北</w:t>
      </w:r>
      <w:r>
        <w:rPr>
          <w:rFonts w:hint="eastAsia" w:ascii="宋体" w:hAnsi="宋体" w:eastAsia="宋体" w:cs="Times New Roman"/>
          <w:b/>
          <w:szCs w:val="21"/>
          <w:u w:val="single"/>
        </w:rPr>
        <w:t>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hint="eastAsia" w:ascii="宋体" w:hAnsi="宋体" w:eastAsia="宋体" w:cs="宋体"/>
          <w:b/>
          <w:szCs w:val="21"/>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yellow"/>
          <w:lang w:eastAsia="zh-CN"/>
        </w:rPr>
      </w:pPr>
      <w:r>
        <w:rPr>
          <w:rFonts w:hint="eastAsia" w:ascii="宋体" w:hAnsi="宋体" w:eastAsia="宋体" w:cs="Times New Roman"/>
          <w:szCs w:val="21"/>
        </w:rPr>
        <w:t>1.项目编</w:t>
      </w:r>
      <w:r>
        <w:rPr>
          <w:rFonts w:hint="eastAsia" w:ascii="宋体" w:hAnsi="宋体" w:eastAsia="宋体" w:cs="Times New Roman"/>
          <w:szCs w:val="21"/>
          <w:highlight w:val="none"/>
        </w:rPr>
        <w:t>号：</w:t>
      </w:r>
      <w:r>
        <w:rPr>
          <w:rFonts w:hint="eastAsia" w:ascii="宋体" w:hAnsi="宋体" w:eastAsia="宋体" w:cs="Times New Roman"/>
          <w:szCs w:val="21"/>
          <w:highlight w:val="none"/>
          <w:lang w:eastAsia="zh-CN"/>
        </w:rPr>
        <w:t xml:space="preserve">QSZB-Z(F)-A24422(GK) </w:t>
      </w:r>
    </w:p>
    <w:p>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浙江公安终端安全管控系统维保项目（2024年度）</w:t>
      </w:r>
    </w:p>
    <w:bookmarkEnd w:id="4"/>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.预算金额：29万</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.最高限价：29万</w:t>
      </w:r>
    </w:p>
    <w:p>
      <w:pPr>
        <w:spacing w:line="288" w:lineRule="auto"/>
        <w:ind w:firstLine="420" w:firstLineChars="200"/>
        <w:rPr>
          <w:rFonts w:hint="eastAsia" w:ascii="宋体" w:hAnsi="宋体" w:eastAsia="宋体" w:cs="宋体"/>
          <w:szCs w:val="21"/>
        </w:rPr>
      </w:pPr>
      <w:r>
        <w:rPr>
          <w:rFonts w:ascii="宋体" w:hAnsi="宋体" w:eastAsia="宋体" w:cs="Times New Roman"/>
          <w:szCs w:val="21"/>
        </w:rPr>
        <w:t>5</w:t>
      </w:r>
      <w:r>
        <w:rPr>
          <w:rFonts w:hint="eastAsia" w:ascii="宋体" w:hAnsi="宋体" w:eastAsia="宋体" w:cs="Times New Roman"/>
          <w:szCs w:val="21"/>
        </w:rPr>
        <w:t>.服务期限：</w:t>
      </w:r>
      <w:r>
        <w:rPr>
          <w:rFonts w:hint="eastAsia" w:ascii="宋体" w:hAnsi="宋体" w:eastAsia="宋体" w:cs="宋体"/>
          <w:szCs w:val="21"/>
        </w:rPr>
        <w:t>维保起始时间：</w:t>
      </w:r>
      <w:r>
        <w:rPr>
          <w:rFonts w:hint="eastAsia" w:ascii="宋体" w:hAnsi="宋体" w:eastAsia="宋体" w:cs="宋体"/>
          <w:bCs/>
          <w:szCs w:val="21"/>
        </w:rPr>
        <w:t>2024年10月11日；</w:t>
      </w:r>
      <w:r>
        <w:rPr>
          <w:rFonts w:hint="eastAsia" w:ascii="宋体" w:hAnsi="宋体" w:eastAsia="宋体" w:cs="宋体"/>
          <w:szCs w:val="21"/>
        </w:rPr>
        <w:t>维保结束时间：</w:t>
      </w:r>
      <w:r>
        <w:rPr>
          <w:rFonts w:hint="eastAsia" w:ascii="宋体" w:hAnsi="宋体" w:eastAsia="宋体" w:cs="宋体"/>
          <w:bCs/>
          <w:szCs w:val="21"/>
        </w:rPr>
        <w:t>2025年10月10日（如合同签订时，上期维保已结束，则维保期为合同签订之日起一年整）。</w:t>
      </w:r>
      <w:r>
        <w:rPr>
          <w:rFonts w:hint="eastAsia" w:ascii="宋体" w:hAnsi="宋体" w:eastAsia="宋体" w:cs="宋体"/>
          <w:szCs w:val="21"/>
        </w:rPr>
        <w:t>维保服务时段：驻场服务人员提供5*8小时驻场服务，7*24小时电话支持，具体上下班时间遵照浙江省公安科技研究所规定的工作时间，在重大安保期间根据用户要求参与现场值守。</w:t>
      </w:r>
    </w:p>
    <w:p>
      <w:pPr>
        <w:adjustRightInd w:val="0"/>
        <w:snapToGrid w:val="0"/>
        <w:spacing w:line="288" w:lineRule="auto"/>
        <w:ind w:firstLine="420" w:firstLineChars="200"/>
        <w:rPr>
          <w:rFonts w:hint="eastAsia" w:ascii="宋体" w:hAnsi="宋体" w:eastAsia="宋体" w:cs="Times New Roman"/>
          <w:bCs/>
          <w:szCs w:val="21"/>
        </w:rPr>
      </w:pPr>
      <w:bookmarkStart w:id="5" w:name="OLE_LINK1"/>
      <w:r>
        <w:rPr>
          <w:rFonts w:ascii="宋体" w:hAnsi="宋体" w:eastAsia="宋体" w:cs="Times New Roman"/>
          <w:bCs/>
          <w:szCs w:val="21"/>
        </w:rPr>
        <w:t>6</w:t>
      </w:r>
      <w:r>
        <w:rPr>
          <w:rFonts w:hint="eastAsia" w:ascii="宋体" w:hAnsi="宋体" w:eastAsia="宋体" w:cs="Times New Roman"/>
          <w:bCs/>
          <w:szCs w:val="21"/>
        </w:rPr>
        <w:t>.本项目接受联合体投标。</w:t>
      </w:r>
    </w:p>
    <w:bookmarkEnd w:id="5"/>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3798"/>
        <w:gridCol w:w="739"/>
        <w:gridCol w:w="681"/>
        <w:gridCol w:w="3729"/>
      </w:tblGrid>
      <w:tr>
        <w:trPr>
          <w:trHeight w:val="719" w:hRule="atLeast"/>
        </w:trPr>
        <w:tc>
          <w:tcPr>
            <w:tcW w:w="348" w:type="pct"/>
            <w:tcBorders>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974"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384" w:type="pct"/>
            <w:tcBorders>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354" w:type="pct"/>
            <w:tcBorders>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1938"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r>
      <w:tr>
        <w:trPr>
          <w:trHeight w:val="340" w:hRule="atLeast"/>
        </w:trPr>
        <w:tc>
          <w:tcPr>
            <w:tcW w:w="348"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1974"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lang w:eastAsia="zh-CN"/>
              </w:rPr>
            </w:pPr>
            <w:r>
              <w:rPr>
                <w:rFonts w:hint="eastAsia" w:ascii="宋体" w:hAnsi="宋体" w:eastAsia="宋体" w:cs="Times New Roman"/>
                <w:szCs w:val="21"/>
                <w:lang w:eastAsia="zh-CN"/>
              </w:rPr>
              <w:t>浙江公安终端安全管控系统维保项目（2024年度）</w:t>
            </w:r>
          </w:p>
        </w:tc>
        <w:tc>
          <w:tcPr>
            <w:tcW w:w="384"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54"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项</w:t>
            </w:r>
          </w:p>
        </w:tc>
        <w:tc>
          <w:tcPr>
            <w:tcW w:w="1938"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详见采购需求</w:t>
            </w:r>
          </w:p>
        </w:tc>
      </w:tr>
    </w:tbl>
    <w:p>
      <w:pPr>
        <w:adjustRightInd w:val="0"/>
        <w:snapToGrid w:val="0"/>
        <w:spacing w:line="288" w:lineRule="auto"/>
        <w:rPr>
          <w:rFonts w:hint="eastAsia" w:ascii="宋体" w:hAnsi="宋体" w:eastAsia="宋体" w:cs="宋体"/>
          <w:b/>
          <w:szCs w:val="21"/>
        </w:rPr>
      </w:pPr>
      <w:bookmarkStart w:id="6" w:name="_Toc28359003"/>
      <w:bookmarkStart w:id="7" w:name="_Toc35393791"/>
      <w:bookmarkStart w:id="8" w:name="_Toc28359080"/>
      <w:bookmarkStart w:id="9" w:name="_Toc35393622"/>
      <w:r>
        <w:rPr>
          <w:rFonts w:hint="eastAsia" w:ascii="宋体" w:hAnsi="宋体" w:eastAsia="宋体" w:cs="宋体"/>
          <w:b/>
          <w:szCs w:val="21"/>
        </w:rPr>
        <w:t>二、申请人的资格要求：</w:t>
      </w:r>
      <w:bookmarkEnd w:id="6"/>
      <w:bookmarkEnd w:id="7"/>
      <w:bookmarkEnd w:id="8"/>
      <w:bookmarkEnd w:id="9"/>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hint="eastAsia" w:ascii="宋体" w:hAnsi="宋体" w:eastAsia="宋体" w:cs="Times New Roman"/>
          <w:b/>
          <w:bCs/>
          <w:szCs w:val="21"/>
        </w:rPr>
      </w:pPr>
      <w:bookmarkStart w:id="10" w:name="_Toc35393623"/>
      <w:bookmarkStart w:id="11" w:name="_Toc28359004"/>
      <w:bookmarkStart w:id="12" w:name="_Toc35393792"/>
      <w:bookmarkStart w:id="13" w:name="_Toc28359081"/>
      <w:r>
        <w:rPr>
          <w:rFonts w:hint="eastAsia" w:ascii="宋体" w:hAnsi="宋体" w:eastAsia="宋体" w:cs="Times New Roman"/>
          <w:b/>
          <w:bCs/>
          <w:szCs w:val="21"/>
        </w:rPr>
        <w:t>2.落实政府采购政策需满足的资格要求：本项目整体专门面向中小企业采购。</w:t>
      </w:r>
    </w:p>
    <w:p>
      <w:pPr>
        <w:adjustRightInd w:val="0"/>
        <w:snapToGrid w:val="0"/>
        <w:spacing w:line="288" w:lineRule="auto"/>
        <w:ind w:firstLine="420" w:firstLineChars="200"/>
        <w:rPr>
          <w:rFonts w:hint="eastAsia" w:ascii="宋体" w:hAnsi="宋体" w:eastAsia="宋体" w:cs="Times New Roman"/>
          <w:b/>
          <w:bCs/>
          <w:szCs w:val="21"/>
        </w:rPr>
      </w:pPr>
      <w:r>
        <w:rPr>
          <w:rFonts w:hint="eastAsia" w:ascii="宋体" w:hAnsi="宋体" w:eastAsia="宋体" w:cs="Times New Roman"/>
          <w:b/>
          <w:bCs/>
          <w:szCs w:val="21"/>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hint="eastAsia" w:ascii="宋体" w:hAnsi="宋体" w:eastAsia="宋体" w:cs="Times New Roman"/>
          <w:b/>
          <w:bCs/>
          <w:szCs w:val="21"/>
        </w:rPr>
      </w:pPr>
      <w:r>
        <w:rPr>
          <w:rFonts w:hint="eastAsia" w:ascii="宋体" w:hAnsi="宋体" w:eastAsia="宋体" w:cs="Times New Roman"/>
          <w:b/>
          <w:bCs/>
          <w:szCs w:val="21"/>
        </w:rPr>
        <w:t>监狱企业、残疾人福利性单位视同小型、微型企业；</w:t>
      </w:r>
    </w:p>
    <w:p>
      <w:pPr>
        <w:adjustRightInd w:val="0"/>
        <w:snapToGrid w:val="0"/>
        <w:spacing w:line="288" w:lineRule="auto"/>
        <w:ind w:firstLine="420" w:firstLineChars="200"/>
        <w:rPr>
          <w:rFonts w:hint="eastAsia" w:ascii="宋体" w:hAnsi="宋体" w:eastAsia="宋体" w:cs="Times New Roman"/>
          <w:b/>
          <w:bCs/>
          <w:szCs w:val="21"/>
        </w:rPr>
      </w:pPr>
      <w:r>
        <w:rPr>
          <w:rFonts w:hint="eastAsia" w:ascii="宋体" w:hAnsi="宋体" w:eastAsia="宋体" w:cs="Times New Roman"/>
          <w:b/>
          <w:bCs/>
          <w:szCs w:val="21"/>
        </w:rPr>
        <w:t>本项目属性为：服务</w:t>
      </w:r>
    </w:p>
    <w:p>
      <w:pPr>
        <w:adjustRightInd w:val="0"/>
        <w:snapToGrid w:val="0"/>
        <w:spacing w:line="288" w:lineRule="auto"/>
        <w:ind w:firstLine="420" w:firstLineChars="200"/>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hint="eastAsia" w:ascii="宋体" w:hAnsi="宋体" w:eastAsia="宋体" w:cs="宋体"/>
          <w:b/>
          <w:szCs w:val="21"/>
          <w:highlight w:val="none"/>
        </w:rPr>
      </w:pPr>
      <w:r>
        <w:rPr>
          <w:rFonts w:hint="eastAsia" w:ascii="宋体" w:hAnsi="宋体" w:eastAsia="宋体" w:cs="宋体"/>
          <w:b/>
          <w:szCs w:val="21"/>
        </w:rPr>
        <w:t>三、获取招标文件</w:t>
      </w:r>
      <w:bookmarkEnd w:id="10"/>
      <w:bookmarkEnd w:id="11"/>
      <w:bookmarkEnd w:id="12"/>
      <w:bookmarkEnd w:id="13"/>
    </w:p>
    <w:p>
      <w:pPr>
        <w:rPr>
          <w:rFonts w:hint="eastAsia" w:ascii="宋体" w:hAnsi="宋体" w:eastAsia="宋体" w:cs="Times New Roman"/>
          <w:szCs w:val="21"/>
        </w:rPr>
      </w:pPr>
      <w:bookmarkStart w:id="14" w:name="_Toc28359082"/>
      <w:bookmarkStart w:id="15" w:name="_Toc28359005"/>
      <w:bookmarkStart w:id="16" w:name="_Toc35393793"/>
      <w:bookmarkStart w:id="17"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宋体"/>
          <w:szCs w:val="21"/>
          <w:highlight w:val="none"/>
          <w:lang w:bidi="ar"/>
        </w:rPr>
        <w:t>2024年</w:t>
      </w:r>
      <w:r>
        <w:rPr>
          <w:rFonts w:hint="eastAsia" w:ascii="宋体" w:hAnsi="宋体" w:eastAsia="宋体" w:cs="宋体"/>
          <w:szCs w:val="21"/>
          <w:highlight w:val="none"/>
          <w:lang w:val="en-US" w:eastAsia="zh-CN" w:bidi="ar"/>
        </w:rPr>
        <w:t>9</w:t>
      </w:r>
      <w:r>
        <w:rPr>
          <w:rFonts w:hint="eastAsia" w:ascii="宋体" w:hAnsi="宋体" w:eastAsia="宋体" w:cs="宋体"/>
          <w:szCs w:val="21"/>
          <w:highlight w:val="none"/>
          <w:lang w:bidi="ar"/>
        </w:rPr>
        <w:t>月</w:t>
      </w:r>
      <w:r>
        <w:rPr>
          <w:rFonts w:hint="eastAsia" w:ascii="宋体" w:hAnsi="宋体" w:eastAsia="宋体" w:cs="宋体"/>
          <w:szCs w:val="21"/>
          <w:highlight w:val="none"/>
          <w:lang w:val="en-US" w:eastAsia="zh-CN" w:bidi="ar"/>
        </w:rPr>
        <w:t>19</w:t>
      </w:r>
      <w:r>
        <w:rPr>
          <w:rFonts w:hint="eastAsia" w:ascii="宋体" w:hAnsi="宋体" w:eastAsia="宋体" w:cs="宋体"/>
          <w:szCs w:val="21"/>
          <w:highlight w:val="none"/>
          <w:lang w:bidi="ar"/>
        </w:rPr>
        <w:t>日至2024年</w:t>
      </w:r>
      <w:r>
        <w:rPr>
          <w:rFonts w:hint="eastAsia" w:ascii="宋体" w:hAnsi="宋体" w:eastAsia="宋体" w:cs="宋体"/>
          <w:szCs w:val="21"/>
          <w:highlight w:val="none"/>
          <w:lang w:val="en-US" w:eastAsia="zh-CN" w:bidi="ar"/>
        </w:rPr>
        <w:t>10</w:t>
      </w:r>
      <w:r>
        <w:rPr>
          <w:rFonts w:hint="eastAsia" w:ascii="宋体" w:hAnsi="宋体" w:eastAsia="宋体" w:cs="宋体"/>
          <w:szCs w:val="21"/>
          <w:highlight w:val="none"/>
          <w:lang w:bidi="ar"/>
        </w:rPr>
        <w:t>月</w:t>
      </w:r>
      <w:r>
        <w:rPr>
          <w:rFonts w:hint="eastAsia" w:ascii="宋体" w:hAnsi="宋体" w:eastAsia="宋体" w:cs="宋体"/>
          <w:szCs w:val="21"/>
          <w:highlight w:val="none"/>
          <w:lang w:val="en-US" w:eastAsia="zh-CN" w:bidi="ar"/>
        </w:rPr>
        <w:t>10</w:t>
      </w:r>
      <w:r>
        <w:rPr>
          <w:rFonts w:hint="eastAsia" w:ascii="宋体" w:hAnsi="宋体" w:eastAsia="宋体" w:cs="宋体"/>
          <w:szCs w:val="21"/>
          <w:highlight w:val="none"/>
          <w:lang w:bidi="ar"/>
        </w:rPr>
        <w:t>日</w:t>
      </w:r>
      <w:r>
        <w:rPr>
          <w:rFonts w:hint="eastAsia" w:ascii="宋体" w:hAnsi="宋体" w:eastAsia="宋体" w:cs="Times New Roman"/>
          <w:szCs w:val="21"/>
          <w:highlight w:val="none"/>
        </w:rPr>
        <w:t>，</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hint="eastAsia"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pPr>
        <w:adjustRightInd w:val="0"/>
        <w:snapToGrid w:val="0"/>
        <w:spacing w:line="288" w:lineRule="auto"/>
        <w:ind w:firstLine="420" w:firstLineChars="200"/>
        <w:rPr>
          <w:rFonts w:hint="eastAsia" w:ascii="宋体" w:hAnsi="宋体" w:eastAsia="宋体" w:cs="Times New Roman"/>
          <w:szCs w:val="21"/>
          <w:highlight w:val="none"/>
        </w:rPr>
      </w:pPr>
      <w:bookmarkStart w:id="18" w:name="_Hlk81212057"/>
      <w:r>
        <w:rPr>
          <w:rFonts w:hint="eastAsia" w:ascii="宋体" w:hAnsi="宋体" w:eastAsia="宋体" w:cs="Times New Roman"/>
          <w:szCs w:val="21"/>
          <w:highlight w:val="none"/>
        </w:rPr>
        <w:t>提交投标文件截止时间：</w:t>
      </w:r>
      <w:r>
        <w:rPr>
          <w:rFonts w:hint="eastAsia" w:ascii="宋体" w:hAnsi="宋体" w:eastAsia="宋体" w:cs="宋体"/>
          <w:bCs/>
          <w:szCs w:val="21"/>
          <w:highlight w:val="none"/>
          <w:lang w:bidi="ar"/>
        </w:rPr>
        <w:t>2024年</w:t>
      </w:r>
      <w:r>
        <w:rPr>
          <w:rFonts w:hint="eastAsia" w:ascii="宋体" w:hAnsi="宋体" w:eastAsia="宋体" w:cs="宋体"/>
          <w:bCs/>
          <w:szCs w:val="21"/>
          <w:highlight w:val="none"/>
          <w:lang w:val="en-US" w:eastAsia="zh-CN" w:bidi="ar"/>
        </w:rPr>
        <w:t>10</w:t>
      </w:r>
      <w:r>
        <w:rPr>
          <w:rFonts w:hint="eastAsia" w:ascii="宋体" w:hAnsi="宋体" w:eastAsia="宋体" w:cs="宋体"/>
          <w:bCs/>
          <w:szCs w:val="21"/>
          <w:highlight w:val="none"/>
          <w:lang w:bidi="ar"/>
        </w:rPr>
        <w:t>月</w:t>
      </w:r>
      <w:r>
        <w:rPr>
          <w:rFonts w:hint="eastAsia" w:ascii="宋体" w:hAnsi="宋体" w:eastAsia="宋体" w:cs="宋体"/>
          <w:bCs/>
          <w:szCs w:val="21"/>
          <w:highlight w:val="none"/>
          <w:lang w:val="en-US" w:eastAsia="zh-CN" w:bidi="ar"/>
        </w:rPr>
        <w:t>10</w:t>
      </w:r>
      <w:r>
        <w:rPr>
          <w:rFonts w:hint="eastAsia" w:ascii="宋体" w:hAnsi="宋体" w:eastAsia="宋体" w:cs="宋体"/>
          <w:bCs/>
          <w:szCs w:val="21"/>
          <w:highlight w:val="none"/>
          <w:lang w:bidi="ar"/>
        </w:rPr>
        <w:t>日</w:t>
      </w:r>
      <w:r>
        <w:rPr>
          <w:rFonts w:hint="eastAsia" w:ascii="宋体" w:hAnsi="宋体" w:eastAsia="宋体" w:cs="宋体"/>
          <w:bCs/>
          <w:szCs w:val="21"/>
          <w:highlight w:val="none"/>
          <w:lang w:val="en-US" w:eastAsia="zh-CN" w:bidi="ar"/>
        </w:rPr>
        <w:t>9</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00</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00</w:t>
      </w:r>
      <w:r>
        <w:rPr>
          <w:rFonts w:hint="eastAsia" w:ascii="宋体" w:hAnsi="宋体" w:eastAsia="宋体" w:cs="宋体"/>
          <w:bCs/>
          <w:szCs w:val="21"/>
          <w:highlight w:val="none"/>
          <w:lang w:bidi="ar"/>
        </w:rPr>
        <w:t>（北京时间）</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rPr>
        <w:t>投标地点（网</w:t>
      </w:r>
      <w:r>
        <w:rPr>
          <w:rFonts w:hint="eastAsia" w:ascii="宋体" w:hAnsi="宋体" w:eastAsia="宋体" w:cs="Times New Roman"/>
          <w:szCs w:val="21"/>
          <w:highlight w:val="none"/>
        </w:rPr>
        <w:t>址）：政府采购云平台（https://www.zcygov.cn）</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开标时间：</w:t>
      </w:r>
      <w:r>
        <w:rPr>
          <w:rFonts w:hint="eastAsia" w:ascii="宋体" w:hAnsi="宋体" w:eastAsia="宋体" w:cs="宋体"/>
          <w:bCs/>
          <w:szCs w:val="21"/>
          <w:highlight w:val="none"/>
          <w:lang w:bidi="ar"/>
        </w:rPr>
        <w:t>2024年</w:t>
      </w:r>
      <w:r>
        <w:rPr>
          <w:rFonts w:hint="eastAsia" w:ascii="宋体" w:hAnsi="宋体" w:eastAsia="宋体" w:cs="宋体"/>
          <w:bCs/>
          <w:szCs w:val="21"/>
          <w:highlight w:val="none"/>
          <w:lang w:val="en-US" w:eastAsia="zh-CN" w:bidi="ar"/>
        </w:rPr>
        <w:t>10</w:t>
      </w:r>
      <w:r>
        <w:rPr>
          <w:rFonts w:hint="eastAsia" w:ascii="宋体" w:hAnsi="宋体" w:eastAsia="宋体" w:cs="宋体"/>
          <w:bCs/>
          <w:szCs w:val="21"/>
          <w:highlight w:val="none"/>
          <w:lang w:bidi="ar"/>
        </w:rPr>
        <w:t>月</w:t>
      </w:r>
      <w:r>
        <w:rPr>
          <w:rFonts w:hint="eastAsia" w:ascii="宋体" w:hAnsi="宋体" w:eastAsia="宋体" w:cs="宋体"/>
          <w:bCs/>
          <w:szCs w:val="21"/>
          <w:highlight w:val="none"/>
          <w:lang w:val="en-US" w:eastAsia="zh-CN" w:bidi="ar"/>
        </w:rPr>
        <w:t>10</w:t>
      </w:r>
      <w:r>
        <w:rPr>
          <w:rFonts w:hint="eastAsia" w:ascii="宋体" w:hAnsi="宋体" w:eastAsia="宋体" w:cs="宋体"/>
          <w:bCs/>
          <w:szCs w:val="21"/>
          <w:highlight w:val="none"/>
          <w:lang w:bidi="ar"/>
        </w:rPr>
        <w:t>日</w:t>
      </w:r>
      <w:r>
        <w:rPr>
          <w:rFonts w:hint="eastAsia" w:ascii="宋体" w:hAnsi="宋体" w:eastAsia="宋体" w:cs="宋体"/>
          <w:bCs/>
          <w:szCs w:val="21"/>
          <w:highlight w:val="none"/>
          <w:lang w:val="en-US" w:eastAsia="zh-CN" w:bidi="ar"/>
        </w:rPr>
        <w:t>9</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00</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00</w:t>
      </w:r>
      <w:r>
        <w:rPr>
          <w:rFonts w:hint="eastAsia" w:ascii="宋体" w:hAnsi="宋体" w:eastAsia="宋体" w:cs="宋体"/>
          <w:bCs/>
          <w:szCs w:val="21"/>
          <w:highlight w:val="none"/>
          <w:lang w:bidi="ar"/>
        </w:rPr>
        <w:t>（北京时间）</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开标地点（网址）：政府采购云平台（https://www.zcygov.cn）</w:t>
      </w:r>
      <w:bookmarkStart w:id="19" w:name="_Hlk81212131"/>
      <w:r>
        <w:rPr>
          <w:rFonts w:hint="eastAsia" w:ascii="宋体" w:hAnsi="宋体" w:eastAsia="宋体" w:cs="Times New Roman"/>
          <w:szCs w:val="21"/>
          <w:highlight w:val="none"/>
        </w:rPr>
        <w:t>/杭州市西湖区玉古路173号中田大厦21楼</w:t>
      </w:r>
      <w:bookmarkEnd w:id="19"/>
      <w:r>
        <w:rPr>
          <w:rFonts w:hint="eastAsia" w:ascii="宋体" w:hAnsi="宋体" w:eastAsia="宋体" w:cs="宋体"/>
          <w:szCs w:val="21"/>
          <w:highlight w:val="none"/>
          <w:lang w:bidi="ar"/>
        </w:rPr>
        <w:t>（求是招标会议室</w:t>
      </w:r>
      <w:r>
        <w:rPr>
          <w:rFonts w:hint="eastAsia" w:ascii="宋体" w:hAnsi="宋体" w:eastAsia="宋体" w:cs="宋体"/>
          <w:szCs w:val="21"/>
          <w:highlight w:val="none"/>
          <w:lang w:val="en-US" w:eastAsia="zh-CN" w:bidi="ar"/>
        </w:rPr>
        <w:t>1</w:t>
      </w:r>
      <w:r>
        <w:rPr>
          <w:rFonts w:hint="eastAsia" w:ascii="宋体" w:hAnsi="宋体" w:eastAsia="宋体" w:cs="宋体"/>
          <w:szCs w:val="21"/>
          <w:highlight w:val="none"/>
          <w:lang w:bidi="ar"/>
        </w:rPr>
        <w:t>）</w:t>
      </w:r>
    </w:p>
    <w:bookmarkEnd w:id="18"/>
    <w:p>
      <w:pPr>
        <w:adjustRightInd w:val="0"/>
        <w:snapToGrid w:val="0"/>
        <w:spacing w:line="288" w:lineRule="auto"/>
        <w:rPr>
          <w:rFonts w:hint="eastAsia" w:ascii="宋体" w:hAnsi="宋体" w:eastAsia="宋体" w:cs="宋体"/>
          <w:b/>
          <w:szCs w:val="21"/>
        </w:rPr>
      </w:pPr>
      <w:bookmarkStart w:id="20" w:name="_Toc28359007"/>
      <w:bookmarkStart w:id="21" w:name="_Toc28359084"/>
      <w:bookmarkStart w:id="22" w:name="_Toc35393625"/>
      <w:bookmarkStart w:id="23" w:name="_Toc35393794"/>
      <w:r>
        <w:rPr>
          <w:rFonts w:hint="eastAsia" w:ascii="宋体" w:hAnsi="宋体" w:eastAsia="宋体" w:cs="宋体"/>
          <w:b/>
          <w:szCs w:val="21"/>
        </w:rPr>
        <w:t>五、公告期限</w:t>
      </w:r>
      <w:bookmarkEnd w:id="20"/>
      <w:bookmarkEnd w:id="21"/>
      <w:bookmarkEnd w:id="22"/>
      <w:bookmarkEnd w:id="23"/>
    </w:p>
    <w:p>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hint="eastAsia" w:ascii="宋体" w:hAnsi="宋体" w:eastAsia="宋体" w:cs="宋体"/>
          <w:b/>
          <w:szCs w:val="21"/>
        </w:rPr>
      </w:pPr>
      <w:bookmarkStart w:id="24" w:name="_Toc35393795"/>
      <w:bookmarkStart w:id="25" w:name="_Toc35393626"/>
      <w:r>
        <w:rPr>
          <w:rFonts w:hint="eastAsia" w:ascii="宋体" w:hAnsi="宋体" w:eastAsia="宋体" w:cs="宋体"/>
          <w:b/>
          <w:szCs w:val="21"/>
        </w:rPr>
        <w:t>六、其他补充事宜</w:t>
      </w:r>
      <w:bookmarkEnd w:id="24"/>
      <w:bookmarkEnd w:id="25"/>
    </w:p>
    <w:p>
      <w:pPr>
        <w:adjustRightInd w:val="0"/>
        <w:snapToGrid w:val="0"/>
        <w:spacing w:line="288" w:lineRule="auto"/>
        <w:ind w:firstLine="420" w:firstLineChars="200"/>
        <w:rPr>
          <w:rFonts w:hint="eastAsia"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7" w:name="_Hlk92271331"/>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pPr>
        <w:adjustRightInd w:val="0"/>
        <w:snapToGrid w:val="0"/>
        <w:spacing w:line="288" w:lineRule="auto"/>
        <w:rPr>
          <w:rFonts w:hint="eastAsia" w:ascii="宋体" w:hAnsi="宋体" w:eastAsia="宋体" w:cs="Times New Roman"/>
          <w:b/>
          <w:szCs w:val="21"/>
        </w:rPr>
      </w:pPr>
      <w:bookmarkStart w:id="30" w:name="_Toc28359085"/>
      <w:bookmarkStart w:id="31" w:name="_Toc28359008"/>
      <w:bookmarkStart w:id="32" w:name="_Toc35393796"/>
      <w:bookmarkStart w:id="33"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名称：浙江省公安科技研究所</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地址：杭州市民生路66号</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项目联系人（询问）：赵静岚</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w:t>
      </w:r>
      <w:r>
        <w:rPr>
          <w:rFonts w:ascii="宋体" w:hAnsi="宋体" w:eastAsia="宋体" w:cs="Times New Roman"/>
          <w:szCs w:val="21"/>
        </w:rPr>
        <w:t>0571-87286949</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质疑联系人：丁先生</w:t>
      </w:r>
    </w:p>
    <w:p>
      <w:pPr>
        <w:adjustRightInd w:val="0"/>
        <w:snapToGrid w:val="0"/>
        <w:spacing w:line="288" w:lineRule="auto"/>
        <w:ind w:firstLine="424" w:firstLineChars="202"/>
        <w:rPr>
          <w:rFonts w:hint="eastAsia" w:ascii="宋体" w:hAnsi="宋体" w:eastAsia="宋体" w:cs="Times New Roman"/>
          <w:szCs w:val="21"/>
          <w:highlight w:val="yellow"/>
        </w:rPr>
      </w:pPr>
      <w:r>
        <w:rPr>
          <w:rFonts w:hint="eastAsia" w:ascii="宋体" w:hAnsi="宋体" w:eastAsia="宋体" w:cs="Times New Roman"/>
          <w:szCs w:val="21"/>
        </w:rPr>
        <w:t>质疑联系方式：</w:t>
      </w:r>
      <w:r>
        <w:rPr>
          <w:rFonts w:ascii="宋体" w:hAnsi="宋体" w:eastAsia="宋体" w:cs="Times New Roman"/>
          <w:szCs w:val="21"/>
        </w:rPr>
        <w:t>0571-87286357</w:t>
      </w:r>
    </w:p>
    <w:p>
      <w:pPr>
        <w:adjustRightInd w:val="0"/>
        <w:snapToGrid w:val="0"/>
        <w:spacing w:line="288" w:lineRule="auto"/>
        <w:ind w:firstLine="424" w:firstLineChars="202"/>
        <w:rPr>
          <w:rFonts w:hint="eastAsia" w:ascii="宋体" w:hAnsi="宋体" w:eastAsia="宋体" w:cs="Times New Roman"/>
          <w:szCs w:val="21"/>
        </w:rPr>
      </w:pP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陈丹妮</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项目联系方式（询问）：0571-87666119</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hint="eastAsia" w:ascii="宋体" w:hAnsi="宋体" w:eastAsia="宋体" w:cs="Times New Roman"/>
          <w:szCs w:val="21"/>
        </w:rPr>
      </w:pPr>
      <w:bookmarkStart w:id="34" w:name="_Hlk124147873"/>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地址：杭州市上城区四季青街道新业路市民之家G03办公室</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监督投诉电话：0571-85252453</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pPr>
        <w:adjustRightInd w:val="0"/>
        <w:snapToGrid w:val="0"/>
        <w:spacing w:line="288" w:lineRule="auto"/>
        <w:ind w:firstLine="396" w:firstLineChars="200"/>
        <w:rPr>
          <w:rFonts w:hint="eastAsia" w:ascii="宋体" w:hAnsi="宋体" w:eastAsia="宋体" w:cs="Times New Roman"/>
          <w:spacing w:val="-6"/>
          <w:szCs w:val="21"/>
        </w:rPr>
      </w:pP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https://www.zcygov.cn/），点击右侧咨询小采，获取采小蜜智能服务管家帮助，或拨打政采云服务热线400-881-7190获取热线服务帮助。</w:t>
      </w:r>
    </w:p>
    <w:p>
      <w:pPr>
        <w:adjustRightInd w:val="0"/>
        <w:snapToGrid w:val="0"/>
        <w:spacing w:line="288" w:lineRule="auto"/>
        <w:ind w:firstLine="396" w:firstLineChars="200"/>
        <w:rPr>
          <w:rFonts w:hint="eastAsia"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4"/>
    <w:p>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rPr>
          <w:trHeight w:val="312" w:hRule="atLeast"/>
        </w:trPr>
        <w:tc>
          <w:tcPr>
            <w:tcW w:w="708" w:type="dxa"/>
            <w:vAlign w:val="center"/>
          </w:tcPr>
          <w:p>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trPr>
          <w:trHeight w:val="312" w:hRule="atLeast"/>
        </w:trPr>
        <w:tc>
          <w:tcPr>
            <w:tcW w:w="708" w:type="dxa"/>
            <w:vAlign w:val="center"/>
          </w:tcPr>
          <w:p>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hint="eastAsia"/>
              </w:rPr>
            </w:pPr>
            <w:r>
              <w:rPr>
                <w:rFonts w:hint="eastAsia" w:ascii="宋体" w:hAnsi="宋体" w:eastAsia="宋体" w:cs="宋体"/>
                <w:szCs w:val="21"/>
              </w:rPr>
              <w:t>提供材料详见招标文件第六章“资格文件”</w:t>
            </w:r>
          </w:p>
        </w:tc>
      </w:tr>
      <w:tr>
        <w:trPr>
          <w:trHeight w:val="312" w:hRule="atLeast"/>
        </w:trPr>
        <w:tc>
          <w:tcPr>
            <w:tcW w:w="708"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hint="eastAsia" w:ascii="宋体" w:hAnsi="宋体" w:eastAsia="宋体" w:cs="Times New Roman"/>
                <w:b/>
                <w:bCs/>
                <w:szCs w:val="21"/>
                <w:highlight w:val="yellow"/>
              </w:rPr>
            </w:pPr>
            <w:r>
              <w:rPr>
                <w:rFonts w:hint="eastAsia" w:ascii="宋体" w:hAnsi="宋体" w:eastAsia="宋体" w:cs="宋体"/>
                <w:szCs w:val="21"/>
              </w:rPr>
              <w:t>提供材料详见招标文件第六章“资格文件”</w:t>
            </w:r>
          </w:p>
        </w:tc>
      </w:tr>
      <w:tr>
        <w:trPr>
          <w:trHeight w:val="50" w:hRule="atLeast"/>
        </w:trPr>
        <w:tc>
          <w:tcPr>
            <w:tcW w:w="708"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hint="eastAsia" w:ascii="宋体" w:hAnsi="宋体" w:eastAsia="宋体" w:cs="宋体"/>
                <w:szCs w:val="21"/>
                <w:highlight w:val="yellow"/>
              </w:rPr>
            </w:pPr>
            <w:r>
              <w:rPr>
                <w:rFonts w:hint="eastAsia" w:ascii="宋体" w:hAnsi="宋体" w:eastAsia="宋体" w:cs="宋体"/>
                <w:szCs w:val="21"/>
              </w:rPr>
              <w:t>提供材料详见招标文件第六章“资格文件”</w:t>
            </w:r>
          </w:p>
        </w:tc>
      </w:tr>
      <w:bookmarkEnd w:id="35"/>
    </w:tbl>
    <w:p>
      <w:pPr>
        <w:adjustRightInd w:val="0"/>
        <w:snapToGrid w:val="0"/>
        <w:spacing w:line="288" w:lineRule="auto"/>
        <w:rPr>
          <w:rFonts w:hint="eastAsia" w:ascii="宋体" w:hAnsi="宋体" w:eastAsia="宋体" w:cs="Times New Roman"/>
          <w:b/>
          <w:spacing w:val="-4"/>
          <w:szCs w:val="21"/>
        </w:rPr>
      </w:pP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
                <w:spacing w:val="-6"/>
                <w:szCs w:val="21"/>
              </w:rPr>
            </w:pPr>
            <w:bookmarkStart w:id="36"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288" w:lineRule="auto"/>
              <w:ind w:firstLine="420" w:firstLineChars="200"/>
              <w:jc w:val="left"/>
              <w:rPr>
                <w:rFonts w:hint="eastAsia" w:ascii="宋体" w:hAnsi="宋体" w:eastAsia="宋体" w:cs="宋体"/>
                <w:spacing w:val="-6"/>
                <w:kern w:val="0"/>
                <w:szCs w:val="21"/>
              </w:rPr>
            </w:pPr>
            <w:r>
              <w:rPr>
                <w:rFonts w:hint="eastAsia" w:ascii="宋体" w:hAnsi="宋体" w:eastAsia="宋体" w:cs="宋体"/>
                <w:bCs/>
                <w:szCs w:val="21"/>
              </w:rPr>
              <w:t>合同签订且维保服务期开始后，采购人支付70%合同款。中标方在维保期内无任何违约责任，采购人应于维保期满项目验收合格后支付30%合同款，否则采购人将在扣除中标方应承担的费用后支付剩余的合同款（如有）。</w:t>
            </w:r>
          </w:p>
        </w:tc>
      </w:tr>
      <w:bookmarkEnd w:id="36"/>
    </w:tbl>
    <w:p>
      <w:pPr>
        <w:adjustRightInd w:val="0"/>
        <w:snapToGrid w:val="0"/>
        <w:spacing w:line="288" w:lineRule="auto"/>
        <w:rPr>
          <w:rFonts w:hint="eastAsia" w:ascii="宋体" w:hAnsi="宋体" w:eastAsia="宋体" w:cs="Times New Roman"/>
          <w:spacing w:val="-4"/>
          <w:szCs w:val="21"/>
        </w:rPr>
      </w:pPr>
    </w:p>
    <w:p>
      <w:pPr>
        <w:numPr>
          <w:ilvl w:val="0"/>
          <w:numId w:val="3"/>
        </w:numPr>
        <w:adjustRightInd w:val="0"/>
        <w:snapToGrid w:val="0"/>
        <w:spacing w:line="288" w:lineRule="auto"/>
        <w:outlineLvl w:val="1"/>
        <w:rPr>
          <w:rFonts w:hint="eastAsia" w:ascii="宋体" w:hAnsi="宋体" w:eastAsia="宋体" w:cs="宋体"/>
          <w:b/>
          <w:szCs w:val="21"/>
        </w:rPr>
      </w:pPr>
      <w:r>
        <w:rPr>
          <w:rFonts w:hint="eastAsia" w:ascii="宋体" w:hAnsi="宋体" w:eastAsia="宋体" w:cs="Times New Roman"/>
          <w:b/>
          <w:szCs w:val="21"/>
        </w:rPr>
        <w:t>服务要求</w:t>
      </w:r>
    </w:p>
    <w:p>
      <w:pPr>
        <w:spacing w:line="288" w:lineRule="auto"/>
        <w:rPr>
          <w:rFonts w:hint="eastAsia" w:ascii="宋体" w:hAnsi="宋体" w:eastAsia="宋体" w:cs="宋体"/>
          <w:szCs w:val="21"/>
        </w:rPr>
      </w:pPr>
      <w:r>
        <w:rPr>
          <w:rFonts w:hint="eastAsia" w:ascii="宋体" w:hAnsi="宋体" w:eastAsia="宋体" w:cs="宋体"/>
          <w:szCs w:val="21"/>
        </w:rPr>
        <w:t>1、项目概况</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）项目绩效目标</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1）总体目标：保障公安部“一机两用”监控系统及公安信息网安全管理平台的正常运行。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2）正常运行率≥99%</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3）响应时间≤2小时</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4）驻场人员数量：2人</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5）维保软硬件数量：2套</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）项目类别：续运维</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）维保范围</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1）硬件或基础设施</w:t>
      </w:r>
    </w:p>
    <w:p>
      <w:pPr>
        <w:pStyle w:val="6"/>
        <w:spacing w:line="288" w:lineRule="auto"/>
        <w:ind w:firstLine="640"/>
        <w:rPr>
          <w:rFonts w:hint="eastAsia" w:ascii="宋体" w:hAnsi="宋体" w:cs="宋体"/>
          <w:szCs w:val="21"/>
        </w:rPr>
      </w:pPr>
      <w:r>
        <w:rPr>
          <w:rFonts w:hint="eastAsia" w:ascii="宋体" w:hAnsi="宋体" w:cs="宋体"/>
          <w:szCs w:val="21"/>
        </w:rPr>
        <w:t>无</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2）软件或信息系统</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2359"/>
        <w:gridCol w:w="2359"/>
        <w:gridCol w:w="3331"/>
      </w:tblGrid>
      <w:tr>
        <w:tc>
          <w:tcPr>
            <w:tcW w:w="818" w:type="pct"/>
          </w:tcPr>
          <w:p>
            <w:pPr>
              <w:spacing w:line="288" w:lineRule="auto"/>
              <w:jc w:val="center"/>
              <w:rPr>
                <w:rFonts w:hint="eastAsia" w:ascii="宋体" w:hAnsi="宋体" w:eastAsia="宋体" w:cs="宋体"/>
                <w:szCs w:val="21"/>
              </w:rPr>
            </w:pPr>
            <w:r>
              <w:rPr>
                <w:rFonts w:hint="eastAsia" w:ascii="宋体" w:hAnsi="宋体" w:eastAsia="宋体" w:cs="宋体"/>
                <w:szCs w:val="21"/>
              </w:rPr>
              <w:t>序号</w:t>
            </w:r>
          </w:p>
        </w:tc>
        <w:tc>
          <w:tcPr>
            <w:tcW w:w="1225" w:type="pct"/>
          </w:tcPr>
          <w:p>
            <w:pPr>
              <w:spacing w:line="288" w:lineRule="auto"/>
              <w:jc w:val="center"/>
              <w:rPr>
                <w:rFonts w:hint="eastAsia" w:ascii="宋体" w:hAnsi="宋体" w:eastAsia="宋体" w:cs="宋体"/>
                <w:szCs w:val="21"/>
              </w:rPr>
            </w:pPr>
            <w:r>
              <w:rPr>
                <w:rFonts w:hint="eastAsia" w:ascii="宋体" w:hAnsi="宋体" w:eastAsia="宋体" w:cs="宋体"/>
                <w:szCs w:val="21"/>
              </w:rPr>
              <w:t>资产编号</w:t>
            </w:r>
          </w:p>
        </w:tc>
        <w:tc>
          <w:tcPr>
            <w:tcW w:w="1225" w:type="pct"/>
          </w:tcPr>
          <w:p>
            <w:pPr>
              <w:spacing w:line="288" w:lineRule="auto"/>
              <w:jc w:val="center"/>
              <w:rPr>
                <w:rFonts w:hint="eastAsia" w:ascii="宋体" w:hAnsi="宋体" w:eastAsia="宋体" w:cs="宋体"/>
                <w:szCs w:val="21"/>
              </w:rPr>
            </w:pPr>
            <w:r>
              <w:rPr>
                <w:rFonts w:hint="eastAsia" w:ascii="宋体" w:hAnsi="宋体" w:eastAsia="宋体" w:cs="宋体"/>
                <w:szCs w:val="21"/>
              </w:rPr>
              <w:t>系统名称</w:t>
            </w:r>
          </w:p>
        </w:tc>
        <w:tc>
          <w:tcPr>
            <w:tcW w:w="1729" w:type="pct"/>
          </w:tcPr>
          <w:p>
            <w:pPr>
              <w:spacing w:line="288" w:lineRule="auto"/>
              <w:jc w:val="center"/>
              <w:rPr>
                <w:rFonts w:hint="eastAsia" w:ascii="宋体" w:hAnsi="宋体" w:eastAsia="宋体" w:cs="宋体"/>
                <w:szCs w:val="21"/>
              </w:rPr>
            </w:pPr>
            <w:r>
              <w:rPr>
                <w:rFonts w:hint="eastAsia" w:ascii="宋体" w:hAnsi="宋体" w:eastAsia="宋体" w:cs="宋体"/>
                <w:szCs w:val="21"/>
              </w:rPr>
              <w:t>主要功能模块</w:t>
            </w:r>
          </w:p>
        </w:tc>
      </w:tr>
      <w:tr>
        <w:tc>
          <w:tcPr>
            <w:tcW w:w="818"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1225"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无固定资产编号（为公安部统一下发的软件）</w:t>
            </w:r>
          </w:p>
        </w:tc>
        <w:tc>
          <w:tcPr>
            <w:tcW w:w="1225"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公安部“一机两用”监控系统</w:t>
            </w:r>
          </w:p>
        </w:tc>
        <w:tc>
          <w:tcPr>
            <w:tcW w:w="1729" w:type="pct"/>
            <w:vAlign w:val="center"/>
          </w:tcPr>
          <w:p>
            <w:pPr>
              <w:spacing w:line="288" w:lineRule="auto"/>
              <w:rPr>
                <w:rFonts w:hint="eastAsia" w:ascii="宋体" w:hAnsi="宋体" w:eastAsia="宋体" w:cs="宋体"/>
                <w:szCs w:val="21"/>
              </w:rPr>
            </w:pPr>
            <w:r>
              <w:rPr>
                <w:rFonts w:hint="eastAsia" w:ascii="宋体" w:hAnsi="宋体" w:eastAsia="宋体" w:cs="宋体"/>
                <w:szCs w:val="21"/>
              </w:rPr>
              <w:t>公安网设备信息查询、本地资产统计、级联总控、终端管理等。</w:t>
            </w:r>
          </w:p>
        </w:tc>
      </w:tr>
      <w:tr>
        <w:tc>
          <w:tcPr>
            <w:tcW w:w="818"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1225"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无固定资产编号</w:t>
            </w:r>
          </w:p>
          <w:p>
            <w:pPr>
              <w:spacing w:line="288" w:lineRule="auto"/>
              <w:jc w:val="center"/>
              <w:rPr>
                <w:rFonts w:hint="eastAsia" w:ascii="宋体" w:hAnsi="宋体" w:eastAsia="宋体" w:cs="宋体"/>
                <w:szCs w:val="21"/>
              </w:rPr>
            </w:pPr>
            <w:r>
              <w:rPr>
                <w:rFonts w:hint="eastAsia" w:ascii="宋体" w:hAnsi="宋体" w:eastAsia="宋体" w:cs="宋体"/>
                <w:szCs w:val="21"/>
              </w:rPr>
              <w:t>（备注：2009年建设的软件系统，未注册固定资产，无固定资产编号）</w:t>
            </w:r>
          </w:p>
        </w:tc>
        <w:tc>
          <w:tcPr>
            <w:tcW w:w="1225"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公安信息网</w:t>
            </w:r>
          </w:p>
          <w:p>
            <w:pPr>
              <w:spacing w:line="288" w:lineRule="auto"/>
              <w:jc w:val="center"/>
              <w:rPr>
                <w:rFonts w:hint="eastAsia" w:ascii="宋体" w:hAnsi="宋体" w:eastAsia="宋体" w:cs="宋体"/>
                <w:szCs w:val="21"/>
              </w:rPr>
            </w:pPr>
            <w:r>
              <w:rPr>
                <w:rFonts w:hint="eastAsia" w:ascii="宋体" w:hAnsi="宋体" w:eastAsia="宋体" w:cs="宋体"/>
                <w:szCs w:val="21"/>
              </w:rPr>
              <w:t>安全管理平台</w:t>
            </w:r>
          </w:p>
        </w:tc>
        <w:tc>
          <w:tcPr>
            <w:tcW w:w="1729" w:type="pct"/>
            <w:vAlign w:val="center"/>
          </w:tcPr>
          <w:p>
            <w:pPr>
              <w:spacing w:line="288" w:lineRule="auto"/>
              <w:rPr>
                <w:rFonts w:hint="eastAsia" w:ascii="宋体" w:hAnsi="宋体" w:eastAsia="宋体" w:cs="宋体"/>
                <w:szCs w:val="21"/>
              </w:rPr>
            </w:pPr>
            <w:r>
              <w:rPr>
                <w:rFonts w:hint="eastAsia" w:ascii="宋体" w:hAnsi="宋体" w:eastAsia="宋体" w:cs="宋体"/>
                <w:szCs w:val="21"/>
              </w:rPr>
              <w:t>入网设备注册管理，对违规事件进行监测、提醒、预警、通报，移动存储介质注册管理、敏感信息检测、违规边界检测等。</w:t>
            </w:r>
          </w:p>
        </w:tc>
      </w:tr>
    </w:tbl>
    <w:p>
      <w:pPr>
        <w:spacing w:line="288" w:lineRule="auto"/>
        <w:rPr>
          <w:rFonts w:hint="eastAsia" w:ascii="宋体" w:hAnsi="宋体" w:eastAsia="宋体" w:cs="宋体"/>
          <w:szCs w:val="21"/>
        </w:rPr>
      </w:pPr>
      <w:r>
        <w:rPr>
          <w:rFonts w:hint="eastAsia" w:ascii="宋体" w:hAnsi="宋体" w:eastAsia="宋体" w:cs="宋体"/>
          <w:szCs w:val="21"/>
        </w:rPr>
        <w:t>2、时间和期限</w:t>
      </w:r>
    </w:p>
    <w:p>
      <w:pPr>
        <w:spacing w:line="288" w:lineRule="auto"/>
        <w:ind w:firstLine="420" w:firstLineChars="200"/>
        <w:rPr>
          <w:rFonts w:hint="eastAsia" w:ascii="宋体" w:hAnsi="宋体" w:eastAsia="宋体" w:cs="宋体"/>
          <w:bCs/>
          <w:szCs w:val="21"/>
        </w:rPr>
      </w:pPr>
      <w:r>
        <w:rPr>
          <w:rFonts w:hint="eastAsia" w:ascii="宋体" w:hAnsi="宋体" w:eastAsia="宋体" w:cs="宋体"/>
          <w:szCs w:val="21"/>
        </w:rPr>
        <w:t>（1）维保起始时间：</w:t>
      </w:r>
      <w:r>
        <w:rPr>
          <w:rFonts w:hint="eastAsia" w:ascii="宋体" w:hAnsi="宋体" w:eastAsia="宋体" w:cs="宋体"/>
          <w:bCs/>
          <w:szCs w:val="21"/>
        </w:rPr>
        <w:t>2024年10月11日</w:t>
      </w:r>
    </w:p>
    <w:p>
      <w:pPr>
        <w:spacing w:line="288" w:lineRule="auto"/>
        <w:ind w:firstLine="420" w:firstLineChars="200"/>
        <w:rPr>
          <w:rFonts w:hint="eastAsia" w:ascii="宋体" w:hAnsi="宋体" w:eastAsia="宋体" w:cs="宋体"/>
          <w:bCs/>
          <w:szCs w:val="21"/>
        </w:rPr>
      </w:pPr>
      <w:r>
        <w:rPr>
          <w:rFonts w:hint="eastAsia" w:ascii="宋体" w:hAnsi="宋体" w:eastAsia="宋体" w:cs="宋体"/>
          <w:szCs w:val="21"/>
        </w:rPr>
        <w:t>（2）维保结束时间：</w:t>
      </w:r>
      <w:r>
        <w:rPr>
          <w:rFonts w:hint="eastAsia" w:ascii="宋体" w:hAnsi="宋体" w:eastAsia="宋体" w:cs="宋体"/>
          <w:bCs/>
          <w:szCs w:val="21"/>
        </w:rPr>
        <w:t>2025年10月10日</w:t>
      </w:r>
    </w:p>
    <w:p>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（如合同签订时，上期维保已结束，则维保期为合同签订之日起一年整）。</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（3）维保服务时段：驻场服务人员提供5*8小时驻场服务，7*24小时电话支持，具体上下班时间遵照浙江省公安科技研究所规定的工作时间，在重大安保期间根据用户要求参与现场值守。</w:t>
      </w:r>
    </w:p>
    <w:p>
      <w:pPr>
        <w:spacing w:line="288" w:lineRule="auto"/>
        <w:rPr>
          <w:rFonts w:hint="eastAsia" w:ascii="宋体" w:hAnsi="宋体" w:eastAsia="宋体" w:cs="宋体"/>
          <w:szCs w:val="21"/>
        </w:rPr>
      </w:pPr>
      <w:r>
        <w:rPr>
          <w:rFonts w:hint="eastAsia" w:ascii="宋体" w:hAnsi="宋体" w:eastAsia="宋体" w:cs="宋体"/>
          <w:szCs w:val="21"/>
        </w:rPr>
        <w:t>3、服务方式</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（1）服务交付方式：现场交付</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（2）服务受理渠道：工作时间现场支持/提供服务热线/提供服务邮箱等。</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（3）服务投诉渠道：提供投诉热线。</w:t>
      </w:r>
    </w:p>
    <w:p>
      <w:pPr>
        <w:spacing w:line="288" w:lineRule="auto"/>
        <w:rPr>
          <w:rFonts w:hint="eastAsia" w:ascii="宋体" w:hAnsi="宋体" w:eastAsia="宋体" w:cs="宋体"/>
          <w:szCs w:val="21"/>
        </w:rPr>
      </w:pPr>
      <w:r>
        <w:rPr>
          <w:rFonts w:hint="eastAsia" w:ascii="宋体" w:hAnsi="宋体" w:eastAsia="宋体" w:cs="宋体"/>
          <w:szCs w:val="21"/>
        </w:rPr>
        <w:t>4、服务内容</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（1）例行操作要求：</w:t>
      </w:r>
    </w:p>
    <w:p>
      <w:pPr>
        <w:pStyle w:val="11"/>
        <w:spacing w:after="0" w:line="288" w:lineRule="auto"/>
        <w:ind w:firstLine="420" w:firstLineChars="200"/>
        <w:rPr>
          <w:rFonts w:hint="eastAsia" w:ascii="宋体" w:hAnsi="宋体" w:cs="宋体"/>
          <w:bCs/>
          <w:sz w:val="21"/>
          <w:szCs w:val="21"/>
        </w:rPr>
      </w:pPr>
      <w:r>
        <w:rPr>
          <w:rFonts w:hint="eastAsia" w:ascii="宋体" w:hAnsi="宋体" w:cs="宋体"/>
          <w:bCs/>
          <w:sz w:val="21"/>
          <w:szCs w:val="21"/>
        </w:rPr>
        <w:t>1）公安信息网安全管理平台</w:t>
      </w:r>
    </w:p>
    <w:p>
      <w:pPr>
        <w:widowControl/>
        <w:numPr>
          <w:ilvl w:val="0"/>
          <w:numId w:val="4"/>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日常运行维护服务：每日对省厅机关公安信息网安全管理平台的WEB页面、数据库、管理器、分析服务器运行情况开展巡检；</w:t>
      </w:r>
      <w:r>
        <w:rPr>
          <w:rStyle w:val="34"/>
          <w:rFonts w:hint="eastAsia" w:ascii="宋体" w:hAnsi="宋体" w:eastAsia="宋体" w:cs="宋体"/>
        </w:rPr>
        <w:t>每日对</w:t>
      </w:r>
      <w:r>
        <w:rPr>
          <w:rFonts w:hint="eastAsia" w:ascii="宋体" w:hAnsi="宋体" w:eastAsia="宋体" w:cs="宋体"/>
          <w:szCs w:val="21"/>
        </w:rPr>
        <w:t>安全管理平台和一机两用系统数据的同步工作情况及安全管理平台中终端数据准确性开展巡检；每周做好系统及数据的备份工作；根据用户的管理需求，对省厅公安信息网安全管理平台的策略配置进行修改;每月出具月度运维报告。</w:t>
      </w:r>
    </w:p>
    <w:p>
      <w:pPr>
        <w:widowControl/>
        <w:numPr>
          <w:ilvl w:val="0"/>
          <w:numId w:val="4"/>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入网设备和应用系统基础管理工作：每周对入网设备注册管理、检测是否安装杀毒软件、是否安装运行违规软件等，对公安网应用系统进行监测和注册备案，每月出具月度运维报告。</w:t>
      </w:r>
    </w:p>
    <w:p>
      <w:pPr>
        <w:widowControl/>
        <w:numPr>
          <w:ilvl w:val="0"/>
          <w:numId w:val="4"/>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根据工作需要实时对全省各类安全违规事件进行监测、提醒、预警、通报等工作，具体包括整改通知书（含预警及通报）下发、催交、回执审核、统计汇总、每月通报整理等工作。</w:t>
      </w:r>
    </w:p>
    <w:p>
      <w:pPr>
        <w:widowControl/>
        <w:numPr>
          <w:ilvl w:val="0"/>
          <w:numId w:val="4"/>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对全省部署的直连互联网监测设备正常运行情况每月监测和通报，确保系统正常运行和告警，配合用户对全省监测到的直连互联网、非授权外联等违规行为进行每日监测和查处工作。每月出具月度运维报告。</w:t>
      </w:r>
    </w:p>
    <w:p>
      <w:pPr>
        <w:pStyle w:val="11"/>
        <w:widowControl/>
        <w:spacing w:after="0" w:line="288" w:lineRule="auto"/>
        <w:ind w:firstLine="420" w:firstLineChars="200"/>
        <w:rPr>
          <w:rFonts w:hint="eastAsia" w:ascii="宋体" w:hAnsi="宋体" w:cs="宋体"/>
          <w:sz w:val="21"/>
          <w:szCs w:val="21"/>
        </w:rPr>
      </w:pPr>
      <w:r>
        <w:rPr>
          <w:rFonts w:hint="eastAsia" w:ascii="宋体" w:hAnsi="宋体" w:cs="宋体"/>
          <w:sz w:val="21"/>
          <w:szCs w:val="21"/>
        </w:rPr>
        <w:t>E.对公安网上原注册的各类移动存储介质进行出网注销等工作；根据实际工作需要设置移动存储介质使用策略；对移动存储介质使用记录进行审核，查看是否存在违规使用现象。每月出具月度运维报告.</w:t>
      </w:r>
    </w:p>
    <w:p>
      <w:pPr>
        <w:pStyle w:val="11"/>
        <w:widowControl/>
        <w:spacing w:after="0" w:line="288" w:lineRule="auto"/>
        <w:ind w:firstLine="420" w:firstLineChars="200"/>
        <w:rPr>
          <w:rFonts w:hint="eastAsia" w:ascii="宋体" w:hAnsi="宋体" w:cs="宋体"/>
          <w:sz w:val="21"/>
          <w:szCs w:val="21"/>
        </w:rPr>
      </w:pPr>
      <w:r>
        <w:rPr>
          <w:rFonts w:hint="eastAsia" w:ascii="宋体" w:hAnsi="宋体" w:cs="宋体"/>
          <w:sz w:val="21"/>
          <w:szCs w:val="21"/>
        </w:rPr>
        <w:t>F.每日查看平台监测情况，全省范围内新发现的公安网线路边界进行注册审核，对发现的违规线路边界通知用户进行处理，每月出具月度运维报告。</w:t>
      </w:r>
    </w:p>
    <w:p>
      <w:pPr>
        <w:pStyle w:val="11"/>
        <w:widowControl/>
        <w:spacing w:after="0" w:line="288" w:lineRule="auto"/>
        <w:ind w:firstLine="420" w:firstLineChars="200"/>
        <w:rPr>
          <w:rFonts w:hint="eastAsia" w:ascii="宋体" w:hAnsi="宋体" w:cs="宋体"/>
          <w:sz w:val="21"/>
          <w:szCs w:val="21"/>
        </w:rPr>
      </w:pPr>
      <w:r>
        <w:rPr>
          <w:rFonts w:hint="eastAsia" w:ascii="宋体" w:hAnsi="宋体" w:cs="宋体"/>
          <w:sz w:val="21"/>
          <w:szCs w:val="21"/>
        </w:rPr>
        <w:t>G.协助用户做好全省公安网终端防泄露屏幕水印、违规安全事件终端提醒、每月公安数字证书使用情况终端提醒等工作,每月出具月度运维报告。</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H.协助用户做好厅机关终端安全管理、人员管理、项目管理、安全检查等安全管理工作，每月出具月度运维报告。</w:t>
      </w:r>
    </w:p>
    <w:p>
      <w:pPr>
        <w:pStyle w:val="11"/>
        <w:spacing w:after="0" w:line="288" w:lineRule="auto"/>
        <w:ind w:firstLine="420" w:firstLineChars="200"/>
        <w:rPr>
          <w:rFonts w:hint="eastAsia" w:ascii="宋体" w:hAnsi="宋体" w:cs="宋体"/>
          <w:bCs/>
          <w:sz w:val="21"/>
          <w:szCs w:val="21"/>
        </w:rPr>
      </w:pPr>
      <w:r>
        <w:rPr>
          <w:rFonts w:hint="eastAsia" w:ascii="宋体" w:hAnsi="宋体" w:cs="宋体"/>
          <w:bCs/>
          <w:sz w:val="21"/>
          <w:szCs w:val="21"/>
        </w:rPr>
        <w:t>2）公安部“一机两用”监控系统</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A.日常维护服务：提供省厅“一机两用”监控系统日常维护服务，每日对系统正常稳定运行情况开展巡检，及时处理系统出现的各类技术问题，做好系统及数据的备份工作。对于重大技术问题要求在问题解决后48小时内，提交问题处理报告，说明问题种类、问题原因、问题解决中使用的方法及造成的损失等情况，每月出具月度运维报告。</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B.数据清理服务：对省厅及各市“一机两用”监控系统中质量不合规的问题数据清理服务，每日查看并清理系统中的问题数据，确保系统数据符合公安部要求。每月出具月度运维报告。</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C.定期巡检服务：提供“一机两用”监控系统定期巡检服务，要求每月巡检一次，并于巡检结束后提交巡检报告，说明巡检结果，提出系统的隐患、解决方案或优化建议。</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D.每月对全省各地的一机两用系统中存在质量问题的数据进行统计，并将存在问题的数据提供各地督促落实整改，并在全省安全通报中提供相关通报数据。</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E.提供每月全省运行管理通报所需的相关数据，具体包括：一机两用正常运行率、设备注册率、杀毒软件安装率等,每月出具月度运维报告。对月通报中存在的相关问题为各地进行技术支持，以提升和改进相关工作。</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F.负责维护省厅及11个地市“一机两用”监控系统侦听器的的正常运行，对省厅及地市的“一机两用”监控系统侦听器进行运维监控并及时处理异常情况，做好系统的备份工作。</w:t>
      </w:r>
    </w:p>
    <w:p>
      <w:pPr>
        <w:widowControl/>
        <w:tabs>
          <w:tab w:val="left" w:pos="993"/>
        </w:tabs>
        <w:spacing w:line="288" w:lineRule="auto"/>
        <w:rPr>
          <w:rFonts w:hint="eastAsia" w:ascii="宋体" w:hAnsi="宋体" w:eastAsia="宋体" w:cs="宋体"/>
          <w:szCs w:val="21"/>
        </w:rPr>
      </w:pPr>
      <w:r>
        <w:rPr>
          <w:rFonts w:hint="eastAsia" w:ascii="宋体" w:hAnsi="宋体" w:eastAsia="宋体" w:cs="宋体"/>
          <w:szCs w:val="21"/>
        </w:rPr>
        <w:t xml:space="preserve">    G.其他日常安全管理工作中涉及终端安全相关的服务。</w:t>
      </w:r>
    </w:p>
    <w:p>
      <w:pPr>
        <w:numPr>
          <w:ilvl w:val="255"/>
          <w:numId w:val="0"/>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（2）响应支持要求：</w:t>
      </w:r>
    </w:p>
    <w:p>
      <w:pPr>
        <w:widowControl/>
        <w:spacing w:line="288" w:lineRule="auto"/>
        <w:ind w:left="640"/>
        <w:rPr>
          <w:rFonts w:hint="eastAsia" w:ascii="宋体" w:hAnsi="宋体" w:eastAsia="宋体" w:cs="宋体"/>
          <w:bCs/>
          <w:szCs w:val="21"/>
        </w:rPr>
      </w:pPr>
      <w:r>
        <w:rPr>
          <w:rFonts w:hint="eastAsia" w:ascii="宋体" w:hAnsi="宋体" w:eastAsia="宋体" w:cs="宋体"/>
          <w:bCs/>
          <w:szCs w:val="21"/>
        </w:rPr>
        <w:t>1）公安信息网安全管理平台</w:t>
      </w:r>
    </w:p>
    <w:p>
      <w:pPr>
        <w:pStyle w:val="11"/>
        <w:spacing w:after="0" w:line="288" w:lineRule="auto"/>
        <w:ind w:firstLine="420" w:firstLineChars="200"/>
        <w:rPr>
          <w:rStyle w:val="34"/>
          <w:rFonts w:hint="eastAsia" w:ascii="宋体" w:hAnsi="宋体" w:cs="宋体"/>
        </w:rPr>
      </w:pPr>
      <w:r>
        <w:rPr>
          <w:rFonts w:hint="eastAsia" w:ascii="宋体" w:hAnsi="宋体" w:cs="宋体"/>
          <w:sz w:val="21"/>
          <w:szCs w:val="21"/>
        </w:rPr>
        <w:t>A.对全省11个地市的安全管理平台提供必要的电话和远程技术支持服务，并做好文档记录。</w:t>
      </w:r>
    </w:p>
    <w:p>
      <w:pPr>
        <w:pStyle w:val="11"/>
        <w:widowControl/>
        <w:spacing w:after="0" w:line="288" w:lineRule="auto"/>
        <w:ind w:firstLine="420" w:firstLineChars="200"/>
        <w:rPr>
          <w:rFonts w:hint="eastAsia" w:ascii="宋体" w:hAnsi="宋体" w:cs="宋体"/>
          <w:sz w:val="21"/>
          <w:szCs w:val="21"/>
        </w:rPr>
      </w:pPr>
      <w:r>
        <w:rPr>
          <w:rFonts w:hint="eastAsia" w:ascii="宋体" w:hAnsi="宋体" w:cs="宋体"/>
          <w:sz w:val="21"/>
          <w:szCs w:val="21"/>
        </w:rPr>
        <w:t>B.提供应急响应服务：在重大节假日、重大活动或突发性紧急安全事件、系统出现重大故障和问题时，要求安排后台资深技术/研发人员提供现场应急响应服务，需尽快解决故障和问题，并恢复系统，并做好文档记录。</w:t>
      </w:r>
    </w:p>
    <w:p>
      <w:pPr>
        <w:pStyle w:val="11"/>
        <w:widowControl/>
        <w:spacing w:after="0" w:line="288" w:lineRule="auto"/>
        <w:ind w:firstLine="420" w:firstLineChars="200"/>
        <w:rPr>
          <w:rFonts w:hint="eastAsia" w:ascii="宋体" w:hAnsi="宋体" w:cs="宋体"/>
          <w:sz w:val="21"/>
          <w:szCs w:val="21"/>
        </w:rPr>
      </w:pPr>
      <w:r>
        <w:rPr>
          <w:rFonts w:hint="eastAsia" w:ascii="宋体" w:hAnsi="宋体" w:cs="宋体"/>
          <w:sz w:val="21"/>
          <w:szCs w:val="21"/>
        </w:rPr>
        <w:t xml:space="preserve">C.提供热线电话响应服务:提供7*24小时技术支持热线，平台出现故障和问题时，要求技术人员1小时内响应，2小时赶到用户现场，提供技术服务，并解决故障和问题，并做好文档记录。 </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2）“一机两用”监控系统应急响应服务</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A.为公安部及省厅运行管理通报中新增的“一机两用”监控系统相关工作要求提供相应服务，并做好文档记录。</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B.提供“一机两用”监控系统应急响应服务。在重大节假日、重大活动或突发性紧急安全事件、系统出现重大故障和问题时，要求安排公司资深技术人员提供现场应急响应服务，尽快解决故障和问题，并恢复系统，并做好文档记录。</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C.热线电话响应服务:提供7×24小时热线电话故障报修和技术支持服务,现场维护人员对现场出现的问题应立即响应并及时解决；在非工作日期间，若系统和软件出现故障和问题时，要求技术人员1小时内响应，2小时赶到用户现场，提供技术服务，并在解决后提供问题处理报告，说明问题种类、问题原因、问题解决中使用的方法，并做好文档记录。</w:t>
      </w:r>
    </w:p>
    <w:p>
      <w:pPr>
        <w:numPr>
          <w:ilvl w:val="255"/>
          <w:numId w:val="0"/>
        </w:numPr>
        <w:spacing w:line="288" w:lineRule="auto"/>
        <w:ind w:left="420" w:leftChars="200"/>
        <w:rPr>
          <w:rFonts w:hint="eastAsia" w:ascii="宋体" w:hAnsi="宋体" w:eastAsia="宋体" w:cs="宋体"/>
          <w:szCs w:val="21"/>
        </w:rPr>
      </w:pPr>
      <w:r>
        <w:rPr>
          <w:rFonts w:hint="eastAsia" w:ascii="宋体" w:hAnsi="宋体" w:eastAsia="宋体" w:cs="宋体"/>
          <w:szCs w:val="21"/>
        </w:rPr>
        <w:t>（3）优化改善要求：</w:t>
      </w:r>
    </w:p>
    <w:p>
      <w:pPr>
        <w:pStyle w:val="11"/>
        <w:spacing w:after="0" w:line="288" w:lineRule="auto"/>
        <w:ind w:firstLine="420" w:firstLineChars="200"/>
        <w:rPr>
          <w:rFonts w:hint="eastAsia" w:ascii="宋体" w:hAnsi="宋体" w:cs="宋体"/>
          <w:bCs/>
          <w:sz w:val="21"/>
          <w:szCs w:val="21"/>
        </w:rPr>
      </w:pPr>
      <w:r>
        <w:rPr>
          <w:rFonts w:hint="eastAsia" w:ascii="宋体" w:hAnsi="宋体" w:cs="宋体"/>
          <w:bCs/>
          <w:sz w:val="21"/>
          <w:szCs w:val="21"/>
        </w:rPr>
        <w:t>1）公安信息网安全管理平台</w:t>
      </w:r>
    </w:p>
    <w:p>
      <w:pPr>
        <w:pStyle w:val="11"/>
        <w:widowControl/>
        <w:spacing w:after="0" w:line="288" w:lineRule="auto"/>
        <w:ind w:firstLine="420" w:firstLineChars="200"/>
        <w:rPr>
          <w:rFonts w:hint="eastAsia" w:ascii="宋体" w:hAnsi="宋体" w:cs="宋体"/>
          <w:sz w:val="21"/>
          <w:szCs w:val="21"/>
        </w:rPr>
      </w:pPr>
      <w:r>
        <w:rPr>
          <w:rFonts w:hint="eastAsia" w:ascii="宋体" w:hAnsi="宋体" w:cs="宋体"/>
          <w:sz w:val="21"/>
          <w:szCs w:val="21"/>
        </w:rPr>
        <w:t>根据安全管理平台的运行情况和用户新需求对平台功能进行优化升级，由原厂工程师提供技术服务升级后公司向用户提交新版本介质和相关说明，做好文档记录。</w:t>
      </w:r>
    </w:p>
    <w:p>
      <w:pPr>
        <w:widowControl/>
        <w:numPr>
          <w:ilvl w:val="0"/>
          <w:numId w:val="5"/>
        </w:numPr>
        <w:spacing w:line="288" w:lineRule="auto"/>
        <w:ind w:firstLine="640"/>
        <w:rPr>
          <w:rFonts w:hint="eastAsia" w:ascii="宋体" w:hAnsi="宋体" w:eastAsia="宋体" w:cs="宋体"/>
          <w:szCs w:val="21"/>
        </w:rPr>
      </w:pPr>
      <w:r>
        <w:rPr>
          <w:rFonts w:hint="eastAsia" w:ascii="宋体" w:hAnsi="宋体" w:eastAsia="宋体" w:cs="宋体"/>
          <w:szCs w:val="21"/>
        </w:rPr>
        <w:t>根据实际工作情况及用户需求，优化完善省厅信息与网络安全主页；</w:t>
      </w:r>
    </w:p>
    <w:p>
      <w:pPr>
        <w:widowControl/>
        <w:numPr>
          <w:ilvl w:val="0"/>
          <w:numId w:val="5"/>
        </w:numPr>
        <w:spacing w:line="288" w:lineRule="auto"/>
        <w:ind w:firstLine="640"/>
        <w:rPr>
          <w:rFonts w:hint="eastAsia" w:ascii="宋体" w:hAnsi="宋体" w:eastAsia="宋体" w:cs="宋体"/>
          <w:szCs w:val="21"/>
        </w:rPr>
      </w:pPr>
      <w:r>
        <w:rPr>
          <w:rFonts w:hint="eastAsia" w:ascii="宋体" w:hAnsi="宋体" w:eastAsia="宋体" w:cs="宋体"/>
          <w:szCs w:val="21"/>
        </w:rPr>
        <w:t>根据安全管理要求，优化、调整终端安全管控功能，满足公安部安全考核及安全事件监测相关要求。</w:t>
      </w:r>
    </w:p>
    <w:p>
      <w:pPr>
        <w:pStyle w:val="11"/>
        <w:numPr>
          <w:ilvl w:val="0"/>
          <w:numId w:val="6"/>
        </w:numPr>
        <w:spacing w:after="0" w:line="288" w:lineRule="auto"/>
        <w:ind w:firstLine="420" w:firstLineChars="200"/>
        <w:rPr>
          <w:rFonts w:hint="eastAsia" w:ascii="宋体" w:hAnsi="宋体" w:cs="宋体"/>
          <w:bCs/>
          <w:sz w:val="21"/>
          <w:szCs w:val="21"/>
        </w:rPr>
      </w:pPr>
      <w:r>
        <w:rPr>
          <w:rFonts w:hint="eastAsia" w:ascii="宋体" w:hAnsi="宋体" w:cs="宋体"/>
          <w:bCs/>
          <w:sz w:val="21"/>
          <w:szCs w:val="21"/>
        </w:rPr>
        <w:t>公安部“一机两用”监控系统</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A.系统升级迁移服务：根据公安部及省厅的要求提供“一机两用”监控系统升级、系统迁移等服务，并做好文档记录。</w:t>
      </w:r>
    </w:p>
    <w:p>
      <w:pPr>
        <w:widowControl/>
        <w:tabs>
          <w:tab w:val="left" w:pos="993"/>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B.功能修改完善服务：根据省厅实际工作需要对“一机两用”监控系统提供功能修改完善服务,维保期结束后提供成果文档。</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3）每季度开展性能分析和风险隐患排查，提供分析报告和优化整改建议；</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4）重大保障时段开展事前风险隐患排查，制定并落实整改措施。</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（4）服务流程要求：维保单位需提供故障申报流程、巡检流程等。</w:t>
      </w:r>
    </w:p>
    <w:p>
      <w:pPr>
        <w:spacing w:line="288" w:lineRule="auto"/>
        <w:rPr>
          <w:rFonts w:hint="eastAsia" w:ascii="宋体" w:hAnsi="宋体" w:eastAsia="宋体" w:cs="宋体"/>
          <w:szCs w:val="21"/>
        </w:rPr>
      </w:pPr>
      <w:r>
        <w:rPr>
          <w:rFonts w:hint="eastAsia" w:ascii="宋体" w:hAnsi="宋体" w:eastAsia="宋体" w:cs="宋体"/>
          <w:szCs w:val="21"/>
        </w:rPr>
        <w:t>5、人员要求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（1）驻场服务人员要求</w:t>
      </w:r>
    </w:p>
    <w:p>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驻场人员数量：2名。</w:t>
      </w:r>
    </w:p>
    <w:p>
      <w:pPr>
        <w:pStyle w:val="11"/>
        <w:spacing w:after="0" w:line="288" w:lineRule="auto"/>
        <w:ind w:firstLine="420" w:firstLineChars="200"/>
        <w:rPr>
          <w:rFonts w:hint="eastAsia" w:ascii="宋体" w:hAnsi="宋体" w:cs="宋体"/>
          <w:sz w:val="21"/>
          <w:szCs w:val="21"/>
        </w:rPr>
      </w:pPr>
      <w:r>
        <w:rPr>
          <w:rFonts w:hint="eastAsia" w:ascii="宋体" w:hAnsi="宋体" w:cs="宋体"/>
          <w:bCs/>
          <w:sz w:val="21"/>
          <w:szCs w:val="21"/>
        </w:rPr>
        <w:t>1)公安部“一机两用”监控系统驻场1名。</w:t>
      </w:r>
    </w:p>
    <w:p>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主要职责：</w:t>
      </w:r>
      <w:r>
        <w:rPr>
          <w:rFonts w:hint="eastAsia" w:ascii="宋体" w:hAnsi="宋体" w:eastAsia="宋体" w:cs="宋体"/>
          <w:szCs w:val="21"/>
        </w:rPr>
        <w:t>本项目驻场服务人员承担公安部“一机两用”监控系统运行维护和管理工作，保证系统的正常运行。为公安部“一机两用”监控系统提供维保服务，全省范围内的公安网终端及用户提供系统技术支持。要求驻场服务人员提供周报、月报、问题处理报告、巡检报告等维护文档，定期汇报各项考核数据，系统运行情况等内容。及时上报系统问题，反馈处理结果。</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工作时间：驻场服务人员提供5*8小时驻场服务，7*24小时电话支持，具体上下班时间遵照浙江省公安科技研究所规定的工作时间，在重大安保期间根据用户要求参与现场值守。</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资质能力要求及理由：具有2年及以上计算机信息系统或网络安全相关工作经验.驻场服务人员需遵守省厅有关对驻场服务人纪律要求的相关规定。具有良好的沟通和协调能力，具备很强的服务意识和耐心，能够协助用户开展全省安全管理工作。驻场服务人员允许为本项目集成商工程师或原系统软件服务商工程师或原厂授权的代理服务商工程师。</w:t>
      </w:r>
    </w:p>
    <w:p>
      <w:pPr>
        <w:pStyle w:val="11"/>
        <w:numPr>
          <w:ilvl w:val="255"/>
          <w:numId w:val="0"/>
        </w:numPr>
        <w:spacing w:after="0" w:line="288" w:lineRule="auto"/>
        <w:ind w:firstLine="420" w:firstLineChars="200"/>
        <w:rPr>
          <w:rFonts w:hint="eastAsia" w:ascii="宋体" w:hAnsi="宋体" w:cs="宋体"/>
          <w:sz w:val="21"/>
          <w:szCs w:val="21"/>
        </w:rPr>
      </w:pPr>
      <w:r>
        <w:rPr>
          <w:rFonts w:hint="eastAsia" w:ascii="宋体" w:hAnsi="宋体" w:cs="宋体"/>
          <w:bCs/>
          <w:sz w:val="21"/>
          <w:szCs w:val="21"/>
        </w:rPr>
        <w:t>2）公安信息网安全管理平台驻场1名</w:t>
      </w:r>
    </w:p>
    <w:p>
      <w:pPr>
        <w:spacing w:line="288" w:lineRule="auto"/>
        <w:ind w:firstLine="420" w:firstLineChars="200"/>
        <w:rPr>
          <w:rFonts w:hint="eastAsia" w:ascii="宋体" w:hAnsi="宋体" w:eastAsia="宋体" w:cs="宋体"/>
          <w:szCs w:val="21"/>
        </w:rPr>
      </w:pPr>
      <w:r>
        <w:rPr>
          <w:rFonts w:hint="eastAsia" w:ascii="宋体" w:hAnsi="宋体" w:eastAsia="宋体" w:cs="宋体"/>
          <w:bCs/>
          <w:szCs w:val="21"/>
        </w:rPr>
        <w:t>主要职责：</w:t>
      </w:r>
      <w:r>
        <w:rPr>
          <w:rFonts w:hint="eastAsia" w:ascii="宋体" w:hAnsi="宋体" w:eastAsia="宋体" w:cs="宋体"/>
          <w:szCs w:val="21"/>
        </w:rPr>
        <w:t>本项目驻场服务人员承担公安信息网安全管理平台全部运行维护和管理工作，保证系统的正常运行。为公安信息网安全管理平台提供维保服务，同时对全省范围内的电脑终端及用户提供系统相关技术支持，并结合省厅的日常工作，协助用户开展每日安全监测、预警、通报、收集反馈信息、督促落实整改等安全管理工作。要求驻场服务人员按规范流程处置各类安全事件。提供周报、月报、问题处理报告、巡检报告等维护文档。及时上报系统问题，反馈处理结果。</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工作时间：驻场服务人员提供5*8小时驻场服务，7*24小时电话支持，具体上下班时间遵照浙江省公安科技研究所规定的工作时间，在重大安保期间根据用户要求参与现场值守。</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资质能力要求及理由:具有3年及以上信息安全管理系统维护经验，具备工程师职称证书或相关计算机软件认证证书，能够诊断、分析和排除系统问题，并具有较强的文字功底及良好的沟通协调能力。驻场服务人员需遵守省厅有关对驻场服务人纪律要求的相关规定。具有良好的沟通和协调能力，具备很强的服务意识和耐心，能够协助用户开展全省安全管理工作。驻场服务人员允许为本项目集成商工程师或原系统软件服务商工程师或原厂授权的代理服务商工程师。</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支持团队要求：具备信息系统安全运维经验，项目集成公司须能够协调公安信息网安全管理平台和公安部“一机两用”监控系统原系统软件服务供应商，提供优质的维保服务，维护人员原则上要求仍保留原驻场服务人员。除了固定的一线驻场服务人员，需有技术团队做技术支撑；服务提供商应具备不少于8人的安全服务团队，以提供对现场相关人员的技术支撑。</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（3）人员更换要求：</w:t>
      </w:r>
    </w:p>
    <w:p>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更换人员须提前一个月提出申请，并征得采购人同意，未经同意擅自更换驻场人员的每次扣除2500元。替换人员须提前一周入场，和被替换人员保证至少一周的工作交接时间。为确保运维服务质量，驻场人员须保证相对稳定。</w:t>
      </w:r>
    </w:p>
    <w:p>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维保期内存在驻场人员未按合同约定要求到岗的，根据驻场人员预算金额按天扣除人员费用，累计超过30天未到岗的，从第31天起双倍扣除。</w:t>
      </w:r>
    </w:p>
    <w:p>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驻场人员不得从事其他项目维保工作。</w:t>
      </w:r>
    </w:p>
    <w:p>
      <w:pPr>
        <w:spacing w:line="288" w:lineRule="auto"/>
        <w:rPr>
          <w:rFonts w:hint="eastAsia" w:ascii="宋体" w:hAnsi="宋体" w:eastAsia="宋体" w:cs="宋体"/>
          <w:szCs w:val="21"/>
        </w:rPr>
      </w:pPr>
      <w:r>
        <w:rPr>
          <w:rFonts w:hint="eastAsia" w:ascii="宋体" w:hAnsi="宋体" w:eastAsia="宋体" w:cs="宋体"/>
          <w:szCs w:val="21"/>
        </w:rPr>
        <w:t>6、服务商要求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资质</w:t>
      </w:r>
      <w:r>
        <w:rPr>
          <w:rFonts w:hint="eastAsia" w:ascii="宋体" w:hAnsi="宋体" w:eastAsia="宋体" w:cs="宋体"/>
          <w:bCs/>
          <w:szCs w:val="21"/>
        </w:rPr>
        <w:t>要求</w:t>
      </w:r>
      <w:r>
        <w:rPr>
          <w:rFonts w:hint="eastAsia" w:ascii="宋体" w:hAnsi="宋体" w:eastAsia="宋体" w:cs="宋体"/>
          <w:szCs w:val="21"/>
        </w:rPr>
        <w:t>：具备信息系统安全运维经验，项目集成公司须能够协调公安信息网安全管理平台和公安部“一机两用”监控系统原系统软件服务供应商，提供优质的维保服务，维护人员原则上要求仍保留原驻场服务人员。除了固定的一线驻场服务人员，需有技术团队做技术支撑；服务提供商应具备不少于8人的安全服务团队，以提供对现场相关人员的技术支撑。</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总体响应时限要求：7*24小时电话响应，系统出现故障和问题时，要求技术人员1小时内响应，2小时内赶到用户现场，提供技术服务。系统故障原则上要求在4小时内修复完成（如确实有特殊情况无法按时修复，则需与用户沟通确认后才允许推迟修复时间，但最迟不应该超过3个工作日内（包含订购备件、更换备件等））。</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数据安全相关要求：建立健全全流程数据安全管理制度，组织开展数据安全教育培训，采取相应的技术措施和其他必要措施，保障数据安全。</w:t>
      </w:r>
    </w:p>
    <w:p>
      <w:pPr>
        <w:spacing w:line="288" w:lineRule="auto"/>
        <w:ind w:firstLine="420" w:firstLineChars="200"/>
        <w:rPr>
          <w:rFonts w:hint="eastAsia" w:ascii="宋体" w:hAnsi="宋体" w:eastAsia="宋体" w:cs="宋体"/>
          <w:szCs w:val="21"/>
        </w:rPr>
      </w:pPr>
      <w:r>
        <w:rPr>
          <w:rFonts w:hint="eastAsia" w:ascii="宋体" w:hAnsi="宋体" w:eastAsia="宋体" w:cs="宋体"/>
          <w:bCs/>
          <w:szCs w:val="21"/>
        </w:rPr>
        <w:t>安全保密要求：</w:t>
      </w:r>
      <w:r>
        <w:rPr>
          <w:rFonts w:hint="eastAsia" w:ascii="宋体" w:hAnsi="宋体" w:eastAsia="宋体" w:cs="宋体"/>
          <w:szCs w:val="21"/>
        </w:rPr>
        <w:t>中标方应严格遵守国家网络安全和保密相关法律、法规和规章制度，遵循采购人各项安全保密制度和规章，定期对运维服务人员开展保密安全教育，要求运维工作人员对工作中涉到的用户数据、文件等任何资料进行保密。因运维工作人员的行为造成泄密等安全问题由中标单位承担相应的责任。</w:t>
      </w:r>
    </w:p>
    <w:p>
      <w:pPr>
        <w:spacing w:line="288" w:lineRule="auto"/>
        <w:rPr>
          <w:rFonts w:hint="eastAsia" w:ascii="宋体" w:hAnsi="宋体" w:eastAsia="宋体" w:cs="宋体"/>
          <w:szCs w:val="21"/>
        </w:rPr>
      </w:pPr>
      <w:r>
        <w:rPr>
          <w:rFonts w:hint="eastAsia" w:ascii="宋体" w:hAnsi="宋体" w:eastAsia="宋体" w:cs="宋体"/>
          <w:szCs w:val="21"/>
        </w:rPr>
        <w:t>7、验收要求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运维项目在维保期结束后，中标方可向采购人申请项目验收。验收由采购人负责实施，验收依据为合同、招标文件、中标方的投标文件。</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中标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维保单位落实维保措施、完成维保任务情况是否满足合同约定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对维保过程中存在的人员未到岗或频繁更换、维保内容未完成、维保目标未达成等情况据实核算违约成本，并在项目尾款或履约保证金中予以扣除。</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验收合格的条件：中标提交的验收文档齐全，符合合同及招投标文件要求；中标方按合同要求完成维保服务，并得到用户部门的认可；运维项目通过使用单位组织的验收。</w:t>
      </w:r>
    </w:p>
    <w:p>
      <w:pPr>
        <w:pStyle w:val="6"/>
        <w:spacing w:line="288" w:lineRule="auto"/>
        <w:ind w:firstLine="0"/>
        <w:rPr>
          <w:rFonts w:hint="eastAsia" w:ascii="宋体" w:hAnsi="宋体" w:cs="宋体"/>
          <w:szCs w:val="21"/>
        </w:rPr>
      </w:pPr>
    </w:p>
    <w:p>
      <w:pPr>
        <w:rPr>
          <w:rFonts w:hint="eastAsia" w:ascii="宋体" w:hAnsi="宋体" w:eastAsia="宋体" w:cs="Times New Roman"/>
          <w:b/>
          <w:sz w:val="32"/>
          <w:szCs w:val="32"/>
        </w:rPr>
      </w:pPr>
      <w:r>
        <w:rPr>
          <w:rFonts w:hint="eastAsia" w:ascii="宋体" w:hAnsi="宋体" w:eastAsia="宋体" w:cs="Times New Roman"/>
          <w:b/>
          <w:sz w:val="32"/>
          <w:szCs w:val="32"/>
        </w:rPr>
        <w:br w:type="page"/>
      </w:r>
    </w:p>
    <w:p>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86"/>
        <w:gridCol w:w="6878"/>
      </w:tblGrid>
      <w:tr>
        <w:trPr>
          <w:trHeight w:val="397" w:hRule="atLeast"/>
        </w:trPr>
        <w:tc>
          <w:tcPr>
            <w:tcW w:w="1129" w:type="dxa"/>
            <w:vAlign w:val="center"/>
          </w:tcPr>
          <w:p>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486" w:type="dxa"/>
            <w:vAlign w:val="center"/>
          </w:tcPr>
          <w:p>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878" w:type="dxa"/>
            <w:vAlign w:val="center"/>
          </w:tcPr>
          <w:p>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本招标文件适用于浙江省公安科技研究所</w:t>
            </w:r>
            <w:r>
              <w:rPr>
                <w:rFonts w:hint="eastAsia" w:ascii="宋体" w:hAnsi="宋体" w:eastAsia="宋体"/>
                <w:szCs w:val="21"/>
                <w:lang w:eastAsia="zh-CN"/>
              </w:rPr>
              <w:t>浙江公安终端安全管控系统维保项目（2024年度）</w:t>
            </w:r>
            <w:r>
              <w:rPr>
                <w:rFonts w:hint="eastAsia" w:ascii="宋体" w:hAnsi="宋体" w:eastAsia="宋体"/>
                <w:szCs w:val="21"/>
              </w:rPr>
              <w:t>的招标、评标、定标、验收、合同履约、付款等（法律、法规另有规定的，从其规定）。</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，须提供授权</w:t>
            </w:r>
            <w:r>
              <w:rPr>
                <w:rFonts w:hint="eastAsia" w:ascii="宋体" w:hAnsi="宋体" w:eastAsia="宋体"/>
                <w:szCs w:val="21"/>
              </w:rPr>
              <w:t>委托</w:t>
            </w:r>
            <w:r>
              <w:rPr>
                <w:rFonts w:ascii="宋体" w:hAnsi="宋体" w:eastAsia="宋体"/>
                <w:szCs w:val="21"/>
              </w:rPr>
              <w:t>书</w:t>
            </w:r>
            <w:r>
              <w:rPr>
                <w:rFonts w:hint="eastAsia" w:ascii="宋体" w:hAnsi="宋体" w:eastAsia="宋体"/>
                <w:szCs w:val="21"/>
              </w:rPr>
              <w:t>（格式详见招标文件第六章）和授权代表社保缴纳证明（</w:t>
            </w:r>
            <w:r>
              <w:rPr>
                <w:rFonts w:ascii="宋体" w:hAnsi="宋体" w:eastAsia="宋体"/>
                <w:szCs w:val="21"/>
              </w:rPr>
              <w:t>202</w:t>
            </w:r>
            <w:r>
              <w:rPr>
                <w:rFonts w:hint="eastAsia" w:ascii="宋体" w:hAnsi="宋体" w:eastAsia="宋体"/>
                <w:szCs w:val="21"/>
              </w:rPr>
              <w:t>3</w:t>
            </w:r>
            <w:r>
              <w:rPr>
                <w:rFonts w:ascii="宋体" w:hAnsi="宋体" w:eastAsia="宋体"/>
                <w:szCs w:val="21"/>
              </w:rPr>
              <w:t>年</w:t>
            </w:r>
            <w:r>
              <w:rPr>
                <w:rFonts w:hint="eastAsia" w:ascii="宋体" w:hAnsi="宋体" w:eastAsia="宋体"/>
                <w:szCs w:val="21"/>
              </w:rPr>
              <w:t>6</w:t>
            </w:r>
            <w:r>
              <w:rPr>
                <w:rFonts w:ascii="宋体" w:hAnsi="宋体" w:eastAsia="宋体"/>
                <w:szCs w:val="21"/>
              </w:rPr>
              <w:t>月（含）以后任意一月）</w:t>
            </w:r>
            <w:r>
              <w:rPr>
                <w:rFonts w:hint="eastAsia" w:ascii="宋体" w:hAnsi="宋体" w:eastAsia="宋体"/>
                <w:szCs w:val="21"/>
              </w:rPr>
              <w:t>；</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p>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（不足20万元的按20万元为基数计算收费）</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0.54</w:t>
                  </w:r>
                </w:p>
              </w:tc>
            </w:tr>
          </w:tbl>
          <w:p>
            <w:pPr>
              <w:adjustRightInd w:val="0"/>
              <w:snapToGrid w:val="0"/>
              <w:spacing w:line="288" w:lineRule="auto"/>
              <w:rPr>
                <w:rFonts w:hint="eastAsia" w:ascii="宋体" w:hAnsi="宋体" w:eastAsia="宋体"/>
                <w:szCs w:val="21"/>
              </w:rPr>
            </w:pP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486" w:type="dxa"/>
            <w:vAlign w:val="center"/>
          </w:tcPr>
          <w:p>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本项目不接受联合体投标。</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hint="eastAsia"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w:t>
            </w:r>
            <w:r>
              <w:rPr>
                <w:rFonts w:hint="eastAsia" w:ascii="宋体" w:hAnsi="宋体" w:eastAsia="宋体"/>
                <w:szCs w:val="21"/>
                <w:u w:val="single"/>
              </w:rPr>
              <w:t>该项目为维保服务，采购内容均为主体、关键性工作，不允许分包</w:t>
            </w:r>
            <w:r>
              <w:rPr>
                <w:rFonts w:ascii="宋体" w:hAnsi="宋体" w:eastAsia="宋体"/>
                <w:szCs w:val="21"/>
                <w:u w:val="single"/>
              </w:rPr>
              <w:t>。</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878" w:type="dxa"/>
            <w:vAlign w:val="center"/>
          </w:tcPr>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hint="eastAsia" w:ascii="宋体" w:hAnsi="宋体" w:eastAsia="宋体"/>
                <w:bCs/>
                <w:szCs w:val="21"/>
              </w:rPr>
            </w:pPr>
            <w:r>
              <w:rPr>
                <w:rFonts w:hint="eastAsia" w:ascii="宋体" w:hAnsi="宋体" w:cstheme="minorBidi"/>
                <w:bCs/>
                <w:sz w:val="21"/>
                <w:szCs w:val="21"/>
              </w:rPr>
              <w:t>（</w:t>
            </w:r>
            <w:r>
              <w:rPr>
                <w:rFonts w:hint="eastAsia" w:ascii="宋体" w:hAnsi="宋体" w:eastAsia="宋体"/>
                <w:bCs/>
                <w:szCs w:val="21"/>
              </w:rPr>
              <w:t>3）落实政府采购政策需满足的资格要求：</w:t>
            </w:r>
          </w:p>
          <w:p>
            <w:pPr>
              <w:adjustRightInd w:val="0"/>
              <w:snapToGrid w:val="0"/>
              <w:spacing w:line="288" w:lineRule="auto"/>
              <w:rPr>
                <w:rFonts w:hint="eastAsia" w:ascii="宋体" w:hAnsi="宋体" w:eastAsia="宋体"/>
                <w:bCs/>
                <w:szCs w:val="21"/>
              </w:rPr>
            </w:pPr>
            <w:r>
              <w:rPr>
                <w:rFonts w:hint="eastAsia" w:ascii="宋体" w:hAnsi="宋体" w:eastAsia="宋体"/>
                <w:bCs/>
                <w:szCs w:val="21"/>
              </w:rPr>
              <w:t>中小企业声明函（若属于中小企业）</w:t>
            </w:r>
          </w:p>
          <w:p>
            <w:pPr>
              <w:adjustRightInd w:val="0"/>
              <w:snapToGrid w:val="0"/>
              <w:spacing w:line="288" w:lineRule="auto"/>
              <w:rPr>
                <w:rFonts w:hint="eastAsia" w:ascii="宋体" w:hAnsi="宋体" w:eastAsia="宋体"/>
                <w:bCs/>
                <w:szCs w:val="21"/>
              </w:rPr>
            </w:pPr>
            <w:r>
              <w:rPr>
                <w:rFonts w:hint="eastAsia" w:ascii="宋体" w:hAnsi="宋体" w:eastAsia="宋体"/>
                <w:bCs/>
                <w:szCs w:val="21"/>
              </w:rPr>
              <w:t>属于监狱企业</w:t>
            </w:r>
            <w:bookmarkStart w:id="37" w:name="OLE_LINK2"/>
            <w:r>
              <w:rPr>
                <w:rFonts w:hint="eastAsia" w:ascii="宋体" w:hAnsi="宋体" w:eastAsia="宋体"/>
                <w:bCs/>
                <w:szCs w:val="21"/>
              </w:rPr>
              <w:t>的证明</w:t>
            </w:r>
            <w:bookmarkEnd w:id="37"/>
            <w:r>
              <w:rPr>
                <w:rFonts w:hint="eastAsia" w:ascii="宋体" w:hAnsi="宋体" w:eastAsia="宋体"/>
                <w:bCs/>
                <w:szCs w:val="21"/>
              </w:rPr>
              <w:t>文件（若属于监狱企业）</w:t>
            </w:r>
          </w:p>
          <w:p>
            <w:pPr>
              <w:adjustRightInd w:val="0"/>
              <w:snapToGrid w:val="0"/>
              <w:spacing w:line="288" w:lineRule="auto"/>
              <w:rPr>
                <w:rFonts w:hint="eastAsia" w:ascii="宋体" w:hAnsi="宋体" w:eastAsia="宋体"/>
                <w:bCs/>
                <w:szCs w:val="21"/>
              </w:rPr>
            </w:pPr>
            <w:r>
              <w:rPr>
                <w:rFonts w:hint="eastAsia" w:ascii="宋体" w:hAnsi="宋体" w:eastAsia="宋体"/>
                <w:bCs/>
                <w:szCs w:val="21"/>
              </w:rPr>
              <w:t>残疾人福利性单位声明函（若属于残疾人福利性单位）</w:t>
            </w:r>
          </w:p>
          <w:p>
            <w:pPr>
              <w:adjustRightInd w:val="0"/>
              <w:snapToGrid w:val="0"/>
              <w:spacing w:line="288" w:lineRule="auto"/>
              <w:rPr>
                <w:rFonts w:hint="eastAsia" w:ascii="宋体" w:hAnsi="宋体" w:eastAsia="宋体"/>
                <w:bCs/>
                <w:szCs w:val="21"/>
              </w:rPr>
            </w:pPr>
            <w:r>
              <w:rPr>
                <w:rFonts w:hint="eastAsia" w:ascii="宋体" w:hAnsi="宋体" w:eastAsia="宋体"/>
                <w:bCs/>
                <w:szCs w:val="21"/>
              </w:rPr>
              <w:t>（4）联合协议（如有）</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878" w:type="dxa"/>
            <w:vAlign w:val="center"/>
          </w:tcPr>
          <w:p>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hint="eastAsia"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0571-87666119</w:t>
            </w:r>
            <w:r>
              <w:rPr>
                <w:rFonts w:hint="eastAsia" w:ascii="宋体" w:hAnsi="宋体" w:eastAsia="宋体" w:cs="宋体"/>
                <w:b/>
                <w:szCs w:val="21"/>
              </w:rPr>
              <w:t>，寄出后将（快递单号、项目名称、公司名称、联系方式等相关信息）发至：zb01@qszb.net，以便查收）。</w:t>
            </w:r>
          </w:p>
          <w:p>
            <w:pPr>
              <w:adjustRightInd w:val="0"/>
              <w:snapToGrid w:val="0"/>
              <w:spacing w:line="288" w:lineRule="auto"/>
              <w:ind w:firstLine="420"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pPr>
              <w:pStyle w:val="15"/>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评标方法及评标标准</w:t>
            </w:r>
          </w:p>
        </w:tc>
        <w:tc>
          <w:tcPr>
            <w:tcW w:w="6878" w:type="dxa"/>
            <w:vAlign w:val="center"/>
          </w:tcPr>
          <w:p>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hint="eastAsia" w:ascii="宋体" w:hAnsi="宋体" w:eastAsia="宋体"/>
          <w:szCs w:val="21"/>
        </w:rPr>
      </w:pPr>
    </w:p>
    <w:p>
      <w:pPr>
        <w:adjustRightInd w:val="0"/>
        <w:snapToGrid w:val="0"/>
        <w:spacing w:line="288" w:lineRule="auto"/>
        <w:rPr>
          <w:rFonts w:hint="eastAsia"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hint="eastAsia"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本招标文件适用于浙江省公安科技研究所</w:t>
      </w:r>
      <w:r>
        <w:rPr>
          <w:rFonts w:hint="eastAsia" w:ascii="宋体" w:hAnsi="宋体" w:eastAsia="宋体" w:cs="Times New Roman"/>
          <w:spacing w:val="-6"/>
          <w:szCs w:val="21"/>
          <w:lang w:eastAsia="zh-CN"/>
        </w:rPr>
        <w:t>浙江公安终端安全管控系统维保项目（2024年度）</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”系指浙江省公安科技研究所；</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p>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（不足20万元的按20万元为基数计算收费）</w:t>
            </w:r>
          </w:p>
        </w:tc>
        <w:tc>
          <w:tcPr>
            <w:tcW w:w="2833"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0.54</w:t>
            </w:r>
          </w:p>
        </w:tc>
      </w:tr>
    </w:tbl>
    <w:p>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w:t>
      </w:r>
      <w:bookmarkStart w:id="40" w:name="OLE_LINK3"/>
      <w:r>
        <w:rPr>
          <w:rFonts w:hint="eastAsia" w:ascii="宋体" w:hAnsi="宋体" w:eastAsia="宋体" w:cs="Times New Roman"/>
        </w:rPr>
        <w:t>同约定的</w:t>
      </w:r>
      <w:bookmarkEnd w:id="40"/>
      <w:r>
        <w:rPr>
          <w:rFonts w:hint="eastAsia" w:ascii="宋体" w:hAnsi="宋体" w:eastAsia="宋体" w:cs="Times New Roman"/>
        </w:rPr>
        <w:t>事项对采购人承担连带责任。</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5" w:firstLineChars="215"/>
        <w:jc w:val="left"/>
        <w:rPr>
          <w:rFonts w:hint="eastAsia" w:ascii="宋体" w:hAnsi="宋体" w:eastAsia="宋体"/>
          <w:color w:val="FF0000"/>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424" w:firstLineChars="202"/>
        <w:jc w:val="left"/>
        <w:rPr>
          <w:rFonts w:hint="eastAsia" w:ascii="宋体" w:hAnsi="宋体" w:eastAsia="宋体"/>
          <w:b/>
          <w:bCs/>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cs="Times New Roman"/>
          <w:u w:val="single"/>
        </w:rPr>
        <w:t>该项目为维保服务，采购内容均为主体、关键性工作，不允许分包</w:t>
      </w:r>
      <w:r>
        <w:rPr>
          <w:rFonts w:ascii="宋体" w:hAnsi="宋体" w:eastAsia="宋体"/>
          <w:szCs w:val="21"/>
          <w:u w:val="single"/>
        </w:rPr>
        <w:t>。</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hint="eastAsia"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hint="eastAsia" w:ascii="宋体" w:hAnsi="宋体" w:eastAsia="宋体" w:cs="Times New Roman"/>
          <w:spacing w:val="-6"/>
          <w:szCs w:val="21"/>
          <w:u w:val="single"/>
        </w:rPr>
      </w:pPr>
      <w:bookmarkStart w:id="44" w:name="OLE_LINK4"/>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bookmarkEnd w:id="44"/>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支持科技创新（不适用）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4.支持中小企业发展</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2"/>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3"/>
    <w:p>
      <w:pPr>
        <w:adjustRightInd w:val="0"/>
        <w:snapToGrid w:val="0"/>
        <w:spacing w:line="288" w:lineRule="auto"/>
        <w:ind w:firstLine="396"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4.评标方法及评标标准</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hint="eastAsia"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6"/>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6" w:firstLineChars="200"/>
        <w:jc w:val="left"/>
        <w:rPr>
          <w:rFonts w:hint="eastAsia"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0571-87666119</w:t>
      </w:r>
      <w:r>
        <w:rPr>
          <w:rFonts w:hint="eastAsia" w:ascii="宋体" w:hAnsi="宋体" w:eastAsia="宋体" w:cs="宋体"/>
          <w:b/>
          <w:szCs w:val="21"/>
        </w:rPr>
        <w:t>，寄出后将（快递单号、项目名称、公司名称、联系方式等相关信息）发至：zb01@qszb.net，以便查收）。</w:t>
      </w:r>
    </w:p>
    <w:p>
      <w:pPr>
        <w:adjustRightInd w:val="0"/>
        <w:snapToGrid w:val="0"/>
        <w:spacing w:line="288" w:lineRule="auto"/>
        <w:ind w:firstLine="420" w:firstLineChars="200"/>
        <w:jc w:val="left"/>
        <w:rPr>
          <w:rFonts w:hint="eastAsia"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hint="eastAsia"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0"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4.投标文件只允许有一个报价，有选择的报价将不予接受。</w:t>
      </w:r>
    </w:p>
    <w:p>
      <w:pPr>
        <w:pStyle w:val="15"/>
        <w:adjustRightInd w:val="0"/>
        <w:snapToGrid w:val="0"/>
        <w:spacing w:before="0" w:beforeLines="0" w:after="0" w:afterLines="0" w:line="288" w:lineRule="auto"/>
        <w:ind w:firstLine="210" w:firstLineChars="100"/>
        <w:jc w:val="left"/>
        <w:rPr>
          <w:rFonts w:hint="eastAsia" w:hAnsi="宋体" w:eastAsia="宋体" w:cs="宋体"/>
          <w:sz w:val="21"/>
          <w:szCs w:val="21"/>
        </w:rPr>
      </w:pPr>
      <w:bookmarkStart w:id="49"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9"/>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pPr>
        <w:pStyle w:val="15"/>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hint="eastAsia"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pPr>
        <w:widowControl/>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6"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、法定代表人授权委托书</w:t>
      </w:r>
      <w:r>
        <w:rPr>
          <w:rFonts w:hint="eastAsia" w:ascii="宋体" w:hAnsi="宋体" w:eastAsia="宋体" w:cs="Times New Roman"/>
          <w:spacing w:val="-6"/>
          <w:szCs w:val="21"/>
        </w:rPr>
        <w:t>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符合要求投标授权代表社保缴纳证明的</w:t>
      </w:r>
      <w:r>
        <w:rPr>
          <w:rFonts w:ascii="宋体" w:hAnsi="宋体" w:eastAsia="宋体" w:cs="Times New Roman"/>
          <w:bCs/>
          <w:spacing w:val="-6"/>
          <w:szCs w:val="21"/>
        </w:rPr>
        <w:t>；</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）投标文件含有采购人不能接受的附加条件的；</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（5）报价具有选择性的；</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1"/>
        <w:snapToGrid w:val="0"/>
        <w:spacing w:before="0" w:line="288" w:lineRule="auto"/>
        <w:ind w:left="0" w:firstLine="423" w:firstLineChars="201"/>
        <w:rPr>
          <w:rFonts w:hint="eastAsia"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pPr>
        <w:pStyle w:val="101"/>
        <w:snapToGrid w:val="0"/>
        <w:spacing w:before="0" w:line="288" w:lineRule="auto"/>
        <w:ind w:left="0" w:firstLine="422" w:firstLineChars="201"/>
        <w:rPr>
          <w:rFonts w:hint="eastAsia"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0"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3"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100"/>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100"/>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pPr>
        <w:pStyle w:val="100"/>
        <w:adjustRightInd w:val="0"/>
        <w:snapToGrid w:val="0"/>
        <w:spacing w:before="0" w:line="288" w:lineRule="auto"/>
        <w:ind w:firstLine="423"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6" w:firstLineChars="200"/>
        <w:rPr>
          <w:rFonts w:hint="eastAsia" w:ascii="宋体" w:hAnsi="宋体" w:eastAsia="宋体" w:cs="Times New Roman"/>
          <w:b/>
          <w:bCs/>
          <w:color w:val="FF0000"/>
          <w:spacing w:val="-6"/>
          <w:szCs w:val="21"/>
        </w:rPr>
      </w:pPr>
    </w:p>
    <w:p>
      <w:pPr>
        <w:adjustRightInd w:val="0"/>
        <w:snapToGrid w:val="0"/>
        <w:spacing w:line="288" w:lineRule="auto"/>
        <w:ind w:firstLine="396"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hint="eastAsia"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5" w:firstLineChars="202"/>
        <w:rPr>
          <w:rFonts w:hint="eastAsia"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5"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w:t>
      </w:r>
      <w:r>
        <w:rPr>
          <w:rFonts w:ascii="宋体" w:hAnsi="宋体" w:cs="仿宋"/>
          <w:kern w:val="0"/>
          <w:sz w:val="21"/>
          <w:szCs w:val="21"/>
        </w:rPr>
        <w:t>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r>
        <w:rPr>
          <w:rFonts w:hint="eastAsia" w:ascii="宋体" w:hAnsi="宋体" w:cs="仿宋"/>
          <w:kern w:val="0"/>
          <w:sz w:val="21"/>
          <w:szCs w:val="21"/>
        </w:rPr>
        <w:t>。</w:t>
      </w:r>
    </w:p>
    <w:p>
      <w:pPr>
        <w:pStyle w:val="100"/>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pPr>
        <w:pStyle w:val="100"/>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eastAsia="宋体" w:cs="宋体"/>
          <w:kern w:val="0"/>
          <w:szCs w:val="21"/>
        </w:rPr>
        <w:t>01</w:t>
      </w:r>
      <w:r>
        <w:rPr>
          <w:rFonts w:ascii="宋体" w:hAnsi="宋体" w:eastAsia="宋体" w:cs="宋体"/>
          <w:kern w:val="0"/>
          <w:szCs w:val="21"/>
        </w:rPr>
        <w:t>@qszb.net）或传真号码（0571-8766611</w:t>
      </w:r>
      <w:r>
        <w:rPr>
          <w:rFonts w:hint="eastAsia" w:ascii="宋体" w:hAnsi="宋体" w:eastAsia="宋体" w:cs="宋体"/>
          <w:kern w:val="0"/>
          <w:szCs w:val="21"/>
        </w:rPr>
        <w:t>9</w:t>
      </w:r>
      <w:r>
        <w:rPr>
          <w:rFonts w:ascii="宋体" w:hAnsi="宋体" w:eastAsia="宋体" w:cs="宋体"/>
          <w:kern w:val="0"/>
          <w:szCs w:val="21"/>
        </w:rPr>
        <w:t>）提交。</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。本项目推荐1名中标候选人。</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pPr>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hint="eastAsia" w:ascii="宋体" w:hAnsi="宋体" w:eastAsia="宋体" w:cs="宋体"/>
          <w:szCs w:val="21"/>
          <w:lang w:bidi="ar"/>
        </w:rPr>
        <w:t>采购代理机构应当在评标结束后</w:t>
      </w:r>
      <w:r>
        <w:rPr>
          <w:rFonts w:hint="eastAsia" w:ascii="宋体" w:hAnsi="宋体" w:eastAsia="宋体" w:cs="Times New Roman"/>
          <w:szCs w:val="21"/>
          <w:lang w:bidi="ar"/>
        </w:rPr>
        <w:t>2个工作日内将评标报告送采购人。</w:t>
      </w:r>
      <w:r>
        <w:rPr>
          <w:rFonts w:hint="eastAsia" w:ascii="宋体" w:hAnsi="宋体" w:eastAsia="宋体" w:cs="宋体"/>
          <w:szCs w:val="21"/>
          <w:lang w:bidi="ar"/>
        </w:rPr>
        <w:t>采购人应当自收到评标报告之日起</w:t>
      </w:r>
      <w:r>
        <w:rPr>
          <w:rFonts w:hint="eastAsia" w:ascii="宋体" w:hAnsi="宋体" w:eastAsia="宋体" w:cs="Times New Roman"/>
          <w:szCs w:val="21"/>
          <w:lang w:bidi="ar"/>
        </w:rPr>
        <w:t>5个工作日内，在评标报告确定的中标候选人名单中按顺序确定中标人</w:t>
      </w:r>
      <w:r>
        <w:rPr>
          <w:rFonts w:hint="eastAsia" w:ascii="宋体" w:hAnsi="宋体" w:eastAsia="宋体" w:cs="宋体"/>
          <w:szCs w:val="21"/>
          <w:lang w:bidi="ar"/>
        </w:rPr>
        <w:t>，也可以书面授权评标委员会直接确定中标人。中标候选人并列的，由采购人确定中标人。</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hint="eastAsia" w:ascii="宋体" w:hAnsi="宋体" w:eastAsia="宋体" w:cs="Times New Roman"/>
          <w:spacing w:val="-6"/>
          <w:szCs w:val="21"/>
        </w:rPr>
      </w:pPr>
    </w:p>
    <w:p>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398" w:firstLineChars="201"/>
        <w:rPr>
          <w:rFonts w:hint="eastAsia" w:ascii="宋体" w:hAnsi="宋体" w:eastAsia="宋体" w:cs="Times New Roman"/>
          <w:b/>
          <w:spacing w:val="-6"/>
          <w:szCs w:val="21"/>
        </w:rPr>
      </w:pPr>
    </w:p>
    <w:p>
      <w:pPr>
        <w:adjustRightInd w:val="0"/>
        <w:snapToGrid w:val="0"/>
        <w:spacing w:line="288" w:lineRule="auto"/>
        <w:ind w:firstLine="396"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rPr>
          <w:trHeight w:val="283" w:hRule="atLeast"/>
        </w:trPr>
        <w:tc>
          <w:tcPr>
            <w:tcW w:w="1767" w:type="dxa"/>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评分细则</w:t>
            </w:r>
          </w:p>
        </w:tc>
      </w:tr>
      <w:tr>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分（1</w:t>
            </w:r>
            <w:r>
              <w:rPr>
                <w:rFonts w:ascii="宋体" w:hAnsi="宋体" w:eastAsia="宋体" w:cs="Times New Roman"/>
                <w:b/>
                <w:bCs/>
                <w:szCs w:val="21"/>
              </w:rPr>
              <w:t>0</w:t>
            </w:r>
            <w:r>
              <w:rPr>
                <w:rFonts w:hint="eastAsia" w:ascii="宋体" w:hAnsi="宋体" w:eastAsia="宋体" w:cs="Times New Roman"/>
                <w:b/>
                <w:bCs/>
                <w:szCs w:val="21"/>
              </w:rPr>
              <w:t>）</w:t>
            </w:r>
          </w:p>
        </w:tc>
      </w:tr>
      <w:tr>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价格分=（评标基准价/投标报价）×10%×100</w:t>
            </w:r>
          </w:p>
        </w:tc>
      </w:tr>
      <w:tr>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（7）</w:t>
            </w:r>
          </w:p>
        </w:tc>
      </w:tr>
      <w:tr>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综合实力</w:t>
            </w: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6</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pStyle w:val="11"/>
              <w:spacing w:after="0" w:line="288" w:lineRule="auto"/>
              <w:rPr>
                <w:rFonts w:hint="eastAsia" w:ascii="宋体" w:hAnsi="宋体" w:cs="宋体"/>
                <w:szCs w:val="21"/>
              </w:rPr>
            </w:pPr>
            <w:r>
              <w:rPr>
                <w:rFonts w:hint="eastAsia" w:ascii="宋体" w:hAnsi="宋体" w:cs="宋体"/>
                <w:sz w:val="21"/>
                <w:szCs w:val="21"/>
              </w:rPr>
              <w:t>投标人具备质量管理体系认证证书、信息技术服务管理体系认证证书以及信息安全管理体系认证证书，每提供一份有效认证材料得2分，最高6分。</w:t>
            </w:r>
          </w:p>
        </w:tc>
      </w:tr>
      <w:tr>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投标人自2020年1月1日以来（以合同签订日期为准）同类维保项目业绩，每提供一份项目业绩得0.5分，最高得1分。（提供项目业绩合同扫描件，否则业绩将不被认可）。</w:t>
            </w:r>
          </w:p>
        </w:tc>
      </w:tr>
      <w:tr>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（83）</w:t>
            </w:r>
          </w:p>
        </w:tc>
      </w:tr>
      <w:tr>
        <w:trPr>
          <w:trHeight w:val="1045" w:hRule="atLeast"/>
        </w:trPr>
        <w:tc>
          <w:tcPr>
            <w:tcW w:w="1767" w:type="dxa"/>
            <w:vMerge w:val="restart"/>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服务</w:t>
            </w:r>
          </w:p>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方案</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18</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【客观分】</w:t>
            </w:r>
          </w:p>
          <w:p>
            <w:pPr>
              <w:pStyle w:val="11"/>
              <w:spacing w:after="0" w:line="288" w:lineRule="auto"/>
              <w:rPr>
                <w:rFonts w:hint="eastAsia" w:ascii="宋体" w:hAnsi="宋体" w:cs="宋体"/>
                <w:sz w:val="21"/>
                <w:szCs w:val="21"/>
              </w:rPr>
            </w:pPr>
            <w:r>
              <w:rPr>
                <w:rFonts w:hint="eastAsia" w:ascii="宋体" w:hAnsi="宋体" w:cs="宋体"/>
                <w:sz w:val="21"/>
                <w:szCs w:val="21"/>
              </w:rPr>
              <w:t>对招标文件采购需求的响应程度：</w:t>
            </w:r>
          </w:p>
          <w:p>
            <w:pPr>
              <w:pStyle w:val="11"/>
              <w:spacing w:after="0" w:line="288" w:lineRule="auto"/>
              <w:rPr>
                <w:rFonts w:hint="eastAsia" w:ascii="宋体" w:hAnsi="宋体" w:cs="宋体"/>
                <w:sz w:val="21"/>
                <w:szCs w:val="21"/>
              </w:rPr>
            </w:pPr>
            <w:r>
              <w:rPr>
                <w:rFonts w:hint="eastAsia" w:ascii="宋体" w:hAnsi="宋体" w:cs="宋体"/>
                <w:sz w:val="21"/>
                <w:szCs w:val="21"/>
              </w:rPr>
              <w:t>满足招标文件明确的采购需求全部条款要求的该项得满分；</w:t>
            </w:r>
          </w:p>
          <w:p>
            <w:pPr>
              <w:pStyle w:val="11"/>
              <w:spacing w:after="0" w:line="288" w:lineRule="auto"/>
              <w:rPr>
                <w:rFonts w:hint="eastAsia" w:ascii="宋体" w:hAnsi="宋体" w:cs="宋体"/>
                <w:sz w:val="21"/>
                <w:szCs w:val="21"/>
              </w:rPr>
            </w:pPr>
            <w:r>
              <w:rPr>
                <w:rFonts w:hint="eastAsia" w:ascii="宋体" w:hAnsi="宋体" w:cs="宋体"/>
                <w:sz w:val="21"/>
                <w:szCs w:val="21"/>
              </w:rPr>
              <w:t>采购需求条款低于采购要求（负偏离）的每项扣2分；</w:t>
            </w:r>
          </w:p>
          <w:p>
            <w:pPr>
              <w:pStyle w:val="11"/>
              <w:spacing w:after="0" w:line="288" w:lineRule="auto"/>
              <w:rPr>
                <w:rFonts w:hint="eastAsia" w:ascii="宋体" w:hAnsi="宋体" w:cs="宋体"/>
                <w:sz w:val="21"/>
                <w:szCs w:val="21"/>
              </w:rPr>
            </w:pPr>
            <w:r>
              <w:rPr>
                <w:rFonts w:hint="eastAsia" w:ascii="宋体" w:hAnsi="宋体" w:cs="宋体"/>
                <w:sz w:val="21"/>
                <w:szCs w:val="21"/>
              </w:rPr>
              <w:t>负偏离9项及以上的，视为采购人不能接受的附加条件，投标文件将被视为无效。</w:t>
            </w:r>
          </w:p>
        </w:tc>
      </w:tr>
      <w:tr>
        <w:trPr>
          <w:trHeight w:val="283" w:hRule="atLeast"/>
        </w:trPr>
        <w:tc>
          <w:tcPr>
            <w:tcW w:w="1767" w:type="dxa"/>
            <w:vMerge w:val="continue"/>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bookmarkStart w:id="55" w:name="OLE_LINK11" w:colFirst="1" w:colLast="1"/>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【客观分】</w:t>
            </w:r>
          </w:p>
          <w:p>
            <w:pPr>
              <w:pStyle w:val="11"/>
              <w:spacing w:after="0" w:line="288" w:lineRule="auto"/>
              <w:rPr>
                <w:rFonts w:hint="eastAsia" w:ascii="宋体" w:hAnsi="宋体" w:cs="宋体"/>
                <w:sz w:val="21"/>
                <w:szCs w:val="21"/>
              </w:rPr>
            </w:pPr>
            <w:r>
              <w:rPr>
                <w:rFonts w:hint="eastAsia" w:ascii="宋体" w:hAnsi="宋体" w:cs="宋体"/>
                <w:sz w:val="21"/>
                <w:szCs w:val="21"/>
              </w:rPr>
              <w:t>在完全响应本项目需求指标的基础上，经评标委员会认定每有1项正偏离加1分，无实质性意义的正偏离不加分，最高得4分。</w:t>
            </w:r>
          </w:p>
        </w:tc>
      </w:tr>
      <w:tr>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根据投标人对项目需求的理解程度进行综合评分（评分范围4,3</w:t>
            </w:r>
            <w:r>
              <w:rPr>
                <w:rFonts w:hint="default" w:ascii="宋体" w:hAnsi="宋体" w:cs="宋体"/>
                <w:sz w:val="21"/>
                <w:szCs w:val="21"/>
                <w:lang w:val="en-US"/>
              </w:rPr>
              <w:t>,</w:t>
            </w:r>
            <w:bookmarkStart w:id="64" w:name="_GoBack"/>
            <w:bookmarkEnd w:id="64"/>
            <w:r>
              <w:rPr>
                <w:rFonts w:hint="eastAsia" w:ascii="宋体" w:hAnsi="宋体" w:cs="宋体"/>
                <w:sz w:val="21"/>
                <w:szCs w:val="21"/>
              </w:rPr>
              <w:t>2,1,0）</w:t>
            </w:r>
          </w:p>
        </w:tc>
      </w:tr>
      <w:bookmarkEnd w:id="55"/>
      <w:tr>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bookmarkStart w:id="56" w:name="OLE_LINK10" w:colFirst="1" w:colLast="1"/>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根据投标人对项目实施的重难点分析及应对措施的合理性、适用性进行综合评分（评分范围4,3,2,1,0）。</w:t>
            </w:r>
          </w:p>
        </w:tc>
      </w:tr>
      <w:tr>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服务方案总体思路清晰、合理程度进行综合评分（评分范围4.3,2,1,0）。</w:t>
            </w:r>
          </w:p>
        </w:tc>
      </w:tr>
      <w:bookmarkEnd w:id="56"/>
      <w:tr>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bookmarkStart w:id="57" w:name="OLE_LINK9" w:colFirst="1" w:colLast="1"/>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服务方案全面性，例行操作方案全面详尽程度进行综合评分（评分范围2,1,0），未提供相关内容的不得分</w:t>
            </w:r>
          </w:p>
        </w:tc>
      </w:tr>
      <w:tr>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服务方案全面性，响应支持方案全面详尽程度进行综合评分（评分范围2,1,0），未提供相关内容的不得分</w:t>
            </w:r>
          </w:p>
        </w:tc>
      </w:tr>
      <w:bookmarkEnd w:id="57"/>
      <w:tr>
        <w:trPr>
          <w:trHeight w:val="283" w:hRule="atLeast"/>
        </w:trPr>
        <w:tc>
          <w:tcPr>
            <w:tcW w:w="1767" w:type="dxa"/>
            <w:vMerge w:val="continue"/>
            <w:tcBorders>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bookmarkStart w:id="58" w:name="OLE_LINK8" w:colFirst="1" w:colLast="1"/>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服务方案全面性，优化改善方案全面详尽程度进行综合评分（评分范围2,1,0），未提供相关内容的不得分</w:t>
            </w:r>
          </w:p>
        </w:tc>
      </w:tr>
      <w:tr>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服务方案全面性，调研评估方案全面详尽程度进行综合评分（评分范围2,1,0），未提供相关内容的不得分</w:t>
            </w:r>
          </w:p>
        </w:tc>
      </w:tr>
      <w:bookmarkEnd w:id="58"/>
      <w:tr>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bookmarkStart w:id="59" w:name="OLE_LINK7" w:colFirst="1" w:colLast="1"/>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服务方案可行，与采购人业务需求贴合程度进行综合评分（评分范围4,3,2,1,0），未提供相关内容的不得分。</w:t>
            </w:r>
          </w:p>
        </w:tc>
      </w:tr>
      <w:tr>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维保服务质量保证计划及措施的合理、全面性的程度进行综合评分（评分范围5,4,3,2,1,0），未提供相关内容的不得分。</w:t>
            </w:r>
          </w:p>
        </w:tc>
      </w:tr>
      <w:bookmarkEnd w:id="59"/>
      <w:tr>
        <w:trPr>
          <w:trHeight w:val="352"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6</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【客观分】</w:t>
            </w:r>
          </w:p>
          <w:p>
            <w:pPr>
              <w:pStyle w:val="11"/>
              <w:spacing w:after="0" w:line="288" w:lineRule="auto"/>
              <w:rPr>
                <w:rFonts w:hint="eastAsia" w:ascii="宋体" w:hAnsi="宋体" w:cs="宋体"/>
                <w:sz w:val="21"/>
                <w:szCs w:val="21"/>
              </w:rPr>
            </w:pPr>
            <w:r>
              <w:rPr>
                <w:rFonts w:hint="eastAsia" w:ascii="宋体" w:hAnsi="宋体" w:cs="宋体"/>
                <w:sz w:val="21"/>
                <w:szCs w:val="21"/>
              </w:rPr>
              <w:t>投标人有明确的服务方式（包括但不限于技术支持服务、电话邮件咨询服务、上门故障处理服务等）且提供详细服务方案和服务流程的每一项得2分，最高不超过6分。</w:t>
            </w:r>
          </w:p>
        </w:tc>
      </w:tr>
      <w:tr>
        <w:trPr>
          <w:trHeight w:val="352"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bookmarkStart w:id="60" w:name="OLE_LINK6" w:colFirst="1" w:colLast="1"/>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【客观分】</w:t>
            </w:r>
          </w:p>
          <w:p>
            <w:pPr>
              <w:pStyle w:val="11"/>
              <w:spacing w:after="0" w:line="288" w:lineRule="auto"/>
              <w:rPr>
                <w:rFonts w:hint="eastAsia" w:ascii="宋体" w:hAnsi="宋体" w:cs="宋体"/>
                <w:sz w:val="21"/>
                <w:szCs w:val="21"/>
              </w:rPr>
            </w:pPr>
            <w:r>
              <w:rPr>
                <w:rFonts w:hint="eastAsia" w:ascii="宋体" w:hAnsi="宋体" w:cs="宋体"/>
                <w:sz w:val="21"/>
                <w:szCs w:val="21"/>
              </w:rPr>
              <w:t>投标人有明确的维保服务响应时间、到场服务时间、服务恢复时间且优于采购需求要求的时限，并具备相应保障措施的每一项得1分，最高不超过3分。</w:t>
            </w:r>
          </w:p>
        </w:tc>
      </w:tr>
      <w:tr>
        <w:trPr>
          <w:trHeight w:val="352"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投标人维保时对系统测试、验证采用的方法、手段、标准或工具的科学合理、可行性进行综合评分（评分范围4,3,2,1,0），未提供相关内容的不得分。</w:t>
            </w:r>
          </w:p>
        </w:tc>
      </w:tr>
      <w:bookmarkEnd w:id="60"/>
      <w:tr>
        <w:trPr>
          <w:trHeight w:val="352"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【客观分】</w:t>
            </w:r>
          </w:p>
          <w:p>
            <w:pPr>
              <w:pStyle w:val="11"/>
              <w:spacing w:after="0" w:line="288" w:lineRule="auto"/>
              <w:rPr>
                <w:rFonts w:hint="eastAsia" w:ascii="宋体" w:hAnsi="宋体" w:cs="宋体"/>
                <w:sz w:val="21"/>
                <w:szCs w:val="21"/>
              </w:rPr>
            </w:pPr>
            <w:r>
              <w:rPr>
                <w:rFonts w:hint="eastAsia" w:ascii="宋体" w:hAnsi="宋体" w:cs="宋体"/>
                <w:sz w:val="21"/>
                <w:szCs w:val="21"/>
              </w:rPr>
              <w:t>投标人提供详细应急服务方案，包含重大安保事件、突发事件、节假日、双休日、其他非工作时间等特殊时段，且每个时段保障方案完整、与用户实际环境契合的每个得1分。</w:t>
            </w:r>
          </w:p>
        </w:tc>
      </w:tr>
      <w:tr>
        <w:trPr>
          <w:trHeight w:val="352"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【客观分】</w:t>
            </w:r>
          </w:p>
          <w:p>
            <w:pPr>
              <w:pStyle w:val="11"/>
              <w:spacing w:after="0" w:line="288" w:lineRule="auto"/>
              <w:rPr>
                <w:rFonts w:hint="eastAsia" w:ascii="宋体" w:hAnsi="宋体" w:cs="宋体"/>
                <w:sz w:val="21"/>
                <w:szCs w:val="21"/>
              </w:rPr>
            </w:pPr>
            <w:r>
              <w:rPr>
                <w:rFonts w:hint="eastAsia" w:ascii="宋体" w:hAnsi="宋体" w:cs="宋体"/>
                <w:sz w:val="21"/>
                <w:szCs w:val="21"/>
              </w:rPr>
              <w:t>投标人提供确保维保服务过程中信息安全的管理措施，措施合理、与采购需求契合的每条得1分。</w:t>
            </w:r>
          </w:p>
        </w:tc>
      </w:tr>
      <w:tr>
        <w:trPr>
          <w:trHeight w:val="352" w:hRule="atLeast"/>
        </w:trPr>
        <w:tc>
          <w:tcPr>
            <w:tcW w:w="1767" w:type="dxa"/>
            <w:vMerge w:val="restart"/>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bookmarkStart w:id="61" w:name="OLE_LINK5" w:colFirst="1" w:colLast="1"/>
            <w:r>
              <w:rPr>
                <w:rFonts w:hint="eastAsia" w:ascii="宋体" w:hAnsi="宋体" w:eastAsia="宋体" w:cs="宋体"/>
                <w:b/>
                <w:bCs/>
                <w:szCs w:val="21"/>
                <w:lang w:bidi="ar"/>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【客观分】</w:t>
            </w:r>
          </w:p>
          <w:p>
            <w:pPr>
              <w:pStyle w:val="11"/>
              <w:spacing w:after="0" w:line="288" w:lineRule="auto"/>
              <w:rPr>
                <w:rFonts w:hint="eastAsia" w:ascii="宋体" w:hAnsi="宋体" w:cs="宋体"/>
                <w:sz w:val="21"/>
                <w:szCs w:val="21"/>
              </w:rPr>
            </w:pPr>
            <w:r>
              <w:rPr>
                <w:rFonts w:hint="eastAsia" w:ascii="宋体" w:hAnsi="宋体" w:cs="宋体"/>
                <w:sz w:val="21"/>
                <w:szCs w:val="21"/>
              </w:rPr>
              <w:t>指派专门的项目经理（项目负责人）具备信息系统项目管理师（高级）资质的得2分，具备类似项目管理经验的得2分，未指派或未提供相关证明材料的不得分。</w:t>
            </w:r>
          </w:p>
        </w:tc>
      </w:tr>
      <w:tr>
        <w:trPr>
          <w:trHeight w:val="352"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【客观分】</w:t>
            </w:r>
          </w:p>
          <w:p>
            <w:pPr>
              <w:pStyle w:val="11"/>
              <w:spacing w:after="0" w:line="288" w:lineRule="auto"/>
              <w:rPr>
                <w:rFonts w:hint="eastAsia" w:ascii="宋体" w:hAnsi="宋体" w:cs="宋体"/>
                <w:sz w:val="21"/>
                <w:szCs w:val="21"/>
              </w:rPr>
            </w:pPr>
            <w:r>
              <w:rPr>
                <w:rFonts w:hint="eastAsia" w:ascii="宋体" w:hAnsi="宋体" w:cs="宋体"/>
                <w:sz w:val="21"/>
                <w:szCs w:val="21"/>
              </w:rPr>
              <w:t>驻场人员维保工作经验：具备2（含）-5（不含）年相关维保工作经验的得1分，具备5（含）年以上的得2分；驻场人员具备大专及以上学历的得1分。投标文件中提供相关证明材料。</w:t>
            </w:r>
          </w:p>
        </w:tc>
      </w:tr>
      <w:tr>
        <w:trPr>
          <w:trHeight w:val="352"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【客观分】</w:t>
            </w:r>
          </w:p>
          <w:p>
            <w:pPr>
              <w:pStyle w:val="11"/>
              <w:spacing w:after="0" w:line="288" w:lineRule="auto"/>
              <w:rPr>
                <w:rFonts w:hint="eastAsia" w:ascii="宋体" w:hAnsi="宋体" w:cs="宋体"/>
                <w:sz w:val="21"/>
                <w:szCs w:val="21"/>
              </w:rPr>
            </w:pPr>
            <w:r>
              <w:rPr>
                <w:rFonts w:hint="eastAsia" w:ascii="宋体" w:hAnsi="宋体" w:cs="宋体"/>
                <w:sz w:val="21"/>
                <w:szCs w:val="21"/>
              </w:rPr>
              <w:t>投标人具有本地化服务团队或承诺在中标后建立本地化服务团队的得2分。</w:t>
            </w:r>
          </w:p>
        </w:tc>
      </w:tr>
      <w:tr>
        <w:trPr>
          <w:trHeight w:val="352" w:hRule="atLeast"/>
        </w:trPr>
        <w:tc>
          <w:tcPr>
            <w:tcW w:w="1767" w:type="dxa"/>
            <w:vMerge w:val="continue"/>
            <w:tcBorders>
              <w:left w:val="single" w:color="auto" w:sz="4" w:space="0"/>
              <w:right w:val="single" w:color="auto" w:sz="4" w:space="0"/>
            </w:tcBorders>
            <w:vAlign w:val="center"/>
          </w:tcPr>
          <w:p>
            <w:pPr>
              <w:spacing w:line="288" w:lineRule="auto"/>
              <w:jc w:val="center"/>
              <w:rPr>
                <w:rFonts w:hint="eastAsia" w:ascii="宋体" w:hAnsi="宋体" w:eastAsia="宋体" w:cs="宋体"/>
                <w:b/>
                <w:bCs/>
                <w:szCs w:val="21"/>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88" w:lineRule="auto"/>
              <w:rPr>
                <w:rFonts w:hint="eastAsia" w:ascii="宋体" w:hAnsi="宋体" w:cs="宋体"/>
                <w:sz w:val="21"/>
                <w:szCs w:val="21"/>
              </w:rPr>
            </w:pPr>
            <w:r>
              <w:rPr>
                <w:rFonts w:hint="eastAsia" w:ascii="宋体" w:hAnsi="宋体" w:cs="宋体"/>
                <w:sz w:val="21"/>
                <w:szCs w:val="21"/>
              </w:rPr>
              <w:t>【主观分】</w:t>
            </w:r>
          </w:p>
          <w:p>
            <w:pPr>
              <w:pStyle w:val="11"/>
              <w:spacing w:after="0" w:line="288" w:lineRule="auto"/>
              <w:rPr>
                <w:rFonts w:hint="eastAsia" w:ascii="宋体" w:hAnsi="宋体" w:cs="宋体"/>
                <w:sz w:val="21"/>
                <w:szCs w:val="21"/>
              </w:rPr>
            </w:pPr>
            <w:r>
              <w:rPr>
                <w:rFonts w:hint="eastAsia" w:ascii="宋体" w:hAnsi="宋体" w:cs="宋体"/>
                <w:sz w:val="21"/>
                <w:szCs w:val="21"/>
              </w:rPr>
              <w:t>项目团队其他人员（除项目负责人）配置、职责分工明的合理、类似项目实施经验丰富程度进行综合评分（评分范围2,1,0），未提供相关内容的不得分。未提供相关证明材料或未提供相应内容的不得分。</w:t>
            </w:r>
          </w:p>
        </w:tc>
      </w:tr>
      <w:bookmarkEnd w:id="61"/>
    </w:tbl>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b/>
          <w:szCs w:val="21"/>
        </w:rPr>
        <w:t>说明</w:t>
      </w:r>
      <w:r>
        <w:rPr>
          <w:rFonts w:ascii="宋体" w:hAnsi="宋体" w:eastAsia="宋体" w:cs="Times New Roman"/>
          <w:b/>
          <w:szCs w:val="21"/>
        </w:rPr>
        <w:t>：</w:t>
      </w:r>
      <w:bookmarkStart w:id="62" w:name="_Hlk81817387"/>
      <w:r>
        <w:rPr>
          <w:rFonts w:hint="eastAsia" w:ascii="宋体" w:hAnsi="宋体" w:eastAsia="宋体" w:cs="宋体"/>
          <w:b/>
          <w:szCs w:val="21"/>
        </w:rPr>
        <w:t>本项目专门面向中小企业采购，不再执行价格评审优惠的扶持政策。</w:t>
      </w:r>
    </w:p>
    <w:bookmarkEnd w:id="62"/>
    <w:p>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hint="eastAsia" w:ascii="宋体" w:hAnsi="宋体" w:eastAsia="宋体" w:cs="宋体"/>
          <w:b/>
          <w:spacing w:val="-6"/>
          <w:szCs w:val="21"/>
        </w:rPr>
      </w:pPr>
    </w:p>
    <w:p>
      <w:pPr>
        <w:spacing w:line="288" w:lineRule="auto"/>
        <w:jc w:val="center"/>
        <w:rPr>
          <w:rFonts w:hint="eastAsia" w:ascii="宋体" w:hAnsi="宋体" w:eastAsia="宋体" w:cs="仿宋"/>
          <w:szCs w:val="21"/>
        </w:rPr>
      </w:pPr>
      <w:bookmarkStart w:id="63" w:name="_Hlk112246608"/>
      <w:r>
        <w:rPr>
          <w:rFonts w:hint="eastAsia" w:ascii="宋体" w:hAnsi="宋体" w:eastAsia="宋体" w:cs="仿宋"/>
          <w:b/>
          <w:szCs w:val="21"/>
        </w:rPr>
        <w:t>__________维保项目合同</w:t>
      </w:r>
    </w:p>
    <w:p>
      <w:pPr>
        <w:pStyle w:val="15"/>
        <w:snapToGrid w:val="0"/>
        <w:spacing w:before="120" w:after="120" w:line="288" w:lineRule="auto"/>
        <w:jc w:val="center"/>
        <w:rPr>
          <w:rFonts w:hint="eastAsia" w:hAnsi="宋体" w:eastAsia="宋体" w:cs="仿宋"/>
          <w:b/>
          <w:sz w:val="21"/>
          <w:szCs w:val="21"/>
        </w:rPr>
      </w:pPr>
      <w:r>
        <w:rPr>
          <w:rFonts w:hint="eastAsia" w:hAnsi="宋体" w:eastAsia="宋体" w:cs="仿宋"/>
          <w:b/>
          <w:sz w:val="21"/>
          <w:szCs w:val="21"/>
        </w:rPr>
        <w:t>（本合同为合同格式稿）</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项目名称：</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预算执行确认书编号：</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合同编号：</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甲方：</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乙方：</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按照省财政厅有关要求，甲方根据采购结果，接受乙方为</w:t>
      </w:r>
      <w:r>
        <w:rPr>
          <w:rFonts w:hint="eastAsia" w:ascii="宋体" w:hAnsi="宋体" w:eastAsia="宋体" w:cs="仿宋"/>
          <w:szCs w:val="21"/>
          <w:u w:val="single"/>
        </w:rPr>
        <w:t xml:space="preserve">                     </w:t>
      </w:r>
      <w:r>
        <w:rPr>
          <w:rFonts w:hint="eastAsia" w:ascii="宋体" w:hAnsi="宋体" w:eastAsia="宋体" w:cs="仿宋"/>
          <w:szCs w:val="21"/>
        </w:rPr>
        <w:t>维保项目：</w:t>
      </w:r>
      <w:r>
        <w:rPr>
          <w:rFonts w:hint="eastAsia" w:ascii="宋体" w:hAnsi="宋体" w:eastAsia="宋体" w:cs="仿宋"/>
          <w:szCs w:val="21"/>
          <w:u w:val="single"/>
        </w:rPr>
        <w:t xml:space="preserve">     （名称及标段号，若有）     </w:t>
      </w:r>
      <w:r>
        <w:rPr>
          <w:rFonts w:hint="eastAsia" w:ascii="宋体" w:hAnsi="宋体" w:eastAsia="宋体" w:cs="仿宋"/>
          <w:szCs w:val="21"/>
        </w:rPr>
        <w:t>提供维保服务。甲乙双方经协商一致，同意签署本合同。</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一、合同范围</w:t>
      </w:r>
    </w:p>
    <w:p>
      <w:pPr>
        <w:spacing w:line="288" w:lineRule="auto"/>
        <w:ind w:firstLine="420" w:firstLineChars="200"/>
        <w:rPr>
          <w:rFonts w:hint="eastAsia" w:ascii="宋体" w:hAnsi="宋体" w:eastAsia="宋体" w:cs="仿宋"/>
          <w:szCs w:val="21"/>
        </w:rPr>
      </w:pPr>
      <w:r>
        <w:rPr>
          <w:rFonts w:hint="eastAsia" w:ascii="宋体" w:hAnsi="宋体" w:eastAsia="宋体" w:cs="仿宋"/>
          <w:kern w:val="0"/>
          <w:szCs w:val="21"/>
        </w:rPr>
        <w:t>（维保服务范围）</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二、合同金额</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维保金额为(大写):</w:t>
      </w:r>
      <w:r>
        <w:rPr>
          <w:rFonts w:hint="eastAsia" w:ascii="宋体" w:hAnsi="宋体" w:eastAsia="宋体" w:cs="仿宋"/>
          <w:szCs w:val="21"/>
          <w:u w:val="single"/>
        </w:rPr>
        <w:t xml:space="preserve">           </w:t>
      </w:r>
      <w:r>
        <w:rPr>
          <w:rFonts w:hint="eastAsia" w:ascii="宋体" w:hAnsi="宋体" w:eastAsia="宋体" w:cs="仿宋"/>
          <w:szCs w:val="21"/>
        </w:rPr>
        <w:t>元 (￥:</w:t>
      </w:r>
      <w:r>
        <w:rPr>
          <w:rFonts w:hint="eastAsia" w:ascii="宋体" w:hAnsi="宋体" w:eastAsia="宋体" w:cs="仿宋"/>
          <w:szCs w:val="21"/>
          <w:u w:val="single"/>
        </w:rPr>
        <w:t xml:space="preserve">      </w:t>
      </w:r>
      <w:r>
        <w:rPr>
          <w:rFonts w:hint="eastAsia" w:ascii="宋体" w:hAnsi="宋体" w:eastAsia="宋体" w:cs="仿宋"/>
          <w:szCs w:val="21"/>
        </w:rPr>
        <w:t>元) 人民币，含增值税。乙方报价清单</w:t>
      </w:r>
      <w:r>
        <w:rPr>
          <w:rFonts w:ascii="宋体" w:hAnsi="宋体" w:eastAsia="宋体" w:cs="仿宋"/>
          <w:szCs w:val="21"/>
        </w:rPr>
        <w:t>详见附件。</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三、合同期限、地点及方式</w:t>
      </w:r>
    </w:p>
    <w:p>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期限：</w:t>
      </w:r>
    </w:p>
    <w:p>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地点：</w:t>
      </w:r>
      <w:r>
        <w:rPr>
          <w:rFonts w:ascii="宋体" w:hAnsi="宋体" w:eastAsia="宋体" w:cs="仿宋"/>
          <w:szCs w:val="21"/>
        </w:rPr>
        <w:t xml:space="preserve"> </w:t>
      </w:r>
    </w:p>
    <w:p>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服务方式：</w:t>
      </w:r>
    </w:p>
    <w:p>
      <w:pPr>
        <w:spacing w:line="288" w:lineRule="auto"/>
        <w:ind w:left="511" w:leftChars="237" w:hanging="13" w:hangingChars="6"/>
        <w:rPr>
          <w:rFonts w:hint="eastAsia" w:ascii="宋体" w:hAnsi="宋体" w:eastAsia="宋体" w:cs="仿宋"/>
          <w:b/>
          <w:szCs w:val="21"/>
        </w:rPr>
      </w:pPr>
      <w:r>
        <w:rPr>
          <w:rFonts w:hint="eastAsia" w:ascii="宋体" w:hAnsi="宋体" w:eastAsia="宋体" w:cs="仿宋"/>
          <w:b/>
          <w:szCs w:val="21"/>
        </w:rPr>
        <w:t>四、具体服务内容及要求</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“项目需求及技术要求”。（或：具体维保服务内容参见浙江省公安科技研究所发布的《XX维保项目》（项目编号：  ）的采购需求（详见附件））</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乙方承诺：</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双方对于维保内容的其他约定：</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五、</w:t>
      </w:r>
      <w:r>
        <w:rPr>
          <w:rFonts w:ascii="宋体" w:hAnsi="宋体" w:eastAsia="宋体" w:cs="仿宋"/>
          <w:b/>
          <w:szCs w:val="21"/>
        </w:rPr>
        <w:t>项目验收</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1．项目维保期结束后，乙方应向甲方申请项目验收。验收由甲方负责实施，验收依据包括合同、[招标文件/磋商文件/谈判文件/询价通知书]、乙方的[投标文件/响应文件]。</w:t>
      </w:r>
    </w:p>
    <w:p>
      <w:pPr>
        <w:spacing w:line="288" w:lineRule="auto"/>
        <w:ind w:firstLine="420" w:firstLineChars="200"/>
        <w:rPr>
          <w:rFonts w:hint="eastAsia" w:ascii="宋体" w:hAnsi="宋体" w:eastAsia="宋体" w:cs="仿宋"/>
          <w:szCs w:val="21"/>
        </w:rPr>
      </w:pPr>
      <w:r>
        <w:rPr>
          <w:rFonts w:ascii="宋体" w:hAnsi="宋体" w:eastAsia="宋体" w:cs="仿宋"/>
          <w:szCs w:val="21"/>
        </w:rPr>
        <w:t>2</w:t>
      </w:r>
      <w:r>
        <w:rPr>
          <w:rFonts w:hint="eastAsia" w:ascii="宋体" w:hAnsi="宋体" w:eastAsia="宋体" w:cs="仿宋"/>
          <w:szCs w:val="21"/>
        </w:rPr>
        <w:t>．乙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乙方落实维保措施、完成维保任务情况是否满足合同约定要求。</w:t>
      </w:r>
    </w:p>
    <w:p>
      <w:pPr>
        <w:spacing w:line="288" w:lineRule="auto"/>
        <w:ind w:firstLine="420" w:firstLineChars="200"/>
        <w:rPr>
          <w:rFonts w:hint="eastAsia" w:ascii="宋体" w:hAnsi="宋体" w:eastAsia="宋体" w:cs="仿宋"/>
          <w:szCs w:val="21"/>
        </w:rPr>
      </w:pPr>
      <w:r>
        <w:rPr>
          <w:rFonts w:ascii="宋体" w:hAnsi="宋体" w:eastAsia="宋体" w:cs="仿宋"/>
          <w:szCs w:val="21"/>
        </w:rPr>
        <w:t>3</w:t>
      </w:r>
      <w:r>
        <w:rPr>
          <w:rFonts w:hint="eastAsia" w:ascii="宋体" w:hAnsi="宋体" w:eastAsia="宋体" w:cs="仿宋"/>
          <w:szCs w:val="21"/>
        </w:rPr>
        <w:t>．对维保过程中存在的人员未到岗或频繁更换、维保内容未完成、维保目标未达成等情况据实核算违约成本，并在[项目尾款/履约保证金]中予以扣除。</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4．验收合格的条件为乙方提交的验收文档齐全，符合合同及招投标文件要求；乙方按合同要求完成维保服务，并得到用户部门认可；项目通过甲方组织的验收。</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六、保密约定</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1.甲乙双方必须对本合同条款及相关内容进行保密，不得将其内容泄露给任何第三方（法律必须披露的情况除外）或以本合同之外的目的使用。</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2.双方对在合作过程中所获知的对方单位涉密信息、技术情报和资料均必须保密，任何一方不得向第三方泄露或以本合同之外的目的使用。</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3.违反上述的一切责任和损失由责任方承担。</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4.乙方承诺将严格遵守《安全保密协议》约定，承担相应的法律责任。</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七、付款方式</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合同签订且维保服务期开始后甲方支付60%合同款；维保服务期开始满6个月后，乙方提交半年度的实绩举证材料和工作总结报告，经甲方与监理方确认考核合格后，甲方支付30%合同款；维保服务期满项目验收合格后，乙方在维保期内无任何违约责任，甲方支付10%合同款，否则甲方将在扣除乙方应承担的费用后支付剩余的合同款（如有）。</w:t>
      </w:r>
    </w:p>
    <w:p>
      <w:pPr>
        <w:pStyle w:val="11"/>
        <w:ind w:firstLine="396" w:firstLineChars="200"/>
      </w:pPr>
      <w:r>
        <w:rPr>
          <w:rFonts w:hint="eastAsia" w:ascii="宋体" w:hAnsi="宋体"/>
          <w:spacing w:val="-6"/>
          <w:sz w:val="21"/>
          <w:szCs w:val="21"/>
        </w:rPr>
        <w:t>2</w:t>
      </w:r>
      <w:r>
        <w:rPr>
          <w:rFonts w:hint="eastAsia" w:ascii="宋体" w:hAnsi="宋体"/>
          <w:spacing w:val="-6"/>
          <w:sz w:val="21"/>
          <w:szCs w:val="21"/>
          <w:lang w:val="zh-CN"/>
        </w:rPr>
        <w:t>.乙方应在甲方每次付款至少十五日前内向甲方提供相应金额的合法、有效发票，否则甲方有权拒绝付款并不承担任何违约责任，且乙方应继续履行本合同项下义务。</w:t>
      </w:r>
    </w:p>
    <w:p>
      <w:pPr>
        <w:spacing w:line="288" w:lineRule="auto"/>
        <w:ind w:firstLine="420" w:firstLineChars="200"/>
        <w:rPr>
          <w:rFonts w:hint="eastAsia" w:ascii="宋体" w:hAnsi="宋体" w:eastAsia="宋体" w:cs="仿宋"/>
          <w:b/>
          <w:bCs/>
          <w:szCs w:val="21"/>
        </w:rPr>
      </w:pPr>
      <w:r>
        <w:rPr>
          <w:rFonts w:hint="eastAsia" w:ascii="宋体" w:hAnsi="宋体" w:eastAsia="宋体" w:cs="仿宋"/>
          <w:b/>
          <w:bCs/>
          <w:szCs w:val="21"/>
        </w:rPr>
        <w:t>八、履约保证金</w:t>
      </w:r>
    </w:p>
    <w:p>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1.根据采购文件之规定，乙方[应当/无需]在合同签订后以[银行保函/商业保函]形式向甲方缴纳履约保证金______元。</w:t>
      </w:r>
    </w:p>
    <w:p>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2.如乙方未能履行本合同约定的义务，甲方有权从履约保证金中直接扣除乙方因此而应当向甲方支付的任何费用。</w:t>
      </w:r>
    </w:p>
    <w:p>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甲方应于本合同期满项目验收合格后十五日内扣除乙方应当承担的费用（如有）后退还履约保证金（不计息）。但如果此时存在合同争端并且未能解决，那么履约保证金的退还应延长到上述争端最终解决且索赔完毕后。</w:t>
      </w:r>
    </w:p>
    <w:p>
      <w:pPr>
        <w:spacing w:line="288" w:lineRule="auto"/>
        <w:ind w:firstLine="420" w:firstLineChars="200"/>
        <w:rPr>
          <w:rFonts w:hint="eastAsia" w:ascii="宋体" w:hAnsi="宋体" w:eastAsia="宋体" w:cs="仿宋"/>
          <w:b/>
          <w:szCs w:val="21"/>
          <w:lang w:val="zh-CN"/>
        </w:rPr>
      </w:pPr>
      <w:r>
        <w:rPr>
          <w:rFonts w:hint="eastAsia" w:ascii="宋体" w:hAnsi="宋体" w:eastAsia="宋体" w:cs="仿宋"/>
          <w:b/>
          <w:szCs w:val="21"/>
          <w:lang w:val="zh-CN"/>
        </w:rPr>
        <w:t>九、甲方的权利与义务</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甲方应当为乙方工作提供良好的外部条件，并按照合同约定支付款项。</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甲方有权随时对乙方服务情况进行监督、检查。</w:t>
      </w:r>
    </w:p>
    <w:p>
      <w:pPr>
        <w:spacing w:line="288" w:lineRule="auto"/>
        <w:ind w:firstLine="420" w:firstLineChars="200"/>
        <w:rPr>
          <w:rFonts w:hint="eastAsia" w:ascii="宋体" w:hAnsi="宋体" w:eastAsia="宋体" w:cs="仿宋"/>
          <w:bCs/>
          <w:szCs w:val="21"/>
        </w:rPr>
      </w:pPr>
      <w:r>
        <w:rPr>
          <w:rFonts w:hint="eastAsia" w:ascii="宋体" w:hAnsi="宋体" w:eastAsia="宋体" w:cs="仿宋"/>
          <w:bCs/>
          <w:szCs w:val="21"/>
        </w:rPr>
        <w:t>3.其他：__________________</w:t>
      </w:r>
    </w:p>
    <w:p>
      <w:pPr>
        <w:spacing w:line="288" w:lineRule="auto"/>
        <w:ind w:firstLine="420" w:firstLineChars="200"/>
        <w:rPr>
          <w:rFonts w:hint="eastAsia" w:ascii="宋体" w:hAnsi="宋体" w:eastAsia="宋体" w:cs="仿宋"/>
          <w:b/>
          <w:bCs/>
          <w:szCs w:val="21"/>
          <w:lang w:val="zh-CN"/>
        </w:rPr>
      </w:pPr>
      <w:r>
        <w:rPr>
          <w:rFonts w:hint="eastAsia" w:ascii="宋体" w:hAnsi="宋体" w:eastAsia="宋体" w:cs="仿宋"/>
          <w:b/>
          <w:bCs/>
          <w:szCs w:val="21"/>
          <w:lang w:val="zh-CN"/>
        </w:rPr>
        <w:t>十、乙方的权利与义务</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乙方应指派项目负责人与甲方对接，项目负责人信息如下：</w:t>
      </w:r>
    </w:p>
    <w:p>
      <w:pPr>
        <w:spacing w:line="288" w:lineRule="auto"/>
        <w:ind w:firstLine="420" w:firstLineChars="200"/>
        <w:rPr>
          <w:rFonts w:hint="eastAsia" w:ascii="宋体" w:hAnsi="宋体" w:eastAsia="宋体" w:cs="仿宋"/>
          <w:bCs/>
          <w:szCs w:val="21"/>
        </w:rPr>
      </w:pPr>
      <w:r>
        <w:rPr>
          <w:rFonts w:hint="eastAsia" w:ascii="宋体" w:hAnsi="宋体" w:eastAsia="宋体" w:cs="仿宋"/>
          <w:bCs/>
          <w:szCs w:val="21"/>
          <w:lang w:val="zh-CN"/>
        </w:rPr>
        <w:t>姓名：</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lang w:val="zh-CN"/>
        </w:rPr>
        <w:t>身份证号：</w:t>
      </w:r>
      <w:r>
        <w:rPr>
          <w:rFonts w:hint="eastAsia" w:ascii="宋体" w:hAnsi="宋体" w:eastAsia="宋体" w:cs="仿宋"/>
          <w:bCs/>
          <w:szCs w:val="21"/>
        </w:rPr>
        <w:t xml:space="preserve"> </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lang w:val="zh-CN"/>
        </w:rPr>
        <w:t>手机号码：</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公司固定电话</w:t>
      </w:r>
      <w:r>
        <w:rPr>
          <w:rFonts w:hint="eastAsia" w:ascii="宋体" w:hAnsi="宋体" w:eastAsia="宋体" w:cs="仿宋"/>
          <w:bCs/>
          <w:szCs w:val="21"/>
          <w:lang w:val="zh-CN"/>
        </w:rPr>
        <w:t>：</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乙方向甲方委派的项目组人员应当固定，乙方保证项目组人员具备完成此次</w:t>
      </w:r>
      <w:r>
        <w:rPr>
          <w:rFonts w:hint="eastAsia" w:ascii="宋体" w:hAnsi="宋体" w:eastAsia="宋体" w:cs="仿宋"/>
          <w:bCs/>
          <w:szCs w:val="21"/>
        </w:rPr>
        <w:t>服务</w:t>
      </w:r>
      <w:r>
        <w:rPr>
          <w:rFonts w:hint="eastAsia" w:ascii="宋体" w:hAnsi="宋体" w:eastAsia="宋体" w:cs="仿宋"/>
          <w:bCs/>
          <w:szCs w:val="21"/>
          <w:lang w:val="zh-CN"/>
        </w:rPr>
        <w:t>的相关资质、经验等条件，乙方更换人员必须经甲方书面同意。</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3.</w:t>
      </w:r>
      <w:r>
        <w:rPr>
          <w:rFonts w:hint="eastAsia" w:ascii="宋体" w:hAnsi="宋体" w:eastAsia="宋体" w:cs="仿宋"/>
          <w:bCs/>
          <w:szCs w:val="21"/>
          <w:lang w:val="zh-CN"/>
        </w:rPr>
        <w:t>乙方在履行本合同义务的期间，应运用合理的技能，认真、勤奋的工作，按照合同约定的内容完成</w:t>
      </w:r>
      <w:r>
        <w:rPr>
          <w:rFonts w:hint="eastAsia" w:ascii="宋体" w:hAnsi="宋体" w:eastAsia="宋体" w:cs="仿宋"/>
          <w:bCs/>
          <w:szCs w:val="21"/>
        </w:rPr>
        <w:t>服务</w:t>
      </w:r>
      <w:r>
        <w:rPr>
          <w:rFonts w:hint="eastAsia" w:ascii="宋体" w:hAnsi="宋体" w:eastAsia="宋体" w:cs="仿宋"/>
          <w:bCs/>
          <w:szCs w:val="21"/>
          <w:lang w:val="zh-CN"/>
        </w:rPr>
        <w:t>。</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4.</w:t>
      </w:r>
      <w:r>
        <w:rPr>
          <w:rFonts w:hint="eastAsia" w:ascii="宋体" w:hAnsi="宋体" w:eastAsia="宋体" w:cs="仿宋"/>
          <w:bCs/>
          <w:szCs w:val="21"/>
          <w:lang w:val="zh-CN"/>
        </w:rPr>
        <w:t>乙方在工作准备及实施过程中，应遵守甲方单位相关管理规定，接受甲方任何形式的监督、检查，及时与甲方沟通工作情况。</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5.其他：__________________</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十一、违约责任</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1.甲方无故逾期办理价款支付手续的，甲方应按逾期付款总额每日万分之五向乙方支付违约金。</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乙方逾期完成维修、未按期提供服务的，乙方应按合同价款总额每日千分之六向甲方支付违约金，由甲方从履约保证金或尾款中扣除。逾期或未提供服务超过约定日期十个工作日不能完成的，甲方可解除本合同。</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乙方所提供的维保服务质量标准不符合合同规定或采购文件规定标准的，甲方有权拒绝接受服务，乙方愿意继续维修、提供服务但逾期完成的，按乙方逾期完成处理或提供服务。乙方拒绝按要求继续服务的，甲方可单方面解除合同。</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w:t>
      </w:r>
      <w:r>
        <w:rPr>
          <w:rFonts w:hint="eastAsia" w:ascii="宋体" w:hAnsi="宋体" w:eastAsia="宋体" w:cs="仿宋"/>
          <w:bCs/>
          <w:szCs w:val="21"/>
        </w:rPr>
        <w:t>.</w:t>
      </w:r>
      <w:r>
        <w:rPr>
          <w:rFonts w:hint="eastAsia" w:ascii="宋体" w:hAnsi="宋体" w:eastAsia="宋体" w:cs="仿宋"/>
          <w:szCs w:val="21"/>
        </w:rPr>
        <w:t>如乙方逾期完成维修、未按期提供服务，或乙方所提供的维保服务质量标准不符合合同规定或采购文件规定标准的，甲方有权委托第三方提供本合同项下维保服务的，相应费用由乙方承担。</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5</w:t>
      </w:r>
      <w:r>
        <w:rPr>
          <w:rFonts w:hint="eastAsia" w:ascii="宋体" w:hAnsi="宋体" w:eastAsia="宋体" w:cs="仿宋"/>
          <w:bCs/>
          <w:szCs w:val="21"/>
        </w:rPr>
        <w:t>.</w:t>
      </w:r>
      <w:r>
        <w:rPr>
          <w:rFonts w:hint="eastAsia" w:ascii="宋体" w:hAnsi="宋体" w:eastAsia="宋体" w:cs="仿宋"/>
          <w:szCs w:val="21"/>
        </w:rPr>
        <w:t>本项目不允许转包，如有转让和未经甲方同意的分包行为，甲方有权解除合同并追究乙方的违约责任。</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6</w:t>
      </w:r>
      <w:r>
        <w:rPr>
          <w:rFonts w:hint="eastAsia" w:ascii="宋体" w:hAnsi="宋体" w:eastAsia="宋体" w:cs="仿宋"/>
          <w:bCs/>
          <w:szCs w:val="21"/>
        </w:rPr>
        <w:t>.</w:t>
      </w:r>
      <w:r>
        <w:rPr>
          <w:rFonts w:hint="eastAsia" w:ascii="宋体" w:hAnsi="宋体" w:eastAsia="宋体" w:cs="仿宋"/>
          <w:szCs w:val="21"/>
        </w:rPr>
        <w:t>乙方因逾期完成、未提供服务或因其他违约行为导致甲方解除合同的，乙方应向甲方支付合同价款百分之五的违约金，如造成甲方损失超过违约金的，超出部分由乙方继续承担赔偿责任。</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十二、不可抗力事件处理</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1.在合同有效期内，任何一方因不可抗力事件导致不能履行合同，则合同履行期可延长，其延长期与不可抗力影响期相同。</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不可抗力事件发生后，应立即通知对方，并寄送有关权威机构出具的证明。</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不可抗力事件延续120天以上，双方应通过友好协商，确定是否继续履行合同。</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十三、争议的解决</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在履行合同过程中发生争议时，双方当事人协商解决，协商不成的，采用下列第</w:t>
      </w:r>
      <w:r>
        <w:rPr>
          <w:rFonts w:hint="eastAsia" w:ascii="宋体" w:hAnsi="宋体" w:eastAsia="宋体" w:cs="仿宋"/>
          <w:szCs w:val="21"/>
          <w:u w:val="single"/>
        </w:rPr>
        <w:t xml:space="preserve"> 1 </w:t>
      </w:r>
      <w:r>
        <w:rPr>
          <w:rFonts w:hint="eastAsia" w:ascii="宋体" w:hAnsi="宋体" w:eastAsia="宋体" w:cs="仿宋"/>
          <w:szCs w:val="21"/>
        </w:rPr>
        <w:t>种方法解决。</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1.提交杭州仲裁委员会仲裁；</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2.依法向甲方所在地人民法院提起诉讼。</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十四、合同生效及其它</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1.合同经双方法定代表人或授权委托代理人签字并加盖单位公章后生效。</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合同执行中涉及采购资金和谈判采购内容修改或补充的，须经省财政部门审批，并签书面补充协议报管理部门备案，方可作为主合同不可分割的一部分。</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下述合同附件为本合同不可分割的部分并与本合同具有同等效力：</w:t>
      </w:r>
      <w:r>
        <w:rPr>
          <w:rFonts w:hint="eastAsia" w:ascii="宋体" w:hAnsi="宋体" w:eastAsia="宋体" w:cs="仿宋"/>
          <w:b/>
          <w:szCs w:val="21"/>
        </w:rPr>
        <w:t>(已有内容仅供参考,用户单位可根据实际情况定)</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（1）维修、服务所需材料、人工等分项价格表</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（2）维修、服务质量标准</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（3）乙方谈判响应文件的内容及澄清内容</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（4）其他与本合同相关的单据</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（5）本合同适用的特殊条款 </w:t>
      </w:r>
    </w:p>
    <w:p>
      <w:pPr>
        <w:spacing w:line="288" w:lineRule="auto"/>
        <w:ind w:firstLine="420" w:firstLineChars="200"/>
        <w:rPr>
          <w:rFonts w:hint="eastAsia" w:ascii="宋体" w:hAnsi="宋体" w:eastAsia="宋体" w:cs="仿宋"/>
          <w:szCs w:val="21"/>
        </w:rPr>
      </w:pPr>
      <w:r>
        <w:rPr>
          <w:rFonts w:ascii="宋体" w:hAnsi="宋体" w:eastAsia="宋体" w:cs="仿宋"/>
          <w:bCs/>
          <w:szCs w:val="21"/>
        </w:rPr>
        <w:t>4</w:t>
      </w:r>
      <w:r>
        <w:rPr>
          <w:rFonts w:hint="eastAsia" w:ascii="宋体" w:hAnsi="宋体" w:eastAsia="宋体" w:cs="仿宋"/>
          <w:bCs/>
          <w:szCs w:val="21"/>
        </w:rPr>
        <w:t>.[</w:t>
      </w:r>
      <w:r>
        <w:rPr>
          <w:rFonts w:hint="eastAsia" w:ascii="宋体" w:hAnsi="宋体" w:eastAsia="宋体" w:cs="仿宋"/>
          <w:szCs w:val="21"/>
        </w:rPr>
        <w:t>招标/单一来源采购/竞争性磋商</w:t>
      </w:r>
      <w:r>
        <w:rPr>
          <w:rFonts w:ascii="宋体" w:hAnsi="宋体" w:eastAsia="宋体" w:cs="仿宋"/>
          <w:szCs w:val="21"/>
        </w:rPr>
        <w:t>]</w:t>
      </w:r>
      <w:r>
        <w:rPr>
          <w:rFonts w:hint="eastAsia" w:ascii="宋体" w:hAnsi="宋体" w:eastAsia="宋体" w:cs="仿宋"/>
          <w:szCs w:val="21"/>
        </w:rPr>
        <w:t>文件、[</w:t>
      </w:r>
      <w:r>
        <w:rPr>
          <w:rFonts w:ascii="宋体" w:hAnsi="宋体" w:eastAsia="宋体" w:cs="仿宋"/>
          <w:szCs w:val="21"/>
        </w:rPr>
        <w:t>投标</w:t>
      </w:r>
      <w:r>
        <w:rPr>
          <w:rFonts w:hint="eastAsia" w:ascii="宋体" w:hAnsi="宋体" w:eastAsia="宋体" w:cs="仿宋"/>
          <w:szCs w:val="21"/>
        </w:rPr>
        <w:t>/响应]</w:t>
      </w:r>
      <w:r>
        <w:rPr>
          <w:rFonts w:ascii="宋体" w:hAnsi="宋体" w:eastAsia="宋体" w:cs="仿宋"/>
          <w:szCs w:val="21"/>
        </w:rPr>
        <w:t>文件（</w:t>
      </w:r>
      <w:r>
        <w:rPr>
          <w:rFonts w:hint="eastAsia" w:ascii="宋体" w:hAnsi="宋体" w:eastAsia="宋体" w:cs="仿宋"/>
          <w:szCs w:val="21"/>
        </w:rPr>
        <w:t>含</w:t>
      </w:r>
      <w:r>
        <w:rPr>
          <w:rFonts w:ascii="宋体" w:hAnsi="宋体" w:eastAsia="宋体" w:cs="仿宋"/>
          <w:szCs w:val="21"/>
        </w:rPr>
        <w:t>乙方的最终报价及承诺）</w:t>
      </w:r>
      <w:r>
        <w:rPr>
          <w:rFonts w:hint="eastAsia" w:ascii="宋体" w:hAnsi="宋体" w:eastAsia="宋体" w:cs="仿宋"/>
          <w:szCs w:val="21"/>
        </w:rPr>
        <w:t>与</w:t>
      </w:r>
      <w:r>
        <w:rPr>
          <w:rFonts w:ascii="宋体" w:hAnsi="宋体" w:eastAsia="宋体" w:cs="仿宋"/>
          <w:szCs w:val="21"/>
        </w:rPr>
        <w:t>本合同具有同等法律效力。</w:t>
      </w:r>
    </w:p>
    <w:p>
      <w:pPr>
        <w:spacing w:line="288" w:lineRule="auto"/>
        <w:ind w:firstLine="420" w:firstLineChars="200"/>
        <w:rPr>
          <w:rFonts w:hint="eastAsia" w:ascii="宋体" w:hAnsi="宋体" w:eastAsia="宋体" w:cs="仿宋"/>
          <w:szCs w:val="21"/>
        </w:rPr>
      </w:pPr>
      <w:r>
        <w:rPr>
          <w:rFonts w:ascii="宋体" w:hAnsi="宋体" w:eastAsia="宋体" w:cs="仿宋"/>
          <w:bCs/>
          <w:szCs w:val="21"/>
        </w:rPr>
        <w:t>5</w:t>
      </w:r>
      <w:r>
        <w:rPr>
          <w:rFonts w:hint="eastAsia" w:ascii="宋体" w:hAnsi="宋体" w:eastAsia="宋体" w:cs="仿宋"/>
          <w:bCs/>
          <w:szCs w:val="21"/>
        </w:rPr>
        <w:t>.</w:t>
      </w:r>
      <w:r>
        <w:rPr>
          <w:rFonts w:hint="eastAsia" w:ascii="宋体" w:hAnsi="宋体" w:eastAsia="宋体" w:cs="仿宋"/>
          <w:szCs w:val="21"/>
        </w:rPr>
        <w:t>本合同未尽事宜，遵照《中华人民共和国民法典》有关条文执行。</w:t>
      </w:r>
    </w:p>
    <w:p>
      <w:pPr>
        <w:spacing w:line="288" w:lineRule="auto"/>
        <w:ind w:firstLine="420" w:firstLineChars="200"/>
        <w:rPr>
          <w:rFonts w:hint="eastAsia" w:ascii="宋体" w:hAnsi="宋体" w:eastAsia="宋体" w:cs="仿宋"/>
          <w:szCs w:val="21"/>
        </w:rPr>
      </w:pPr>
      <w:r>
        <w:rPr>
          <w:rFonts w:ascii="宋体" w:hAnsi="宋体" w:eastAsia="宋体" w:cs="仿宋"/>
          <w:bCs/>
          <w:szCs w:val="21"/>
        </w:rPr>
        <w:t>6</w:t>
      </w:r>
      <w:r>
        <w:rPr>
          <w:rFonts w:hint="eastAsia" w:ascii="宋体" w:hAnsi="宋体" w:eastAsia="宋体" w:cs="仿宋"/>
          <w:bCs/>
          <w:szCs w:val="21"/>
        </w:rPr>
        <w:t>.</w:t>
      </w:r>
      <w:r>
        <w:rPr>
          <w:rFonts w:hint="eastAsia" w:ascii="宋体" w:hAnsi="宋体" w:eastAsia="宋体" w:cs="仿宋"/>
          <w:szCs w:val="21"/>
        </w:rPr>
        <w:t>本合同正本一式八份，其中甲方执六份，乙方执二份，具有同等法律效力。</w:t>
      </w:r>
    </w:p>
    <w:p>
      <w:pPr>
        <w:spacing w:line="288" w:lineRule="auto"/>
        <w:ind w:firstLine="420" w:firstLineChars="200"/>
        <w:rPr>
          <w:rFonts w:hint="eastAsia" w:ascii="宋体" w:hAnsi="宋体" w:eastAsia="宋体" w:cs="仿宋"/>
          <w:szCs w:val="21"/>
        </w:rPr>
      </w:pPr>
    </w:p>
    <w:p>
      <w:pPr>
        <w:spacing w:line="288" w:lineRule="auto"/>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甲方（盖章）：                     乙方（盖章）：</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地址： 浙江省</w:t>
      </w:r>
      <w:r>
        <w:rPr>
          <w:rFonts w:ascii="宋体" w:hAnsi="宋体" w:eastAsia="宋体" w:cs="仿宋"/>
          <w:szCs w:val="21"/>
        </w:rPr>
        <w:t>杭州市</w:t>
      </w:r>
      <w:r>
        <w:rPr>
          <w:rFonts w:hint="eastAsia" w:ascii="宋体" w:hAnsi="宋体" w:eastAsia="宋体" w:cs="仿宋"/>
          <w:szCs w:val="21"/>
        </w:rPr>
        <w:t>民生路66号    地址：</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法定代表人或委托代理人：          法定代表人或委托代理人：</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电话：</w:t>
      </w:r>
      <w:r>
        <w:rPr>
          <w:rFonts w:ascii="宋体" w:hAnsi="宋体" w:eastAsia="宋体" w:cs="仿宋"/>
          <w:szCs w:val="21"/>
        </w:rPr>
        <w:t xml:space="preserve">87286949     </w:t>
      </w:r>
      <w:r>
        <w:rPr>
          <w:rFonts w:hint="eastAsia" w:ascii="宋体" w:hAnsi="宋体" w:eastAsia="宋体" w:cs="仿宋"/>
          <w:szCs w:val="21"/>
        </w:rPr>
        <w:t xml:space="preserve">               电话：</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传真：                            传真：</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邮政编码：</w:t>
      </w:r>
      <w:r>
        <w:rPr>
          <w:rFonts w:ascii="宋体" w:hAnsi="宋体" w:eastAsia="宋体" w:cs="仿宋"/>
          <w:szCs w:val="21"/>
        </w:rPr>
        <w:t xml:space="preserve">310009  </w:t>
      </w:r>
      <w:r>
        <w:rPr>
          <w:rFonts w:hint="eastAsia" w:ascii="宋体" w:hAnsi="宋体" w:eastAsia="宋体" w:cs="仿宋"/>
          <w:szCs w:val="21"/>
        </w:rPr>
        <w:t xml:space="preserve">                邮政编码：</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开户银行：工行城站支行            开户银行：</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帐号：</w:t>
      </w:r>
      <w:r>
        <w:rPr>
          <w:rFonts w:ascii="宋体" w:hAnsi="宋体" w:eastAsia="宋体" w:cs="仿宋"/>
          <w:szCs w:val="21"/>
        </w:rPr>
        <w:t>1202027709900037017</w:t>
      </w:r>
      <w:r>
        <w:rPr>
          <w:rFonts w:hint="eastAsia" w:ascii="宋体" w:hAnsi="宋体" w:eastAsia="宋体" w:cs="仿宋"/>
          <w:szCs w:val="21"/>
        </w:rPr>
        <w:t xml:space="preserve">         帐号：</w:t>
      </w:r>
    </w:p>
    <w:p>
      <w:pPr>
        <w:spacing w:line="288" w:lineRule="auto"/>
        <w:ind w:firstLine="420" w:firstLineChars="200"/>
        <w:rPr>
          <w:rFonts w:hint="eastAsia" w:ascii="宋体" w:hAnsi="宋体" w:eastAsia="宋体" w:cs="仿宋"/>
          <w:szCs w:val="21"/>
        </w:rPr>
      </w:pPr>
    </w:p>
    <w:p>
      <w:pPr>
        <w:spacing w:line="288" w:lineRule="auto"/>
        <w:rPr>
          <w:rFonts w:hint="eastAsia" w:ascii="宋体" w:hAnsi="宋体" w:eastAsia="宋体" w:cs="仿宋"/>
          <w:szCs w:val="21"/>
        </w:rPr>
      </w:pPr>
    </w:p>
    <w:p>
      <w:pPr>
        <w:spacing w:line="288" w:lineRule="auto"/>
        <w:rPr>
          <w:rFonts w:hint="eastAsia" w:ascii="宋体" w:hAnsi="宋体" w:eastAsia="宋体" w:cs="仿宋"/>
          <w:szCs w:val="21"/>
        </w:rPr>
      </w:pPr>
      <w:r>
        <w:rPr>
          <w:rFonts w:hint="eastAsia" w:ascii="宋体" w:hAnsi="宋体" w:eastAsia="宋体" w:cs="仿宋"/>
          <w:szCs w:val="21"/>
        </w:rPr>
        <w:t xml:space="preserve">    签订时间：</w:t>
      </w:r>
    </w:p>
    <w:p>
      <w:pPr>
        <w:spacing w:line="288" w:lineRule="auto"/>
        <w:rPr>
          <w:rFonts w:hint="eastAsia" w:ascii="宋体" w:hAnsi="宋体" w:eastAsia="宋体" w:cs="仿宋"/>
          <w:szCs w:val="21"/>
        </w:rPr>
      </w:pPr>
    </w:p>
    <w:p>
      <w:pPr>
        <w:spacing w:line="288" w:lineRule="auto"/>
        <w:rPr>
          <w:rFonts w:hint="eastAsia" w:ascii="宋体" w:hAnsi="宋体" w:eastAsia="宋体" w:cs="仿宋"/>
          <w:szCs w:val="21"/>
        </w:rPr>
      </w:pPr>
    </w:p>
    <w:p>
      <w:pPr>
        <w:spacing w:line="288" w:lineRule="auto"/>
        <w:rPr>
          <w:rFonts w:hint="eastAsia" w:ascii="宋体" w:hAnsi="宋体" w:eastAsia="宋体" w:cs="仿宋"/>
          <w:szCs w:val="21"/>
        </w:rPr>
      </w:pPr>
      <w:r>
        <w:rPr>
          <w:rFonts w:hint="eastAsia" w:ascii="宋体" w:hAnsi="宋体" w:eastAsia="宋体" w:cs="仿宋"/>
          <w:szCs w:val="21"/>
        </w:rPr>
        <w:t>附件一</w:t>
      </w:r>
    </w:p>
    <w:p>
      <w:pPr>
        <w:spacing w:line="288" w:lineRule="auto"/>
        <w:rPr>
          <w:rFonts w:hint="eastAsia" w:ascii="宋体" w:hAnsi="宋体" w:eastAsia="宋体" w:cs="仿宋"/>
          <w:szCs w:val="21"/>
        </w:rPr>
      </w:pPr>
    </w:p>
    <w:p>
      <w:pPr>
        <w:spacing w:line="288" w:lineRule="auto"/>
        <w:jc w:val="center"/>
        <w:rPr>
          <w:rFonts w:hint="eastAsia" w:ascii="宋体" w:hAnsi="宋体" w:eastAsia="宋体" w:cs="仿宋"/>
          <w:b/>
          <w:szCs w:val="21"/>
        </w:rPr>
      </w:pPr>
      <w:r>
        <w:rPr>
          <w:rFonts w:hint="eastAsia" w:ascii="宋体" w:hAnsi="宋体" w:eastAsia="宋体" w:cs="仿宋"/>
          <w:b/>
          <w:szCs w:val="21"/>
        </w:rPr>
        <w:t>报价清单</w:t>
      </w:r>
    </w:p>
    <w:tbl>
      <w:tblPr>
        <w:tblStyle w:val="2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503"/>
        <w:gridCol w:w="1563"/>
        <w:gridCol w:w="938"/>
        <w:gridCol w:w="1408"/>
        <w:gridCol w:w="1931"/>
      </w:tblGrid>
      <w:tr>
        <w:trPr>
          <w:trHeight w:val="454" w:hRule="atLeast"/>
        </w:trPr>
        <w:tc>
          <w:tcPr>
            <w:tcW w:w="1059"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序号</w:t>
            </w:r>
          </w:p>
        </w:tc>
        <w:tc>
          <w:tcPr>
            <w:tcW w:w="2503"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项目</w:t>
            </w:r>
          </w:p>
        </w:tc>
        <w:tc>
          <w:tcPr>
            <w:tcW w:w="1563"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单价</w:t>
            </w:r>
          </w:p>
        </w:tc>
        <w:tc>
          <w:tcPr>
            <w:tcW w:w="938"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数量</w:t>
            </w:r>
          </w:p>
        </w:tc>
        <w:tc>
          <w:tcPr>
            <w:tcW w:w="1408"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总价</w:t>
            </w:r>
          </w:p>
        </w:tc>
        <w:tc>
          <w:tcPr>
            <w:tcW w:w="1931"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备注</w:t>
            </w:r>
          </w:p>
        </w:tc>
      </w:tr>
      <w:tr>
        <w:trPr>
          <w:trHeight w:val="454" w:hRule="atLeast"/>
        </w:trPr>
        <w:tc>
          <w:tcPr>
            <w:tcW w:w="1059"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1</w:t>
            </w:r>
          </w:p>
        </w:tc>
        <w:tc>
          <w:tcPr>
            <w:tcW w:w="2503" w:type="dxa"/>
            <w:vAlign w:val="center"/>
          </w:tcPr>
          <w:p>
            <w:pPr>
              <w:spacing w:line="288" w:lineRule="auto"/>
              <w:jc w:val="center"/>
              <w:rPr>
                <w:rFonts w:hint="eastAsia" w:ascii="宋体" w:hAnsi="宋体" w:eastAsia="宋体" w:cs="仿宋"/>
                <w:szCs w:val="21"/>
              </w:rPr>
            </w:pPr>
          </w:p>
        </w:tc>
        <w:tc>
          <w:tcPr>
            <w:tcW w:w="1563" w:type="dxa"/>
            <w:vAlign w:val="center"/>
          </w:tcPr>
          <w:p>
            <w:pPr>
              <w:spacing w:line="288" w:lineRule="auto"/>
              <w:jc w:val="center"/>
              <w:rPr>
                <w:rFonts w:hint="eastAsia" w:ascii="宋体" w:hAnsi="宋体" w:eastAsia="宋体" w:cs="仿宋"/>
                <w:szCs w:val="21"/>
              </w:rPr>
            </w:pPr>
          </w:p>
        </w:tc>
        <w:tc>
          <w:tcPr>
            <w:tcW w:w="938"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1931" w:type="dxa"/>
            <w:vAlign w:val="center"/>
          </w:tcPr>
          <w:p>
            <w:pPr>
              <w:spacing w:line="288" w:lineRule="auto"/>
              <w:jc w:val="center"/>
              <w:rPr>
                <w:rFonts w:hint="eastAsia" w:ascii="宋体" w:hAnsi="宋体" w:eastAsia="宋体" w:cs="仿宋"/>
                <w:szCs w:val="21"/>
              </w:rPr>
            </w:pPr>
          </w:p>
        </w:tc>
      </w:tr>
      <w:tr>
        <w:trPr>
          <w:trHeight w:val="454" w:hRule="atLeast"/>
        </w:trPr>
        <w:tc>
          <w:tcPr>
            <w:tcW w:w="1059"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2</w:t>
            </w:r>
          </w:p>
        </w:tc>
        <w:tc>
          <w:tcPr>
            <w:tcW w:w="2503" w:type="dxa"/>
            <w:vAlign w:val="center"/>
          </w:tcPr>
          <w:p>
            <w:pPr>
              <w:spacing w:line="288" w:lineRule="auto"/>
              <w:jc w:val="center"/>
              <w:rPr>
                <w:rFonts w:hint="eastAsia" w:ascii="宋体" w:hAnsi="宋体" w:eastAsia="宋体" w:cs="仿宋"/>
                <w:szCs w:val="21"/>
              </w:rPr>
            </w:pPr>
          </w:p>
        </w:tc>
        <w:tc>
          <w:tcPr>
            <w:tcW w:w="1563" w:type="dxa"/>
            <w:vAlign w:val="center"/>
          </w:tcPr>
          <w:p>
            <w:pPr>
              <w:spacing w:line="288" w:lineRule="auto"/>
              <w:jc w:val="center"/>
              <w:rPr>
                <w:rFonts w:hint="eastAsia" w:ascii="宋体" w:hAnsi="宋体" w:eastAsia="宋体" w:cs="仿宋"/>
                <w:szCs w:val="21"/>
              </w:rPr>
            </w:pPr>
          </w:p>
        </w:tc>
        <w:tc>
          <w:tcPr>
            <w:tcW w:w="938"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1931" w:type="dxa"/>
            <w:vAlign w:val="center"/>
          </w:tcPr>
          <w:p>
            <w:pPr>
              <w:spacing w:line="288" w:lineRule="auto"/>
              <w:jc w:val="center"/>
              <w:rPr>
                <w:rFonts w:hint="eastAsia" w:ascii="宋体" w:hAnsi="宋体" w:eastAsia="宋体" w:cs="仿宋"/>
                <w:szCs w:val="21"/>
              </w:rPr>
            </w:pPr>
          </w:p>
        </w:tc>
      </w:tr>
      <w:tr>
        <w:trPr>
          <w:trHeight w:val="454" w:hRule="atLeast"/>
        </w:trPr>
        <w:tc>
          <w:tcPr>
            <w:tcW w:w="1059"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3</w:t>
            </w:r>
          </w:p>
        </w:tc>
        <w:tc>
          <w:tcPr>
            <w:tcW w:w="2503" w:type="dxa"/>
            <w:vAlign w:val="center"/>
          </w:tcPr>
          <w:p>
            <w:pPr>
              <w:spacing w:line="288" w:lineRule="auto"/>
              <w:jc w:val="center"/>
              <w:rPr>
                <w:rFonts w:hint="eastAsia" w:ascii="宋体" w:hAnsi="宋体" w:eastAsia="宋体" w:cs="仿宋"/>
                <w:szCs w:val="21"/>
              </w:rPr>
            </w:pPr>
          </w:p>
        </w:tc>
        <w:tc>
          <w:tcPr>
            <w:tcW w:w="1563" w:type="dxa"/>
            <w:vAlign w:val="center"/>
          </w:tcPr>
          <w:p>
            <w:pPr>
              <w:spacing w:line="288" w:lineRule="auto"/>
              <w:jc w:val="center"/>
              <w:rPr>
                <w:rFonts w:hint="eastAsia" w:ascii="宋体" w:hAnsi="宋体" w:eastAsia="宋体" w:cs="仿宋"/>
                <w:szCs w:val="21"/>
              </w:rPr>
            </w:pPr>
          </w:p>
        </w:tc>
        <w:tc>
          <w:tcPr>
            <w:tcW w:w="938"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1931" w:type="dxa"/>
            <w:vAlign w:val="center"/>
          </w:tcPr>
          <w:p>
            <w:pPr>
              <w:spacing w:line="288" w:lineRule="auto"/>
              <w:jc w:val="center"/>
              <w:rPr>
                <w:rFonts w:hint="eastAsia" w:ascii="宋体" w:hAnsi="宋体" w:eastAsia="宋体" w:cs="仿宋"/>
                <w:szCs w:val="21"/>
              </w:rPr>
            </w:pPr>
          </w:p>
        </w:tc>
      </w:tr>
    </w:tbl>
    <w:p>
      <w:pPr>
        <w:spacing w:line="288" w:lineRule="auto"/>
        <w:rPr>
          <w:rFonts w:hint="eastAsia" w:ascii="宋体" w:hAnsi="宋体" w:eastAsia="宋体" w:cs="仿宋"/>
          <w:szCs w:val="21"/>
        </w:rPr>
      </w:pPr>
    </w:p>
    <w:p>
      <w:pPr>
        <w:spacing w:line="288" w:lineRule="auto"/>
        <w:rPr>
          <w:rFonts w:hint="eastAsia" w:ascii="宋体" w:hAnsi="宋体" w:eastAsia="宋体" w:cs="仿宋"/>
          <w:szCs w:val="21"/>
        </w:rPr>
      </w:pPr>
      <w:r>
        <w:rPr>
          <w:rFonts w:hint="eastAsia" w:ascii="宋体" w:hAnsi="宋体" w:eastAsia="宋体" w:cs="仿宋"/>
          <w:szCs w:val="21"/>
        </w:rPr>
        <w:t>附件二</w:t>
      </w:r>
    </w:p>
    <w:p>
      <w:pPr>
        <w:spacing w:line="288" w:lineRule="auto"/>
        <w:jc w:val="center"/>
        <w:rPr>
          <w:rFonts w:hint="eastAsia" w:ascii="宋体" w:hAnsi="宋体" w:eastAsia="宋体" w:cs="仿宋"/>
          <w:b/>
          <w:szCs w:val="21"/>
        </w:rPr>
      </w:pPr>
      <w:r>
        <w:rPr>
          <w:rFonts w:hint="eastAsia" w:ascii="宋体" w:hAnsi="宋体" w:eastAsia="宋体" w:cs="仿宋"/>
          <w:b/>
          <w:szCs w:val="21"/>
        </w:rPr>
        <w:t>驻场人员名单</w:t>
      </w:r>
    </w:p>
    <w:tbl>
      <w:tblPr>
        <w:tblStyle w:val="2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07"/>
        <w:gridCol w:w="1564"/>
        <w:gridCol w:w="1408"/>
        <w:gridCol w:w="2241"/>
        <w:gridCol w:w="1566"/>
      </w:tblGrid>
      <w:tr>
        <w:trPr>
          <w:trHeight w:val="454" w:hRule="atLeast"/>
        </w:trPr>
        <w:tc>
          <w:tcPr>
            <w:tcW w:w="121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序号</w:t>
            </w:r>
          </w:p>
        </w:tc>
        <w:tc>
          <w:tcPr>
            <w:tcW w:w="1407"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姓名</w:t>
            </w:r>
          </w:p>
        </w:tc>
        <w:tc>
          <w:tcPr>
            <w:tcW w:w="1564"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职务</w:t>
            </w:r>
          </w:p>
        </w:tc>
        <w:tc>
          <w:tcPr>
            <w:tcW w:w="1408"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资质</w:t>
            </w:r>
          </w:p>
        </w:tc>
        <w:tc>
          <w:tcPr>
            <w:tcW w:w="2241"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身份证</w:t>
            </w:r>
            <w:r>
              <w:rPr>
                <w:rFonts w:ascii="宋体" w:hAnsi="宋体" w:eastAsia="宋体" w:cs="仿宋"/>
                <w:szCs w:val="21"/>
              </w:rPr>
              <w:t>号</w:t>
            </w:r>
          </w:p>
        </w:tc>
        <w:tc>
          <w:tcPr>
            <w:tcW w:w="156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联系方式</w:t>
            </w:r>
          </w:p>
        </w:tc>
      </w:tr>
      <w:tr>
        <w:trPr>
          <w:trHeight w:val="454" w:hRule="atLeast"/>
        </w:trPr>
        <w:tc>
          <w:tcPr>
            <w:tcW w:w="121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1</w:t>
            </w:r>
          </w:p>
        </w:tc>
        <w:tc>
          <w:tcPr>
            <w:tcW w:w="1407" w:type="dxa"/>
            <w:vAlign w:val="center"/>
          </w:tcPr>
          <w:p>
            <w:pPr>
              <w:spacing w:line="288" w:lineRule="auto"/>
              <w:jc w:val="center"/>
              <w:rPr>
                <w:rFonts w:hint="eastAsia" w:ascii="宋体" w:hAnsi="宋体" w:eastAsia="宋体" w:cs="仿宋"/>
                <w:szCs w:val="21"/>
              </w:rPr>
            </w:pPr>
          </w:p>
        </w:tc>
        <w:tc>
          <w:tcPr>
            <w:tcW w:w="1564"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2241" w:type="dxa"/>
            <w:vAlign w:val="center"/>
          </w:tcPr>
          <w:p>
            <w:pPr>
              <w:spacing w:line="288" w:lineRule="auto"/>
              <w:jc w:val="center"/>
              <w:rPr>
                <w:rFonts w:hint="eastAsia" w:ascii="宋体" w:hAnsi="宋体" w:eastAsia="宋体" w:cs="仿宋"/>
                <w:szCs w:val="21"/>
              </w:rPr>
            </w:pPr>
          </w:p>
        </w:tc>
        <w:tc>
          <w:tcPr>
            <w:tcW w:w="1566" w:type="dxa"/>
            <w:vAlign w:val="center"/>
          </w:tcPr>
          <w:p>
            <w:pPr>
              <w:spacing w:line="288" w:lineRule="auto"/>
              <w:jc w:val="center"/>
              <w:rPr>
                <w:rFonts w:hint="eastAsia" w:ascii="宋体" w:hAnsi="宋体" w:eastAsia="宋体" w:cs="仿宋"/>
                <w:szCs w:val="21"/>
              </w:rPr>
            </w:pPr>
          </w:p>
        </w:tc>
      </w:tr>
      <w:tr>
        <w:trPr>
          <w:trHeight w:val="454" w:hRule="atLeast"/>
        </w:trPr>
        <w:tc>
          <w:tcPr>
            <w:tcW w:w="121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2</w:t>
            </w:r>
          </w:p>
        </w:tc>
        <w:tc>
          <w:tcPr>
            <w:tcW w:w="1407" w:type="dxa"/>
            <w:vAlign w:val="center"/>
          </w:tcPr>
          <w:p>
            <w:pPr>
              <w:spacing w:line="288" w:lineRule="auto"/>
              <w:jc w:val="center"/>
              <w:rPr>
                <w:rFonts w:hint="eastAsia" w:ascii="宋体" w:hAnsi="宋体" w:eastAsia="宋体" w:cs="仿宋"/>
                <w:szCs w:val="21"/>
              </w:rPr>
            </w:pPr>
          </w:p>
        </w:tc>
        <w:tc>
          <w:tcPr>
            <w:tcW w:w="1564"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2241" w:type="dxa"/>
            <w:vAlign w:val="center"/>
          </w:tcPr>
          <w:p>
            <w:pPr>
              <w:spacing w:line="288" w:lineRule="auto"/>
              <w:jc w:val="center"/>
              <w:rPr>
                <w:rFonts w:hint="eastAsia" w:ascii="宋体" w:hAnsi="宋体" w:eastAsia="宋体" w:cs="仿宋"/>
                <w:szCs w:val="21"/>
              </w:rPr>
            </w:pPr>
          </w:p>
        </w:tc>
        <w:tc>
          <w:tcPr>
            <w:tcW w:w="1566" w:type="dxa"/>
            <w:vAlign w:val="center"/>
          </w:tcPr>
          <w:p>
            <w:pPr>
              <w:spacing w:line="288" w:lineRule="auto"/>
              <w:jc w:val="center"/>
              <w:rPr>
                <w:rFonts w:hint="eastAsia" w:ascii="宋体" w:hAnsi="宋体" w:eastAsia="宋体" w:cs="仿宋"/>
                <w:szCs w:val="21"/>
              </w:rPr>
            </w:pPr>
          </w:p>
        </w:tc>
      </w:tr>
      <w:tr>
        <w:trPr>
          <w:trHeight w:val="454" w:hRule="atLeast"/>
        </w:trPr>
        <w:tc>
          <w:tcPr>
            <w:tcW w:w="121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3</w:t>
            </w:r>
          </w:p>
        </w:tc>
        <w:tc>
          <w:tcPr>
            <w:tcW w:w="1407" w:type="dxa"/>
            <w:vAlign w:val="center"/>
          </w:tcPr>
          <w:p>
            <w:pPr>
              <w:spacing w:line="288" w:lineRule="auto"/>
              <w:jc w:val="center"/>
              <w:rPr>
                <w:rFonts w:hint="eastAsia" w:ascii="宋体" w:hAnsi="宋体" w:eastAsia="宋体" w:cs="仿宋"/>
                <w:szCs w:val="21"/>
              </w:rPr>
            </w:pPr>
          </w:p>
        </w:tc>
        <w:tc>
          <w:tcPr>
            <w:tcW w:w="1564"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2241" w:type="dxa"/>
            <w:vAlign w:val="center"/>
          </w:tcPr>
          <w:p>
            <w:pPr>
              <w:spacing w:line="288" w:lineRule="auto"/>
              <w:jc w:val="center"/>
              <w:rPr>
                <w:rFonts w:hint="eastAsia" w:ascii="宋体" w:hAnsi="宋体" w:eastAsia="宋体" w:cs="仿宋"/>
                <w:szCs w:val="21"/>
              </w:rPr>
            </w:pPr>
          </w:p>
        </w:tc>
        <w:tc>
          <w:tcPr>
            <w:tcW w:w="1566" w:type="dxa"/>
            <w:vAlign w:val="center"/>
          </w:tcPr>
          <w:p>
            <w:pPr>
              <w:spacing w:line="288" w:lineRule="auto"/>
              <w:jc w:val="center"/>
              <w:rPr>
                <w:rFonts w:hint="eastAsia" w:ascii="宋体" w:hAnsi="宋体" w:eastAsia="宋体" w:cs="仿宋"/>
                <w:szCs w:val="21"/>
              </w:rPr>
            </w:pPr>
          </w:p>
        </w:tc>
      </w:tr>
      <w:bookmarkEnd w:id="63"/>
    </w:tbl>
    <w:p>
      <w:pPr>
        <w:autoSpaceDE w:val="0"/>
        <w:autoSpaceDN w:val="0"/>
        <w:adjustRightInd w:val="0"/>
        <w:snapToGrid w:val="0"/>
        <w:spacing w:line="288" w:lineRule="auto"/>
        <w:jc w:val="left"/>
        <w:rPr>
          <w:rFonts w:hint="eastAsia" w:ascii="宋体" w:hAnsi="宋体" w:eastAsia="宋体" w:cs="Arial"/>
          <w:kern w:val="0"/>
          <w:sz w:val="24"/>
          <w:szCs w:val="24"/>
        </w:rPr>
      </w:pPr>
    </w:p>
    <w:p>
      <w:pPr>
        <w:autoSpaceDE w:val="0"/>
        <w:autoSpaceDN w:val="0"/>
        <w:adjustRightInd w:val="0"/>
        <w:snapToGrid w:val="0"/>
        <w:spacing w:line="288" w:lineRule="auto"/>
        <w:jc w:val="left"/>
        <w:rPr>
          <w:rFonts w:hint="eastAsia" w:ascii="宋体" w:hAnsi="宋体" w:eastAsia="宋体" w:cs="Arial"/>
          <w:kern w:val="0"/>
          <w:sz w:val="24"/>
          <w:szCs w:val="24"/>
        </w:rPr>
      </w:pPr>
    </w:p>
    <w:p>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hint="eastAsia" w:ascii="宋体" w:hAnsi="宋体" w:eastAsia="宋体" w:cs="Times New Roman"/>
          <w:b/>
          <w:bCs/>
          <w:spacing w:val="-6"/>
          <w:sz w:val="24"/>
          <w:szCs w:val="24"/>
        </w:rPr>
      </w:pPr>
    </w:p>
    <w:p>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hint="eastAsia" w:ascii="宋体" w:hAnsi="宋体" w:eastAsia="宋体" w:cs="Times New Roman"/>
          <w:b/>
          <w:bCs/>
          <w:spacing w:val="-6"/>
          <w:sz w:val="24"/>
          <w:szCs w:val="24"/>
        </w:rPr>
      </w:pPr>
    </w:p>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（4）</w:t>
      </w:r>
      <w:r>
        <w:rPr>
          <w:rFonts w:ascii="宋体" w:hAnsi="宋体" w:eastAsia="宋体" w:cs="宋体"/>
          <w:bCs/>
          <w:spacing w:val="-6"/>
          <w:szCs w:val="21"/>
        </w:rPr>
        <w:t>联合协议（联合体投标须提供）</w:t>
      </w:r>
    </w:p>
    <w:p>
      <w:pPr>
        <w:adjustRightInd w:val="0"/>
        <w:snapToGrid w:val="0"/>
        <w:spacing w:line="288" w:lineRule="auto"/>
        <w:ind w:firstLine="396" w:firstLineChars="200"/>
        <w:jc w:val="left"/>
        <w:rPr>
          <w:rFonts w:hint="eastAsia" w:ascii="宋体" w:hAnsi="宋体" w:eastAsia="宋体" w:cs="宋体"/>
          <w:bCs/>
          <w:spacing w:val="-6"/>
          <w:szCs w:val="21"/>
          <w:highlight w:val="cyan"/>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w:t>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材料</w:t>
      </w:r>
      <w:r>
        <w:rPr>
          <w:rFonts w:ascii="宋体" w:hAnsi="宋体" w:eastAsia="宋体" w:cs="宋体"/>
          <w:b/>
          <w:spacing w:val="-6"/>
          <w:szCs w:val="21"/>
        </w:rPr>
        <w:t>。</w:t>
      </w:r>
    </w:p>
    <w:p>
      <w:pPr>
        <w:adjustRightInd w:val="0"/>
        <w:snapToGrid w:val="0"/>
        <w:spacing w:line="288" w:lineRule="auto"/>
        <w:ind w:firstLine="396" w:firstLineChars="200"/>
        <w:jc w:val="left"/>
        <w:rPr>
          <w:rFonts w:hint="eastAsia" w:ascii="宋体" w:hAnsi="宋体" w:eastAsia="宋体" w:cs="宋体"/>
          <w:bCs/>
          <w:spacing w:val="-6"/>
          <w:szCs w:val="21"/>
          <w:highlight w:val="cyan"/>
        </w:rPr>
      </w:pPr>
    </w:p>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（5）服务方案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（6</w:t>
      </w:r>
      <w:r>
        <w:rPr>
          <w:rFonts w:ascii="宋体" w:hAnsi="宋体" w:eastAsia="宋体" w:cs="宋体"/>
          <w:spacing w:val="-6"/>
          <w:szCs w:val="21"/>
        </w:rPr>
        <w:t>）</w:t>
      </w:r>
      <w:r>
        <w:rPr>
          <w:rFonts w:hint="eastAsia" w:ascii="宋体" w:hAnsi="宋体" w:eastAsia="宋体" w:cs="宋体"/>
          <w:spacing w:val="-6"/>
          <w:szCs w:val="21"/>
        </w:rPr>
        <w:t>服务团队</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（7</w:t>
      </w:r>
      <w:r>
        <w:rPr>
          <w:rFonts w:ascii="宋体" w:hAnsi="宋体" w:eastAsia="宋体" w:cs="宋体"/>
          <w:spacing w:val="-6"/>
          <w:szCs w:val="21"/>
        </w:rPr>
        <w:t>）投标人需要说明的其他文件和材料。</w:t>
      </w:r>
    </w:p>
    <w:p>
      <w:pPr>
        <w:adjustRightInd w:val="0"/>
        <w:snapToGrid w:val="0"/>
        <w:spacing w:line="288" w:lineRule="auto"/>
        <w:ind w:firstLine="396" w:firstLineChars="200"/>
        <w:jc w:val="left"/>
        <w:rPr>
          <w:rFonts w:hint="eastAsia" w:ascii="宋体" w:hAnsi="宋体" w:eastAsia="宋体" w:cs="Times New Roman"/>
          <w:b/>
          <w:spacing w:val="-6"/>
          <w:szCs w:val="21"/>
        </w:rPr>
      </w:pPr>
    </w:p>
    <w:p>
      <w:pPr>
        <w:adjustRightInd w:val="0"/>
        <w:snapToGrid w:val="0"/>
        <w:spacing w:line="288" w:lineRule="auto"/>
        <w:ind w:firstLine="396"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pPr>
        <w:rPr>
          <w:rFonts w:hint="eastAsia" w:ascii="宋体" w:hAnsi="宋体" w:eastAsia="宋体" w:cs="Times New Roman"/>
          <w:b/>
          <w:spacing w:val="-6"/>
          <w:szCs w:val="21"/>
        </w:rPr>
      </w:pPr>
      <w:r>
        <w:rPr>
          <w:rFonts w:hint="eastAsia"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trPr>
          <w:trHeight w:val="454" w:hRule="atLeast"/>
        </w:trPr>
        <w:tc>
          <w:tcPr>
            <w:tcW w:w="9423" w:type="dxa"/>
            <w:gridSpan w:val="7"/>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pPr>
              <w:adjustRightInd w:val="0"/>
              <w:snapToGrid w:val="0"/>
              <w:spacing w:line="288" w:lineRule="auto"/>
              <w:rPr>
                <w:rFonts w:hint="eastAsia" w:ascii="宋体" w:hAnsi="宋体" w:eastAsia="宋体" w:cs="Times New Roman"/>
                <w:kern w:val="0"/>
                <w:szCs w:val="21"/>
              </w:rPr>
            </w:pPr>
          </w:p>
        </w:tc>
        <w:tc>
          <w:tcPr>
            <w:tcW w:w="967" w:type="dxa"/>
            <w:vAlign w:val="center"/>
          </w:tcPr>
          <w:p>
            <w:pPr>
              <w:adjustRightInd w:val="0"/>
              <w:snapToGrid w:val="0"/>
              <w:spacing w:line="288" w:lineRule="auto"/>
              <w:jc w:val="center"/>
              <w:rPr>
                <w:rFonts w:hint="eastAsia" w:ascii="宋体" w:hAnsi="宋体" w:eastAsia="宋体" w:cs="Times New Roman"/>
                <w:szCs w:val="21"/>
              </w:rPr>
            </w:pPr>
          </w:p>
        </w:tc>
        <w:tc>
          <w:tcPr>
            <w:tcW w:w="1053" w:type="dxa"/>
            <w:vAlign w:val="center"/>
          </w:tcPr>
          <w:p>
            <w:pPr>
              <w:adjustRightInd w:val="0"/>
              <w:snapToGrid w:val="0"/>
              <w:spacing w:line="288" w:lineRule="auto"/>
              <w:jc w:val="center"/>
              <w:rPr>
                <w:rFonts w:hint="eastAsia" w:ascii="宋体" w:hAnsi="宋体" w:eastAsia="宋体" w:cs="Times New Roman"/>
                <w:szCs w:val="21"/>
              </w:rPr>
            </w:pPr>
          </w:p>
        </w:tc>
        <w:tc>
          <w:tcPr>
            <w:tcW w:w="881" w:type="dxa"/>
          </w:tcPr>
          <w:p>
            <w:pPr>
              <w:adjustRightInd w:val="0"/>
              <w:snapToGrid w:val="0"/>
              <w:spacing w:line="288" w:lineRule="auto"/>
              <w:jc w:val="center"/>
              <w:rPr>
                <w:rFonts w:hint="eastAsia" w:ascii="宋体" w:hAnsi="宋体" w:eastAsia="宋体" w:cs="Times New Roman"/>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9423" w:type="dxa"/>
            <w:gridSpan w:val="7"/>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bl>
    <w:p>
      <w:pPr>
        <w:adjustRightInd w:val="0"/>
        <w:snapToGrid w:val="0"/>
        <w:spacing w:line="288" w:lineRule="auto"/>
        <w:rPr>
          <w:rFonts w:hint="eastAsia" w:ascii="宋体" w:hAnsi="宋体" w:eastAsia="宋体" w:cs="Times New Roman"/>
          <w:spacing w:val="-6"/>
          <w:szCs w:val="21"/>
        </w:rPr>
      </w:pPr>
    </w:p>
    <w:p>
      <w:pPr>
        <w:widowControl/>
        <w:jc w:val="left"/>
        <w:rPr>
          <w:rFonts w:hint="eastAsia" w:ascii="宋体" w:hAnsi="宋体" w:eastAsia="宋体" w:cs="Times New Roman"/>
          <w:spacing w:val="-6"/>
          <w:szCs w:val="21"/>
        </w:rPr>
        <w:sectPr>
          <w:footerReference r:id="rId6"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pacing w:val="-6"/>
          <w:szCs w:val="21"/>
        </w:rPr>
        <w:t>备注：本表仅为方便评标委员会评审使用，不作为判别投标文件是否有效的依据。</w:t>
      </w:r>
    </w:p>
    <w:p>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hint="eastAsia" w:ascii="宋体" w:hAnsi="宋体" w:eastAsia="宋体" w:cs="宋体"/>
          <w:b/>
          <w:bCs/>
          <w:sz w:val="24"/>
          <w:szCs w:val="24"/>
        </w:rPr>
      </w:pPr>
    </w:p>
    <w:p>
      <w:pPr>
        <w:adjustRightInd w:val="0"/>
        <w:snapToGrid w:val="0"/>
        <w:spacing w:line="288" w:lineRule="auto"/>
        <w:jc w:val="center"/>
        <w:rPr>
          <w:rFonts w:hint="eastAsia" w:ascii="宋体" w:hAnsi="宋体" w:eastAsia="宋体" w:cs="宋体"/>
          <w:b/>
          <w:bCs/>
          <w:sz w:val="24"/>
          <w:szCs w:val="24"/>
        </w:rPr>
      </w:pP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hint="eastAsia" w:ascii="宋体" w:hAnsi="宋体" w:eastAsia="宋体" w:cs="Times New Roman"/>
          <w:bCs/>
          <w:spacing w:val="-6"/>
          <w:szCs w:val="21"/>
        </w:rPr>
      </w:pP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致：浙江省公安科技研究所、浙江求是招标代理有限公司</w:t>
      </w:r>
    </w:p>
    <w:p>
      <w:pPr>
        <w:adjustRightInd w:val="0"/>
        <w:snapToGrid w:val="0"/>
        <w:spacing w:line="288" w:lineRule="auto"/>
        <w:ind w:firstLine="396" w:firstLineChars="200"/>
        <w:rPr>
          <w:rFonts w:hint="eastAsia" w:ascii="宋体" w:hAnsi="宋体" w:eastAsia="宋体" w:cs="Times New Roman"/>
          <w:spacing w:val="-6"/>
          <w:szCs w:val="21"/>
        </w:rPr>
      </w:pP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lang w:eastAsia="zh-CN"/>
        </w:rPr>
        <w:t>浙江公安终端安全管控系统维保项目（2024年度）</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hint="eastAsia" w:ascii="宋体" w:hAnsi="宋体" w:eastAsia="宋体" w:cs="宋体"/>
          <w:b/>
          <w:spacing w:val="-6"/>
          <w:szCs w:val="21"/>
        </w:rPr>
      </w:pPr>
    </w:p>
    <w:p>
      <w:pPr>
        <w:numPr>
          <w:ilvl w:val="0"/>
          <w:numId w:val="7"/>
        </w:num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br w:type="page"/>
      </w:r>
      <w:r>
        <w:rPr>
          <w:rFonts w:ascii="宋体" w:hAnsi="宋体" w:eastAsia="宋体" w:cs="宋体"/>
          <w:b/>
          <w:spacing w:val="-6"/>
          <w:szCs w:val="21"/>
        </w:rPr>
        <w:t>落实政府采购政策需满足的资格要求</w:t>
      </w:r>
    </w:p>
    <w:p>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6" w:firstLineChars="236"/>
        <w:rPr>
          <w:rFonts w:hint="eastAsia" w:ascii="宋体" w:hAnsi="宋体" w:eastAsia="宋体" w:cs="Times New Roman"/>
          <w:b/>
          <w:szCs w:val="21"/>
        </w:rPr>
      </w:pP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szCs w:val="21"/>
          <w:u w:val="single"/>
        </w:rPr>
        <w:t>浙江省公安科技研究所</w:t>
      </w:r>
      <w:r>
        <w:rPr>
          <w:rFonts w:ascii="宋体" w:hAnsi="宋体" w:eastAsia="宋体" w:cs="Times New Roman"/>
          <w:szCs w:val="21"/>
        </w:rPr>
        <w:t>的</w:t>
      </w:r>
      <w:r>
        <w:rPr>
          <w:rFonts w:hint="eastAsia" w:ascii="宋体" w:hAnsi="宋体" w:eastAsia="宋体" w:cs="Times New Roman"/>
          <w:i/>
          <w:iCs/>
          <w:szCs w:val="21"/>
          <w:u w:val="single"/>
          <w:lang w:eastAsia="zh-CN"/>
        </w:rPr>
        <w:t>浙江公安终端安全管控系统维保项目（2024年度）</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hint="eastAsia"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hint="eastAsia" w:ascii="宋体" w:hAnsi="宋体" w:eastAsia="宋体" w:cs="Times New Roman"/>
          <w:szCs w:val="21"/>
        </w:rPr>
      </w:pPr>
    </w:p>
    <w:p>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ind w:firstLine="420" w:firstLineChars="200"/>
        <w:jc w:val="left"/>
        <w:outlineLvl w:val="2"/>
        <w:rPr>
          <w:rFonts w:hint="eastAsia" w:ascii="宋体" w:hAnsi="宋体" w:eastAsia="宋体" w:cs="Times New Roman"/>
          <w:szCs w:val="21"/>
          <w:u w:val="single"/>
        </w:rPr>
        <w:sectPr>
          <w:footerReference r:id="rId7"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adjustRightInd w:val="0"/>
        <w:snapToGrid w:val="0"/>
        <w:spacing w:line="288" w:lineRule="auto"/>
        <w:jc w:val="center"/>
        <w:outlineLvl w:val="2"/>
        <w:rPr>
          <w:rFonts w:hint="eastAsia" w:ascii="宋体" w:hAnsi="宋体" w:eastAsia="宋体" w:cs="宋体"/>
          <w:kern w:val="0"/>
          <w:szCs w:val="21"/>
        </w:rPr>
      </w:pPr>
      <w:r>
        <w:rPr>
          <w:rFonts w:hint="eastAsia" w:ascii="宋体" w:hAnsi="宋体" w:eastAsia="宋体" w:cs="宋体"/>
          <w:b/>
          <w:spacing w:val="-6"/>
          <w:szCs w:val="21"/>
        </w:rPr>
        <w:t>属于监狱企业的证明文件（若属于监狱企业）</w:t>
      </w:r>
    </w:p>
    <w:p>
      <w:pPr>
        <w:adjustRightInd w:val="0"/>
        <w:snapToGrid w:val="0"/>
        <w:spacing w:line="288" w:lineRule="auto"/>
        <w:rPr>
          <w:rFonts w:hint="eastAsia" w:ascii="宋体" w:hAnsi="宋体" w:eastAsia="宋体" w:cs="宋体"/>
          <w:kern w:val="0"/>
          <w:szCs w:val="21"/>
        </w:rPr>
      </w:pPr>
    </w:p>
    <w:p>
      <w:pPr>
        <w:adjustRightInd w:val="0"/>
        <w:snapToGrid w:val="0"/>
        <w:spacing w:line="288" w:lineRule="auto"/>
        <w:ind w:firstLine="372"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hint="eastAsia" w:ascii="宋体" w:hAnsi="宋体" w:eastAsia="宋体"/>
          <w:szCs w:val="21"/>
        </w:rPr>
      </w:pPr>
    </w:p>
    <w:p>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hint="eastAsia" w:ascii="宋体" w:hAnsi="宋体" w:eastAsia="宋体" w:cs="Times New Roman"/>
          <w:b/>
          <w:spacing w:val="6"/>
          <w:szCs w:val="21"/>
        </w:rPr>
      </w:pPr>
    </w:p>
    <w:p>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hint="eastAsia" w:ascii="宋体" w:hAnsi="宋体" w:eastAsia="宋体"/>
          <w:szCs w:val="21"/>
        </w:rPr>
      </w:pPr>
    </w:p>
    <w:p>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Times New Roman"/>
          <w:kern w:val="0"/>
          <w:szCs w:val="21"/>
        </w:rPr>
        <w:t>残疾人福利性单位属于小型、微型企业的，不重复享受政策。</w:t>
      </w:r>
    </w:p>
    <w:p>
      <w:pPr>
        <w:widowControl/>
        <w:adjustRightInd w:val="0"/>
        <w:snapToGrid w:val="0"/>
        <w:spacing w:line="288" w:lineRule="auto"/>
        <w:jc w:val="left"/>
        <w:rPr>
          <w:rFonts w:hint="eastAsia" w:ascii="宋体" w:hAnsi="宋体" w:eastAsia="宋体" w:cs="宋体"/>
          <w:b/>
          <w:spacing w:val="-6"/>
          <w:szCs w:val="21"/>
        </w:rPr>
      </w:pPr>
    </w:p>
    <w:p>
      <w:pPr>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br w:type="page"/>
      </w:r>
    </w:p>
    <w:p>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致：浙江省公安科技研究所、浙江求是招标代理有限公司</w:t>
      </w:r>
    </w:p>
    <w:p>
      <w:pPr>
        <w:adjustRightInd w:val="0"/>
        <w:snapToGrid w:val="0"/>
        <w:spacing w:line="288" w:lineRule="auto"/>
        <w:ind w:firstLine="396" w:firstLineChars="200"/>
        <w:rPr>
          <w:rFonts w:hint="eastAsia" w:ascii="宋体" w:hAnsi="宋体" w:eastAsia="宋体" w:cs="Times New Roman"/>
          <w:spacing w:val="-6"/>
          <w:szCs w:val="21"/>
          <w:highlight w:val="cyan"/>
        </w:rPr>
      </w:pP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浙江省公安科技研究所</w:t>
      </w:r>
      <w:r>
        <w:rPr>
          <w:rFonts w:hint="eastAsia" w:ascii="宋体" w:hAnsi="宋体" w:eastAsia="宋体" w:cs="Times New Roman"/>
          <w:bCs/>
          <w:spacing w:val="-6"/>
          <w:szCs w:val="21"/>
          <w:u w:val="single"/>
          <w:lang w:eastAsia="zh-CN"/>
        </w:rPr>
        <w:t>浙江公安终端安全管控系统维保项目（2024年度）</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QSZB-Z(F)-A24422(GK)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hint="eastAsia" w:ascii="宋体" w:hAnsi="宋体" w:eastAsia="宋体" w:cs="Times New Roman"/>
                <w:spacing w:val="-6"/>
                <w:szCs w:val="21"/>
              </w:rPr>
            </w:pPr>
          </w:p>
        </w:tc>
      </w:tr>
    </w:tbl>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6"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致：浙江省公安科技研究所、浙江求是招标代理有限公司</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spacing w:val="-6"/>
          <w:szCs w:val="21"/>
          <w:u w:val="single"/>
        </w:rPr>
        <w:t>浙江省公安科技研究所</w:t>
      </w:r>
      <w:r>
        <w:rPr>
          <w:rFonts w:hint="eastAsia" w:ascii="宋体" w:hAnsi="宋体" w:eastAsia="宋体" w:cs="Times New Roman"/>
          <w:spacing w:val="-6"/>
          <w:szCs w:val="21"/>
          <w:u w:val="single"/>
          <w:lang w:eastAsia="zh-CN"/>
        </w:rPr>
        <w:t>浙江公安终端安全管控系统维保项目（2024年度）</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 xml:space="preserve">QSZB-Z(F)-A24422(GK)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▲提供授权代表社保缴纳证明（2023年6月（含）以后任意一月）。</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rPr>
          <w:trHeight w:val="3039" w:hRule="atLeast"/>
        </w:trPr>
        <w:tc>
          <w:tcPr>
            <w:tcW w:w="4951" w:type="dxa"/>
          </w:tcPr>
          <w:p>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jc w:val="left"/>
        <w:outlineLvl w:val="2"/>
        <w:rPr>
          <w:rFonts w:hint="eastAsia" w:ascii="宋体" w:hAnsi="宋体" w:eastAsia="宋体" w:cs="Times New Roman"/>
          <w:b/>
          <w:bCs/>
          <w:szCs w:val="21"/>
        </w:rPr>
      </w:pPr>
      <w:r>
        <w:rPr>
          <w:rFonts w:ascii="宋体" w:hAnsi="宋体" w:eastAsia="宋体" w:cs="Times New Roman"/>
          <w:b/>
          <w:spacing w:val="-6"/>
          <w:szCs w:val="21"/>
        </w:rPr>
        <w:br w:type="page"/>
      </w:r>
      <w:r>
        <w:rPr>
          <w:rFonts w:hint="eastAsia" w:ascii="宋体" w:hAnsi="宋体" w:eastAsia="宋体" w:cs="Times New Roman"/>
          <w:b/>
          <w:bCs/>
          <w:szCs w:val="21"/>
        </w:rPr>
        <w:t>附：授权代表社保缴纳证明（2023年6月（含）以后任意一月）</w:t>
      </w:r>
    </w:p>
    <w:p>
      <w:pPr>
        <w:adjustRightInd w:val="0"/>
        <w:snapToGrid w:val="0"/>
        <w:spacing w:line="288" w:lineRule="auto"/>
        <w:outlineLvl w:val="2"/>
        <w:rPr>
          <w:rFonts w:hint="eastAsia" w:ascii="宋体" w:hAnsi="宋体" w:eastAsia="宋体" w:cs="宋体"/>
          <w:b/>
          <w:spacing w:val="-6"/>
          <w:szCs w:val="21"/>
        </w:rPr>
      </w:pPr>
    </w:p>
    <w:p>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b/>
                <w:bCs/>
                <w:szCs w:val="21"/>
              </w:rPr>
            </w:pPr>
          </w:p>
        </w:tc>
      </w:tr>
    </w:tbl>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rPr>
        <w:t>采</w:t>
      </w:r>
      <w:r>
        <w:rPr>
          <w:rFonts w:hint="eastAsia" w:ascii="宋体" w:hAnsi="宋体" w:eastAsia="宋体" w:cs="Times New Roman"/>
          <w:bCs/>
          <w:spacing w:val="-6"/>
          <w:szCs w:val="21"/>
          <w:highlight w:val="none"/>
        </w:rPr>
        <w:t xml:space="preserve"> 购 人：浙江省公安科技研究所</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浙江公安终端安全管控系统维保项目（2024年度）</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 xml:space="preserve">QSZB-Z(F)-A24422(GK) </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trPr>
          <w:trHeight w:val="340" w:hRule="atLeast"/>
          <w:jc w:val="center"/>
        </w:trPr>
        <w:tc>
          <w:tcPr>
            <w:tcW w:w="9628" w:type="dxa"/>
            <w:gridSpan w:val="4"/>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hint="eastAsia" w:ascii="宋体" w:hAnsi="宋体" w:eastAsia="宋体" w:cs="宋体"/>
                <w:szCs w:val="21"/>
              </w:rPr>
            </w:pPr>
          </w:p>
        </w:tc>
        <w:tc>
          <w:tcPr>
            <w:tcW w:w="2574" w:type="dxa"/>
            <w:vAlign w:val="center"/>
          </w:tcPr>
          <w:p>
            <w:pPr>
              <w:adjustRightInd w:val="0"/>
              <w:snapToGrid w:val="0"/>
              <w:spacing w:line="288" w:lineRule="auto"/>
              <w:rPr>
                <w:rFonts w:hint="eastAsia" w:ascii="宋体" w:hAnsi="宋体" w:eastAsia="宋体" w:cs="宋体"/>
                <w:szCs w:val="21"/>
              </w:rPr>
            </w:pPr>
          </w:p>
        </w:tc>
        <w:tc>
          <w:tcPr>
            <w:tcW w:w="2124" w:type="dxa"/>
            <w:vAlign w:val="center"/>
          </w:tcPr>
          <w:p>
            <w:pPr>
              <w:adjustRightInd w:val="0"/>
              <w:snapToGrid w:val="0"/>
              <w:spacing w:line="288" w:lineRule="auto"/>
              <w:rPr>
                <w:rFonts w:hint="eastAsia" w:ascii="宋体" w:hAnsi="宋体" w:eastAsia="宋体" w:cs="宋体"/>
                <w:szCs w:val="21"/>
              </w:rPr>
            </w:pP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hint="eastAsia" w:ascii="宋体" w:hAnsi="宋体" w:eastAsia="宋体" w:cs="宋体"/>
                <w:szCs w:val="21"/>
              </w:rPr>
            </w:pPr>
          </w:p>
        </w:tc>
        <w:tc>
          <w:tcPr>
            <w:tcW w:w="2574" w:type="dxa"/>
            <w:vAlign w:val="center"/>
          </w:tcPr>
          <w:p>
            <w:pPr>
              <w:adjustRightInd w:val="0"/>
              <w:snapToGrid w:val="0"/>
              <w:spacing w:line="288" w:lineRule="auto"/>
              <w:rPr>
                <w:rFonts w:hint="eastAsia" w:ascii="宋体" w:hAnsi="宋体" w:eastAsia="宋体" w:cs="宋体"/>
                <w:szCs w:val="21"/>
              </w:rPr>
            </w:pPr>
          </w:p>
        </w:tc>
        <w:tc>
          <w:tcPr>
            <w:tcW w:w="2124" w:type="dxa"/>
            <w:vAlign w:val="center"/>
          </w:tcPr>
          <w:p>
            <w:pPr>
              <w:adjustRightInd w:val="0"/>
              <w:snapToGrid w:val="0"/>
              <w:spacing w:line="288" w:lineRule="auto"/>
              <w:rPr>
                <w:rFonts w:hint="eastAsia" w:ascii="宋体" w:hAnsi="宋体" w:eastAsia="宋体" w:cs="宋体"/>
                <w:szCs w:val="21"/>
              </w:rPr>
            </w:pP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hint="eastAsia" w:ascii="宋体" w:hAnsi="宋体" w:eastAsia="宋体" w:cs="宋体"/>
                <w:szCs w:val="21"/>
              </w:rPr>
            </w:pPr>
          </w:p>
        </w:tc>
        <w:tc>
          <w:tcPr>
            <w:tcW w:w="2574" w:type="dxa"/>
            <w:vAlign w:val="center"/>
          </w:tcPr>
          <w:p>
            <w:pPr>
              <w:adjustRightInd w:val="0"/>
              <w:snapToGrid w:val="0"/>
              <w:spacing w:line="288" w:lineRule="auto"/>
              <w:rPr>
                <w:rFonts w:hint="eastAsia" w:ascii="宋体" w:hAnsi="宋体" w:eastAsia="宋体" w:cs="宋体"/>
                <w:szCs w:val="21"/>
              </w:rPr>
            </w:pPr>
          </w:p>
        </w:tc>
        <w:tc>
          <w:tcPr>
            <w:tcW w:w="2124" w:type="dxa"/>
            <w:vAlign w:val="center"/>
          </w:tcPr>
          <w:p>
            <w:pPr>
              <w:adjustRightInd w:val="0"/>
              <w:snapToGrid w:val="0"/>
              <w:spacing w:line="288" w:lineRule="auto"/>
              <w:rPr>
                <w:rFonts w:hint="eastAsia" w:ascii="宋体" w:hAnsi="宋体" w:eastAsia="宋体" w:cs="宋体"/>
                <w:szCs w:val="21"/>
              </w:rPr>
            </w:pPr>
          </w:p>
        </w:tc>
      </w:tr>
      <w:tr>
        <w:trPr>
          <w:trHeight w:val="340" w:hRule="atLeast"/>
          <w:jc w:val="center"/>
        </w:trPr>
        <w:tc>
          <w:tcPr>
            <w:tcW w:w="9628" w:type="dxa"/>
            <w:gridSpan w:val="4"/>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hint="eastAsia" w:ascii="宋体" w:hAnsi="宋体" w:eastAsia="宋体" w:cs="宋体"/>
                <w:szCs w:val="21"/>
              </w:rPr>
            </w:pPr>
          </w:p>
        </w:tc>
        <w:tc>
          <w:tcPr>
            <w:tcW w:w="2574" w:type="dxa"/>
            <w:vAlign w:val="center"/>
          </w:tcPr>
          <w:p>
            <w:pPr>
              <w:adjustRightInd w:val="0"/>
              <w:snapToGrid w:val="0"/>
              <w:spacing w:line="288" w:lineRule="auto"/>
              <w:jc w:val="left"/>
              <w:rPr>
                <w:rFonts w:hint="eastAsia" w:ascii="宋体" w:hAnsi="宋体" w:eastAsia="宋体" w:cs="宋体"/>
                <w:szCs w:val="21"/>
              </w:rPr>
            </w:pPr>
          </w:p>
        </w:tc>
        <w:tc>
          <w:tcPr>
            <w:tcW w:w="2124" w:type="dxa"/>
            <w:vAlign w:val="center"/>
          </w:tcPr>
          <w:p>
            <w:pPr>
              <w:adjustRightInd w:val="0"/>
              <w:snapToGrid w:val="0"/>
              <w:spacing w:line="288" w:lineRule="auto"/>
              <w:jc w:val="left"/>
              <w:rPr>
                <w:rFonts w:hint="eastAsia" w:ascii="宋体" w:hAnsi="宋体" w:eastAsia="宋体" w:cs="宋体"/>
                <w:szCs w:val="21"/>
              </w:rPr>
            </w:pP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hint="eastAsia" w:ascii="宋体" w:hAnsi="宋体" w:eastAsia="宋体" w:cs="宋体"/>
                <w:szCs w:val="21"/>
              </w:rPr>
            </w:pPr>
          </w:p>
        </w:tc>
        <w:tc>
          <w:tcPr>
            <w:tcW w:w="2574" w:type="dxa"/>
            <w:vAlign w:val="center"/>
          </w:tcPr>
          <w:p>
            <w:pPr>
              <w:adjustRightInd w:val="0"/>
              <w:snapToGrid w:val="0"/>
              <w:spacing w:line="288" w:lineRule="auto"/>
              <w:jc w:val="left"/>
              <w:rPr>
                <w:rFonts w:hint="eastAsia" w:ascii="宋体" w:hAnsi="宋体" w:eastAsia="宋体" w:cs="宋体"/>
                <w:szCs w:val="21"/>
              </w:rPr>
            </w:pPr>
          </w:p>
        </w:tc>
        <w:tc>
          <w:tcPr>
            <w:tcW w:w="2124" w:type="dxa"/>
            <w:vAlign w:val="center"/>
          </w:tcPr>
          <w:p>
            <w:pPr>
              <w:adjustRightInd w:val="0"/>
              <w:snapToGrid w:val="0"/>
              <w:spacing w:line="288" w:lineRule="auto"/>
              <w:jc w:val="left"/>
              <w:rPr>
                <w:rFonts w:hint="eastAsia" w:ascii="宋体" w:hAnsi="宋体" w:eastAsia="宋体" w:cs="宋体"/>
                <w:szCs w:val="21"/>
              </w:rPr>
            </w:pP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hint="eastAsia" w:ascii="宋体" w:hAnsi="宋体" w:eastAsia="宋体" w:cs="宋体"/>
                <w:szCs w:val="21"/>
              </w:rPr>
            </w:pPr>
          </w:p>
        </w:tc>
        <w:tc>
          <w:tcPr>
            <w:tcW w:w="2574" w:type="dxa"/>
            <w:vAlign w:val="center"/>
          </w:tcPr>
          <w:p>
            <w:pPr>
              <w:adjustRightInd w:val="0"/>
              <w:snapToGrid w:val="0"/>
              <w:spacing w:line="288" w:lineRule="auto"/>
              <w:jc w:val="left"/>
              <w:rPr>
                <w:rFonts w:hint="eastAsia" w:ascii="宋体" w:hAnsi="宋体" w:eastAsia="宋体" w:cs="宋体"/>
                <w:szCs w:val="21"/>
              </w:rPr>
            </w:pPr>
          </w:p>
        </w:tc>
        <w:tc>
          <w:tcPr>
            <w:tcW w:w="2124" w:type="dxa"/>
            <w:vAlign w:val="center"/>
          </w:tcPr>
          <w:p>
            <w:pPr>
              <w:adjustRightInd w:val="0"/>
              <w:snapToGrid w:val="0"/>
              <w:spacing w:line="288" w:lineRule="auto"/>
              <w:jc w:val="left"/>
              <w:rPr>
                <w:rFonts w:hint="eastAsia" w:ascii="宋体" w:hAnsi="宋体" w:eastAsia="宋体" w:cs="宋体"/>
                <w:szCs w:val="21"/>
              </w:rPr>
            </w:pPr>
          </w:p>
        </w:tc>
      </w:tr>
    </w:tbl>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（5）服务方案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（6</w:t>
      </w:r>
      <w:r>
        <w:rPr>
          <w:rFonts w:ascii="宋体" w:hAnsi="宋体" w:eastAsia="宋体" w:cs="宋体"/>
          <w:b/>
          <w:spacing w:val="-6"/>
          <w:szCs w:val="21"/>
        </w:rPr>
        <w:t>）</w:t>
      </w:r>
      <w:r>
        <w:rPr>
          <w:rFonts w:hint="eastAsia" w:ascii="宋体" w:hAnsi="宋体" w:eastAsia="宋体" w:cs="宋体"/>
          <w:b/>
          <w:spacing w:val="-6"/>
          <w:szCs w:val="21"/>
        </w:rPr>
        <w:t>服务团队</w:t>
      </w:r>
    </w:p>
    <w:p>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（7）投标人需要说明的其他文件和材料。</w:t>
      </w:r>
    </w:p>
    <w:p>
      <w:pPr>
        <w:widowControl/>
        <w:adjustRightInd w:val="0"/>
        <w:snapToGrid w:val="0"/>
        <w:spacing w:line="288" w:lineRule="auto"/>
        <w:jc w:val="left"/>
        <w:rPr>
          <w:rFonts w:hint="eastAsia" w:ascii="宋体" w:hAnsi="宋体" w:eastAsia="宋体" w:cs="宋体"/>
          <w:b/>
          <w:spacing w:val="-6"/>
          <w:szCs w:val="21"/>
        </w:rPr>
      </w:pP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highlight w:val="none"/>
        </w:rPr>
        <w:t>：浙江省公安科技研究所</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浙江公安终端安全管控系统维保项目（2024年度）</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 xml:space="preserve">QSZB-Z(F)-A24422(GK) </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362"/>
        <w:gridCol w:w="2296"/>
      </w:tblGrid>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单价（元）</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金额（元）</w:t>
            </w: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spacing w:val="-6"/>
                <w:szCs w:val="21"/>
              </w:rPr>
              <w:t>说明：</w:t>
            </w:r>
            <w:r>
              <w:rPr>
                <w:rFonts w:hint="eastAsia" w:ascii="宋体" w:hAnsi="宋体" w:eastAsia="宋体" w:cs="Times New Roman"/>
                <w:b/>
                <w:spacing w:val="-6"/>
                <w:szCs w:val="21"/>
              </w:rPr>
              <w:t>▲</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总价（人民币元）</w:t>
            </w:r>
          </w:p>
          <w:p>
            <w:pPr>
              <w:adjustRightInd w:val="0"/>
              <w:snapToGrid w:val="0"/>
              <w:spacing w:line="288" w:lineRule="auto"/>
              <w:rPr>
                <w:rFonts w:hint="eastAsia" w:ascii="宋体" w:hAnsi="宋体" w:eastAsia="宋体" w:cs="宋体"/>
                <w:b/>
                <w:bCs/>
                <w:szCs w:val="21"/>
              </w:rPr>
            </w:pPr>
          </w:p>
          <w:p>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hint="eastAsia" w:ascii="宋体" w:hAnsi="宋体" w:eastAsia="宋体" w:cs="宋体"/>
                <w:b/>
                <w:bCs/>
                <w:szCs w:val="21"/>
              </w:rPr>
            </w:pPr>
          </w:p>
          <w:p>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hint="eastAsia" w:ascii="宋体" w:hAnsi="宋体" w:eastAsia="宋体" w:cs="宋体"/>
                <w:b/>
                <w:bCs/>
                <w:szCs w:val="21"/>
              </w:rPr>
            </w:pPr>
          </w:p>
        </w:tc>
      </w:tr>
    </w:tbl>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eastAsia"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3.以上表格要求细分项目及报价，在“规格型号（或具体服务）”一栏中，服务类项目填写具体服务。</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rPr>
          <w:rFonts w:hint="eastAsia" w:ascii="宋体" w:hAnsi="宋体" w:eastAsia="宋体" w:cs="Times New Roman"/>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hint="eastAsia" w:ascii="宋体" w:hAnsi="宋体" w:eastAsia="宋体" w:cs="仿宋_GB2312"/>
          <w:szCs w:val="21"/>
          <w:u w:val="single"/>
        </w:rPr>
      </w:pPr>
    </w:p>
    <w:p>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pPr>
        <w:snapToGrid w:val="0"/>
        <w:spacing w:line="288" w:lineRule="auto"/>
        <w:rPr>
          <w:rFonts w:hint="eastAsia" w:ascii="宋体" w:hAnsi="宋体" w:eastAsia="宋体" w:cs="宋体"/>
          <w:b/>
          <w:bCs/>
          <w:szCs w:val="21"/>
        </w:rPr>
      </w:pPr>
    </w:p>
    <w:p>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TXkbzWAAAABQEAAA8AAAAAAAAAAQAgAAAAOAAAAGRy&#10;cy9kb3ducmV2LnhtbFBLAQIUABQAAAAIAIdO4kDi15gJKgIAAHQEAAAOAAAAAAAAAAEAIAAAADsB&#10;AABkcnMvZTJvRG9jLnhtbFBLBQYAAAAABgAGAFkBAADX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BVSUy1AAAAAUBAAAPAAAAAAAAAAEAIAAAADgAAABkcnMv&#10;ZG93bnJldi54bWxQSwECFAAUAAAACACHTuJAd4J9RCoCAAB0BAAADgAAAAAAAAABACAAAAA5AQAA&#10;ZHJzL2Uyb0RvYy54bWxQSwUGAAAAAAYABgBZAQAA1QUAAAAA&#10;">
                <v:fill on="t" focussize="0,0"/>
                <v:stroke color="#000000" miterlimit="2" joinstyle="miter"/>
                <v:imagedata o:title=""/>
                <o:lock v:ext="edit" aspectratio="f"/>
                <w10:wrap type="none"/>
                <w10:anchorlock/>
              </v:rect>
            </w:pict>
          </mc:Fallback>
        </mc:AlternateContent>
      </w:r>
    </w:p>
    <w:p>
      <w:pPr>
        <w:rPr>
          <w:rFonts w:hint="eastAsia" w:ascii="宋体" w:hAnsi="宋体" w:eastAsia="宋体" w:cs="仿宋_GB2312"/>
          <w:b/>
          <w:kern w:val="0"/>
          <w:szCs w:val="21"/>
          <w:lang w:val="zh-CN"/>
        </w:rPr>
      </w:pPr>
      <w:r>
        <w:rPr>
          <w:rFonts w:hint="eastAsia" w:ascii="宋体" w:hAnsi="宋体" w:eastAsia="宋体" w:cs="仿宋_GB2312"/>
          <w:b/>
          <w:kern w:val="0"/>
          <w:szCs w:val="21"/>
          <w:lang w:val="zh-CN"/>
        </w:rPr>
        <w:br w:type="page"/>
      </w:r>
    </w:p>
    <w:p>
      <w:pPr>
        <w:snapToGrid w:val="0"/>
        <w:spacing w:line="288" w:lineRule="auto"/>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3"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hint="eastAsia" w:ascii="宋体" w:hAnsi="宋体" w:eastAsia="宋体" w:cs="仿宋_GB2312"/>
          <w:kern w:val="0"/>
          <w:szCs w:val="21"/>
          <w:lang w:val="zh-CN"/>
        </w:rPr>
      </w:pPr>
    </w:p>
    <w:p>
      <w:pPr>
        <w:snapToGrid w:val="0"/>
        <w:spacing w:line="288" w:lineRule="auto"/>
        <w:ind w:firstLine="422" w:firstLineChars="201"/>
        <w:rPr>
          <w:rFonts w:hint="eastAsia" w:ascii="宋体" w:hAnsi="宋体" w:eastAsia="宋体" w:cs="仿宋_GB2312"/>
          <w:kern w:val="0"/>
          <w:szCs w:val="21"/>
          <w:lang w:val="zh-CN"/>
        </w:rPr>
      </w:pPr>
    </w:p>
    <w:p>
      <w:pPr>
        <w:snapToGrid w:val="0"/>
        <w:spacing w:line="288" w:lineRule="auto"/>
        <w:ind w:firstLine="423"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3" w:firstLineChars="201"/>
        <w:rPr>
          <w:rFonts w:hint="eastAsia" w:ascii="宋体" w:hAnsi="宋体" w:eastAsia="宋体" w:cs="仿宋_GB2312"/>
          <w:b/>
          <w:bCs/>
          <w:kern w:val="0"/>
          <w:szCs w:val="21"/>
          <w:lang w:val="zh-CN"/>
        </w:rPr>
      </w:pPr>
    </w:p>
    <w:p>
      <w:pPr>
        <w:snapToGrid w:val="0"/>
        <w:spacing w:line="288" w:lineRule="auto"/>
        <w:ind w:firstLine="423" w:firstLineChars="201"/>
        <w:rPr>
          <w:rFonts w:hint="eastAsia" w:ascii="宋体" w:hAnsi="宋体" w:eastAsia="宋体" w:cs="Times New Roman"/>
          <w:b/>
          <w:bCs/>
          <w:szCs w:val="21"/>
        </w:rPr>
      </w:pPr>
    </w:p>
    <w:p>
      <w:pPr>
        <w:snapToGrid w:val="0"/>
        <w:spacing w:line="288" w:lineRule="auto"/>
        <w:ind w:firstLine="423"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hint="eastAsia" w:ascii="宋体" w:hAnsi="宋体" w:eastAsia="宋体" w:cs="Times New Roman"/>
          <w:b/>
          <w:spacing w:val="-6"/>
          <w:szCs w:val="21"/>
        </w:rPr>
      </w:pPr>
    </w:p>
    <w:sectPr>
      <w:footerReference r:id="rId8"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0000000000000000000"/>
    <w:charset w:val="86"/>
    <w:family w:val="modern"/>
    <w:pitch w:val="default"/>
    <w:sig w:usb0="00000000" w:usb1="00000000" w:usb2="00000000" w:usb3="00000000" w:csb0="00040000" w:csb1="00000000"/>
  </w:font>
  <w:font w:name="-apple-system">
    <w:altName w:val="苹方-简"/>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Microsoft YaHei UI">
    <w:altName w:val="苹方-简"/>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panose1 w:val="02000503000000020004"/>
    <w:charset w:val="00"/>
    <w:family w:val="auto"/>
    <w:pitch w:val="default"/>
    <w:sig w:usb0="E50002FF" w:usb1="500079DB" w:usb2="00000010" w:usb3="00000000" w:csb0="00000000" w:csb1="00000000"/>
  </w:font>
  <w:font w:name="ヒラギノ角ゴ Pro W3">
    <w:panose1 w:val="020B0300000000000000"/>
    <w:charset w:val="80"/>
    <w:family w:val="auto"/>
    <w:pitch w:val="default"/>
    <w:sig w:usb0="E00002FF" w:usb1="7AE7FFFF" w:usb2="00000012" w:usb3="00000000" w:csb0="0002000D"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8"/>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1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1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883B3"/>
    <w:multiLevelType w:val="singleLevel"/>
    <w:tmpl w:val="D54883B3"/>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2972ED3"/>
    <w:multiLevelType w:val="singleLevel"/>
    <w:tmpl w:val="62972ED3"/>
    <w:lvl w:ilvl="0" w:tentative="0">
      <w:start w:val="1"/>
      <w:numFmt w:val="upperLetter"/>
      <w:suff w:val="nothing"/>
      <w:lvlText w:val="%1."/>
      <w:lvlJc w:val="left"/>
    </w:lvl>
  </w:abstractNum>
  <w:abstractNum w:abstractNumId="3">
    <w:nsid w:val="62972F3F"/>
    <w:multiLevelType w:val="singleLevel"/>
    <w:tmpl w:val="62972F3F"/>
    <w:lvl w:ilvl="0" w:tentative="0">
      <w:start w:val="1"/>
      <w:numFmt w:val="upperLetter"/>
      <w:suff w:val="nothing"/>
      <w:lvlText w:val="%1."/>
      <w:lvlJc w:val="left"/>
    </w:lvl>
  </w:abstractNum>
  <w:abstractNum w:abstractNumId="4">
    <w:nsid w:val="62AB0222"/>
    <w:multiLevelType w:val="singleLevel"/>
    <w:tmpl w:val="62AB0222"/>
    <w:lvl w:ilvl="0" w:tentative="0">
      <w:start w:val="2"/>
      <w:numFmt w:val="decimal"/>
      <w:suff w:val="nothing"/>
      <w:lvlText w:val="%1）"/>
      <w:lvlJc w:val="left"/>
    </w:lvl>
  </w:abstractNum>
  <w:abstractNum w:abstractNumId="5">
    <w:nsid w:val="63BF8A44"/>
    <w:multiLevelType w:val="singleLevel"/>
    <w:tmpl w:val="63BF8A44"/>
    <w:lvl w:ilvl="0" w:tentative="0">
      <w:start w:val="1"/>
      <w:numFmt w:val="bullet"/>
      <w:pStyle w:val="8"/>
      <w:lvlText w:val=""/>
      <w:lvlJc w:val="left"/>
      <w:pPr>
        <w:tabs>
          <w:tab w:val="left" w:pos="360"/>
        </w:tabs>
        <w:ind w:left="360" w:hanging="360"/>
      </w:pPr>
      <w:rPr>
        <w:rFonts w:hint="default" w:ascii="Wingdings" w:hAnsi="Wingdings"/>
      </w:rPr>
    </w:lvl>
  </w:abstractNum>
  <w:abstractNum w:abstractNumId="6">
    <w:nsid w:val="6E6ED355"/>
    <w:multiLevelType w:val="singleLevel"/>
    <w:tmpl w:val="6E6ED355"/>
    <w:lvl w:ilvl="0" w:tentative="0">
      <w:start w:val="3"/>
      <w:numFmt w:val="decimal"/>
      <w:suff w:val="nothing"/>
      <w:lvlText w:val="（%1）"/>
      <w:lvlJc w:val="left"/>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ZDRlYmFjZTQwMjhkYzQ3NzQ1NTRlMmZkNDZjM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47FB"/>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87E"/>
    <w:rsid w:val="000C5B11"/>
    <w:rsid w:val="000C67A6"/>
    <w:rsid w:val="000D0B38"/>
    <w:rsid w:val="000D107B"/>
    <w:rsid w:val="000D35F1"/>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D63"/>
    <w:rsid w:val="001A2F81"/>
    <w:rsid w:val="001A6903"/>
    <w:rsid w:val="001A736E"/>
    <w:rsid w:val="001A78DD"/>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5CB1"/>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63AC"/>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41D5"/>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24B7"/>
    <w:rsid w:val="00774D1E"/>
    <w:rsid w:val="007765A6"/>
    <w:rsid w:val="00777132"/>
    <w:rsid w:val="00782776"/>
    <w:rsid w:val="0078494B"/>
    <w:rsid w:val="00784A57"/>
    <w:rsid w:val="007851E4"/>
    <w:rsid w:val="00785328"/>
    <w:rsid w:val="00785B83"/>
    <w:rsid w:val="00785D4D"/>
    <w:rsid w:val="00786098"/>
    <w:rsid w:val="0078688E"/>
    <w:rsid w:val="00787700"/>
    <w:rsid w:val="0079107D"/>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6917"/>
    <w:rsid w:val="008F71B6"/>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74"/>
    <w:rsid w:val="00A626B0"/>
    <w:rsid w:val="00A63F72"/>
    <w:rsid w:val="00A66EBD"/>
    <w:rsid w:val="00A73039"/>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4CCA"/>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27205"/>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2AE9"/>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0C42"/>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F93561"/>
    <w:rsid w:val="04692B5D"/>
    <w:rsid w:val="0506368B"/>
    <w:rsid w:val="054B7A82"/>
    <w:rsid w:val="05D34727"/>
    <w:rsid w:val="07100627"/>
    <w:rsid w:val="081846FA"/>
    <w:rsid w:val="08931933"/>
    <w:rsid w:val="08F94D49"/>
    <w:rsid w:val="093D5647"/>
    <w:rsid w:val="09DE0A48"/>
    <w:rsid w:val="0A103DD1"/>
    <w:rsid w:val="0AC74667"/>
    <w:rsid w:val="0B0D7722"/>
    <w:rsid w:val="0B4A1776"/>
    <w:rsid w:val="0C786503"/>
    <w:rsid w:val="0C7F7205"/>
    <w:rsid w:val="0CBE4045"/>
    <w:rsid w:val="0D1A04C9"/>
    <w:rsid w:val="0D1F38C1"/>
    <w:rsid w:val="0DCD2719"/>
    <w:rsid w:val="0EEFFD6D"/>
    <w:rsid w:val="0FFFA92E"/>
    <w:rsid w:val="10757130"/>
    <w:rsid w:val="10903924"/>
    <w:rsid w:val="112B34AD"/>
    <w:rsid w:val="11FF5827"/>
    <w:rsid w:val="14BA7E1E"/>
    <w:rsid w:val="167006A0"/>
    <w:rsid w:val="18090C43"/>
    <w:rsid w:val="18721FD4"/>
    <w:rsid w:val="18FB5F15"/>
    <w:rsid w:val="195D14B2"/>
    <w:rsid w:val="1A8A0093"/>
    <w:rsid w:val="1B321622"/>
    <w:rsid w:val="1BAD3FA7"/>
    <w:rsid w:val="1E29215A"/>
    <w:rsid w:val="1EFF418B"/>
    <w:rsid w:val="1F9C38D3"/>
    <w:rsid w:val="20767551"/>
    <w:rsid w:val="20AD3585"/>
    <w:rsid w:val="21DB64E2"/>
    <w:rsid w:val="221C4C30"/>
    <w:rsid w:val="22A70B6C"/>
    <w:rsid w:val="22D95B25"/>
    <w:rsid w:val="23C14303"/>
    <w:rsid w:val="23FD340A"/>
    <w:rsid w:val="23FF4622"/>
    <w:rsid w:val="27432BC1"/>
    <w:rsid w:val="27F0275A"/>
    <w:rsid w:val="28580092"/>
    <w:rsid w:val="28BC23D4"/>
    <w:rsid w:val="2AA10ED5"/>
    <w:rsid w:val="2ADA0518"/>
    <w:rsid w:val="2C921974"/>
    <w:rsid w:val="2DBE14C9"/>
    <w:rsid w:val="2EE57C19"/>
    <w:rsid w:val="2F277859"/>
    <w:rsid w:val="2F6A64D8"/>
    <w:rsid w:val="2F6EA659"/>
    <w:rsid w:val="30616EA9"/>
    <w:rsid w:val="307D03FB"/>
    <w:rsid w:val="314B3BA8"/>
    <w:rsid w:val="319C24DC"/>
    <w:rsid w:val="31A44D82"/>
    <w:rsid w:val="32A5060D"/>
    <w:rsid w:val="32BE120D"/>
    <w:rsid w:val="330C0EF9"/>
    <w:rsid w:val="330C6252"/>
    <w:rsid w:val="33506DE6"/>
    <w:rsid w:val="33906705"/>
    <w:rsid w:val="34D66DAF"/>
    <w:rsid w:val="35A54CED"/>
    <w:rsid w:val="36767D3B"/>
    <w:rsid w:val="36AE26C1"/>
    <w:rsid w:val="37534CA7"/>
    <w:rsid w:val="37D824F1"/>
    <w:rsid w:val="37DDEC1F"/>
    <w:rsid w:val="37FA54BB"/>
    <w:rsid w:val="38BA43A9"/>
    <w:rsid w:val="392C42E6"/>
    <w:rsid w:val="3A271930"/>
    <w:rsid w:val="3B0C4DFA"/>
    <w:rsid w:val="3BDE1253"/>
    <w:rsid w:val="3BFCC9F2"/>
    <w:rsid w:val="3C4D26C6"/>
    <w:rsid w:val="3C5F6D2B"/>
    <w:rsid w:val="3C882635"/>
    <w:rsid w:val="3D044EFC"/>
    <w:rsid w:val="3E6946AD"/>
    <w:rsid w:val="3E6FAF71"/>
    <w:rsid w:val="3E9F5226"/>
    <w:rsid w:val="3EB60CB3"/>
    <w:rsid w:val="3EC436F9"/>
    <w:rsid w:val="3F740895"/>
    <w:rsid w:val="3FB93DC6"/>
    <w:rsid w:val="402A691C"/>
    <w:rsid w:val="422E66F3"/>
    <w:rsid w:val="4275164D"/>
    <w:rsid w:val="430A3262"/>
    <w:rsid w:val="45B86D2F"/>
    <w:rsid w:val="46A824B9"/>
    <w:rsid w:val="46BB170B"/>
    <w:rsid w:val="47510906"/>
    <w:rsid w:val="48C20414"/>
    <w:rsid w:val="48F61474"/>
    <w:rsid w:val="495D70F7"/>
    <w:rsid w:val="4B7D5F80"/>
    <w:rsid w:val="4BF40741"/>
    <w:rsid w:val="4C5E019B"/>
    <w:rsid w:val="4F64249F"/>
    <w:rsid w:val="4F6E1200"/>
    <w:rsid w:val="4FEE189E"/>
    <w:rsid w:val="4FFBC0EA"/>
    <w:rsid w:val="50F23399"/>
    <w:rsid w:val="529A4303"/>
    <w:rsid w:val="531B2B0F"/>
    <w:rsid w:val="53F038EA"/>
    <w:rsid w:val="54F96EFA"/>
    <w:rsid w:val="557FD886"/>
    <w:rsid w:val="55D90439"/>
    <w:rsid w:val="565966A3"/>
    <w:rsid w:val="576A2058"/>
    <w:rsid w:val="57FF4886"/>
    <w:rsid w:val="59BA69E3"/>
    <w:rsid w:val="59DF77D3"/>
    <w:rsid w:val="5A661DF4"/>
    <w:rsid w:val="5A6D3D1B"/>
    <w:rsid w:val="5ACF0178"/>
    <w:rsid w:val="5C066F15"/>
    <w:rsid w:val="5C3E17F9"/>
    <w:rsid w:val="5D3A6920"/>
    <w:rsid w:val="5D8135CC"/>
    <w:rsid w:val="5E3D051A"/>
    <w:rsid w:val="5F5B6882"/>
    <w:rsid w:val="5FFDCAD4"/>
    <w:rsid w:val="600446EC"/>
    <w:rsid w:val="600D2EE6"/>
    <w:rsid w:val="61111EF6"/>
    <w:rsid w:val="621760F6"/>
    <w:rsid w:val="62246B60"/>
    <w:rsid w:val="624C05A2"/>
    <w:rsid w:val="63776713"/>
    <w:rsid w:val="637FF5BF"/>
    <w:rsid w:val="644F1ACD"/>
    <w:rsid w:val="65831BD2"/>
    <w:rsid w:val="66ED19C7"/>
    <w:rsid w:val="672CE6EE"/>
    <w:rsid w:val="67FF1998"/>
    <w:rsid w:val="680D1D99"/>
    <w:rsid w:val="69145312"/>
    <w:rsid w:val="69431270"/>
    <w:rsid w:val="69FD6D14"/>
    <w:rsid w:val="6A7F4F75"/>
    <w:rsid w:val="6ACA16F9"/>
    <w:rsid w:val="6B16774A"/>
    <w:rsid w:val="6BB70808"/>
    <w:rsid w:val="6C326123"/>
    <w:rsid w:val="6DEF783E"/>
    <w:rsid w:val="6DF57FC1"/>
    <w:rsid w:val="6DFE9A9B"/>
    <w:rsid w:val="6ECB576B"/>
    <w:rsid w:val="6ECE2681"/>
    <w:rsid w:val="6EF5155E"/>
    <w:rsid w:val="6F492052"/>
    <w:rsid w:val="6FBF3CB7"/>
    <w:rsid w:val="70656004"/>
    <w:rsid w:val="72340F9C"/>
    <w:rsid w:val="72BF5DD9"/>
    <w:rsid w:val="74FF163A"/>
    <w:rsid w:val="7557976D"/>
    <w:rsid w:val="75CF1440"/>
    <w:rsid w:val="75D3665B"/>
    <w:rsid w:val="774152C9"/>
    <w:rsid w:val="779F1708"/>
    <w:rsid w:val="793070F8"/>
    <w:rsid w:val="797026E5"/>
    <w:rsid w:val="79836D47"/>
    <w:rsid w:val="79D825C1"/>
    <w:rsid w:val="7A6A7DD0"/>
    <w:rsid w:val="7ADAF4AE"/>
    <w:rsid w:val="7B5D131E"/>
    <w:rsid w:val="7BBEAE26"/>
    <w:rsid w:val="7BF2B4C3"/>
    <w:rsid w:val="7CEBE89E"/>
    <w:rsid w:val="7D3F13B6"/>
    <w:rsid w:val="7DB41B16"/>
    <w:rsid w:val="7DDDE6D8"/>
    <w:rsid w:val="7DEB79E2"/>
    <w:rsid w:val="7DFC5027"/>
    <w:rsid w:val="7DFF39ED"/>
    <w:rsid w:val="7E002D54"/>
    <w:rsid w:val="7EEC3C50"/>
    <w:rsid w:val="7EFBDB4C"/>
    <w:rsid w:val="7FAEBF0A"/>
    <w:rsid w:val="7FEB86CB"/>
    <w:rsid w:val="7FECDF60"/>
    <w:rsid w:val="873E7717"/>
    <w:rsid w:val="8B7F9A0C"/>
    <w:rsid w:val="8FFF424C"/>
    <w:rsid w:val="9BC9E0AD"/>
    <w:rsid w:val="A52F7025"/>
    <w:rsid w:val="A7F9EBEB"/>
    <w:rsid w:val="B17DDD86"/>
    <w:rsid w:val="B72B2240"/>
    <w:rsid w:val="B7EFCA1B"/>
    <w:rsid w:val="BCFE5D71"/>
    <w:rsid w:val="BE3C7E44"/>
    <w:rsid w:val="BF7ED9B4"/>
    <w:rsid w:val="BFDA5FF4"/>
    <w:rsid w:val="C79AD789"/>
    <w:rsid w:val="C7B55480"/>
    <w:rsid w:val="C9DD4AA8"/>
    <w:rsid w:val="CF373BC8"/>
    <w:rsid w:val="D770FE98"/>
    <w:rsid w:val="D7BF0954"/>
    <w:rsid w:val="D7F79302"/>
    <w:rsid w:val="D9FDCC16"/>
    <w:rsid w:val="DE7FA6B1"/>
    <w:rsid w:val="DEFC585A"/>
    <w:rsid w:val="DEFFFFF3"/>
    <w:rsid w:val="DFD9B2F3"/>
    <w:rsid w:val="E594C618"/>
    <w:rsid w:val="E7AAB38C"/>
    <w:rsid w:val="E7B5F8EE"/>
    <w:rsid w:val="E7C9B964"/>
    <w:rsid w:val="EB7E0B5C"/>
    <w:rsid w:val="EEDE0323"/>
    <w:rsid w:val="EEDFC301"/>
    <w:rsid w:val="EF7BB127"/>
    <w:rsid w:val="EFD7392C"/>
    <w:rsid w:val="EFDB6E6D"/>
    <w:rsid w:val="EFFF162D"/>
    <w:rsid w:val="EFFF44CB"/>
    <w:rsid w:val="F376A302"/>
    <w:rsid w:val="F5EAAC58"/>
    <w:rsid w:val="F7FE2526"/>
    <w:rsid w:val="F7FF28B2"/>
    <w:rsid w:val="FAF75404"/>
    <w:rsid w:val="FAFDAEB0"/>
    <w:rsid w:val="FBDD5968"/>
    <w:rsid w:val="FBF7F288"/>
    <w:rsid w:val="FBFED51B"/>
    <w:rsid w:val="FD674F2C"/>
    <w:rsid w:val="FEDFDE0F"/>
    <w:rsid w:val="FF1D854D"/>
    <w:rsid w:val="FF73C909"/>
    <w:rsid w:val="FF854777"/>
    <w:rsid w:val="FFA7704D"/>
    <w:rsid w:val="FFA7E5FF"/>
    <w:rsid w:val="FFDD6E8B"/>
    <w:rsid w:val="FFDE6EFE"/>
    <w:rsid w:val="FFF58066"/>
    <w:rsid w:val="FFFE1AE2"/>
    <w:rsid w:val="FFFE98A5"/>
    <w:rsid w:val="FFFF1CC5"/>
    <w:rsid w:val="FFFF2D95"/>
    <w:rsid w:val="FFFF8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List Bullet"/>
    <w:basedOn w:val="1"/>
    <w:semiHidden/>
    <w:unhideWhenUsed/>
    <w:qFormat/>
    <w:uiPriority w:val="99"/>
    <w:pPr>
      <w:numPr>
        <w:ilvl w:val="0"/>
        <w:numId w:val="2"/>
      </w:numPr>
    </w:pPr>
  </w:style>
  <w:style w:type="paragraph" w:styleId="9">
    <w:name w:val="Document Map"/>
    <w:basedOn w:val="1"/>
    <w:link w:val="45"/>
    <w:unhideWhenUsed/>
    <w:qFormat/>
    <w:uiPriority w:val="99"/>
    <w:rPr>
      <w:rFonts w:ascii="宋体"/>
      <w:sz w:val="18"/>
      <w:szCs w:val="18"/>
    </w:rPr>
  </w:style>
  <w:style w:type="paragraph" w:styleId="10">
    <w:name w:val="annotation text"/>
    <w:basedOn w:val="1"/>
    <w:link w:val="82"/>
    <w:unhideWhenUsed/>
    <w:qFormat/>
    <w:uiPriority w:val="99"/>
    <w:pPr>
      <w:jc w:val="left"/>
    </w:pPr>
    <w:rPr>
      <w:rFonts w:ascii="等线" w:hAnsi="等线" w:eastAsia="等线" w:cs="Times New Roman"/>
      <w:szCs w:val="21"/>
    </w:rPr>
  </w:style>
  <w:style w:type="paragraph" w:styleId="11">
    <w:name w:val="Body Text"/>
    <w:basedOn w:val="1"/>
    <w:next w:val="12"/>
    <w:link w:val="85"/>
    <w:unhideWhenUsed/>
    <w:qFormat/>
    <w:uiPriority w:val="99"/>
    <w:pPr>
      <w:spacing w:after="120"/>
    </w:pPr>
    <w:rPr>
      <w:rFonts w:ascii="Times New Roman" w:hAnsi="Times New Roman" w:eastAsia="宋体" w:cs="Times New Roman"/>
      <w:sz w:val="28"/>
      <w:szCs w:val="24"/>
    </w:rPr>
  </w:style>
  <w:style w:type="paragraph" w:styleId="12">
    <w:name w:val="Body Text First Indent"/>
    <w:basedOn w:val="11"/>
    <w:unhideWhenUsed/>
    <w:qFormat/>
    <w:uiPriority w:val="99"/>
    <w:pPr>
      <w:ind w:firstLine="420" w:firstLineChars="100"/>
    </w:pPr>
  </w:style>
  <w:style w:type="paragraph" w:styleId="13">
    <w:name w:val="Body Text Indent"/>
    <w:basedOn w:val="1"/>
    <w:link w:val="72"/>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8"/>
    <w:unhideWhenUsed/>
    <w:qFormat/>
    <w:uiPriority w:val="99"/>
    <w:rPr>
      <w:b/>
      <w:bCs/>
      <w:sz w:val="28"/>
      <w:szCs w:val="24"/>
    </w:rPr>
  </w:style>
  <w:style w:type="paragraph" w:styleId="24">
    <w:name w:val="Body Text First Indent 2"/>
    <w:basedOn w:val="13"/>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basedOn w:val="27"/>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8"/>
    <w:qFormat/>
    <w:uiPriority w:val="99"/>
    <w:rPr>
      <w:sz w:val="18"/>
      <w:szCs w:val="18"/>
    </w:rPr>
  </w:style>
  <w:style w:type="character" w:customStyle="1" w:styleId="39">
    <w:name w:val="标题 1 字符"/>
    <w:basedOn w:val="27"/>
    <w:link w:val="3"/>
    <w:qFormat/>
    <w:uiPriority w:val="9"/>
    <w:rPr>
      <w:rFonts w:ascii="Times New Roman" w:hAnsi="Times New Roman" w:eastAsia="宋体" w:cs="Times New Roman"/>
      <w:b/>
      <w:bCs/>
      <w:kern w:val="44"/>
      <w:sz w:val="44"/>
      <w:szCs w:val="44"/>
    </w:rPr>
  </w:style>
  <w:style w:type="character" w:customStyle="1" w:styleId="40">
    <w:name w:val="标题 2 字符"/>
    <w:basedOn w:val="27"/>
    <w:link w:val="2"/>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0"/>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1"/>
    <w:qFormat/>
    <w:uiPriority w:val="99"/>
    <w:rPr>
      <w:rFonts w:ascii="Times New Roman" w:hAnsi="Times New Roman" w:eastAsia="宋体" w:cs="Times New Roman"/>
      <w:sz w:val="28"/>
      <w:szCs w:val="24"/>
    </w:rPr>
  </w:style>
  <w:style w:type="character" w:customStyle="1" w:styleId="86">
    <w:name w:val="批注框文本 字符"/>
    <w:basedOn w:val="27"/>
    <w:link w:val="17"/>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6"/>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列表段落1"/>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2"/>
    <w:qFormat/>
    <w:uiPriority w:val="0"/>
    <w:pPr>
      <w:jc w:val="center"/>
    </w:pPr>
    <w:rPr>
      <w:kern w:val="0"/>
    </w:rPr>
  </w:style>
  <w:style w:type="character" w:customStyle="1" w:styleId="106">
    <w:name w:val="未处理的提及1"/>
    <w:unhideWhenUsed/>
    <w:qFormat/>
    <w:uiPriority w:val="99"/>
    <w:rPr>
      <w:color w:val="605E5C"/>
      <w:shd w:val="clear" w:color="auto" w:fill="E1DFDD"/>
    </w:rPr>
  </w:style>
  <w:style w:type="character" w:customStyle="1" w:styleId="107">
    <w:name w:val="未处理的提及2"/>
    <w:basedOn w:val="27"/>
    <w:unhideWhenUsed/>
    <w:qFormat/>
    <w:uiPriority w:val="99"/>
    <w:rPr>
      <w:color w:val="605E5C"/>
      <w:shd w:val="clear" w:color="auto" w:fill="E1DFDD"/>
    </w:rPr>
  </w:style>
  <w:style w:type="character" w:customStyle="1" w:styleId="108">
    <w:name w:val="未处理的提及3"/>
    <w:basedOn w:val="27"/>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表格文字"/>
    <w:basedOn w:val="1"/>
    <w:next w:val="11"/>
    <w:qFormat/>
    <w:uiPriority w:val="0"/>
    <w:pPr>
      <w:jc w:val="left"/>
      <w:textAlignment w:val="top"/>
    </w:pPr>
    <w:rPr>
      <w:rFonts w:ascii="Times New Roman" w:hAnsi="Times New Roman"/>
      <w:sz w:val="18"/>
    </w:rPr>
  </w:style>
  <w:style w:type="paragraph" w:customStyle="1" w:styleId="111">
    <w:name w:val="[Normal]"/>
    <w:qFormat/>
    <w:uiPriority w:val="99"/>
    <w:rPr>
      <w:rFonts w:ascii="宋体" w:hAnsi="宋体" w:eastAsia="宋体" w:cs="Times New Roman"/>
      <w:sz w:val="24"/>
      <w:szCs w:val="22"/>
      <w:lang w:val="zh-CN" w:eastAsia="zh-CN" w:bidi="ar-SA"/>
    </w:rPr>
  </w:style>
  <w:style w:type="table" w:customStyle="1" w:styleId="112">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font31"/>
    <w:basedOn w:val="27"/>
    <w:qFormat/>
    <w:uiPriority w:val="0"/>
    <w:rPr>
      <w:rFonts w:hint="eastAsia" w:ascii="仿宋" w:hAnsi="仿宋" w:eastAsia="仿宋" w:cs="仿宋"/>
      <w:color w:val="000000"/>
      <w:sz w:val="21"/>
      <w:szCs w:val="21"/>
      <w:u w:val="none"/>
    </w:rPr>
  </w:style>
  <w:style w:type="character" w:customStyle="1" w:styleId="114">
    <w:name w:val="font41"/>
    <w:basedOn w:val="27"/>
    <w:qFormat/>
    <w:uiPriority w:val="0"/>
    <w:rPr>
      <w:rFonts w:hint="eastAsia" w:ascii="仿宋" w:hAnsi="仿宋" w:eastAsia="仿宋" w:cs="仿宋"/>
      <w:color w:val="000000"/>
      <w:sz w:val="22"/>
      <w:szCs w:val="22"/>
      <w:u w:val="none"/>
    </w:rPr>
  </w:style>
  <w:style w:type="paragraph" w:customStyle="1" w:styleId="11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29360</Words>
  <Characters>30799</Characters>
  <Lines>231</Lines>
  <Paragraphs>65</Paragraphs>
  <TotalTime>4</TotalTime>
  <ScaleCrop>false</ScaleCrop>
  <LinksUpToDate>false</LinksUpToDate>
  <CharactersWithSpaces>31325</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2021-05-15T13:24:00Z</dcterms:created>
  <dc:creator>hj j</dc:creator>
  <cp:lastModifiedBy>Danielle</cp:lastModifiedBy>
  <cp:lastPrinted>2022-11-02T08:58:00Z</cp:lastPrinted>
  <dcterms:modified xsi:type="dcterms:W3CDTF">2024-09-19T16:32:30Z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E3E4A3FEE0AEEB7B41DFEB66D53C13E3_43</vt:lpwstr>
  </property>
</Properties>
</file>