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44"/>
          <w:szCs w:val="44"/>
        </w:rPr>
      </w:pPr>
    </w:p>
    <w:p>
      <w:pPr>
        <w:pStyle w:val="21"/>
        <w:keepNext w:val="0"/>
        <w:keepLines w:val="0"/>
        <w:pageBreakBefore w:val="0"/>
        <w:kinsoku/>
        <w:wordWrap/>
        <w:topLinePunct w:val="0"/>
        <w:bidi w:val="0"/>
        <w:spacing w:before="0" w:after="0" w:afterLines="0" w:line="288" w:lineRule="auto"/>
      </w:pPr>
      <w:r>
        <w:t>.</w:t>
      </w: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44"/>
          <w:szCs w:val="44"/>
        </w:rPr>
      </w:pPr>
    </w:p>
    <w:p>
      <w:pPr>
        <w:keepNext w:val="0"/>
        <w:keepLines w:val="0"/>
        <w:pageBreakBefore w:val="0"/>
        <w:widowControl w:val="0"/>
        <w:kinsoku/>
        <w:wordWrap/>
        <w:overflowPunct/>
        <w:topLinePunct w:val="0"/>
        <w:autoSpaceDE/>
        <w:autoSpaceDN/>
        <w:bidi w:val="0"/>
        <w:adjustRightInd w:val="0"/>
        <w:snapToGrid w:val="0"/>
        <w:spacing w:after="0" w:line="288" w:lineRule="auto"/>
        <w:jc w:val="center"/>
        <w:textAlignment w:val="auto"/>
        <w:rPr>
          <w:rFonts w:hint="eastAsia" w:ascii="楷体" w:hAnsi="楷体" w:eastAsia="楷体" w:cs="Times New Roman"/>
          <w:b/>
          <w:spacing w:val="-6"/>
          <w:sz w:val="52"/>
          <w:szCs w:val="52"/>
          <w:lang w:eastAsia="zh-CN"/>
        </w:rPr>
      </w:pPr>
      <w:r>
        <w:rPr>
          <w:rFonts w:hint="eastAsia" w:ascii="楷体" w:hAnsi="楷体" w:eastAsia="楷体" w:cs="Times New Roman"/>
          <w:b/>
          <w:spacing w:val="-6"/>
          <w:sz w:val="52"/>
          <w:szCs w:val="52"/>
          <w:lang w:eastAsia="zh-CN"/>
        </w:rPr>
        <w:t>浙江省公安科技研究所</w:t>
      </w:r>
    </w:p>
    <w:p>
      <w:pPr>
        <w:keepNext w:val="0"/>
        <w:keepLines w:val="0"/>
        <w:pageBreakBefore w:val="0"/>
        <w:widowControl w:val="0"/>
        <w:kinsoku/>
        <w:wordWrap/>
        <w:overflowPunct/>
        <w:topLinePunct w:val="0"/>
        <w:autoSpaceDE/>
        <w:autoSpaceDN/>
        <w:bidi w:val="0"/>
        <w:adjustRightInd w:val="0"/>
        <w:snapToGrid w:val="0"/>
        <w:spacing w:after="0" w:line="288" w:lineRule="auto"/>
        <w:jc w:val="center"/>
        <w:textAlignment w:val="auto"/>
        <w:rPr>
          <w:rFonts w:hint="eastAsia" w:ascii="楷体" w:hAnsi="楷体" w:eastAsia="楷体" w:cs="Times New Roman"/>
          <w:b/>
          <w:spacing w:val="-6"/>
          <w:sz w:val="48"/>
          <w:szCs w:val="48"/>
        </w:rPr>
      </w:pPr>
      <w:r>
        <w:rPr>
          <w:rFonts w:hint="eastAsia" w:ascii="楷体" w:hAnsi="楷体" w:eastAsia="楷体" w:cs="Times New Roman"/>
          <w:b/>
          <w:spacing w:val="-6"/>
          <w:sz w:val="48"/>
          <w:szCs w:val="48"/>
          <w:lang w:eastAsia="zh-CN"/>
        </w:rPr>
        <w:t>浙江省看守所智能化系统维保项目（2024年度）</w:t>
      </w:r>
    </w:p>
    <w:p>
      <w:pPr>
        <w:keepNext w:val="0"/>
        <w:keepLines w:val="0"/>
        <w:pageBreakBefore w:val="0"/>
        <w:kinsoku/>
        <w:wordWrap/>
        <w:topLinePunct w:val="0"/>
        <w:bidi w:val="0"/>
        <w:adjustRightInd w:val="0"/>
        <w:snapToGrid w:val="0"/>
        <w:spacing w:after="0" w:line="288" w:lineRule="auto"/>
        <w:jc w:val="center"/>
        <w:rPr>
          <w:rFonts w:hint="eastAsia" w:ascii="楷体" w:hAnsi="楷体" w:eastAsia="楷体" w:cs="Times New Roman"/>
          <w:b/>
          <w:spacing w:val="-6"/>
          <w:sz w:val="48"/>
          <w:szCs w:val="48"/>
        </w:rPr>
      </w:pPr>
    </w:p>
    <w:p>
      <w:pPr>
        <w:pStyle w:val="2"/>
        <w:rPr>
          <w:rFonts w:hint="eastAsia"/>
        </w:rPr>
      </w:pPr>
    </w:p>
    <w:p>
      <w:pPr>
        <w:keepNext w:val="0"/>
        <w:keepLines w:val="0"/>
        <w:pageBreakBefore w:val="0"/>
        <w:kinsoku/>
        <w:wordWrap/>
        <w:topLinePunct w:val="0"/>
        <w:bidi w:val="0"/>
        <w:adjustRightInd w:val="0"/>
        <w:snapToGrid w:val="0"/>
        <w:spacing w:after="0" w:line="288" w:lineRule="auto"/>
        <w:jc w:val="center"/>
        <w:rPr>
          <w:rFonts w:hint="eastAsia" w:ascii="楷体" w:hAnsi="楷体" w:eastAsia="楷体" w:cs="Times New Roman"/>
          <w:b/>
          <w:spacing w:val="-6"/>
          <w:sz w:val="72"/>
          <w:szCs w:val="72"/>
        </w:rPr>
      </w:pPr>
      <w:r>
        <w:rPr>
          <w:rFonts w:hint="eastAsia" w:ascii="楷体" w:hAnsi="楷体" w:eastAsia="楷体" w:cs="Times New Roman"/>
          <w:b/>
          <w:spacing w:val="-6"/>
          <w:sz w:val="72"/>
          <w:szCs w:val="72"/>
        </w:rPr>
        <w:t>招 标 文 件</w:t>
      </w:r>
    </w:p>
    <w:p>
      <w:pPr>
        <w:keepNext w:val="0"/>
        <w:keepLines w:val="0"/>
        <w:pageBreakBefore w:val="0"/>
        <w:widowControl/>
        <w:kinsoku/>
        <w:wordWrap/>
        <w:topLinePunct w:val="0"/>
        <w:bidi w:val="0"/>
        <w:adjustRightInd w:val="0"/>
        <w:snapToGrid w:val="0"/>
        <w:spacing w:after="0" w:line="288" w:lineRule="auto"/>
        <w:ind w:right="-2"/>
        <w:jc w:val="center"/>
        <w:rPr>
          <w:rFonts w:hint="eastAsia" w:ascii="楷体" w:hAnsi="楷体" w:eastAsia="楷体" w:cs="Times New Roman"/>
          <w:b/>
          <w:sz w:val="36"/>
          <w:szCs w:val="24"/>
        </w:rPr>
      </w:pPr>
      <w:r>
        <w:rPr>
          <w:rFonts w:hint="eastAsia" w:ascii="楷体" w:hAnsi="楷体" w:eastAsia="楷体" w:cs="Times New Roman"/>
          <w:b/>
          <w:sz w:val="36"/>
          <w:szCs w:val="24"/>
        </w:rPr>
        <w:t>（线上电子招投标）</w:t>
      </w:r>
    </w:p>
    <w:p>
      <w:pPr>
        <w:keepNext w:val="0"/>
        <w:keepLines w:val="0"/>
        <w:pageBreakBefore w:val="0"/>
        <w:kinsoku/>
        <w:wordWrap/>
        <w:topLinePunct w:val="0"/>
        <w:bidi w:val="0"/>
        <w:adjustRightInd w:val="0"/>
        <w:snapToGrid w:val="0"/>
        <w:spacing w:after="0" w:line="288" w:lineRule="auto"/>
        <w:jc w:val="center"/>
        <w:rPr>
          <w:rFonts w:hint="eastAsia" w:ascii="楷体" w:hAnsi="楷体" w:eastAsia="楷体" w:cs="Times New Roman"/>
          <w:sz w:val="44"/>
          <w:szCs w:val="44"/>
        </w:rPr>
      </w:pPr>
    </w:p>
    <w:p>
      <w:pPr>
        <w:keepNext w:val="0"/>
        <w:keepLines w:val="0"/>
        <w:pageBreakBefore w:val="0"/>
        <w:kinsoku/>
        <w:wordWrap/>
        <w:topLinePunct w:val="0"/>
        <w:bidi w:val="0"/>
        <w:adjustRightInd w:val="0"/>
        <w:snapToGrid w:val="0"/>
        <w:spacing w:after="0" w:line="288" w:lineRule="auto"/>
        <w:jc w:val="center"/>
        <w:rPr>
          <w:rFonts w:hint="eastAsia" w:ascii="楷体" w:hAnsi="楷体" w:eastAsia="楷体" w:cs="Times New Roman"/>
          <w:sz w:val="44"/>
          <w:szCs w:val="44"/>
        </w:rPr>
      </w:pP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项目名称：</w:t>
      </w:r>
      <w:r>
        <w:rPr>
          <w:rFonts w:hint="eastAsia" w:ascii="楷体" w:hAnsi="楷体" w:eastAsia="楷体" w:cs="Times New Roman"/>
          <w:b/>
          <w:spacing w:val="-6"/>
          <w:sz w:val="30"/>
          <w:szCs w:val="30"/>
          <w:lang w:eastAsia="zh-CN"/>
        </w:rPr>
        <w:t>浙江省看守所智能化系统维保项目（2024年度）</w:t>
      </w: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项目编号：</w:t>
      </w:r>
      <w:r>
        <w:rPr>
          <w:rFonts w:hint="eastAsia" w:ascii="楷体" w:hAnsi="楷体" w:eastAsia="楷体" w:cs="Times New Roman"/>
          <w:b/>
          <w:spacing w:val="-6"/>
          <w:sz w:val="30"/>
          <w:szCs w:val="30"/>
          <w:lang w:eastAsia="zh-CN"/>
        </w:rPr>
        <w:t xml:space="preserve">QSZB-Z(F)-A24425(GK) </w:t>
      </w: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 购 人：</w:t>
      </w:r>
      <w:r>
        <w:rPr>
          <w:rFonts w:hint="eastAsia" w:ascii="楷体" w:hAnsi="楷体" w:eastAsia="楷体" w:cs="Times New Roman"/>
          <w:b/>
          <w:spacing w:val="-6"/>
          <w:sz w:val="30"/>
          <w:szCs w:val="30"/>
          <w:lang w:eastAsia="zh-CN"/>
        </w:rPr>
        <w:t>浙江省公安科技研究所</w:t>
      </w: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采购代理机构：浙江求是招标代理有限公司</w:t>
      </w: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30"/>
          <w:szCs w:val="30"/>
          <w:lang w:eastAsia="zh-CN"/>
        </w:rPr>
      </w:pPr>
      <w:r>
        <w:rPr>
          <w:rFonts w:hint="eastAsia" w:ascii="楷体" w:hAnsi="楷体" w:eastAsia="楷体" w:cs="Times New Roman"/>
          <w:b/>
          <w:spacing w:val="-6"/>
          <w:sz w:val="30"/>
          <w:szCs w:val="30"/>
        </w:rPr>
        <w:t>采购计划文号：</w:t>
      </w:r>
      <w:r>
        <w:rPr>
          <w:rFonts w:hint="eastAsia" w:ascii="楷体" w:hAnsi="楷体" w:eastAsia="楷体" w:cs="Times New Roman"/>
          <w:b/>
          <w:spacing w:val="-6"/>
          <w:sz w:val="30"/>
          <w:szCs w:val="30"/>
        </w:rPr>
        <w:fldChar w:fldCharType="begin"/>
      </w:r>
      <w:r>
        <w:rPr>
          <w:rFonts w:hint="eastAsia" w:ascii="楷体" w:hAnsi="楷体" w:eastAsia="楷体" w:cs="Times New Roman"/>
          <w:b/>
          <w:spacing w:val="-6"/>
          <w:sz w:val="30"/>
          <w:szCs w:val="30"/>
        </w:rPr>
        <w:instrText xml:space="preserve"> HYPERLINK "https://pay.zcygov.cn/purchaseplan_front/" \l "/plan/list/view?id=1000000000014416950" \t "https://www.zcygov.cn/delegation-order/_procurement_/order/orderInfo/detail/_blank" </w:instrText>
      </w:r>
      <w:r>
        <w:rPr>
          <w:rFonts w:hint="eastAsia" w:ascii="楷体" w:hAnsi="楷体" w:eastAsia="楷体" w:cs="Times New Roman"/>
          <w:b/>
          <w:spacing w:val="-6"/>
          <w:sz w:val="30"/>
          <w:szCs w:val="30"/>
        </w:rPr>
        <w:fldChar w:fldCharType="separate"/>
      </w:r>
      <w:r>
        <w:rPr>
          <w:rFonts w:hint="eastAsia" w:ascii="楷体" w:hAnsi="楷体" w:eastAsia="楷体" w:cs="Times New Roman"/>
          <w:b/>
          <w:spacing w:val="-6"/>
          <w:sz w:val="30"/>
          <w:szCs w:val="30"/>
        </w:rPr>
        <w:t>临[2024]58021号</w:t>
      </w:r>
      <w:r>
        <w:rPr>
          <w:rFonts w:hint="eastAsia" w:ascii="楷体" w:hAnsi="楷体" w:eastAsia="楷体" w:cs="Times New Roman"/>
          <w:b/>
          <w:spacing w:val="-6"/>
          <w:sz w:val="30"/>
          <w:szCs w:val="30"/>
        </w:rPr>
        <w:fldChar w:fldCharType="end"/>
      </w:r>
      <w:r>
        <w:rPr>
          <w:rFonts w:hint="eastAsia" w:ascii="楷体" w:hAnsi="楷体" w:eastAsia="楷体" w:cs="Times New Roman"/>
          <w:b/>
          <w:spacing w:val="-6"/>
          <w:sz w:val="30"/>
          <w:szCs w:val="30"/>
          <w:lang w:eastAsia="zh-CN"/>
        </w:rPr>
        <w:t>、</w:t>
      </w:r>
      <w:r>
        <w:rPr>
          <w:rFonts w:hint="eastAsia" w:ascii="楷体" w:hAnsi="楷体" w:eastAsia="楷体" w:cs="Times New Roman"/>
          <w:b/>
          <w:spacing w:val="-6"/>
          <w:sz w:val="30"/>
          <w:szCs w:val="30"/>
          <w:lang w:eastAsia="zh-CN"/>
        </w:rPr>
        <w:fldChar w:fldCharType="begin"/>
      </w:r>
      <w:r>
        <w:rPr>
          <w:rFonts w:hint="eastAsia" w:ascii="楷体" w:hAnsi="楷体" w:eastAsia="楷体" w:cs="Times New Roman"/>
          <w:b/>
          <w:spacing w:val="-6"/>
          <w:sz w:val="30"/>
          <w:szCs w:val="30"/>
          <w:lang w:eastAsia="zh-CN"/>
        </w:rPr>
        <w:instrText xml:space="preserve"> HYPERLINK "https://pay.zcygov.cn/purchaseplan_front/" \l "/plan/list/view?id=1000000000014423127" \t "https://www.zcygov.cn/delegation-order/_procurement_/order/orderInfo/detail/_blank" </w:instrText>
      </w:r>
      <w:r>
        <w:rPr>
          <w:rFonts w:hint="eastAsia" w:ascii="楷体" w:hAnsi="楷体" w:eastAsia="楷体" w:cs="Times New Roman"/>
          <w:b/>
          <w:spacing w:val="-6"/>
          <w:sz w:val="30"/>
          <w:szCs w:val="30"/>
          <w:lang w:eastAsia="zh-CN"/>
        </w:rPr>
        <w:fldChar w:fldCharType="separate"/>
      </w:r>
      <w:r>
        <w:rPr>
          <w:rFonts w:hint="eastAsia" w:ascii="楷体" w:hAnsi="楷体" w:eastAsia="楷体" w:cs="Times New Roman"/>
          <w:b/>
          <w:spacing w:val="-6"/>
          <w:sz w:val="30"/>
          <w:szCs w:val="30"/>
          <w:lang w:eastAsia="zh-CN"/>
        </w:rPr>
        <w:t>[2024]55590号</w:t>
      </w:r>
      <w:r>
        <w:rPr>
          <w:rFonts w:hint="eastAsia" w:ascii="楷体" w:hAnsi="楷体" w:eastAsia="楷体" w:cs="Times New Roman"/>
          <w:b/>
          <w:spacing w:val="-6"/>
          <w:sz w:val="30"/>
          <w:szCs w:val="30"/>
          <w:lang w:eastAsia="zh-CN"/>
        </w:rPr>
        <w:fldChar w:fldCharType="end"/>
      </w: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pacing w:val="-6"/>
          <w:sz w:val="30"/>
          <w:szCs w:val="30"/>
        </w:rPr>
      </w:pP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zCs w:val="21"/>
        </w:rPr>
      </w:pP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zCs w:val="21"/>
        </w:rPr>
        <w:sectPr>
          <w:headerReference r:id="rId5" w:type="default"/>
          <w:footerReference r:id="rId6" w:type="default"/>
          <w:pgSz w:w="11906" w:h="16838"/>
          <w:pgMar w:top="1247" w:right="1247" w:bottom="1247" w:left="1247" w:header="0" w:footer="694" w:gutter="0"/>
          <w:pgNumType w:start="1"/>
          <w:cols w:space="720" w:num="1"/>
          <w:docGrid w:linePitch="381" w:charSpace="0"/>
        </w:sectPr>
      </w:pP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z w:val="30"/>
          <w:szCs w:val="30"/>
        </w:rPr>
      </w:pPr>
    </w:p>
    <w:p>
      <w:pPr>
        <w:keepNext w:val="0"/>
        <w:keepLines w:val="0"/>
        <w:pageBreakBefore w:val="0"/>
        <w:kinsoku/>
        <w:wordWrap/>
        <w:topLinePunct w:val="0"/>
        <w:bidi w:val="0"/>
        <w:adjustRightInd w:val="0"/>
        <w:snapToGrid w:val="0"/>
        <w:spacing w:after="0" w:line="288" w:lineRule="auto"/>
        <w:jc w:val="center"/>
        <w:outlineLvl w:val="0"/>
        <w:rPr>
          <w:rFonts w:hint="eastAsia"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keepNext w:val="0"/>
        <w:keepLines w:val="0"/>
        <w:pageBreakBefore w:val="0"/>
        <w:kinsoku/>
        <w:wordWrap/>
        <w:topLinePunct w:val="0"/>
        <w:bidi w:val="0"/>
        <w:adjustRightInd w:val="0"/>
        <w:snapToGrid w:val="0"/>
        <w:spacing w:after="0" w:line="288" w:lineRule="auto"/>
        <w:rPr>
          <w:rFonts w:hint="eastAsia" w:ascii="楷体" w:hAnsi="楷体" w:eastAsia="楷体" w:cs="Times New Roman"/>
          <w:b/>
          <w:sz w:val="30"/>
          <w:szCs w:val="30"/>
        </w:rPr>
      </w:pPr>
    </w:p>
    <w:p>
      <w:pPr>
        <w:keepNext w:val="0"/>
        <w:keepLines w:val="0"/>
        <w:pageBreakBefore w:val="0"/>
        <w:kinsoku/>
        <w:wordWrap/>
        <w:topLinePunct w:val="0"/>
        <w:bidi w:val="0"/>
        <w:adjustRightInd w:val="0"/>
        <w:snapToGrid w:val="0"/>
        <w:spacing w:after="0"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keepNext w:val="0"/>
        <w:keepLines w:val="0"/>
        <w:pageBreakBefore w:val="0"/>
        <w:kinsoku/>
        <w:wordWrap/>
        <w:topLinePunct w:val="0"/>
        <w:bidi w:val="0"/>
        <w:adjustRightInd w:val="0"/>
        <w:snapToGrid w:val="0"/>
        <w:spacing w:after="0"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keepNext w:val="0"/>
        <w:keepLines w:val="0"/>
        <w:pageBreakBefore w:val="0"/>
        <w:kinsoku/>
        <w:wordWrap/>
        <w:topLinePunct w:val="0"/>
        <w:bidi w:val="0"/>
        <w:adjustRightInd w:val="0"/>
        <w:snapToGrid w:val="0"/>
        <w:spacing w:after="0"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keepNext w:val="0"/>
        <w:keepLines w:val="0"/>
        <w:pageBreakBefore w:val="0"/>
        <w:kinsoku/>
        <w:wordWrap/>
        <w:topLinePunct w:val="0"/>
        <w:bidi w:val="0"/>
        <w:adjustRightInd w:val="0"/>
        <w:snapToGrid w:val="0"/>
        <w:spacing w:after="0"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第四章  评标方法及评标标准</w:t>
      </w:r>
    </w:p>
    <w:p>
      <w:pPr>
        <w:keepNext w:val="0"/>
        <w:keepLines w:val="0"/>
        <w:pageBreakBefore w:val="0"/>
        <w:kinsoku/>
        <w:wordWrap/>
        <w:topLinePunct w:val="0"/>
        <w:bidi w:val="0"/>
        <w:adjustRightInd w:val="0"/>
        <w:snapToGrid w:val="0"/>
        <w:spacing w:after="0"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keepNext w:val="0"/>
        <w:keepLines w:val="0"/>
        <w:pageBreakBefore w:val="0"/>
        <w:kinsoku/>
        <w:wordWrap/>
        <w:topLinePunct w:val="0"/>
        <w:bidi w:val="0"/>
        <w:adjustRightInd w:val="0"/>
        <w:snapToGrid w:val="0"/>
        <w:spacing w:after="0" w:line="288" w:lineRule="auto"/>
        <w:ind w:firstLine="577" w:firstLineChars="200"/>
        <w:rPr>
          <w:rFonts w:hint="eastAsia"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Times New Roman"/>
          <w:szCs w:val="21"/>
        </w:rPr>
      </w:pP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Times New Roman"/>
          <w:szCs w:val="21"/>
        </w:rPr>
        <w:sectPr>
          <w:footerReference r:id="rId7" w:type="default"/>
          <w:pgSz w:w="11906" w:h="16838"/>
          <w:pgMar w:top="1247" w:right="1247" w:bottom="1247" w:left="1247" w:header="0" w:footer="694" w:gutter="0"/>
          <w:cols w:space="720" w:num="1"/>
          <w:docGrid w:linePitch="381" w:charSpace="0"/>
        </w:sectPr>
      </w:pPr>
    </w:p>
    <w:p>
      <w:pPr>
        <w:keepNext w:val="0"/>
        <w:keepLines w:val="0"/>
        <w:pageBreakBefore w:val="0"/>
        <w:kinsoku/>
        <w:wordWrap/>
        <w:topLinePunct w:val="0"/>
        <w:bidi w:val="0"/>
        <w:adjustRightInd w:val="0"/>
        <w:snapToGrid w:val="0"/>
        <w:spacing w:after="0" w:line="288" w:lineRule="auto"/>
        <w:jc w:val="center"/>
        <w:outlineLvl w:val="0"/>
        <w:rPr>
          <w:rFonts w:hint="eastAsia"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keepNext w:val="0"/>
        <w:keepLines w:val="0"/>
        <w:pageBreakBefore w:val="0"/>
        <w:pBdr>
          <w:top w:val="single" w:color="auto" w:sz="4" w:space="1"/>
          <w:left w:val="single" w:color="auto" w:sz="4" w:space="4"/>
          <w:bottom w:val="single" w:color="auto" w:sz="4" w:space="1"/>
          <w:right w:val="single" w:color="auto" w:sz="4" w:space="4"/>
        </w:pBdr>
        <w:kinsoku/>
        <w:wordWrap/>
        <w:topLinePunct w:val="0"/>
        <w:bidi w:val="0"/>
        <w:adjustRightInd w:val="0"/>
        <w:snapToGrid w:val="0"/>
        <w:spacing w:after="0" w:line="288" w:lineRule="auto"/>
        <w:ind w:firstLine="420" w:firstLineChars="200"/>
        <w:rPr>
          <w:rFonts w:hint="eastAsia" w:ascii="宋体" w:hAnsi="宋体" w:eastAsia="宋体" w:cs="Times New Roman"/>
          <w:b/>
          <w:szCs w:val="21"/>
        </w:rPr>
      </w:pPr>
      <w:r>
        <w:rPr>
          <w:rFonts w:hint="eastAsia" w:ascii="宋体" w:hAnsi="宋体" w:eastAsia="宋体" w:cs="Times New Roman"/>
          <w:b/>
          <w:szCs w:val="21"/>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topLinePunct w:val="0"/>
        <w:bidi w:val="0"/>
        <w:adjustRightInd w:val="0"/>
        <w:snapToGrid w:val="0"/>
        <w:spacing w:after="0" w:line="288" w:lineRule="auto"/>
        <w:ind w:firstLine="420" w:firstLineChars="200"/>
        <w:rPr>
          <w:rFonts w:hint="eastAsia" w:ascii="宋体" w:hAnsi="宋体" w:eastAsia="宋体" w:cs="Times New Roman"/>
          <w:b/>
          <w:szCs w:val="21"/>
        </w:rPr>
      </w:pPr>
      <w:r>
        <w:rPr>
          <w:rFonts w:hint="eastAsia" w:ascii="宋体" w:hAnsi="宋体" w:eastAsia="宋体" w:cs="Times New Roman"/>
          <w:b/>
          <w:szCs w:val="21"/>
          <w:u w:val="single"/>
          <w:lang w:eastAsia="zh-CN"/>
        </w:rPr>
        <w:t>浙江省看守所智能化系统维保项目（2024年度）</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招标项目的潜在投标人应在</w:t>
      </w:r>
      <w:r>
        <w:rPr>
          <w:rFonts w:hint="eastAsia" w:ascii="宋体" w:hAnsi="宋体" w:eastAsia="宋体" w:cs="Times New Roman"/>
          <w:b/>
          <w:szCs w:val="21"/>
          <w:u w:val="single"/>
        </w:rPr>
        <w:t xml:space="preserve"> 政府采购云平台（https://www.zcygov.cn）获取（下载）招标文件</w:t>
      </w:r>
      <w:r>
        <w:rPr>
          <w:rFonts w:hint="eastAsia" w:ascii="宋体" w:hAnsi="宋体" w:eastAsia="宋体" w:cs="Times New Roman"/>
          <w:b/>
          <w:szCs w:val="21"/>
        </w:rPr>
        <w:t>，并于</w:t>
      </w:r>
      <w:r>
        <w:rPr>
          <w:rFonts w:hint="eastAsia" w:ascii="宋体" w:hAnsi="宋体" w:eastAsia="宋体" w:cs="Times New Roman"/>
          <w:b/>
          <w:szCs w:val="21"/>
          <w:u w:val="single"/>
        </w:rPr>
        <w:t>2024年</w:t>
      </w:r>
      <w:r>
        <w:rPr>
          <w:rFonts w:hint="eastAsia" w:ascii="宋体" w:hAnsi="宋体" w:eastAsia="宋体" w:cs="Times New Roman"/>
          <w:b/>
          <w:szCs w:val="21"/>
          <w:u w:val="single"/>
          <w:lang w:val="en-US" w:eastAsia="zh-CN"/>
        </w:rPr>
        <w:t>10</w:t>
      </w:r>
      <w:r>
        <w:rPr>
          <w:rFonts w:hint="eastAsia" w:ascii="宋体" w:hAnsi="宋体" w:eastAsia="宋体" w:cs="Times New Roman"/>
          <w:b/>
          <w:szCs w:val="21"/>
          <w:u w:val="single"/>
        </w:rPr>
        <w:t>月</w:t>
      </w:r>
      <w:r>
        <w:rPr>
          <w:rFonts w:hint="eastAsia" w:ascii="宋体" w:hAnsi="宋体" w:eastAsia="宋体" w:cs="Times New Roman"/>
          <w:b/>
          <w:szCs w:val="21"/>
          <w:u w:val="single"/>
          <w:lang w:val="en-US" w:eastAsia="zh-CN"/>
        </w:rPr>
        <w:t>10</w:t>
      </w:r>
      <w:r>
        <w:rPr>
          <w:rFonts w:hint="eastAsia" w:ascii="宋体" w:hAnsi="宋体" w:eastAsia="宋体" w:cs="Times New Roman"/>
          <w:b/>
          <w:szCs w:val="21"/>
          <w:u w:val="single"/>
        </w:rPr>
        <w:t>日</w:t>
      </w:r>
      <w:r>
        <w:rPr>
          <w:rFonts w:hint="eastAsia" w:ascii="宋体" w:hAnsi="宋体" w:eastAsia="宋体" w:cs="Times New Roman"/>
          <w:b/>
          <w:szCs w:val="21"/>
          <w:u w:val="single"/>
          <w:lang w:val="en-US" w:eastAsia="zh-CN"/>
        </w:rPr>
        <w:t>14</w:t>
      </w:r>
      <w:r>
        <w:rPr>
          <w:rFonts w:hint="eastAsia" w:ascii="宋体" w:hAnsi="宋体" w:eastAsia="宋体" w:cs="Times New Roman"/>
          <w:b/>
          <w:szCs w:val="21"/>
          <w:u w:val="single"/>
        </w:rPr>
        <w:t>:</w:t>
      </w:r>
      <w:r>
        <w:rPr>
          <w:rFonts w:hint="eastAsia" w:ascii="宋体" w:hAnsi="宋体" w:eastAsia="宋体" w:cs="Times New Roman"/>
          <w:b/>
          <w:szCs w:val="21"/>
          <w:u w:val="single"/>
          <w:lang w:val="en-US" w:eastAsia="zh-CN"/>
        </w:rPr>
        <w:t>30</w:t>
      </w:r>
      <w:r>
        <w:rPr>
          <w:rFonts w:hint="eastAsia" w:ascii="宋体" w:hAnsi="宋体" w:eastAsia="宋体" w:cs="Times New Roman"/>
          <w:b/>
          <w:szCs w:val="21"/>
          <w:u w:val="single"/>
        </w:rPr>
        <w:t>:</w:t>
      </w:r>
      <w:r>
        <w:rPr>
          <w:rFonts w:hint="eastAsia" w:ascii="宋体" w:hAnsi="宋体" w:eastAsia="宋体" w:cs="Times New Roman"/>
          <w:b/>
          <w:szCs w:val="21"/>
          <w:u w:val="single"/>
          <w:lang w:val="en-US" w:eastAsia="zh-CN"/>
        </w:rPr>
        <w:t>00</w:t>
      </w:r>
      <w:r>
        <w:rPr>
          <w:rFonts w:hint="eastAsia" w:ascii="宋体" w:hAnsi="宋体" w:eastAsia="宋体" w:cs="Times New Roman"/>
          <w:b/>
          <w:szCs w:val="21"/>
          <w:u w:val="single"/>
        </w:rPr>
        <w:t>（北京时间）</w:t>
      </w:r>
      <w:r>
        <w:rPr>
          <w:rFonts w:hint="eastAsia" w:ascii="宋体" w:hAnsi="宋体" w:eastAsia="宋体" w:cs="Times New Roman"/>
          <w:b/>
          <w:szCs w:val="21"/>
        </w:rPr>
        <w:t>前递交（上传）投标文件。</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val="0"/>
          <w:color w:val="auto"/>
          <w:szCs w:val="21"/>
          <w:highlight w:val="none"/>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bCs w:val="0"/>
          <w:szCs w:val="21"/>
        </w:rPr>
        <w:t>一</w:t>
      </w:r>
      <w:r>
        <w:rPr>
          <w:rFonts w:hint="eastAsia" w:ascii="宋体" w:hAnsi="宋体" w:eastAsia="宋体" w:cs="Times New Roman"/>
          <w:b/>
          <w:bCs w:val="0"/>
          <w:color w:val="auto"/>
          <w:szCs w:val="21"/>
          <w:highlight w:val="none"/>
        </w:rPr>
        <w:t>、项目基本情况</w:t>
      </w:r>
      <w:bookmarkEnd w:id="0"/>
      <w:bookmarkEnd w:id="1"/>
      <w:bookmarkEnd w:id="2"/>
      <w:bookmarkEnd w:id="3"/>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 xml:space="preserve">QSZB-Z(F)-A24425(GK) </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2.项目名称：</w:t>
      </w:r>
      <w:r>
        <w:rPr>
          <w:rFonts w:hint="eastAsia" w:ascii="宋体" w:hAnsi="宋体" w:eastAsia="宋体" w:cs="Times New Roman"/>
          <w:color w:val="auto"/>
          <w:szCs w:val="21"/>
          <w:highlight w:val="none"/>
          <w:lang w:eastAsia="zh-CN"/>
        </w:rPr>
        <w:t>浙江省看守所智能化系统维保项目（2024年度）</w:t>
      </w:r>
    </w:p>
    <w:bookmarkEnd w:id="4"/>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3.预算金额：20万</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4.最高限价：20万</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服务期限：维保起始时间：2024年10月27日，维保结束时间：2025年10月26日，维保服务时段：工作日5d×9h驻场服务，非工作时间接维保通知后1小时内到场服务，7d×24h电话支持等。若因为采购流程延误导致2024年10月27日前未能签订维保合同，则维保服务期为合同签订之日起一年。</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6.本项目接受联合体投标。</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7.采购需求：</w:t>
      </w:r>
    </w:p>
    <w:tbl>
      <w:tblPr>
        <w:tblStyle w:val="25"/>
        <w:tblW w:w="9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470"/>
        <w:gridCol w:w="782"/>
        <w:gridCol w:w="782"/>
        <w:gridCol w:w="3915"/>
      </w:tblGrid>
      <w:tr>
        <w:trPr>
          <w:trHeight w:val="402" w:hRule="atLeast"/>
        </w:trPr>
        <w:tc>
          <w:tcPr>
            <w:tcW w:w="675" w:type="dxa"/>
            <w:tcBorders>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3470" w:type="dxa"/>
            <w:tcBorders>
              <w:right w:val="single" w:color="auto" w:sz="4" w:space="0"/>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782" w:type="dxa"/>
            <w:tcBorders>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782" w:type="dxa"/>
            <w:tcBorders>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单位</w:t>
            </w:r>
          </w:p>
        </w:tc>
        <w:tc>
          <w:tcPr>
            <w:tcW w:w="3915" w:type="dxa"/>
            <w:tcBorders>
              <w:right w:val="single" w:color="auto" w:sz="4" w:space="0"/>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简要技术需求或服务要求</w:t>
            </w:r>
          </w:p>
        </w:tc>
      </w:tr>
      <w:tr>
        <w:trPr>
          <w:trHeight w:val="436" w:hRule="atLeast"/>
        </w:trPr>
        <w:tc>
          <w:tcPr>
            <w:tcW w:w="675" w:type="dxa"/>
            <w:tcBorders>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3470" w:type="dxa"/>
            <w:tcBorders>
              <w:right w:val="single" w:color="auto" w:sz="4" w:space="0"/>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Cs/>
                <w:szCs w:val="21"/>
                <w:lang w:eastAsia="zh-CN"/>
              </w:rPr>
            </w:pPr>
            <w:r>
              <w:rPr>
                <w:rFonts w:hint="eastAsia" w:ascii="宋体" w:hAnsi="宋体" w:eastAsia="宋体" w:cs="宋体"/>
                <w:bCs/>
                <w:szCs w:val="21"/>
                <w:lang w:eastAsia="zh-CN"/>
              </w:rPr>
              <w:t>浙江省看守所智能化系统维保项目（2024年度）</w:t>
            </w:r>
          </w:p>
        </w:tc>
        <w:tc>
          <w:tcPr>
            <w:tcW w:w="782" w:type="dxa"/>
            <w:tcBorders>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Cs/>
                <w:szCs w:val="21"/>
              </w:rPr>
            </w:pPr>
            <w:r>
              <w:rPr>
                <w:rFonts w:hint="eastAsia" w:ascii="宋体" w:hAnsi="宋体" w:eastAsia="宋体" w:cs="宋体"/>
                <w:bCs/>
                <w:szCs w:val="21"/>
              </w:rPr>
              <w:t>1</w:t>
            </w:r>
          </w:p>
        </w:tc>
        <w:tc>
          <w:tcPr>
            <w:tcW w:w="782" w:type="dxa"/>
            <w:tcBorders>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Cs/>
                <w:szCs w:val="21"/>
              </w:rPr>
            </w:pPr>
            <w:r>
              <w:rPr>
                <w:rFonts w:hint="eastAsia" w:ascii="宋体" w:hAnsi="宋体" w:eastAsia="宋体" w:cs="宋体"/>
                <w:bCs/>
                <w:szCs w:val="21"/>
              </w:rPr>
              <w:t>项</w:t>
            </w:r>
          </w:p>
        </w:tc>
        <w:tc>
          <w:tcPr>
            <w:tcW w:w="3915" w:type="dxa"/>
            <w:tcBorders>
              <w:right w:val="single" w:color="auto" w:sz="4" w:space="0"/>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Cs/>
                <w:szCs w:val="21"/>
              </w:rPr>
            </w:pPr>
            <w:r>
              <w:rPr>
                <w:rFonts w:hint="eastAsia" w:ascii="宋体" w:hAnsi="宋体" w:eastAsia="宋体" w:cs="宋体"/>
                <w:bCs/>
                <w:szCs w:val="21"/>
              </w:rPr>
              <w:t>详见采购需求</w:t>
            </w:r>
          </w:p>
        </w:tc>
      </w:tr>
    </w:tbl>
    <w:p>
      <w:pPr>
        <w:keepNext w:val="0"/>
        <w:keepLines w:val="0"/>
        <w:pageBreakBefore w:val="0"/>
        <w:kinsoku/>
        <w:wordWrap/>
        <w:topLinePunct w:val="0"/>
        <w:bidi w:val="0"/>
        <w:spacing w:after="0" w:line="288" w:lineRule="auto"/>
        <w:rPr>
          <w:rFonts w:hint="eastAsia" w:ascii="宋体" w:hAnsi="宋体" w:eastAsia="宋体" w:cs="Times New Roman"/>
          <w:b/>
          <w:bCs/>
          <w:szCs w:val="21"/>
          <w:lang w:eastAsia="zh-CN"/>
        </w:rPr>
      </w:pPr>
      <w:bookmarkStart w:id="5" w:name="_Toc28359080"/>
      <w:bookmarkStart w:id="6" w:name="_Toc35393622"/>
      <w:bookmarkStart w:id="7" w:name="_Toc28359003"/>
      <w:bookmarkStart w:id="8" w:name="_Toc35393791"/>
      <w:r>
        <w:rPr>
          <w:rFonts w:hint="eastAsia" w:ascii="宋体" w:hAnsi="宋体" w:eastAsia="宋体" w:cs="Times New Roman"/>
          <w:b/>
          <w:bCs/>
          <w:szCs w:val="21"/>
        </w:rPr>
        <w:t>二、申请人的资格要求</w:t>
      </w:r>
      <w:bookmarkEnd w:id="5"/>
      <w:bookmarkEnd w:id="6"/>
      <w:bookmarkEnd w:id="7"/>
      <w:bookmarkEnd w:id="8"/>
      <w:r>
        <w:rPr>
          <w:rFonts w:hint="eastAsia" w:ascii="宋体" w:hAnsi="宋体" w:eastAsia="宋体" w:cs="Times New Roman"/>
          <w:b/>
          <w:bCs/>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w:t>
      </w:r>
      <w:r>
        <w:rPr>
          <w:rFonts w:hint="eastAsia" w:ascii="宋体" w:hAnsi="宋体" w:eastAsia="宋体" w:cs="Times New Roman"/>
          <w:b w:val="0"/>
          <w:bCs w:val="0"/>
          <w:szCs w:val="21"/>
        </w:rPr>
        <w:t>违法失信行为记录名单；</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b/>
          <w:bCs/>
          <w:szCs w:val="21"/>
        </w:rPr>
      </w:pPr>
      <w:bookmarkStart w:id="9" w:name="_Toc35393792"/>
      <w:bookmarkStart w:id="10" w:name="_Toc28359081"/>
      <w:bookmarkStart w:id="11" w:name="_Toc35393623"/>
      <w:bookmarkStart w:id="12" w:name="_Toc28359004"/>
      <w:r>
        <w:rPr>
          <w:rFonts w:hint="eastAsia" w:ascii="宋体" w:hAnsi="宋体" w:eastAsia="宋体" w:cs="Times New Roman"/>
          <w:b/>
          <w:bCs/>
          <w:szCs w:val="21"/>
        </w:rPr>
        <w:t>2.落实政府采购政策需满足的资格要求：本项目整体专门面向中小企业采购。</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监狱企业、残疾人福利性单位视同小型、微型企业；</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本项目属性为：服务</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采购标的对应的中小企业划分标准所属行业：软件和信息技术服务业。</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b/>
          <w:bCs/>
          <w:szCs w:val="21"/>
        </w:rPr>
      </w:pPr>
      <w:r>
        <w:rPr>
          <w:rFonts w:hint="eastAsia" w:ascii="宋体" w:hAnsi="宋体" w:eastAsia="宋体" w:cs="Times New Roman"/>
          <w:b/>
          <w:bCs/>
          <w:szCs w:val="21"/>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3.本项目的特定资格要求：无</w:t>
      </w:r>
    </w:p>
    <w:p>
      <w:pPr>
        <w:keepNext w:val="0"/>
        <w:keepLines w:val="0"/>
        <w:pageBreakBefore w:val="0"/>
        <w:widowControl w:val="0"/>
        <w:kinsoku/>
        <w:wordWrap/>
        <w:overflowPunct/>
        <w:topLinePunct w:val="0"/>
        <w:autoSpaceDE/>
        <w:autoSpaceDN/>
        <w:bidi w:val="0"/>
        <w:spacing w:after="0" w:line="288" w:lineRule="auto"/>
        <w:textAlignment w:val="auto"/>
        <w:rPr>
          <w:rFonts w:hint="eastAsia" w:ascii="宋体" w:hAnsi="宋体" w:eastAsia="宋体" w:cs="Times New Roman"/>
          <w:b/>
          <w:bCs/>
          <w:szCs w:val="21"/>
        </w:rPr>
      </w:pPr>
      <w:r>
        <w:rPr>
          <w:rFonts w:hint="eastAsia" w:ascii="宋体" w:hAnsi="宋体" w:eastAsia="宋体" w:cs="Times New Roman"/>
          <w:b/>
          <w:bCs/>
          <w:szCs w:val="21"/>
        </w:rPr>
        <w:t>三、获取招标文件</w:t>
      </w:r>
      <w:bookmarkEnd w:id="9"/>
      <w:bookmarkEnd w:id="10"/>
      <w:bookmarkEnd w:id="11"/>
      <w:bookmarkEnd w:id="12"/>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bookmarkStart w:id="13" w:name="_Toc28359005"/>
      <w:bookmarkStart w:id="14" w:name="_Toc28359082"/>
      <w:bookmarkStart w:id="15" w:name="_Toc35393624"/>
      <w:bookmarkStart w:id="16" w:name="_Toc35393793"/>
      <w:r>
        <w:rPr>
          <w:rFonts w:hint="eastAsia" w:ascii="宋体" w:hAnsi="宋体" w:eastAsia="宋体" w:cs="Times New Roman"/>
          <w:szCs w:val="21"/>
        </w:rPr>
        <w:t>1.时间：2024年</w:t>
      </w:r>
      <w:r>
        <w:rPr>
          <w:rFonts w:hint="eastAsia" w:ascii="宋体" w:hAnsi="宋体" w:eastAsia="宋体" w:cs="Times New Roman"/>
          <w:szCs w:val="21"/>
          <w:lang w:val="en-US" w:eastAsia="zh-CN"/>
        </w:rPr>
        <w:t>9</w:t>
      </w:r>
      <w:r>
        <w:rPr>
          <w:rFonts w:hint="eastAsia" w:ascii="宋体" w:hAnsi="宋体" w:eastAsia="宋体" w:cs="Times New Roman"/>
          <w:szCs w:val="21"/>
        </w:rPr>
        <w:t>月</w:t>
      </w:r>
      <w:r>
        <w:rPr>
          <w:rFonts w:hint="eastAsia" w:ascii="宋体" w:hAnsi="宋体" w:eastAsia="宋体" w:cs="Times New Roman"/>
          <w:szCs w:val="21"/>
          <w:lang w:val="en-US" w:eastAsia="zh-CN"/>
        </w:rPr>
        <w:t>19</w:t>
      </w:r>
      <w:r>
        <w:rPr>
          <w:rFonts w:hint="eastAsia" w:ascii="宋体" w:hAnsi="宋体" w:eastAsia="宋体" w:cs="Times New Roman"/>
          <w:szCs w:val="21"/>
        </w:rPr>
        <w:t>日至2024年</w:t>
      </w:r>
      <w:r>
        <w:rPr>
          <w:rFonts w:hint="eastAsia" w:ascii="宋体" w:hAnsi="宋体" w:eastAsia="宋体" w:cs="Times New Roman"/>
          <w:szCs w:val="21"/>
          <w:lang w:val="en-US" w:eastAsia="zh-CN"/>
        </w:rPr>
        <w:t>10</w:t>
      </w:r>
      <w:r>
        <w:rPr>
          <w:rFonts w:hint="eastAsia" w:ascii="宋体" w:hAnsi="宋体" w:eastAsia="宋体" w:cs="Times New Roman"/>
          <w:szCs w:val="21"/>
        </w:rPr>
        <w:t>月</w:t>
      </w:r>
      <w:r>
        <w:rPr>
          <w:rFonts w:hint="eastAsia" w:ascii="宋体" w:hAnsi="宋体" w:eastAsia="宋体" w:cs="Times New Roman"/>
          <w:szCs w:val="21"/>
          <w:lang w:val="en-US" w:eastAsia="zh-CN"/>
        </w:rPr>
        <w:t>10</w:t>
      </w:r>
      <w:r>
        <w:rPr>
          <w:rFonts w:hint="eastAsia" w:ascii="宋体" w:hAnsi="宋体" w:eastAsia="宋体" w:cs="Times New Roman"/>
          <w:szCs w:val="21"/>
        </w:rPr>
        <w:t>日，上午00:00至12:00，下午12:00至23:59（北京时间，线上获取法定节假日均可，线下获取文件法定节假日除外）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2.地点（网址）：政府采购云平台（https://www.zcygov.cn）</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3.方式：供应商登录政采云平台（https://www.zcygov.cn）在线申请获取采购文件（进入“项目采购”应用，在获取采购文件菜单中选择项目，申请获取采购文件）。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4.售价（元）：0</w:t>
      </w:r>
    </w:p>
    <w:p>
      <w:pPr>
        <w:keepNext w:val="0"/>
        <w:keepLines w:val="0"/>
        <w:pageBreakBefore w:val="0"/>
        <w:widowControl w:val="0"/>
        <w:kinsoku/>
        <w:wordWrap/>
        <w:overflowPunct/>
        <w:topLinePunct w:val="0"/>
        <w:autoSpaceDE/>
        <w:autoSpaceDN/>
        <w:bidi w:val="0"/>
        <w:spacing w:after="0" w:line="288" w:lineRule="auto"/>
        <w:textAlignment w:val="auto"/>
        <w:rPr>
          <w:rFonts w:hint="eastAsia" w:ascii="宋体" w:hAnsi="宋体" w:eastAsia="宋体" w:cs="Times New Roman"/>
          <w:b/>
          <w:bCs/>
          <w:szCs w:val="21"/>
        </w:rPr>
      </w:pPr>
      <w:r>
        <w:rPr>
          <w:rFonts w:hint="eastAsia" w:ascii="宋体" w:hAnsi="宋体" w:eastAsia="宋体" w:cs="Times New Roman"/>
          <w:b/>
          <w:bCs/>
          <w:szCs w:val="21"/>
        </w:rPr>
        <w:t>四、提交（上传）投标文件</w:t>
      </w:r>
      <w:bookmarkEnd w:id="13"/>
      <w:bookmarkEnd w:id="14"/>
      <w:r>
        <w:rPr>
          <w:rFonts w:hint="eastAsia" w:ascii="宋体" w:hAnsi="宋体" w:eastAsia="宋体" w:cs="Times New Roman"/>
          <w:b/>
          <w:bCs/>
          <w:szCs w:val="21"/>
        </w:rPr>
        <w:t>截止时间、开标时间和地点</w:t>
      </w:r>
      <w:bookmarkEnd w:id="15"/>
      <w:bookmarkEnd w:id="16"/>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textAlignment w:val="auto"/>
        <w:rPr>
          <w:rFonts w:hint="eastAsia" w:ascii="宋体" w:hAnsi="宋体" w:eastAsia="宋体" w:cs="Times New Roman"/>
          <w:szCs w:val="21"/>
          <w:highlight w:val="none"/>
        </w:rPr>
      </w:pPr>
      <w:bookmarkStart w:id="17" w:name="_Hlk81212057"/>
      <w:r>
        <w:rPr>
          <w:rFonts w:hint="eastAsia" w:ascii="宋体" w:hAnsi="宋体" w:eastAsia="宋体" w:cs="Times New Roman"/>
          <w:szCs w:val="21"/>
        </w:rPr>
        <w:t>提交投标文件截止时间：2024年</w:t>
      </w:r>
      <w:r>
        <w:rPr>
          <w:rFonts w:hint="eastAsia" w:ascii="宋体" w:hAnsi="宋体" w:eastAsia="宋体" w:cs="Times New Roman"/>
          <w:szCs w:val="21"/>
          <w:lang w:val="en-US" w:eastAsia="zh-CN"/>
        </w:rPr>
        <w:t>10</w:t>
      </w:r>
      <w:r>
        <w:rPr>
          <w:rFonts w:hint="eastAsia" w:ascii="宋体" w:hAnsi="宋体" w:eastAsia="宋体" w:cs="Times New Roman"/>
          <w:szCs w:val="21"/>
        </w:rPr>
        <w:t>月</w:t>
      </w:r>
      <w:r>
        <w:rPr>
          <w:rFonts w:hint="eastAsia" w:ascii="宋体" w:hAnsi="宋体" w:eastAsia="宋体" w:cs="Times New Roman"/>
          <w:szCs w:val="21"/>
          <w:lang w:val="en-US" w:eastAsia="zh-CN"/>
        </w:rPr>
        <w:t>1</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日</w:t>
      </w:r>
      <w:r>
        <w:rPr>
          <w:rFonts w:hint="eastAsia" w:ascii="宋体" w:hAnsi="宋体" w:eastAsia="宋体" w:cs="宋体"/>
          <w:bCs/>
          <w:szCs w:val="21"/>
          <w:highlight w:val="none"/>
          <w:lang w:val="en-US" w:eastAsia="zh-CN" w:bidi="ar"/>
        </w:rPr>
        <w:t>14</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30</w:t>
      </w:r>
      <w:r>
        <w:rPr>
          <w:rFonts w:hint="eastAsia" w:ascii="宋体" w:hAnsi="宋体" w:eastAsia="宋体" w:cs="宋体"/>
          <w:bCs/>
          <w:szCs w:val="21"/>
          <w:highlight w:val="none"/>
          <w:lang w:bidi="ar"/>
        </w:rPr>
        <w:t>:</w:t>
      </w:r>
      <w:r>
        <w:rPr>
          <w:rFonts w:hint="eastAsia" w:ascii="宋体" w:hAnsi="宋体" w:eastAsia="宋体" w:cs="宋体"/>
          <w:bCs/>
          <w:szCs w:val="21"/>
          <w:highlight w:val="none"/>
          <w:lang w:val="en-US" w:eastAsia="zh-CN" w:bidi="ar"/>
        </w:rPr>
        <w:t>00</w:t>
      </w:r>
      <w:r>
        <w:rPr>
          <w:rFonts w:hint="eastAsia" w:ascii="宋体" w:hAnsi="宋体" w:eastAsia="宋体" w:cs="宋体"/>
          <w:bCs/>
          <w:szCs w:val="21"/>
          <w:highlight w:val="none"/>
          <w:lang w:bidi="ar"/>
        </w:rPr>
        <w:t>（北京时间）</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投标地点（网址）：政府采购云平台（https://www.zcygov.cn）</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开标时间：2024年</w:t>
      </w:r>
      <w:r>
        <w:rPr>
          <w:rFonts w:hint="eastAsia" w:ascii="宋体" w:hAnsi="宋体" w:eastAsia="宋体" w:cs="Times New Roman"/>
          <w:szCs w:val="21"/>
          <w:lang w:val="en-US" w:eastAsia="zh-CN"/>
        </w:rPr>
        <w:t>10</w:t>
      </w:r>
      <w:r>
        <w:rPr>
          <w:rFonts w:hint="eastAsia" w:ascii="宋体" w:hAnsi="宋体" w:eastAsia="宋体" w:cs="Times New Roman"/>
          <w:szCs w:val="21"/>
        </w:rPr>
        <w:t>月</w:t>
      </w:r>
      <w:r>
        <w:rPr>
          <w:rFonts w:hint="eastAsia" w:ascii="宋体" w:hAnsi="宋体" w:eastAsia="宋体" w:cs="Times New Roman"/>
          <w:szCs w:val="21"/>
          <w:lang w:val="en-US" w:eastAsia="zh-CN"/>
        </w:rPr>
        <w:t>10</w:t>
      </w:r>
      <w:r>
        <w:rPr>
          <w:rFonts w:hint="eastAsia" w:ascii="宋体" w:hAnsi="宋体" w:eastAsia="宋体" w:cs="Times New Roman"/>
          <w:szCs w:val="21"/>
        </w:rPr>
        <w:t>日</w:t>
      </w:r>
      <w:r>
        <w:rPr>
          <w:rFonts w:hint="eastAsia" w:ascii="宋体" w:hAnsi="宋体" w:eastAsia="宋体" w:cs="Times New Roman"/>
          <w:szCs w:val="21"/>
          <w:lang w:val="en-US" w:eastAsia="zh-CN"/>
        </w:rPr>
        <w:t>14</w:t>
      </w:r>
      <w:r>
        <w:rPr>
          <w:rFonts w:hint="eastAsia" w:ascii="宋体" w:hAnsi="宋体" w:eastAsia="宋体" w:cs="Times New Roman"/>
          <w:szCs w:val="21"/>
        </w:rPr>
        <w:t>:</w:t>
      </w:r>
      <w:r>
        <w:rPr>
          <w:rFonts w:hint="eastAsia" w:ascii="宋体" w:hAnsi="宋体" w:eastAsia="宋体" w:cs="Times New Roman"/>
          <w:szCs w:val="21"/>
          <w:lang w:val="en-US" w:eastAsia="zh-CN"/>
        </w:rPr>
        <w:t>30</w:t>
      </w:r>
      <w:r>
        <w:rPr>
          <w:rFonts w:hint="eastAsia" w:ascii="宋体" w:hAnsi="宋体" w:eastAsia="宋体" w:cs="Times New Roman"/>
          <w:szCs w:val="21"/>
        </w:rPr>
        <w:t>:</w:t>
      </w:r>
      <w:r>
        <w:rPr>
          <w:rFonts w:hint="eastAsia" w:ascii="宋体" w:hAnsi="宋体" w:eastAsia="宋体" w:cs="Times New Roman"/>
          <w:szCs w:val="21"/>
          <w:lang w:val="en-US" w:eastAsia="zh-CN"/>
        </w:rPr>
        <w:t>00</w:t>
      </w:r>
      <w:r>
        <w:rPr>
          <w:rFonts w:hint="eastAsia" w:ascii="宋体" w:hAnsi="宋体" w:eastAsia="宋体" w:cs="Times New Roman"/>
          <w:szCs w:val="21"/>
        </w:rPr>
        <w:t>（北京时间）</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开标地点（网址）：政府采购云平台（https://www.zcygov.cn）</w:t>
      </w:r>
      <w:bookmarkStart w:id="18" w:name="_Hlk81212131"/>
      <w:r>
        <w:rPr>
          <w:rFonts w:hint="eastAsia" w:ascii="宋体" w:hAnsi="宋体" w:eastAsia="宋体" w:cs="Times New Roman"/>
          <w:szCs w:val="21"/>
        </w:rPr>
        <w:t>/杭州市西湖区玉古路173号中田大厦21楼</w:t>
      </w:r>
      <w:bookmarkEnd w:id="18"/>
      <w:r>
        <w:rPr>
          <w:rFonts w:hint="eastAsia" w:ascii="宋体" w:hAnsi="宋体" w:eastAsia="宋体" w:cs="Times New Roman"/>
          <w:szCs w:val="21"/>
        </w:rPr>
        <w:t>（求是招标会议室1）</w:t>
      </w:r>
    </w:p>
    <w:bookmarkEnd w:id="17"/>
    <w:p>
      <w:pPr>
        <w:keepNext w:val="0"/>
        <w:keepLines w:val="0"/>
        <w:pageBreakBefore w:val="0"/>
        <w:widowControl w:val="0"/>
        <w:kinsoku/>
        <w:wordWrap/>
        <w:overflowPunct/>
        <w:topLinePunct w:val="0"/>
        <w:autoSpaceDE/>
        <w:autoSpaceDN/>
        <w:bidi w:val="0"/>
        <w:spacing w:after="0" w:line="288" w:lineRule="auto"/>
        <w:textAlignment w:val="auto"/>
        <w:rPr>
          <w:rFonts w:hint="eastAsia" w:ascii="宋体" w:hAnsi="宋体" w:eastAsia="宋体" w:cs="Times New Roman"/>
          <w:b/>
          <w:bCs/>
          <w:szCs w:val="21"/>
        </w:rPr>
      </w:pPr>
      <w:bookmarkStart w:id="19" w:name="_Toc35393794"/>
      <w:bookmarkStart w:id="20" w:name="_Toc35393625"/>
      <w:bookmarkStart w:id="21" w:name="_Toc28359007"/>
      <w:bookmarkStart w:id="22" w:name="_Toc28359084"/>
      <w:r>
        <w:rPr>
          <w:rFonts w:hint="eastAsia" w:ascii="宋体" w:hAnsi="宋体" w:eastAsia="宋体" w:cs="Times New Roman"/>
          <w:b/>
          <w:bCs/>
          <w:szCs w:val="21"/>
        </w:rPr>
        <w:t>五、公告期限</w:t>
      </w:r>
      <w:bookmarkEnd w:id="19"/>
      <w:bookmarkEnd w:id="20"/>
      <w:bookmarkEnd w:id="21"/>
      <w:bookmarkEnd w:id="22"/>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自本公告发布之日起5个工作日。</w:t>
      </w:r>
    </w:p>
    <w:p>
      <w:pPr>
        <w:keepNext w:val="0"/>
        <w:keepLines w:val="0"/>
        <w:pageBreakBefore w:val="0"/>
        <w:widowControl w:val="0"/>
        <w:kinsoku/>
        <w:wordWrap/>
        <w:overflowPunct/>
        <w:topLinePunct w:val="0"/>
        <w:autoSpaceDE/>
        <w:autoSpaceDN/>
        <w:bidi w:val="0"/>
        <w:spacing w:after="0" w:line="288" w:lineRule="auto"/>
        <w:textAlignment w:val="auto"/>
        <w:rPr>
          <w:rFonts w:hint="eastAsia" w:ascii="宋体" w:hAnsi="宋体" w:eastAsia="宋体" w:cs="Times New Roman"/>
          <w:b/>
          <w:bCs/>
          <w:szCs w:val="21"/>
        </w:rPr>
      </w:pPr>
      <w:bookmarkStart w:id="23" w:name="_Toc35393795"/>
      <w:bookmarkStart w:id="24" w:name="_Toc35393626"/>
      <w:r>
        <w:rPr>
          <w:rFonts w:hint="eastAsia" w:ascii="宋体" w:hAnsi="宋体" w:eastAsia="宋体" w:cs="Times New Roman"/>
          <w:b/>
          <w:bCs/>
          <w:szCs w:val="21"/>
        </w:rPr>
        <w:t>六、其他补充事宜</w:t>
      </w:r>
      <w:bookmarkEnd w:id="23"/>
      <w:bookmarkEnd w:id="24"/>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bookmarkStart w:id="25" w:name="_Hlk92271231"/>
      <w:r>
        <w:rPr>
          <w:rFonts w:hint="eastAsia"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4.其他事项：</w:t>
      </w:r>
      <w:bookmarkStart w:id="26" w:name="_Hlk92271331"/>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（1）需要落实的政府采购政策：包括节约资源、保护环境、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hint="eastAsia" w:ascii="宋体" w:hAnsi="宋体" w:eastAsia="宋体" w:cs="Times New Roman"/>
          <w:szCs w:val="21"/>
        </w:rPr>
        <w:t>促进中小企业发展等。详见招标文件的第三章-采购项目需要落实的政府采购政策。</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keepNext w:val="0"/>
        <w:keepLines w:val="0"/>
        <w:pageBreakBefore w:val="0"/>
        <w:widowControl w:val="0"/>
        <w:kinsoku/>
        <w:wordWrap/>
        <w:overflowPunct/>
        <w:topLinePunct w:val="0"/>
        <w:autoSpaceDE/>
        <w:autoSpaceDN/>
        <w:bidi w:val="0"/>
        <w:spacing w:after="0" w:line="288" w:lineRule="auto"/>
        <w:textAlignment w:val="auto"/>
        <w:rPr>
          <w:rFonts w:hint="eastAsia" w:ascii="宋体" w:hAnsi="宋体" w:eastAsia="宋体" w:cs="Times New Roman"/>
          <w:b/>
          <w:bCs/>
          <w:szCs w:val="21"/>
        </w:rPr>
      </w:pPr>
      <w:bookmarkStart w:id="29" w:name="_Toc28359008"/>
      <w:bookmarkStart w:id="30" w:name="_Toc35393796"/>
      <w:bookmarkStart w:id="31" w:name="_Toc35393627"/>
      <w:bookmarkStart w:id="32" w:name="_Toc28359085"/>
      <w:r>
        <w:rPr>
          <w:rFonts w:hint="eastAsia" w:ascii="宋体" w:hAnsi="宋体" w:eastAsia="宋体" w:cs="Times New Roman"/>
          <w:b/>
          <w:bCs/>
          <w:szCs w:val="21"/>
        </w:rPr>
        <w:t>七、对本次招标提出询问、质疑、投诉请按以下方式联系</w:t>
      </w:r>
      <w:bookmarkEnd w:id="29"/>
      <w:bookmarkEnd w:id="30"/>
      <w:bookmarkEnd w:id="31"/>
      <w:bookmarkEnd w:id="32"/>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1.采购人信息</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lang w:eastAsia="zh-CN"/>
        </w:rPr>
      </w:pPr>
      <w:r>
        <w:rPr>
          <w:rFonts w:hint="eastAsia" w:ascii="宋体" w:hAnsi="宋体" w:eastAsia="宋体" w:cs="Times New Roman"/>
          <w:szCs w:val="21"/>
        </w:rPr>
        <w:t>名称：</w:t>
      </w:r>
      <w:r>
        <w:rPr>
          <w:rFonts w:hint="eastAsia" w:ascii="宋体" w:hAnsi="宋体" w:eastAsia="宋体" w:cs="Times New Roman"/>
          <w:szCs w:val="21"/>
          <w:lang w:eastAsia="zh-CN"/>
        </w:rPr>
        <w:t>浙江省公安科技研究所</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地址：杭州市民生路66号</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传真：/</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项目联系人（询问）：赵静岚</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项目联系方式（询问）：0571-87286949</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质疑联系人：丁先生</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质疑联系方式：0571-87286357</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2.采购代理机构信息</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名称：浙江求是招标代理有限公司</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地址：杭州市西湖区玉古路173号中田大厦21楼</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传真：/</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项目联系人（询问）：陈丹妮</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项目联系方式（询问）：0571-87666119</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质疑联系人：周安琪</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质疑联系方式：0571-81110356</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质疑邮箱：jdkh@qszb.net</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bookmarkStart w:id="33" w:name="_Hlk124147873"/>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3.同级政府采购监督管理部门</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名称：浙江省财政厅政府采购监管处、浙江省政府采购行政裁决服务中心（杭州）</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地址：杭州市上城区四季青街道新业路市民之家G03办公室</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传真：/</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联系人：朱女士、王女士</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监督投诉电话：0571-85252453</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政策咨询：何一平、冯华，0571-87058424、87055741</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预算金额未达100万元的采购项目，由采购人处理采购争议。</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CA问题联系电话（人工）：汇信CA400-888-4636；天谷CA400-087-8198。</w:t>
      </w:r>
    </w:p>
    <w:bookmarkEnd w:id="33"/>
    <w:p>
      <w:pPr>
        <w:keepNext w:val="0"/>
        <w:keepLines w:val="0"/>
        <w:pageBreakBefore w:val="0"/>
        <w:kinsoku/>
        <w:wordWrap/>
        <w:topLinePunct w:val="0"/>
        <w:bidi w:val="0"/>
        <w:adjustRightInd w:val="0"/>
        <w:snapToGrid w:val="0"/>
        <w:spacing w:after="0" w:line="288" w:lineRule="auto"/>
        <w:ind w:left="238"/>
        <w:jc w:val="center"/>
        <w:outlineLvl w:val="0"/>
        <w:rPr>
          <w:rFonts w:hint="eastAsia"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keepNext w:val="0"/>
        <w:keepLines w:val="0"/>
        <w:pageBreakBefore w:val="0"/>
        <w:kinsoku/>
        <w:wordWrap/>
        <w:topLinePunct w:val="0"/>
        <w:bidi w:val="0"/>
        <w:adjustRightInd w:val="0"/>
        <w:snapToGrid w:val="0"/>
        <w:spacing w:after="0" w:line="288" w:lineRule="auto"/>
        <w:outlineLvl w:val="1"/>
        <w:rPr>
          <w:rFonts w:hint="eastAsia"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rPr>
          <w:trHeight w:val="312" w:hRule="atLeast"/>
        </w:trPr>
        <w:tc>
          <w:tcPr>
            <w:tcW w:w="708"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bookmarkStart w:id="34" w:name="_Hlk45005599"/>
            <w:r>
              <w:rPr>
                <w:rFonts w:hint="eastAsia" w:ascii="宋体" w:hAnsi="宋体" w:eastAsia="宋体" w:cs="宋体"/>
                <w:b/>
                <w:bCs/>
                <w:szCs w:val="21"/>
              </w:rPr>
              <w:t>序号</w:t>
            </w:r>
          </w:p>
        </w:tc>
        <w:tc>
          <w:tcPr>
            <w:tcW w:w="325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内容</w:t>
            </w:r>
          </w:p>
        </w:tc>
      </w:tr>
      <w:tr>
        <w:trPr>
          <w:trHeight w:val="312" w:hRule="atLeast"/>
        </w:trPr>
        <w:tc>
          <w:tcPr>
            <w:tcW w:w="708"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1</w:t>
            </w:r>
          </w:p>
        </w:tc>
        <w:tc>
          <w:tcPr>
            <w:tcW w:w="3256"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政府采购促进中小企业发展</w:t>
            </w:r>
          </w:p>
        </w:tc>
        <w:tc>
          <w:tcPr>
            <w:tcW w:w="5529"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tr>
        <w:trPr>
          <w:trHeight w:val="312" w:hRule="atLeast"/>
        </w:trPr>
        <w:tc>
          <w:tcPr>
            <w:tcW w:w="708"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2</w:t>
            </w:r>
          </w:p>
        </w:tc>
        <w:tc>
          <w:tcPr>
            <w:tcW w:w="3256"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tr>
        <w:trPr>
          <w:trHeight w:val="50" w:hRule="atLeast"/>
        </w:trPr>
        <w:tc>
          <w:tcPr>
            <w:tcW w:w="708"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3</w:t>
            </w:r>
          </w:p>
        </w:tc>
        <w:tc>
          <w:tcPr>
            <w:tcW w:w="3256"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r>
              <w:rPr>
                <w:rFonts w:hint="eastAsia" w:ascii="宋体" w:hAnsi="宋体" w:eastAsia="宋体" w:cs="宋体"/>
                <w:szCs w:val="21"/>
              </w:rPr>
              <w:t>提供材料详见招标文件第六章“资格文件”</w:t>
            </w:r>
          </w:p>
        </w:tc>
      </w:tr>
      <w:bookmarkEnd w:id="34"/>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4"/>
          <w:szCs w:val="21"/>
        </w:rPr>
      </w:pPr>
    </w:p>
    <w:p>
      <w:pPr>
        <w:keepNext w:val="0"/>
        <w:keepLines w:val="0"/>
        <w:pageBreakBefore w:val="0"/>
        <w:kinsoku/>
        <w:wordWrap/>
        <w:topLinePunct w:val="0"/>
        <w:bidi w:val="0"/>
        <w:adjustRightInd w:val="0"/>
        <w:snapToGrid w:val="0"/>
        <w:spacing w:after="0" w:line="288" w:lineRule="auto"/>
        <w:outlineLvl w:val="1"/>
        <w:rPr>
          <w:rFonts w:hint="eastAsia"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rPr>
          <w:trHeight w:val="1026"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spacing w:val="-6"/>
                <w:szCs w:val="21"/>
              </w:rPr>
            </w:pPr>
            <w:bookmarkStart w:id="35" w:name="_Hlk45005608"/>
            <w:r>
              <w:rPr>
                <w:rFonts w:hint="eastAsia" w:ascii="宋体" w:hAnsi="宋体" w:eastAsia="宋体" w:cs="Times New Roman"/>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autoSpaceDE w:val="0"/>
              <w:autoSpaceDN w:val="0"/>
              <w:bidi w:val="0"/>
              <w:adjustRightInd w:val="0"/>
              <w:snapToGrid w:val="0"/>
              <w:spacing w:after="0" w:line="288" w:lineRule="auto"/>
              <w:ind w:firstLine="396" w:firstLineChars="200"/>
              <w:jc w:val="center"/>
              <w:rPr>
                <w:rFonts w:hint="eastAsia" w:ascii="宋体" w:hAnsi="宋体" w:eastAsia="宋体" w:cs="宋体"/>
                <w:spacing w:val="-6"/>
                <w:kern w:val="0"/>
                <w:szCs w:val="21"/>
              </w:rPr>
            </w:pPr>
            <w:r>
              <w:rPr>
                <w:rFonts w:hint="eastAsia" w:ascii="宋体" w:hAnsi="宋体" w:eastAsia="宋体" w:cs="宋体"/>
                <w:spacing w:val="-6"/>
                <w:kern w:val="0"/>
                <w:szCs w:val="21"/>
              </w:rPr>
              <w:t>合同签订且维保服务期开始后，采购人支付70%合同款。中标方在维保期内无任何违约责任，采购人应于维保期满项目验收合格后支付30%合同款，否则采购人将在扣除中标方应承担的费用后支付剩余的合同款（如有）。</w:t>
            </w:r>
          </w:p>
        </w:tc>
      </w:tr>
      <w:bookmarkEnd w:id="35"/>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4"/>
          <w:szCs w:val="21"/>
        </w:rPr>
      </w:pPr>
    </w:p>
    <w:p>
      <w:pPr>
        <w:keepNext w:val="0"/>
        <w:keepLines w:val="0"/>
        <w:pageBreakBefore w:val="0"/>
        <w:numPr>
          <w:ilvl w:val="0"/>
          <w:numId w:val="3"/>
        </w:numPr>
        <w:kinsoku/>
        <w:wordWrap/>
        <w:topLinePunct w:val="0"/>
        <w:bidi w:val="0"/>
        <w:adjustRightInd w:val="0"/>
        <w:snapToGrid w:val="0"/>
        <w:spacing w:after="0" w:line="288" w:lineRule="auto"/>
        <w:outlineLvl w:val="1"/>
        <w:rPr>
          <w:rFonts w:hint="eastAsia" w:ascii="宋体" w:hAnsi="宋体" w:eastAsia="宋体" w:cs="宋体"/>
          <w:b/>
          <w:szCs w:val="21"/>
        </w:rPr>
      </w:pPr>
      <w:r>
        <w:rPr>
          <w:rFonts w:hint="eastAsia" w:ascii="宋体" w:hAnsi="宋体" w:eastAsia="宋体" w:cs="Times New Roman"/>
          <w:b/>
          <w:szCs w:val="21"/>
        </w:rPr>
        <w:t>服务要求</w:t>
      </w:r>
    </w:p>
    <w:p>
      <w:pPr>
        <w:keepNext w:val="0"/>
        <w:keepLines w:val="0"/>
        <w:pageBreakBefore w:val="0"/>
        <w:kinsoku/>
        <w:wordWrap/>
        <w:topLinePunct w:val="0"/>
        <w:bidi w:val="0"/>
        <w:adjustRightInd w:val="0"/>
        <w:snapToGrid w:val="0"/>
        <w:spacing w:after="0" w:line="288" w:lineRule="auto"/>
        <w:outlineLvl w:val="1"/>
        <w:rPr>
          <w:rFonts w:hint="eastAsia" w:ascii="宋体" w:hAnsi="宋体" w:eastAsia="宋体" w:cs="Times New Roman"/>
          <w:b/>
          <w:szCs w:val="21"/>
        </w:rPr>
      </w:pPr>
      <w:r>
        <w:rPr>
          <w:rFonts w:hint="eastAsia" w:ascii="宋体" w:hAnsi="宋体" w:eastAsia="宋体" w:cs="Times New Roman"/>
          <w:b/>
          <w:szCs w:val="21"/>
        </w:rPr>
        <w:t>1、项目概况</w:t>
      </w:r>
    </w:p>
    <w:p>
      <w:pPr>
        <w:keepNext w:val="0"/>
        <w:keepLines w:val="0"/>
        <w:pageBreakBefore w:val="0"/>
        <w:kinsoku/>
        <w:wordWrap/>
        <w:topLinePunct w:val="0"/>
        <w:bidi w:val="0"/>
        <w:adjustRightInd w:val="0"/>
        <w:snapToGrid w:val="0"/>
        <w:spacing w:after="0" w:line="288" w:lineRule="auto"/>
        <w:outlineLvl w:val="1"/>
        <w:rPr>
          <w:rFonts w:hint="eastAsia" w:ascii="宋体" w:hAnsi="宋体" w:eastAsia="宋体" w:cs="Times New Roman"/>
          <w:b/>
          <w:szCs w:val="21"/>
        </w:rPr>
      </w:pPr>
      <w:r>
        <w:rPr>
          <w:rFonts w:hint="eastAsia" w:ascii="宋体" w:hAnsi="宋体" w:eastAsia="宋体" w:cs="Times New Roman"/>
          <w:b/>
          <w:szCs w:val="21"/>
        </w:rPr>
        <w:t>（1）项目绩效目标</w:t>
      </w:r>
    </w:p>
    <w:p>
      <w:pPr>
        <w:keepNext w:val="0"/>
        <w:keepLines w:val="0"/>
        <w:pageBreakBefore w:val="0"/>
        <w:kinsoku/>
        <w:wordWrap/>
        <w:topLinePunct w:val="0"/>
        <w:autoSpaceDE w:val="0"/>
        <w:autoSpaceDN w:val="0"/>
        <w:bidi w:val="0"/>
        <w:adjustRightInd w:val="0"/>
        <w:snapToGrid w:val="0"/>
        <w:spacing w:after="0"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1）总体目标：保障浙江省看守所智能化安防系统运行稳定，发现问题及时采取措施排除。</w:t>
      </w:r>
    </w:p>
    <w:p>
      <w:pPr>
        <w:keepNext w:val="0"/>
        <w:keepLines w:val="0"/>
        <w:pageBreakBefore w:val="0"/>
        <w:kinsoku/>
        <w:wordWrap/>
        <w:topLinePunct w:val="0"/>
        <w:autoSpaceDE w:val="0"/>
        <w:autoSpaceDN w:val="0"/>
        <w:bidi w:val="0"/>
        <w:adjustRightInd w:val="0"/>
        <w:snapToGrid w:val="0"/>
        <w:spacing w:after="0"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2）正常运行率≥98%</w:t>
      </w:r>
    </w:p>
    <w:p>
      <w:pPr>
        <w:keepNext w:val="0"/>
        <w:keepLines w:val="0"/>
        <w:pageBreakBefore w:val="0"/>
        <w:kinsoku/>
        <w:wordWrap/>
        <w:topLinePunct w:val="0"/>
        <w:autoSpaceDE w:val="0"/>
        <w:autoSpaceDN w:val="0"/>
        <w:bidi w:val="0"/>
        <w:adjustRightInd w:val="0"/>
        <w:snapToGrid w:val="0"/>
        <w:spacing w:after="0"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3）响应时间≤1小时</w:t>
      </w:r>
    </w:p>
    <w:p>
      <w:pPr>
        <w:keepNext w:val="0"/>
        <w:keepLines w:val="0"/>
        <w:pageBreakBefore w:val="0"/>
        <w:kinsoku/>
        <w:wordWrap/>
        <w:topLinePunct w:val="0"/>
        <w:autoSpaceDE w:val="0"/>
        <w:autoSpaceDN w:val="0"/>
        <w:bidi w:val="0"/>
        <w:adjustRightInd w:val="0"/>
        <w:snapToGrid w:val="0"/>
        <w:spacing w:after="0"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4）驻场人员数量：1人</w:t>
      </w:r>
    </w:p>
    <w:p>
      <w:pPr>
        <w:keepNext w:val="0"/>
        <w:keepLines w:val="0"/>
        <w:pageBreakBefore w:val="0"/>
        <w:kinsoku/>
        <w:wordWrap/>
        <w:topLinePunct w:val="0"/>
        <w:autoSpaceDE w:val="0"/>
        <w:autoSpaceDN w:val="0"/>
        <w:bidi w:val="0"/>
        <w:adjustRightInd w:val="0"/>
        <w:snapToGrid w:val="0"/>
        <w:spacing w:after="0" w:line="288" w:lineRule="auto"/>
        <w:ind w:firstLine="396" w:firstLineChars="200"/>
        <w:jc w:val="left"/>
        <w:rPr>
          <w:rFonts w:hint="eastAsia" w:ascii="宋体" w:hAnsi="宋体" w:eastAsia="宋体" w:cs="宋体"/>
          <w:spacing w:val="-6"/>
          <w:kern w:val="0"/>
          <w:szCs w:val="21"/>
        </w:rPr>
      </w:pPr>
      <w:r>
        <w:rPr>
          <w:rFonts w:hint="eastAsia" w:ascii="宋体" w:hAnsi="宋体" w:eastAsia="宋体" w:cs="宋体"/>
          <w:spacing w:val="-6"/>
          <w:kern w:val="0"/>
          <w:szCs w:val="21"/>
        </w:rPr>
        <w:t>5）维保软硬件数量：471个/套</w:t>
      </w:r>
    </w:p>
    <w:p>
      <w:pPr>
        <w:keepNext w:val="0"/>
        <w:keepLines w:val="0"/>
        <w:pageBreakBefore w:val="0"/>
        <w:kinsoku/>
        <w:wordWrap/>
        <w:topLinePunct w:val="0"/>
        <w:bidi w:val="0"/>
        <w:adjustRightInd w:val="0"/>
        <w:snapToGrid w:val="0"/>
        <w:spacing w:after="0" w:line="288" w:lineRule="auto"/>
        <w:outlineLvl w:val="1"/>
        <w:rPr>
          <w:rFonts w:hint="eastAsia" w:ascii="宋体" w:hAnsi="宋体" w:eastAsia="宋体" w:cs="Times New Roman"/>
          <w:b/>
          <w:szCs w:val="21"/>
        </w:rPr>
      </w:pPr>
      <w:r>
        <w:rPr>
          <w:rFonts w:hint="eastAsia" w:ascii="宋体" w:hAnsi="宋体" w:eastAsia="宋体" w:cs="Times New Roman"/>
          <w:b/>
          <w:szCs w:val="21"/>
        </w:rPr>
        <w:t>（2）项目类别</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续运维</w:t>
      </w:r>
    </w:p>
    <w:p>
      <w:pPr>
        <w:keepNext w:val="0"/>
        <w:keepLines w:val="0"/>
        <w:pageBreakBefore w:val="0"/>
        <w:kinsoku/>
        <w:wordWrap/>
        <w:topLinePunct w:val="0"/>
        <w:bidi w:val="0"/>
        <w:adjustRightInd w:val="0"/>
        <w:snapToGrid w:val="0"/>
        <w:spacing w:after="0" w:line="288" w:lineRule="auto"/>
        <w:outlineLvl w:val="1"/>
        <w:rPr>
          <w:rFonts w:hint="eastAsia" w:ascii="宋体" w:hAnsi="宋体" w:eastAsia="宋体" w:cs="Times New Roman"/>
          <w:b/>
          <w:szCs w:val="21"/>
        </w:rPr>
      </w:pPr>
      <w:r>
        <w:rPr>
          <w:rFonts w:hint="eastAsia" w:ascii="宋体" w:hAnsi="宋体" w:eastAsia="宋体" w:cs="Times New Roman"/>
          <w:b/>
          <w:szCs w:val="21"/>
        </w:rPr>
        <w:t>（2）维保范围</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1）硬件或基础设施</w:t>
      </w:r>
    </w:p>
    <w:tbl>
      <w:tblPr>
        <w:tblStyle w:val="25"/>
        <w:tblW w:w="9437" w:type="dxa"/>
        <w:tblInd w:w="0" w:type="dxa"/>
        <w:tblLayout w:type="fixed"/>
        <w:tblCellMar>
          <w:top w:w="15" w:type="dxa"/>
          <w:left w:w="15" w:type="dxa"/>
          <w:bottom w:w="15" w:type="dxa"/>
          <w:right w:w="15" w:type="dxa"/>
        </w:tblCellMar>
      </w:tblPr>
      <w:tblGrid>
        <w:gridCol w:w="344"/>
        <w:gridCol w:w="1235"/>
        <w:gridCol w:w="1507"/>
        <w:gridCol w:w="1430"/>
        <w:gridCol w:w="9"/>
        <w:gridCol w:w="4338"/>
        <w:gridCol w:w="574"/>
      </w:tblGrid>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资产编号</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型号</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主要配置</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备注</w:t>
            </w:r>
          </w:p>
        </w:tc>
      </w:tr>
      <w:tr>
        <w:trPr>
          <w:trHeight w:val="285" w:hRule="atLeast"/>
        </w:trPr>
        <w:tc>
          <w:tcPr>
            <w:tcW w:w="943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一、监控系统</w:t>
            </w: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2012001156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2012001157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2012001158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2012001159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2012001160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2012001161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2012001162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2012001163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彩色半球摄像机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SSC-CD13VP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彩色480TVL，可变焦距3-8mm，分辨率752*582</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2012001307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16路硬盘录像机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DS-8016HC-S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16路音视频输入</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2012001318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硬盘</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1T，5400转</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2012001319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硬盘</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1T，5400转</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2012001320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硬盘</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1T，5400转</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2012001321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硬盘</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1T，5400转</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集中供电箱 12V</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2019005944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2019005945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2019005946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2019005947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2019005948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2019005949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2019005959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枪型摄像机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DS-2CD5024EFWD-A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2019005969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2019005979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2019005989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2019005999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2019006009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2019006019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2019006029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2019006039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2019006049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2019006059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2019006069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2019006079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半球形摄像机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DS-2CD2325FD-I</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2019006089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2019006099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2019006109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筒形摄像机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DS-2CD2625F-IS</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200万像素，分辨率1080P@25fps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2019006119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隐蔽摄像机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DS-2CD6414FWD</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分辨率：960P，30fps</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摄像机控制键盘</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DS-1600K</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网络接入方式，4维摇杆控制摇杆，10.1寸1024*600电容触摸屏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2019006129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2019006139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2019006149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2019006159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2019006169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249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2019006179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HD-58P</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全指向性增强，10-70平方拾音范围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67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磁盘阵列</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DS-A72036R</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36盘位，2048Mbps接入带宽,4个千兆网口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配套希捷企业级4T硬盘140块</w:t>
            </w: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磁盘阵列</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DS-A72036R</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36盘位，2048Mbps接入带宽,4个千兆网口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磁盘阵列</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DS-A72036R</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36盘位，2048Mbps接入带宽,4个千兆网口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磁盘阵列</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DS-A72036R</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36盘位，2048Mbps接入带宽,4个千兆网口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76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数字硬盘录像机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DS-8632N-I16</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支持32路高清，400M带宽网络视频接入；支持16个SATA盘位</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配套希捷监控级4T硬盘10块</w:t>
            </w: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高清混合矩阵</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DS-B20-S07-A</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7槽位机箱，双电源适配器，单主控板</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高清混合矩阵板卡</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DS-6916UD-B20H</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8路HDMI显示接口输出</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高清混合矩阵板卡</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DS-6916UD-B20H</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8路HDMI显示接口输出</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2019006188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高清混合矩阵板卡</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DS-6916UD-B20H</w:t>
            </w: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8路HDMI显示接口输出</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943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二、在押人员报告系统</w:t>
            </w: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259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60路数字对讲主机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NLS-60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10.2寸数字真彩显示屏，电容式触摸屏，720P高清摄像头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60路数字对讲主机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NLS-60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10.2寸数字真彩显示屏，电容式触摸屏，720P高清摄像头</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2019006209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2019006210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269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2019006211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2019006212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数字监仓对讲分机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NLS-AE6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全铝合金CNC加工，内六角固定螺丝，防粉尘</w:t>
            </w:r>
            <w:r>
              <w:rPr>
                <w:rStyle w:val="113"/>
                <w:rFonts w:hint="default" w:ascii="宋体" w:hAnsi="宋体" w:eastAsia="宋体" w:cs="宋体"/>
                <w:lang w:bidi="ar"/>
              </w:rPr>
              <w:t>、防拆、防暴力破坏。</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943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三、电化教育（广播）系统</w:t>
            </w: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全频扬声器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C-6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全频扬声器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C-6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全频扬声器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C-6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全频扬声器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C-6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全频扬声器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C-6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全频扬声器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C-6</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4通道放大器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MX4200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额定功率：8欧桥接420W，4欧立体声4*210W，8欧立体声4*140W</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4通道放大器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MX4200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额定功率：8欧桥接420W，4欧立体声4*210W，8欧立体声4*140W</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279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均衡器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231</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TRS或XLR差分平衡输入输出，可选择立体声，40Hz高通滤波器</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2012001409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均衡器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231</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TRS或XLR差分平衡输入输出，可选择立体声，40Hz高通滤波器</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灵敏度：-38db；频率范围：70-16000Hz；产品声压：134db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灵敏度：-38db；频率范围：70-16000Hz；产品声压：135db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灵敏度：-38db；频率范围：70-16000Hz；产品声压：136db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灵敏度：-38db；频率范围：70-16000Hz；产品声压：137db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灵敏度：-38db；频率范围：70-16000Hz；产品声压：138db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灵敏度：-38db；频率范围：70-16000Hz；产品声压：139db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灵敏度：-38db；频率范围：70-16000Hz；产品声压：140db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灵敏度：-38db；频率范围：70-16000Hz；产品声压：141db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289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灵敏度：-38db；频率范围：70-16000Hz；产品声压：142db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2012001419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鹅颈电容会议话筒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PRO40Q</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灵敏度：-38db；频率范围：70-16000Hz；产品声压：143db</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调音台</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1402VLZ3</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14路超低噪声高余量，6路演播室级XDR2话筒前置放大器</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调音台</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1402VLZ3</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14路超低噪声高余量，6路演播室级XDR2话筒前置放大器</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102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DVD</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DV-310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可播放碟片：DVD/SVCD/VCD/CD/CD-R/-RW/DVD-R/-R DL/-RW/DVD+R/+RW；视频制式：NTSC/PAL</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102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DVD</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DV-310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可播放碟片：DVD/SVCD/VCD/CD/CD-R/-RW/DVD-R/-R DL/-RW/DVD+R/+RW；视频制式：NTSC/PAL</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102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DVD</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DV-310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可播放碟片：DVD/SVCD/VCD/CD/CD-R/-RW/DVD-R/-R DL/-RW/DVD+R/+RW；视频制式：NTSC/PAL</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102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8路时序电源控制器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1018B</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单相3线输入，8通道时序单相3线输出，输入最大电流容量63A，单通道输出最大30A，时序控制每步时间间隔1秒</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102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2014001425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8路时序电源控制器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1018B</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单相3线输入，8通道时序单相3线输出，输入最大电流容量63A，单通道输出最大30A，时序控制每步时间间隔1秒</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机柜</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A26632</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299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机柜</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kern w:val="0"/>
                <w:szCs w:val="21"/>
                <w:lang w:bidi="ar"/>
              </w:rPr>
              <w:t>A26632</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76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投影机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MB67XA</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投影尺寸：1.016-7.62；投影技术：DLP；画面比例4：3；亮度：4200流明；分辨率：1024*768</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76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2012001429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投影机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MB67XA</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投影尺寸：1.016-7.62；投影技术：DLP；画面比例4：3；亮度：4200流明；分辨率：1024*768</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2012001670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电动投影幕</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100"电动波珠</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2012001671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电动投影幕</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100"电动波珠</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无线话筒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ATW-2120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10组UHF通道可同时使用、接收机LCD液晶显示，80米</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无线话筒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ATW-2120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10组UHF通道可同时使用、接收机LCD液晶显示，80米</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无线话筒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ATW-2120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10组UHF通道可同时使用、接收机LCD液晶显示，80米</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无线话筒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ATW-2120</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10组UHF通道可同时使用、接收机LCD液晶显示，80米</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有线话筒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XM-5/S</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309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有线话筒</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XM-5/S</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2012001629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2012001630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1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319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2012001669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液晶电视机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32M11HM</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32寸，分辨率1366*768，屏幕比例16：9</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数码摄像机(含专业三角架、外接MIC)</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Sony XR550E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总像素约663万，光学变焦10倍，数码变焦120倍，焦距3.8-38mm</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54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2012001439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自动播放控制软件+智能广播控制器+定制继电器组</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2012000914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摄像用灯光</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2012000915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摄像用灯光</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2012001441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多功能控制讲台</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943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四、门禁系统</w:t>
            </w: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36箱电子储物柜</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定制</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329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339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9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349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358</w:t>
            </w:r>
          </w:p>
        </w:tc>
        <w:tc>
          <w:tcPr>
            <w:tcW w:w="123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b/>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灵性锁</w:t>
            </w:r>
          </w:p>
        </w:tc>
        <w:tc>
          <w:tcPr>
            <w:tcW w:w="143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宏泰</w:t>
            </w:r>
          </w:p>
        </w:tc>
        <w:tc>
          <w:tcPr>
            <w:tcW w:w="4347"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b/>
                <w:color w:val="000000"/>
                <w:szCs w:val="21"/>
              </w:rPr>
            </w:pPr>
          </w:p>
        </w:tc>
        <w:tc>
          <w:tcPr>
            <w:tcW w:w="57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b/>
                <w:color w:val="000000"/>
                <w:szCs w:val="21"/>
              </w:rPr>
            </w:pPr>
          </w:p>
        </w:tc>
      </w:tr>
      <w:tr>
        <w:trPr>
          <w:trHeight w:val="285" w:hRule="atLeast"/>
        </w:trPr>
        <w:tc>
          <w:tcPr>
            <w:tcW w:w="94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五、提讯管理系统</w:t>
            </w:r>
          </w:p>
        </w:tc>
      </w:tr>
      <w:tr>
        <w:trPr>
          <w:trHeight w:val="285" w:hRule="atLeast"/>
        </w:trPr>
        <w:tc>
          <w:tcPr>
            <w:tcW w:w="34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359</w:t>
            </w:r>
          </w:p>
        </w:tc>
        <w:tc>
          <w:tcPr>
            <w:tcW w:w="123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六十路对讲主机</w:t>
            </w:r>
          </w:p>
        </w:tc>
        <w:tc>
          <w:tcPr>
            <w:tcW w:w="14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HBW-60</w:t>
            </w:r>
          </w:p>
        </w:tc>
        <w:tc>
          <w:tcPr>
            <w:tcW w:w="4347"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五芯总线接口，监听范围30平方米</w:t>
            </w:r>
          </w:p>
        </w:tc>
        <w:tc>
          <w:tcPr>
            <w:tcW w:w="57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HBW-BE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HBW-BE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HBW-BE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HBW-BE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HBW-BE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HBW-BE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壁挂分机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HBW-BE</w:t>
            </w: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943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六、机房系统</w:t>
            </w: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机房市电配电柜</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2012001581</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机房UPS配电柜</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2012001582</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智能综合性高能量低残压电源防</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2012001583</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智能综合性高能量低残压电源防</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2012001584</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智能综合性高能量低残压电源防</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2012001585</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综合性高能量低残压电源防雷器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2012001586</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综合性高能量低残压电源防雷器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综合性高能量低残压电源防雷器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108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2012002638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电池箱</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配套64节12V100AH电池</w:t>
            </w:r>
            <w:r>
              <w:rPr>
                <w:rStyle w:val="114"/>
                <w:rFonts w:hint="default" w:ascii="宋体" w:hAnsi="宋体" w:eastAsia="宋体" w:cs="宋体"/>
                <w:sz w:val="21"/>
                <w:szCs w:val="21"/>
                <w:lang w:bidi="ar"/>
              </w:rPr>
              <w:t>　</w:t>
            </w: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2012002639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电池箱</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2012001590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UPS主机</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2012001589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壁挂式气体灭火系统</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943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七、信息显示系统</w:t>
            </w: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379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2012000907</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光纤盒及耦合器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多模，16路fc口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2012000908</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光纤盒及耦合器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多模，16路fc口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2012000909</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光纤盒及耦合器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多模，16路fc口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2012000910</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光纤盒及耦合器</w:t>
            </w:r>
          </w:p>
        </w:tc>
        <w:tc>
          <w:tcPr>
            <w:tcW w:w="1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多模，16路fc口</w:t>
            </w: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943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八、周界控制系统</w:t>
            </w: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高压电网主机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高压电网分机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高压电网分机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高压电网分机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2010年建成后未及时进行固定资产登记</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高压电网分机</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389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90"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393</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394</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395</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396</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397</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398</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399</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400</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401</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r>
        <w:trPr>
          <w:trHeight w:val="285" w:hRule="atLeast"/>
        </w:trPr>
        <w:tc>
          <w:tcPr>
            <w:tcW w:w="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402</w:t>
            </w:r>
          </w:p>
        </w:tc>
        <w:tc>
          <w:tcPr>
            <w:tcW w:w="1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高压电网警示灯</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43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c>
          <w:tcPr>
            <w:tcW w:w="5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color w:val="000000"/>
                <w:szCs w:val="21"/>
              </w:rPr>
            </w:pPr>
          </w:p>
        </w:tc>
      </w:tr>
    </w:tbl>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b/>
          <w:bCs/>
          <w:szCs w:val="21"/>
        </w:rPr>
        <w:t>2015年省所安防设施智能化改造项目</w:t>
      </w:r>
    </w:p>
    <w:tbl>
      <w:tblPr>
        <w:tblStyle w:val="25"/>
        <w:tblW w:w="9438" w:type="dxa"/>
        <w:jc w:val="center"/>
        <w:tblLayout w:type="fixed"/>
        <w:tblCellMar>
          <w:top w:w="15" w:type="dxa"/>
          <w:left w:w="15" w:type="dxa"/>
          <w:bottom w:w="15" w:type="dxa"/>
          <w:right w:w="15" w:type="dxa"/>
        </w:tblCellMar>
      </w:tblPr>
      <w:tblGrid>
        <w:gridCol w:w="498"/>
        <w:gridCol w:w="1240"/>
        <w:gridCol w:w="1701"/>
        <w:gridCol w:w="1914"/>
        <w:gridCol w:w="2928"/>
        <w:gridCol w:w="1157"/>
      </w:tblGrid>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资产编号</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型号</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主要配置</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备注</w:t>
            </w:r>
          </w:p>
        </w:tc>
      </w:tr>
      <w:tr>
        <w:trPr>
          <w:trHeight w:val="283" w:hRule="atLeast"/>
          <w:jc w:val="center"/>
        </w:trPr>
        <w:tc>
          <w:tcPr>
            <w:tcW w:w="9438"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b/>
                <w:color w:val="000000"/>
                <w:szCs w:val="21"/>
              </w:rPr>
            </w:pPr>
            <w:r>
              <w:rPr>
                <w:rFonts w:hint="eastAsia" w:ascii="宋体" w:hAnsi="宋体" w:eastAsia="宋体" w:cs="宋体"/>
                <w:b/>
                <w:color w:val="000000"/>
                <w:kern w:val="0"/>
                <w:szCs w:val="21"/>
                <w:lang w:bidi="ar"/>
              </w:rPr>
              <w:t>一、监控系统</w:t>
            </w: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2016001032</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高清网络球形摄像机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DS-2DF7284-A</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200万像素；16倍变焦；分辨率：50hz:25fps(1920*1080)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2016001033</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高清网络球形摄像机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DS-2DF7284-A</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200万像素；16倍变焦；分辨率：50hz:25fps(1920*1080)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2016001034</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高清网络球形摄像机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DS-2DF7284-A</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200万像素；16倍变焦；分辨率：50hz:25fps(1920*1080)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2016001035</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高清网络球形摄像机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DS-2DF7284-A</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200万像素；16倍变焦；分辨率：50hz:25fps(1920*1080)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5</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2016001036</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高清网络球形摄像机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DS-2DF7284-A</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200万像素；16倍变焦；分辨率：50hz:25fps(1920*1080)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6</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2016001037</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高清网络球形摄像机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DS-2DF7284-A</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200万像素；16倍变焦；分辨率：50hz:25fps(1920*1080)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7</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2016001038</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高清网络球形摄像机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DS-2DF7284-A</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200万像素；16倍变焦；分辨率：50hz:25fps(1920*1080)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8</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2016001039</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视频智能分析主机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ivms-6200E</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双通道配置4GB内存，共8GB；1TB SATA企业级硬盘；集成2个千兆网口</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2016001040</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视频智能分析主机</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ivms-6200E</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双通道配置4GB内存，共8GB；1TB SATA企业级硬盘；集成2个千兆网口</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11</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12</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14</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15</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16</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17</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18</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单价未超过500元无需登记固定资产</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拾音器</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睿声L602</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全指向性；监听面积100㎡（自然发音，信噪比≥20dB）；频率响应：300Hz-8000Hz（±6dB）</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2016001044</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网络摄像机键盘</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DS-1100K</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RJ45 100M/1000M自适应以太网口；7英寸LCD触控屏，800*480分辨率，3D操作杆</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21</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2016001045</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磁盘阵列</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DS-A71036R</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36盘位磁盘阵列</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22</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2016001046</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磁盘阵列</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DS-A71036R</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36盘位磁盘阵列</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283"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23</w:t>
            </w:r>
          </w:p>
        </w:tc>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2016001047</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磁盘阵列</w:t>
            </w:r>
          </w:p>
        </w:tc>
        <w:tc>
          <w:tcPr>
            <w:tcW w:w="1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DS-A71036R</w:t>
            </w:r>
          </w:p>
        </w:tc>
        <w:tc>
          <w:tcPr>
            <w:tcW w:w="29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topLinePunct w:val="0"/>
              <w:bidi w:val="0"/>
              <w:spacing w:after="0" w:line="288" w:lineRule="auto"/>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36盘位磁盘阵列</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bl>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b/>
          <w:bCs/>
          <w:szCs w:val="21"/>
        </w:rPr>
        <w:t>浙江省看守所监察留置专区弱电改造项目（2024年5月10日质保期满）</w:t>
      </w:r>
    </w:p>
    <w:tbl>
      <w:tblPr>
        <w:tblStyle w:val="25"/>
        <w:tblW w:w="9522" w:type="dxa"/>
        <w:tblInd w:w="0" w:type="dxa"/>
        <w:tblLayout w:type="fixed"/>
        <w:tblCellMar>
          <w:top w:w="0" w:type="dxa"/>
          <w:left w:w="108" w:type="dxa"/>
          <w:bottom w:w="0" w:type="dxa"/>
          <w:right w:w="108" w:type="dxa"/>
        </w:tblCellMar>
      </w:tblPr>
      <w:tblGrid>
        <w:gridCol w:w="613"/>
        <w:gridCol w:w="1266"/>
        <w:gridCol w:w="1694"/>
        <w:gridCol w:w="1858"/>
        <w:gridCol w:w="3028"/>
        <w:gridCol w:w="1063"/>
      </w:tblGrid>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固定资产编号</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185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设备型号</w:t>
            </w:r>
          </w:p>
        </w:tc>
        <w:tc>
          <w:tcPr>
            <w:tcW w:w="3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主要配置</w:t>
            </w:r>
          </w:p>
        </w:tc>
        <w:tc>
          <w:tcPr>
            <w:tcW w:w="106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2021006014</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照相机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70D</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2021006015</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摄像机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HDR-CX680</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2021006016</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对讲主机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NLS-30</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具有单向可视对讲功能，可主动监听</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2021006017</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对讲地址盒</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NLS-SE</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2021006048</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视频智能分析主机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IVMS-6200E</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提供智能分析</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2021006050</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2021006051</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2021006052</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2021006053</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2021006054</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2021006055</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2021006056</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2021006057</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2021006058</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2021006059</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2021006060</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2021006061</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2021006062</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202100663</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2021006064</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2021006065</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对讲分机</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NLS-AE3-S</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具有可视对讲功能</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2021006067</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2021006068</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2021006069</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2021006070</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26</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2021006071</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2021006072</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2021006073</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2021006074</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126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2021006075</w:t>
            </w:r>
          </w:p>
        </w:tc>
        <w:tc>
          <w:tcPr>
            <w:tcW w:w="1694"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LCD液晶显示单元</w:t>
            </w:r>
          </w:p>
        </w:tc>
        <w:tc>
          <w:tcPr>
            <w:tcW w:w="185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DS-D2046NL-C</w:t>
            </w:r>
          </w:p>
        </w:tc>
        <w:tc>
          <w:tcPr>
            <w:tcW w:w="302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尺寸：46英寸；分辨率：1920x1080；</w:t>
            </w:r>
          </w:p>
        </w:tc>
        <w:tc>
          <w:tcPr>
            <w:tcW w:w="1063"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p>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31</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2021006082</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32</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2021006083</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33</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2021006084</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34</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2021006085</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35</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2021006086</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36</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2021006087</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37</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2021006088</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38</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2021006089</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39</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2021006090</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40</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2021006091</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41</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2021006092</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42</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2021006093</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topLinePunct w:val="0"/>
              <w:bidi w:val="0"/>
              <w:spacing w:after="0" w:line="288" w:lineRule="auto"/>
              <w:ind w:firstLine="0"/>
              <w:jc w:val="center"/>
              <w:rPr>
                <w:rFonts w:hint="eastAsia" w:ascii="宋体" w:hAnsi="宋体" w:cs="宋体"/>
                <w:szCs w:val="21"/>
              </w:rPr>
            </w:pPr>
            <w:r>
              <w:rPr>
                <w:rFonts w:hint="eastAsia" w:ascii="宋体" w:hAnsi="宋体" w:cs="宋体"/>
                <w:szCs w:val="21"/>
              </w:rPr>
              <w:t>43</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2021006094</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44</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2021006095</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45</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2021006096</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r>
        <w:trPr>
          <w:trHeight w:val="585" w:hRule="atLeast"/>
        </w:trPr>
        <w:tc>
          <w:tcPr>
            <w:tcW w:w="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46</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2021006097</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拾音器</w:t>
            </w:r>
          </w:p>
        </w:tc>
        <w:tc>
          <w:tcPr>
            <w:tcW w:w="1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K800</w:t>
            </w:r>
          </w:p>
        </w:tc>
        <w:tc>
          <w:tcPr>
            <w:tcW w:w="3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r>
              <w:rPr>
                <w:rFonts w:hint="eastAsia" w:ascii="宋体" w:hAnsi="宋体" w:eastAsia="宋体" w:cs="宋体"/>
                <w:color w:val="000000"/>
                <w:szCs w:val="21"/>
              </w:rPr>
              <w:t>防暴</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color w:val="000000"/>
                <w:szCs w:val="21"/>
              </w:rPr>
            </w:pPr>
          </w:p>
        </w:tc>
      </w:tr>
    </w:tbl>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2、时间和期限</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（1）维保起始时间：2024年10月27日</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（2）维保结束时间：2025年10月26日</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（3）维保服务时段：工作日5d×9h驻场服务，非工作时间接维保通知后1小时内到场服务，7d×24h电话支持等。</w:t>
      </w:r>
      <w:r>
        <w:rPr>
          <w:rFonts w:hint="eastAsia" w:ascii="宋体" w:hAnsi="宋体" w:eastAsia="宋体" w:cs="Times New Roman"/>
          <w:color w:val="auto"/>
          <w:szCs w:val="21"/>
          <w:highlight w:val="none"/>
        </w:rPr>
        <w:t>若因为采购流程延误导致2024年10月27日前未能签订维保合同，则维保服务期为合同签订之日起一年。</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3、服务方式</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1.服务交付方式：现场交付</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2.服务受理渠道：工作时间现场支持，非工作时间提供服务热线。</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3.服务投诉渠道：提供投诉热线等。</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4、服务内容</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（1）例行操作要求：</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1）每天对运行设备进行巡检，并记录运行情况。</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2）每季度做好系统和存储资料的备份工作，并建立备份文档。</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3）每周对系统设备运行状况进行总结，并提交设备运行报告。</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Cs/>
          <w:szCs w:val="21"/>
        </w:rPr>
      </w:pPr>
      <w:r>
        <w:rPr>
          <w:rFonts w:hint="eastAsia" w:ascii="宋体" w:hAnsi="宋体" w:eastAsia="宋体" w:cs="宋体"/>
          <w:szCs w:val="21"/>
        </w:rPr>
        <w:t>4）要求服务单位每月对维保范围内的硬件进行维护、保养，对前端设备、机房及机房设备进行一次除尘、清洁，保持设备及机房环境整洁，做好机房、桥架和管线的防鼠、防蚁工作，做好月巡检记录。</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（2）响应支持要求：</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要求服务单位对硬件设备进行维护，对无法正常的进行维修或者更换新配件，直至系统正常运行，维护、保养、维修、更换配件等工作内容做好记录，故障处理完成后，填写故障处理单。巡检发现故障及时维修，一般故障在2小时内处理完毕，特殊故障24小时内处理完成，24小时内无法处理的及时提出解决方案，经省看守所审核后实施；</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2）按照用户要求提供7d×24h咨询服务，并做好记录；</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3）完成浙江省看守所交办的其他任务。</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（3）优化改善要求：</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1）每季度开展性能分析和风险隐患排查，提供分析报告和优化整改建议；</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2）重大保障时段开展事前风险隐患排查，制定并落实整改措施。</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color w:val="000000"/>
          <w:szCs w:val="21"/>
        </w:rPr>
      </w:pPr>
      <w:r>
        <w:rPr>
          <w:rFonts w:hint="eastAsia" w:ascii="宋体" w:hAnsi="宋体" w:eastAsia="宋体" w:cs="宋体"/>
          <w:b/>
          <w:bCs/>
          <w:szCs w:val="21"/>
        </w:rPr>
        <w:t>（4）服务流程要求：</w:t>
      </w:r>
      <w:r>
        <w:rPr>
          <w:rFonts w:hint="eastAsia" w:ascii="宋体" w:hAnsi="宋体" w:eastAsia="宋体" w:cs="宋体"/>
          <w:color w:val="000000"/>
          <w:szCs w:val="21"/>
        </w:rPr>
        <w:t>维保单位需提供故障申报流程、巡检流程。</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5、人员要求</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（1）驻场服务人员要求</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驻场人员数量：1人。</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1）运维岗：</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主要职责：根据维护具体要求，确保省看守所安防设施设备运行正常并做好相关工作记录。</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工作时间：驻场人员工作日驻所工作；节假日及非工作时间应在接到通知后1小时内赶到。</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驻场理由：浙江省看守所安防系统主要用于在押人员管控和监所安全管理，且监管场所24小时均有人值班，出现故障时会严重影响到监管安全，因此需要即时排除故障。</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资质能力要求及理由：</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color w:val="000000"/>
          <w:szCs w:val="21"/>
        </w:rPr>
      </w:pPr>
      <w:r>
        <w:rPr>
          <w:rFonts w:hint="eastAsia" w:ascii="宋体" w:hAnsi="宋体" w:eastAsia="宋体" w:cs="宋体"/>
          <w:szCs w:val="21"/>
        </w:rPr>
        <w:t>要求维保人员精通电气、计算机软硬件、网络知识，有三年以上智能化系统维护经验，无违法犯罪记录，品行良好，责任心强，能严格遵守看守所各项规章制度，服从省看守所管理与指挥</w:t>
      </w:r>
      <w:r>
        <w:rPr>
          <w:rFonts w:hint="eastAsia" w:ascii="宋体" w:hAnsi="宋体" w:eastAsia="宋体" w:cs="宋体"/>
          <w:bCs/>
          <w:color w:val="000000"/>
          <w:szCs w:val="21"/>
        </w:rPr>
        <w:t>。</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（2）支持团队要求：</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1）支持团队人员应具备安防弱电系统相应的资质。</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2）支持团队应具备完整的技术服务人员，以进行技术、人力支持。</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3）对服务质量进行监督检查。</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b/>
          <w:bCs/>
          <w:szCs w:val="21"/>
        </w:rPr>
        <w:t>（3）人员更换要求：</w:t>
      </w:r>
      <w:r>
        <w:rPr>
          <w:rFonts w:hint="eastAsia" w:ascii="宋体" w:hAnsi="宋体" w:eastAsia="宋体" w:cs="宋体"/>
          <w:szCs w:val="21"/>
        </w:rPr>
        <w:t>更换人员须提前一个月提出申请，并征得采购人同意，未经同意擅自更换驻场人员的每次扣除2500元。替换人员须提前一周入场，和被替换人员保证至少一周的工作交接时间。为确保运维服务质量，驻场人员须保证相对稳定,变更次数超过2次（不含本数）的每次扣除2500元。</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维保期内存在驻场人员未按合同约定要求到岗的，根据驻场人员预算金额按天扣除人员费用，累计超过30天未到岗的，从第31天起双倍扣除。</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驻场人员不得从事其他项目维保工作。</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6、服务商要求</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资质要求：无。</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总体响应时限要求：要求服务单位在服务期内提供7*24小时咨询服务。</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数据安全要求：建立数据安全管理制度，组织开展数据安全教育培训，保障数据安全。</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7、验收要求</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运维项目在维保期结束后，中标方可向采购人申请项目验收。验收由采购人负责实施，验收依据为合同、招标文件、中标方的投标文件。</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中标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维保单位落实维保措施、完成维保任务情况是否满足合同约定要求。</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对维保过程中存在的人员未到岗或频繁更换、维保内容未完成、维保目标未达成等情况据实核算违约成本，并在项目尾款或履约保证金中予以扣除。</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验收合格的条件：中标方提交的验收文档齐全，符合合同及招投标文件要求；中标方按合同要求完成维保服务，并得到用户部门的认可；运维项目通过使用单位组织的验收。</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8、采购要求</w:t>
      </w:r>
    </w:p>
    <w:tbl>
      <w:tblPr>
        <w:tblStyle w:val="25"/>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81"/>
        <w:gridCol w:w="7224"/>
      </w:tblGrid>
      <w:tr>
        <w:trPr>
          <w:trHeight w:val="487" w:hRule="atLeast"/>
        </w:trPr>
        <w:tc>
          <w:tcPr>
            <w:tcW w:w="1110" w:type="dxa"/>
            <w:vMerge w:val="restart"/>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名称</w:t>
            </w:r>
          </w:p>
        </w:tc>
        <w:tc>
          <w:tcPr>
            <w:tcW w:w="1281" w:type="dxa"/>
            <w:vMerge w:val="restart"/>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功能项名称</w:t>
            </w:r>
          </w:p>
        </w:tc>
        <w:tc>
          <w:tcPr>
            <w:tcW w:w="7224" w:type="dxa"/>
            <w:vMerge w:val="restart"/>
            <w:tcBorders>
              <w:tl2br w:val="nil"/>
              <w:tr2bl w:val="nil"/>
            </w:tcBorders>
            <w:vAlign w:val="center"/>
          </w:tcPr>
          <w:p>
            <w:pPr>
              <w:keepNext w:val="0"/>
              <w:keepLines w:val="0"/>
              <w:pageBreakBefore w:val="0"/>
              <w:kinsoku/>
              <w:wordWrap/>
              <w:topLinePunct w:val="0"/>
              <w:bidi w:val="0"/>
              <w:spacing w:after="0" w:line="288" w:lineRule="auto"/>
              <w:ind w:firstLine="210" w:firstLineChars="100"/>
              <w:jc w:val="center"/>
              <w:rPr>
                <w:rFonts w:hint="eastAsia" w:ascii="宋体" w:hAnsi="宋体" w:eastAsia="宋体" w:cs="宋体"/>
                <w:b/>
                <w:bCs/>
                <w:szCs w:val="21"/>
              </w:rPr>
            </w:pPr>
            <w:r>
              <w:rPr>
                <w:rFonts w:hint="eastAsia" w:ascii="宋体" w:hAnsi="宋体" w:eastAsia="宋体" w:cs="宋体"/>
                <w:b/>
                <w:bCs/>
                <w:szCs w:val="21"/>
              </w:rPr>
              <w:t>具体要求</w:t>
            </w:r>
          </w:p>
        </w:tc>
      </w:tr>
      <w:tr>
        <w:trPr>
          <w:trHeight w:val="312"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b/>
                <w:bCs/>
                <w:color w:val="000000"/>
                <w:kern w:val="0"/>
                <w:szCs w:val="21"/>
              </w:rPr>
            </w:pPr>
          </w:p>
        </w:tc>
        <w:tc>
          <w:tcPr>
            <w:tcW w:w="1281"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b/>
                <w:bCs/>
                <w:color w:val="000000"/>
                <w:kern w:val="0"/>
                <w:szCs w:val="21"/>
              </w:rPr>
            </w:pPr>
          </w:p>
        </w:tc>
        <w:tc>
          <w:tcPr>
            <w:tcW w:w="7224"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b/>
                <w:bCs/>
                <w:color w:val="000000"/>
                <w:kern w:val="0"/>
                <w:szCs w:val="21"/>
              </w:rPr>
            </w:pPr>
          </w:p>
        </w:tc>
      </w:tr>
      <w:tr>
        <w:trPr>
          <w:trHeight w:val="23" w:hRule="atLeast"/>
        </w:trPr>
        <w:tc>
          <w:tcPr>
            <w:tcW w:w="1110"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驻场人员</w:t>
            </w: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驻场人员</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派驻1名工程师常驻浙江省看守所提供现场维护服务，要求维保人员精通电气、计算机软硬件、网络知识，有三年以上智能化系统维护经验，其中工作日5d×9h驻场服务，非工作时间接维保通知后1小时内到场服务，7d×24h电话支持。</w:t>
            </w:r>
          </w:p>
        </w:tc>
      </w:tr>
      <w:tr>
        <w:trPr>
          <w:trHeight w:val="23" w:hRule="atLeast"/>
        </w:trPr>
        <w:tc>
          <w:tcPr>
            <w:tcW w:w="1110" w:type="dxa"/>
            <w:vMerge w:val="restart"/>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硬件</w:t>
            </w:r>
          </w:p>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维护费</w:t>
            </w: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监控系统</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各类监控摄像头192个、拾音器67个、磁盘阵列7台、高清矩阵1套、硬盘录像机1台、智能分析主机2套、3T硬盘88块、4T硬盘150块等607个设备。需保障监控系统运行稳定，对维保范围内的硬件进行维护、保养，设备无法通过维修恢复正常的，必须及时进行更换，直至系统正常运行。</w:t>
            </w:r>
          </w:p>
        </w:tc>
      </w:tr>
      <w:tr>
        <w:trPr>
          <w:trHeight w:val="23"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color w:val="000000"/>
                <w:szCs w:val="21"/>
              </w:rPr>
            </w:pPr>
          </w:p>
        </w:tc>
        <w:tc>
          <w:tcPr>
            <w:tcW w:w="1281" w:type="dxa"/>
            <w:tcBorders>
              <w:tl2br w:val="nil"/>
              <w:tr2bl w:val="nil"/>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color w:val="000000"/>
                <w:szCs w:val="21"/>
              </w:rPr>
            </w:pPr>
            <w:r>
              <w:rPr>
                <w:rFonts w:hint="eastAsia" w:ascii="宋体" w:hAnsi="宋体" w:eastAsia="宋体" w:cs="宋体"/>
                <w:szCs w:val="21"/>
              </w:rPr>
              <w:t>电化教育（广播）系统</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各类音响、话筒、摄像机、电视、投影、DVD以及配套设施等84个设备。需保障电化教育（广播）系统运行稳定，对维保范围内的硬件进行维护、保养，设备无法通过维修恢复正常的，必须及时进行更换，直至系统正常运行。</w:t>
            </w:r>
          </w:p>
        </w:tc>
      </w:tr>
      <w:tr>
        <w:trPr>
          <w:trHeight w:val="23"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color w:val="000000"/>
                <w:szCs w:val="21"/>
              </w:rPr>
            </w:pP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门禁系统</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包括电子锁33套、定制储物柜1套等设备。需保障门禁系统运行稳定，对维保范围内的硬件进行维护、保养，设备无法通过维修恢复正常的，必须及时进行更换，直至系统正常运行。</w:t>
            </w:r>
          </w:p>
        </w:tc>
      </w:tr>
      <w:tr>
        <w:trPr>
          <w:trHeight w:val="23"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color w:val="000000"/>
                <w:szCs w:val="21"/>
              </w:rPr>
            </w:pP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提讯管理系统</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包括对讲主机、分机等1套呼叫对讲设备。需保障提讯管理系统运行稳定，对维保范围内的硬件进行维护、保养，设备无法通过维修恢复正常的，必须及时进行更换，直至系统正常运行。</w:t>
            </w:r>
          </w:p>
        </w:tc>
      </w:tr>
      <w:tr>
        <w:trPr>
          <w:trHeight w:val="23"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color w:val="000000"/>
                <w:szCs w:val="21"/>
              </w:rPr>
            </w:pP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机房系统</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包括机房配电柜2个、UPS电池64节、气体灭火系统1套等设施设备。对机房内的硬件进行维护、保养，确保机房内设施设备运行稳定，设备无法通过维修恢复正常的，必须及时进行更换，直至系统正常运行。</w:t>
            </w:r>
          </w:p>
        </w:tc>
      </w:tr>
      <w:tr>
        <w:trPr>
          <w:trHeight w:val="23"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color w:val="000000"/>
                <w:szCs w:val="21"/>
              </w:rPr>
            </w:pP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信息显示系统　</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包括光纤盒、耦合器等设备。需保障信息显示系统运行稳定，对维保范围内的硬件进行维护、保养，设备无法通过维修恢复正常的，必须及时进行更换，直至系统正常运行。</w:t>
            </w:r>
          </w:p>
        </w:tc>
      </w:tr>
      <w:tr>
        <w:trPr>
          <w:trHeight w:val="23"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color w:val="000000"/>
                <w:szCs w:val="21"/>
              </w:rPr>
            </w:pP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周界控制系统</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包括1套高压电网设施设备及电网指示灯15个等。需保障周界控制系统运行稳定，对维保范围内的硬件进行维护、保养，设备无法通过维修恢复正常的，必须及时进行更换，直至系统正常运行。</w:t>
            </w:r>
          </w:p>
        </w:tc>
      </w:tr>
      <w:tr>
        <w:trPr>
          <w:trHeight w:val="23" w:hRule="atLeast"/>
        </w:trPr>
        <w:tc>
          <w:tcPr>
            <w:tcW w:w="1110" w:type="dxa"/>
            <w:vMerge w:val="continue"/>
            <w:tcBorders>
              <w:tl2br w:val="nil"/>
              <w:tr2bl w:val="nil"/>
            </w:tcBorders>
            <w:vAlign w:val="center"/>
          </w:tcPr>
          <w:p>
            <w:pPr>
              <w:keepNext w:val="0"/>
              <w:keepLines w:val="0"/>
              <w:pageBreakBefore w:val="0"/>
              <w:widowControl/>
              <w:kinsoku/>
              <w:wordWrap/>
              <w:topLinePunct w:val="0"/>
              <w:bidi w:val="0"/>
              <w:adjustRightInd w:val="0"/>
              <w:snapToGrid w:val="0"/>
              <w:spacing w:after="0" w:line="288" w:lineRule="auto"/>
              <w:jc w:val="center"/>
              <w:rPr>
                <w:rFonts w:hint="eastAsia" w:ascii="宋体" w:hAnsi="宋体" w:eastAsia="宋体" w:cs="宋体"/>
                <w:color w:val="000000"/>
                <w:szCs w:val="21"/>
              </w:rPr>
            </w:pPr>
          </w:p>
        </w:tc>
        <w:tc>
          <w:tcPr>
            <w:tcW w:w="1281" w:type="dxa"/>
            <w:tcBorders>
              <w:tl2br w:val="nil"/>
              <w:tr2bl w:val="nil"/>
            </w:tcBorders>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 xml:space="preserve">在押人员报告系统 </w:t>
            </w:r>
          </w:p>
        </w:tc>
        <w:tc>
          <w:tcPr>
            <w:tcW w:w="7224" w:type="dxa"/>
            <w:tcBorders>
              <w:tl2br w:val="nil"/>
              <w:tr2bl w:val="nil"/>
            </w:tcBorders>
            <w:vAlign w:val="center"/>
          </w:tcPr>
          <w:p>
            <w:pPr>
              <w:keepNext w:val="0"/>
              <w:keepLines w:val="0"/>
              <w:pageBreakBefore w:val="0"/>
              <w:kinsoku/>
              <w:wordWrap/>
              <w:topLinePunct w:val="0"/>
              <w:bidi w:val="0"/>
              <w:spacing w:after="0" w:line="288" w:lineRule="auto"/>
              <w:ind w:firstLine="210" w:firstLineChars="100"/>
              <w:rPr>
                <w:rFonts w:hint="eastAsia" w:ascii="宋体" w:hAnsi="宋体" w:eastAsia="宋体" w:cs="宋体"/>
                <w:szCs w:val="21"/>
              </w:rPr>
            </w:pPr>
            <w:r>
              <w:rPr>
                <w:rFonts w:hint="eastAsia" w:ascii="宋体" w:hAnsi="宋体" w:eastAsia="宋体" w:cs="宋体"/>
                <w:szCs w:val="21"/>
              </w:rPr>
              <w:t>包括呼叫对讲主机2台、分机10台。需保障在押人员报告系统运行稳定，对维保范围内的硬件进行维护、保养，设备无法通过维修恢复正常的，必须及时进行更换，直至系统正常运行。</w:t>
            </w:r>
          </w:p>
        </w:tc>
      </w:tr>
    </w:tbl>
    <w:p>
      <w:pPr>
        <w:keepNext w:val="0"/>
        <w:keepLines w:val="0"/>
        <w:pageBreakBefore w:val="0"/>
        <w:kinsoku/>
        <w:wordWrap/>
        <w:topLinePunct w:val="0"/>
        <w:bidi w:val="0"/>
        <w:spacing w:after="0" w:line="288" w:lineRule="auto"/>
        <w:ind w:firstLine="420" w:firstLineChars="200"/>
        <w:rPr>
          <w:rFonts w:hint="eastAsia" w:ascii="宋体" w:hAnsi="宋体" w:eastAsia="宋体" w:cs="Times New Roman"/>
          <w:szCs w:val="21"/>
        </w:rPr>
      </w:pPr>
    </w:p>
    <w:p>
      <w:pPr>
        <w:keepNext w:val="0"/>
        <w:keepLines w:val="0"/>
        <w:pageBreakBefore w:val="0"/>
        <w:kinsoku/>
        <w:wordWrap/>
        <w:topLinePunct w:val="0"/>
        <w:bidi w:val="0"/>
        <w:spacing w:after="0" w:line="288" w:lineRule="auto"/>
        <w:rPr>
          <w:rFonts w:hint="eastAsia" w:ascii="宋体" w:hAnsi="宋体" w:eastAsia="宋体" w:cs="Times New Roman"/>
          <w:b/>
          <w:sz w:val="32"/>
          <w:szCs w:val="32"/>
        </w:rPr>
      </w:pPr>
      <w:r>
        <w:rPr>
          <w:rFonts w:hint="eastAsia" w:ascii="宋体" w:hAnsi="宋体" w:eastAsia="宋体" w:cs="Times New Roman"/>
          <w:b/>
          <w:sz w:val="32"/>
          <w:szCs w:val="32"/>
        </w:rPr>
        <w:br w:type="page"/>
      </w:r>
    </w:p>
    <w:p>
      <w:pPr>
        <w:keepNext w:val="0"/>
        <w:keepLines w:val="0"/>
        <w:pageBreakBefore w:val="0"/>
        <w:kinsoku/>
        <w:wordWrap/>
        <w:topLinePunct w:val="0"/>
        <w:bidi w:val="0"/>
        <w:adjustRightInd w:val="0"/>
        <w:snapToGrid w:val="0"/>
        <w:spacing w:after="0" w:line="288" w:lineRule="auto"/>
        <w:jc w:val="center"/>
        <w:outlineLvl w:val="0"/>
        <w:rPr>
          <w:rFonts w:hint="eastAsia" w:ascii="宋体" w:hAnsi="宋体" w:eastAsia="宋体" w:cs="Times New Roman"/>
          <w:sz w:val="32"/>
          <w:szCs w:val="32"/>
        </w:rPr>
      </w:pPr>
      <w:r>
        <w:rPr>
          <w:rFonts w:hint="eastAsia" w:ascii="宋体" w:hAnsi="宋体" w:eastAsia="宋体" w:cs="Times New Roman"/>
          <w:b/>
          <w:sz w:val="32"/>
          <w:szCs w:val="32"/>
        </w:rPr>
        <w:t>第三章  投标人须知</w:t>
      </w:r>
    </w:p>
    <w:p>
      <w:pPr>
        <w:keepNext w:val="0"/>
        <w:keepLines w:val="0"/>
        <w:pageBreakBefore w:val="0"/>
        <w:kinsoku/>
        <w:wordWrap/>
        <w:topLinePunct w:val="0"/>
        <w:bidi w:val="0"/>
        <w:adjustRightInd w:val="0"/>
        <w:snapToGrid w:val="0"/>
        <w:spacing w:after="0" w:line="288" w:lineRule="auto"/>
        <w:ind w:left="238"/>
        <w:jc w:val="center"/>
        <w:outlineLvl w:val="1"/>
        <w:rPr>
          <w:rFonts w:hint="eastAsia"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86"/>
        <w:gridCol w:w="6878"/>
      </w:tblGrid>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b/>
                <w:bCs/>
                <w:szCs w:val="21"/>
              </w:rPr>
            </w:pPr>
            <w:r>
              <w:rPr>
                <w:rFonts w:hint="eastAsia" w:ascii="宋体" w:hAnsi="宋体" w:eastAsia="宋体"/>
                <w:b/>
                <w:bCs/>
                <w:szCs w:val="21"/>
              </w:rPr>
              <w:t>条款号</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b/>
                <w:bCs/>
                <w:szCs w:val="21"/>
              </w:rPr>
            </w:pPr>
            <w:r>
              <w:rPr>
                <w:rFonts w:hint="eastAsia" w:ascii="宋体" w:hAnsi="宋体" w:eastAsia="宋体"/>
                <w:b/>
                <w:bCs/>
                <w:szCs w:val="21"/>
              </w:rPr>
              <w:t>内容</w:t>
            </w:r>
          </w:p>
        </w:tc>
        <w:tc>
          <w:tcPr>
            <w:tcW w:w="6878"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b/>
                <w:bCs/>
                <w:szCs w:val="21"/>
              </w:rPr>
            </w:pPr>
            <w:r>
              <w:rPr>
                <w:rFonts w:hint="eastAsia" w:ascii="宋体" w:hAnsi="宋体" w:eastAsia="宋体"/>
                <w:b/>
                <w:bCs/>
                <w:szCs w:val="21"/>
              </w:rPr>
              <w:t>说明与要求</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（一）</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适用范围</w:t>
            </w:r>
          </w:p>
        </w:tc>
        <w:tc>
          <w:tcPr>
            <w:tcW w:w="6878"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浙江省公安科技研究所浙江省看守所智能化系统维保项目（2024年度）</w:t>
            </w:r>
            <w:r>
              <w:rPr>
                <w:rFonts w:hint="eastAsia" w:ascii="宋体" w:hAnsi="宋体" w:eastAsia="宋体"/>
                <w:szCs w:val="21"/>
              </w:rPr>
              <w:t>的招标、评标、定标、验收、合同履约、付款等（法律、法规另有规定的，从其规定）。</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（二）</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招标方式</w:t>
            </w:r>
          </w:p>
        </w:tc>
        <w:tc>
          <w:tcPr>
            <w:tcW w:w="6878"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szCs w:val="21"/>
              </w:rPr>
            </w:pPr>
            <w:r>
              <w:rPr>
                <w:rFonts w:hint="eastAsia" w:ascii="宋体" w:hAnsi="宋体" w:eastAsia="宋体"/>
                <w:szCs w:val="21"/>
              </w:rPr>
              <w:t>本次招标采用公开招标（线上电子招投标）方式进行。</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（三）</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投标委托</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▲1.投标人代表是法定代表人（单位负责人、自然人本人）的，须提供本人身份证明。</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▲2.投标人代表不是法定代表人（单位负责人、自然人本人）的，须提供授权委托书（格式详见招标文件第六章）和授权代表社保缴纳证明（2023年6月（含）以后任意一月）；</w:t>
            </w:r>
          </w:p>
          <w:p>
            <w:pPr>
              <w:keepNext w:val="0"/>
              <w:keepLines w:val="0"/>
              <w:pageBreakBefore w:val="0"/>
              <w:kinsoku/>
              <w:wordWrap/>
              <w:topLinePunct w:val="0"/>
              <w:bidi w:val="0"/>
              <w:spacing w:after="0" w:line="288" w:lineRule="auto"/>
              <w:rPr>
                <w:rFonts w:hint="eastAsia" w:ascii="宋体" w:hAnsi="宋体" w:eastAsia="宋体"/>
                <w:szCs w:val="21"/>
              </w:rPr>
            </w:pPr>
            <w:r>
              <w:rPr>
                <w:rFonts w:hint="eastAsia" w:ascii="宋体" w:hAnsi="宋体" w:eastAsia="宋体" w:cs="宋体"/>
                <w:szCs w:val="21"/>
              </w:rPr>
              <w:t>▲3.投标人委派不在本单位缴纳社保的人员作为授权代表的，应当在投标文件中，说明具体原因、授权代表缴纳社保的单位，并附列该授权代表缴纳社保清单。</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（四）</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投标费用</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4.收费标准（差额累进）：</w:t>
            </w:r>
          </w:p>
          <w:tbl>
            <w:tblPr>
              <w:tblStyle w:val="25"/>
              <w:tblW w:w="56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rPr>
                <w:trHeight w:val="20" w:hRule="atLeast"/>
                <w:jc w:val="center"/>
              </w:trPr>
              <w:tc>
                <w:tcPr>
                  <w:tcW w:w="2551" w:type="dxa"/>
                  <w:tcMar>
                    <w:top w:w="0" w:type="dxa"/>
                    <w:left w:w="108" w:type="dxa"/>
                    <w:bottom w:w="0" w:type="dxa"/>
                    <w:right w:w="108" w:type="dxa"/>
                  </w:tcMar>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中标金额（万元）</w:t>
                  </w:r>
                </w:p>
              </w:tc>
              <w:tc>
                <w:tcPr>
                  <w:tcW w:w="3070" w:type="dxa"/>
                  <w:tcMar>
                    <w:top w:w="0" w:type="dxa"/>
                    <w:left w:w="108" w:type="dxa"/>
                    <w:bottom w:w="0" w:type="dxa"/>
                    <w:right w:w="108" w:type="dxa"/>
                  </w:tcMar>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收费标准（费率，%）</w:t>
                  </w:r>
                </w:p>
              </w:tc>
            </w:tr>
            <w:tr>
              <w:trPr>
                <w:trHeight w:val="20" w:hRule="atLeast"/>
                <w:jc w:val="center"/>
              </w:trPr>
              <w:tc>
                <w:tcPr>
                  <w:tcW w:w="2551" w:type="dxa"/>
                  <w:tcMar>
                    <w:top w:w="0" w:type="dxa"/>
                    <w:left w:w="108" w:type="dxa"/>
                    <w:bottom w:w="0" w:type="dxa"/>
                    <w:right w:w="108" w:type="dxa"/>
                  </w:tcMar>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100以下</w:t>
                  </w:r>
                </w:p>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（不足20万元的按20万元为基数计算收费）</w:t>
                  </w:r>
                </w:p>
              </w:tc>
              <w:tc>
                <w:tcPr>
                  <w:tcW w:w="3070" w:type="dxa"/>
                  <w:tcMar>
                    <w:top w:w="0" w:type="dxa"/>
                    <w:left w:w="108" w:type="dxa"/>
                    <w:bottom w:w="0" w:type="dxa"/>
                    <w:right w:w="108" w:type="dxa"/>
                  </w:tcMar>
                  <w:vAlign w:val="center"/>
                </w:tcPr>
                <w:p>
                  <w:pPr>
                    <w:keepNext w:val="0"/>
                    <w:keepLines w:val="0"/>
                    <w:pageBreakBefore w:val="0"/>
                    <w:kinsoku/>
                    <w:wordWrap/>
                    <w:topLinePunct w:val="0"/>
                    <w:bidi w:val="0"/>
                    <w:spacing w:after="0" w:line="288" w:lineRule="auto"/>
                    <w:jc w:val="center"/>
                    <w:rPr>
                      <w:rFonts w:hint="eastAsia" w:ascii="宋体" w:hAnsi="宋体" w:eastAsia="宋体" w:cs="宋体"/>
                      <w:szCs w:val="21"/>
                    </w:rPr>
                  </w:pPr>
                  <w:r>
                    <w:rPr>
                      <w:rFonts w:hint="eastAsia" w:ascii="宋体" w:hAnsi="宋体" w:eastAsia="宋体" w:cs="宋体"/>
                      <w:szCs w:val="21"/>
                    </w:rPr>
                    <w:t>0.54</w:t>
                  </w:r>
                </w:p>
              </w:tc>
            </w:tr>
          </w:tbl>
          <w:p>
            <w:pPr>
              <w:keepNext w:val="0"/>
              <w:keepLines w:val="0"/>
              <w:pageBreakBefore w:val="0"/>
              <w:kinsoku/>
              <w:wordWrap/>
              <w:topLinePunct w:val="0"/>
              <w:bidi w:val="0"/>
              <w:spacing w:after="0" w:line="288" w:lineRule="auto"/>
              <w:rPr>
                <w:rFonts w:hint="eastAsia" w:ascii="宋体" w:hAnsi="宋体" w:eastAsia="宋体" w:cs="宋体"/>
                <w:szCs w:val="21"/>
              </w:rPr>
            </w:pP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（五）</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投标保证金（元）</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无。</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（六）</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联合体投标</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本项目接受联合体投标。</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（七）</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转包与分包</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1.本项目不允许转包；</w:t>
            </w:r>
          </w:p>
          <w:p>
            <w:pPr>
              <w:keepNext w:val="0"/>
              <w:keepLines w:val="0"/>
              <w:pageBreakBefore w:val="0"/>
              <w:kinsoku/>
              <w:wordWrap/>
              <w:topLinePunct w:val="0"/>
              <w:bidi w:val="0"/>
              <w:spacing w:after="0" w:line="288" w:lineRule="auto"/>
              <w:rPr>
                <w:rFonts w:hint="eastAsia" w:ascii="宋体" w:hAnsi="宋体" w:eastAsia="宋体" w:cs="Times New Roman"/>
                <w:spacing w:val="-6"/>
                <w:szCs w:val="21"/>
              </w:rPr>
            </w:pPr>
            <w:r>
              <w:rPr>
                <w:rFonts w:hint="eastAsia" w:ascii="宋体" w:hAnsi="宋体" w:eastAsia="宋体" w:cs="宋体"/>
                <w:szCs w:val="21"/>
              </w:rPr>
              <w:t>2.本项目不允许分包，不适宜分包的理由是：</w:t>
            </w:r>
            <w:r>
              <w:rPr>
                <w:rFonts w:hint="eastAsia" w:ascii="宋体" w:hAnsi="宋体" w:eastAsia="宋体" w:cs="宋体"/>
                <w:szCs w:val="21"/>
                <w:u w:val="single"/>
              </w:rPr>
              <w:t>本项目所涉安防系统是确保浙江省看守所安全、平稳运行的一个整体，任何一部分的维护保养都为主体性、关键性工作，无法进行分包维保。</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（八）</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b/>
                <w:bCs/>
                <w:szCs w:val="21"/>
              </w:rPr>
              <w:t>信用记录</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根据财库[2016]125号《关于在政府采购活动中查询及使用信用记录有关问题的通知》要求，采购代理机构会对投标人信用记录进行查询并甄别。信用信息查询的截止时点：投标截止时间；</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（1）查询渠道：“信用中国”（www.creditchina.gov.cn）、“中国政府采购网”（www.ccgp.gov.cn）；</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（2）信用信息查询记录和证据留存具体方式：采购代理机构经办人和监督人员将查询网页打印、签名与其他采购文件一并保存；</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（3）信用信息的使用规则：投标人被列入失信被执行人、重大税收违法案件当事人名单、政府采购严重违法失信行为记录名单的，拒绝其参与政府采购活动。</w:t>
            </w:r>
          </w:p>
        </w:tc>
      </w:tr>
      <w:tr>
        <w:trPr>
          <w:trHeight w:val="397"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（九）</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资格审查要求的资格证明材料</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（1）有效的法人或者其他组织的营业执照等证明文件，自然人的身份证明</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（2）符合参加政府采购活动应当具备的一般条件的承诺函</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（3）落实政府采购政策需满足的资格要求：</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中小企业声明函（若属于中小企业）</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属于监狱企业的证明文件（若属于监狱企业）</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残疾人福利性单位声明函（若属于残疾人福利性单位）</w:t>
            </w:r>
          </w:p>
          <w:p>
            <w:pPr>
              <w:keepNext w:val="0"/>
              <w:keepLines w:val="0"/>
              <w:pageBreakBefore w:val="0"/>
              <w:kinsoku/>
              <w:wordWrap/>
              <w:topLinePunct w:val="0"/>
              <w:bidi w:val="0"/>
              <w:spacing w:after="0" w:line="288" w:lineRule="auto"/>
              <w:rPr>
                <w:rFonts w:hint="eastAsia" w:ascii="宋体" w:hAnsi="宋体"/>
                <w:bCs/>
                <w:szCs w:val="21"/>
              </w:rPr>
            </w:pPr>
            <w:r>
              <w:rPr>
                <w:rFonts w:hint="eastAsia" w:ascii="宋体" w:hAnsi="宋体" w:eastAsia="宋体" w:cs="宋体"/>
                <w:szCs w:val="21"/>
              </w:rPr>
              <w:t>（4）联合协议（如联合体投标）</w:t>
            </w:r>
          </w:p>
        </w:tc>
      </w:tr>
      <w:tr>
        <w:trPr>
          <w:trHeight w:val="23"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（十）</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投标文件份数</w:t>
            </w:r>
          </w:p>
        </w:tc>
        <w:tc>
          <w:tcPr>
            <w:tcW w:w="6878" w:type="dxa"/>
            <w:vAlign w:val="center"/>
          </w:tcPr>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电子加密投标文件：政府采购云平台在线上传一份；</w:t>
            </w:r>
          </w:p>
          <w:p>
            <w:pPr>
              <w:keepNext w:val="0"/>
              <w:keepLines w:val="0"/>
              <w:pageBreakBefore w:val="0"/>
              <w:kinsoku/>
              <w:wordWrap/>
              <w:topLinePunct w:val="0"/>
              <w:bidi w:val="0"/>
              <w:spacing w:after="0" w:line="288" w:lineRule="auto"/>
              <w:rPr>
                <w:rFonts w:hint="eastAsia" w:ascii="宋体" w:hAnsi="宋体" w:eastAsia="宋体" w:cs="宋体"/>
                <w:bCs/>
                <w:szCs w:val="21"/>
                <w:highlight w:val="yellow"/>
              </w:rPr>
            </w:pPr>
            <w:r>
              <w:rPr>
                <w:rFonts w:hint="eastAsia" w:ascii="宋体" w:hAnsi="宋体" w:eastAsia="宋体" w:cs="宋体"/>
                <w:szCs w:val="21"/>
              </w:rPr>
              <w:t>备份投标文件：密封包装后EMS或顺丰邮寄形式递交一份</w:t>
            </w:r>
            <w:r>
              <w:rPr>
                <w:rFonts w:hint="eastAsia" w:ascii="宋体" w:hAnsi="宋体" w:eastAsia="宋体"/>
                <w:b/>
                <w:spacing w:val="-6"/>
                <w:szCs w:val="21"/>
              </w:rPr>
              <w:t>（邮寄地址：</w:t>
            </w:r>
            <w:r>
              <w:rPr>
                <w:rFonts w:hint="eastAsia" w:ascii="宋体" w:hAnsi="宋体" w:eastAsia="宋体" w:cs="宋体"/>
                <w:b/>
                <w:szCs w:val="21"/>
              </w:rPr>
              <w:t>杭州市西湖区玉古路173号中田大厦21楼H室，浙江求是招标代理有限公司（陈丹妮）收，电话：</w:t>
            </w:r>
            <w:r>
              <w:rPr>
                <w:rFonts w:hint="eastAsia" w:ascii="宋体" w:hAnsi="宋体" w:eastAsia="宋体" w:cs="Times New Roman"/>
                <w:b/>
                <w:szCs w:val="21"/>
              </w:rPr>
              <w:t>0571-87666119</w:t>
            </w:r>
            <w:r>
              <w:rPr>
                <w:rFonts w:hint="eastAsia" w:ascii="宋体" w:hAnsi="宋体" w:eastAsia="宋体" w:cs="宋体"/>
                <w:b/>
                <w:szCs w:val="21"/>
              </w:rPr>
              <w:t>，寄出后将（快递单号、项目名称、公司名称、联系方式等相关信息）发至：zb01@qszb.net，以便查收）。</w:t>
            </w:r>
          </w:p>
          <w:p>
            <w:pPr>
              <w:keepNext w:val="0"/>
              <w:keepLines w:val="0"/>
              <w:pageBreakBefore w:val="0"/>
              <w:kinsoku/>
              <w:wordWrap/>
              <w:topLinePunct w:val="0"/>
              <w:bidi w:val="0"/>
              <w:adjustRightInd w:val="0"/>
              <w:snapToGrid w:val="0"/>
              <w:spacing w:after="0" w:line="288" w:lineRule="auto"/>
              <w:ind w:firstLine="420" w:firstLineChars="200"/>
              <w:jc w:val="left"/>
              <w:rPr>
                <w:rFonts w:hint="eastAsia" w:ascii="宋体" w:hAnsi="宋体" w:eastAsia="宋体"/>
                <w:bCs/>
                <w:spacing w:val="-6"/>
                <w:szCs w:val="21"/>
                <w:highlight w:val="yellow"/>
              </w:rPr>
            </w:pPr>
            <w:r>
              <w:rPr>
                <w:rFonts w:hint="eastAsia" w:ascii="宋体" w:hAnsi="宋体" w:eastAsia="宋体" w:cs="宋体"/>
                <w:b/>
                <w:szCs w:val="21"/>
              </w:rPr>
              <w:t>特别说明：双休日和法定节假日不收件，投标人自行承担邮寄风险。</w:t>
            </w:r>
          </w:p>
        </w:tc>
      </w:tr>
      <w:tr>
        <w:trPr>
          <w:trHeight w:val="23"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（十一）</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投标报价</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2.以人民币报价；</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4.投标文件只允许有一个报价，有选择的报价将不予接受。</w:t>
            </w:r>
          </w:p>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▲5.采购人将以合同形式有偿取得货物或服务，不接受投标人给予的赠品、回扣或者与采购无关的其他商品、服务。</w:t>
            </w:r>
          </w:p>
        </w:tc>
      </w:tr>
      <w:tr>
        <w:trPr>
          <w:trHeight w:val="23"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（十二）</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投标有效期</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▲从提交投标文件的截止之日起90天，在原投标有效期满之前，如果出现特殊情况，采购人或采购代理机构以书面形式通知投标人延长投标有效期。</w:t>
            </w:r>
          </w:p>
        </w:tc>
      </w:tr>
      <w:tr>
        <w:trPr>
          <w:trHeight w:val="23"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（十三）</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评标方法及评标标准</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详见“第四章  评标方法及评标标准”。</w:t>
            </w:r>
          </w:p>
        </w:tc>
      </w:tr>
      <w:tr>
        <w:trPr>
          <w:trHeight w:val="23"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评标结果公示</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评标结果公示媒体：浙江政府采购网（http://zfcg.czt.zj.gov.cn）。</w:t>
            </w:r>
          </w:p>
        </w:tc>
      </w:tr>
      <w:tr>
        <w:trPr>
          <w:trHeight w:val="23" w:hRule="atLeast"/>
        </w:trPr>
        <w:tc>
          <w:tcPr>
            <w:tcW w:w="112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（十五）</w:t>
            </w:r>
          </w:p>
        </w:tc>
        <w:tc>
          <w:tcPr>
            <w:tcW w:w="148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szCs w:val="21"/>
              </w:rPr>
            </w:pPr>
            <w:r>
              <w:rPr>
                <w:rFonts w:hint="eastAsia" w:ascii="宋体" w:hAnsi="宋体" w:eastAsia="宋体"/>
                <w:szCs w:val="21"/>
              </w:rPr>
              <w:t>签订合同</w:t>
            </w:r>
          </w:p>
        </w:tc>
        <w:tc>
          <w:tcPr>
            <w:tcW w:w="6878" w:type="dxa"/>
            <w:vAlign w:val="center"/>
          </w:tcPr>
          <w:p>
            <w:pPr>
              <w:keepNext w:val="0"/>
              <w:keepLines w:val="0"/>
              <w:pageBreakBefore w:val="0"/>
              <w:kinsoku/>
              <w:wordWrap/>
              <w:topLinePunct w:val="0"/>
              <w:bidi w:val="0"/>
              <w:spacing w:after="0" w:line="288" w:lineRule="auto"/>
              <w:rPr>
                <w:rFonts w:hint="eastAsia" w:ascii="宋体" w:hAnsi="宋体" w:eastAsia="宋体" w:cs="宋体"/>
                <w:szCs w:val="21"/>
              </w:rPr>
            </w:pPr>
            <w:r>
              <w:rPr>
                <w:rFonts w:hint="eastAsia" w:ascii="宋体" w:hAnsi="宋体" w:eastAsia="宋体" w:cs="宋体"/>
                <w:szCs w:val="21"/>
              </w:rPr>
              <w:t>中标通知书发出之日起30日内。</w:t>
            </w:r>
          </w:p>
        </w:tc>
      </w:tr>
    </w:tbl>
    <w:p>
      <w:pPr>
        <w:keepNext w:val="0"/>
        <w:keepLines w:val="0"/>
        <w:pageBreakBefore w:val="0"/>
        <w:kinsoku/>
        <w:wordWrap/>
        <w:topLinePunct w:val="0"/>
        <w:bidi w:val="0"/>
        <w:adjustRightInd w:val="0"/>
        <w:snapToGrid w:val="0"/>
        <w:spacing w:after="0" w:line="288" w:lineRule="auto"/>
        <w:rPr>
          <w:rFonts w:hint="eastAsia" w:ascii="宋体" w:hAnsi="宋体" w:eastAsia="宋体"/>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szCs w:val="21"/>
        </w:rPr>
      </w:pPr>
      <w:r>
        <w:rPr>
          <w:rFonts w:ascii="宋体" w:hAnsi="宋体" w:eastAsia="宋体"/>
          <w:szCs w:val="21"/>
        </w:rPr>
        <w:br w:type="page"/>
      </w: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bookmarkStart w:id="36" w:name="_Hlk94018326"/>
      <w:r>
        <w:rPr>
          <w:rFonts w:hint="eastAsia" w:ascii="宋体" w:hAnsi="宋体" w:eastAsia="宋体" w:cs="宋体"/>
          <w:szCs w:val="21"/>
        </w:rPr>
        <w:t>投标人应仔细阅读招标文件的所有内容，按照招标文件的要求提交投标文件，并对所提供的全部资料的真实性承担法律责任。</w:t>
      </w:r>
    </w:p>
    <w:bookmarkEnd w:id="36"/>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（一）适用范围</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本招标文件适用于</w:t>
      </w:r>
      <w:r>
        <w:rPr>
          <w:rFonts w:hint="eastAsia" w:ascii="宋体" w:hAnsi="宋体" w:eastAsia="宋体" w:cs="宋体"/>
          <w:szCs w:val="21"/>
          <w:lang w:eastAsia="zh-CN"/>
        </w:rPr>
        <w:t>浙江省公安科技研究所浙江省看守所智能化系统维保项目（2024年度）</w:t>
      </w:r>
      <w:r>
        <w:rPr>
          <w:rFonts w:hint="eastAsia" w:ascii="宋体" w:hAnsi="宋体" w:eastAsia="宋体" w:cs="宋体"/>
          <w:szCs w:val="21"/>
        </w:rPr>
        <w:t>的招标、评标、定标、验收、合同履约、付款等（法律、法规另有规定的，从其规定）。</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（二）定义</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1.“采购人”系指</w:t>
      </w:r>
      <w:r>
        <w:rPr>
          <w:rFonts w:hint="eastAsia" w:ascii="宋体" w:hAnsi="宋体" w:eastAsia="宋体" w:cs="宋体"/>
          <w:szCs w:val="21"/>
          <w:lang w:eastAsia="zh-CN"/>
        </w:rPr>
        <w:t>浙江省公安科技研究所</w:t>
      </w:r>
      <w:r>
        <w:rPr>
          <w:rFonts w:hint="eastAsia" w:ascii="宋体" w:hAnsi="宋体" w:eastAsia="宋体" w:cs="宋体"/>
          <w:szCs w:val="21"/>
        </w:rPr>
        <w:t>；</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2.“采购代理机构”系指组织本次招标的浙江求是招标代理有限公司；</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3.“投标人”系指响应招标、参加投标竞争的法人、其他组织或者自然人；</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4.“书面形式”包括合同书、信件和数据电文(包括电报、电传、传真、电子数据交换和电子邮件)等可以有形地表现所载内容的形式。</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7" w:name="_Hlk96327615"/>
      <w:r>
        <w:rPr>
          <w:rFonts w:hint="eastAsia" w:ascii="宋体" w:hAnsi="宋体" w:eastAsia="宋体" w:cs="宋体"/>
          <w:szCs w:val="21"/>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1）。</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招标文件对投标文件签署、盖章的要求适用于电子签名。</w:t>
      </w:r>
    </w:p>
    <w:bookmarkEnd w:id="37"/>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6.“▲”系指实质性要求条款，投标人应当做出实质性响应。</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（三）招标方式</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本次招标采用公开招标（线上电子招投标）方式进行。</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（四）投标费用</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4.收费标准（差额累进）：</w:t>
      </w:r>
    </w:p>
    <w:tbl>
      <w:tblPr>
        <w:tblStyle w:val="25"/>
        <w:tblW w:w="45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027"/>
        <w:gridCol w:w="4810"/>
      </w:tblGrid>
      <w:tr>
        <w:trPr>
          <w:trHeight w:val="20" w:hRule="atLeast"/>
          <w:jc w:val="center"/>
        </w:trPr>
        <w:tc>
          <w:tcPr>
            <w:tcW w:w="2278" w:type="pct"/>
            <w:tcMar>
              <w:top w:w="0" w:type="dxa"/>
              <w:left w:w="108" w:type="dxa"/>
              <w:bottom w:w="0" w:type="dxa"/>
              <w:right w:w="108" w:type="dxa"/>
            </w:tcMar>
            <w:vAlign w:val="center"/>
          </w:tcPr>
          <w:p>
            <w:pPr>
              <w:keepNext w:val="0"/>
              <w:keepLines w:val="0"/>
              <w:pageBreakBefore w:val="0"/>
              <w:kinsoku/>
              <w:wordWrap/>
              <w:topLinePunct w:val="0"/>
              <w:bidi w:val="0"/>
              <w:spacing w:after="0" w:line="288" w:lineRule="auto"/>
              <w:ind w:firstLine="420" w:firstLineChars="200"/>
              <w:jc w:val="center"/>
              <w:rPr>
                <w:rFonts w:hint="eastAsia" w:ascii="宋体" w:hAnsi="宋体" w:eastAsia="宋体" w:cs="宋体"/>
                <w:szCs w:val="21"/>
              </w:rPr>
            </w:pPr>
            <w:r>
              <w:rPr>
                <w:rFonts w:hint="eastAsia" w:ascii="宋体" w:hAnsi="宋体" w:eastAsia="宋体" w:cs="宋体"/>
                <w:szCs w:val="21"/>
              </w:rPr>
              <w:t>中标金额（万元）</w:t>
            </w:r>
          </w:p>
        </w:tc>
        <w:tc>
          <w:tcPr>
            <w:tcW w:w="2721" w:type="pct"/>
            <w:tcMar>
              <w:top w:w="0" w:type="dxa"/>
              <w:left w:w="108" w:type="dxa"/>
              <w:bottom w:w="0" w:type="dxa"/>
              <w:right w:w="108" w:type="dxa"/>
            </w:tcMar>
            <w:vAlign w:val="center"/>
          </w:tcPr>
          <w:p>
            <w:pPr>
              <w:keepNext w:val="0"/>
              <w:keepLines w:val="0"/>
              <w:pageBreakBefore w:val="0"/>
              <w:kinsoku/>
              <w:wordWrap/>
              <w:topLinePunct w:val="0"/>
              <w:bidi w:val="0"/>
              <w:spacing w:after="0" w:line="288" w:lineRule="auto"/>
              <w:ind w:firstLine="420" w:firstLineChars="200"/>
              <w:jc w:val="center"/>
              <w:rPr>
                <w:rFonts w:hint="eastAsia" w:ascii="宋体" w:hAnsi="宋体" w:eastAsia="宋体" w:cs="宋体"/>
                <w:szCs w:val="21"/>
              </w:rPr>
            </w:pPr>
            <w:r>
              <w:rPr>
                <w:rFonts w:hint="eastAsia" w:ascii="宋体" w:hAnsi="宋体" w:eastAsia="宋体" w:cs="宋体"/>
                <w:szCs w:val="21"/>
              </w:rPr>
              <w:t>收费标准（费率，%）</w:t>
            </w:r>
          </w:p>
        </w:tc>
      </w:tr>
      <w:tr>
        <w:trPr>
          <w:trHeight w:val="20" w:hRule="atLeast"/>
          <w:jc w:val="center"/>
        </w:trPr>
        <w:tc>
          <w:tcPr>
            <w:tcW w:w="2278" w:type="pct"/>
            <w:tcMar>
              <w:top w:w="0" w:type="dxa"/>
              <w:left w:w="108" w:type="dxa"/>
              <w:bottom w:w="0" w:type="dxa"/>
              <w:right w:w="108" w:type="dxa"/>
            </w:tcMar>
            <w:vAlign w:val="center"/>
          </w:tcPr>
          <w:p>
            <w:pPr>
              <w:keepNext w:val="0"/>
              <w:keepLines w:val="0"/>
              <w:pageBreakBefore w:val="0"/>
              <w:kinsoku/>
              <w:wordWrap/>
              <w:topLinePunct w:val="0"/>
              <w:bidi w:val="0"/>
              <w:spacing w:after="0" w:line="288" w:lineRule="auto"/>
              <w:ind w:firstLine="420" w:firstLineChars="200"/>
              <w:jc w:val="center"/>
              <w:rPr>
                <w:rFonts w:hint="eastAsia" w:ascii="宋体" w:hAnsi="宋体" w:eastAsia="宋体" w:cs="宋体"/>
                <w:szCs w:val="21"/>
              </w:rPr>
            </w:pPr>
            <w:r>
              <w:rPr>
                <w:rFonts w:hint="eastAsia" w:ascii="宋体" w:hAnsi="宋体" w:eastAsia="宋体" w:cs="宋体"/>
                <w:szCs w:val="21"/>
              </w:rPr>
              <w:t>100以下</w:t>
            </w:r>
          </w:p>
          <w:p>
            <w:pPr>
              <w:keepNext w:val="0"/>
              <w:keepLines w:val="0"/>
              <w:pageBreakBefore w:val="0"/>
              <w:kinsoku/>
              <w:wordWrap/>
              <w:topLinePunct w:val="0"/>
              <w:bidi w:val="0"/>
              <w:spacing w:after="0" w:line="288" w:lineRule="auto"/>
              <w:ind w:firstLine="420" w:firstLineChars="200"/>
              <w:jc w:val="center"/>
              <w:rPr>
                <w:rFonts w:hint="eastAsia" w:ascii="宋体" w:hAnsi="宋体" w:eastAsia="宋体" w:cs="宋体"/>
                <w:szCs w:val="21"/>
              </w:rPr>
            </w:pPr>
            <w:r>
              <w:rPr>
                <w:rFonts w:hint="eastAsia" w:ascii="宋体" w:hAnsi="宋体" w:eastAsia="宋体" w:cs="宋体"/>
                <w:szCs w:val="21"/>
              </w:rPr>
              <w:t>（不足20万元的按20万元为基数计算收费）</w:t>
            </w:r>
          </w:p>
        </w:tc>
        <w:tc>
          <w:tcPr>
            <w:tcW w:w="2721" w:type="pct"/>
            <w:tcMar>
              <w:top w:w="0" w:type="dxa"/>
              <w:left w:w="108" w:type="dxa"/>
              <w:bottom w:w="0" w:type="dxa"/>
              <w:right w:w="108" w:type="dxa"/>
            </w:tcMar>
            <w:vAlign w:val="center"/>
          </w:tcPr>
          <w:p>
            <w:pPr>
              <w:keepNext w:val="0"/>
              <w:keepLines w:val="0"/>
              <w:pageBreakBefore w:val="0"/>
              <w:kinsoku/>
              <w:wordWrap/>
              <w:topLinePunct w:val="0"/>
              <w:bidi w:val="0"/>
              <w:spacing w:after="0" w:line="288" w:lineRule="auto"/>
              <w:ind w:firstLine="420" w:firstLineChars="200"/>
              <w:jc w:val="center"/>
              <w:rPr>
                <w:rFonts w:hint="eastAsia" w:ascii="宋体" w:hAnsi="宋体" w:eastAsia="宋体" w:cs="宋体"/>
                <w:szCs w:val="21"/>
              </w:rPr>
            </w:pPr>
            <w:r>
              <w:rPr>
                <w:rFonts w:hint="eastAsia" w:ascii="宋体" w:hAnsi="宋体" w:eastAsia="宋体" w:cs="宋体"/>
                <w:szCs w:val="21"/>
              </w:rPr>
              <w:t>0.54</w:t>
            </w:r>
          </w:p>
        </w:tc>
      </w:tr>
    </w:tbl>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5.投标保证金（元）：无。</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（五）投标委托</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▲1.投标人代表是法定代表人（单位负责人、自然人本人）的，须提供本人身份证明。</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▲2.投标人代表不是法定代表人（单位负责人、自然人本人）的，须提供授权委托书（格式详见招标文件第六章）和授权代表社保缴纳证明（2023年6月（含）以后任意一月）；</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▲3.投标人委派不在本单位缴纳社保的人员作为授权代表的，应当在投标文件中，说明具体原因、授权代表缴纳社保的单位，并附列该授权代表缴纳社保清单。</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（六）联合体投标</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本项目（是）接受联合体投标。</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两个以上的自然人、法人或者其他组织可以组成一个联合体，以一个供应商的身份共同参加政府采购。</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（七）转包与分包</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1.本项目不允许转包；</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2.本项目不允许分包，不适宜分包的理由是：</w:t>
      </w:r>
      <w:r>
        <w:rPr>
          <w:rFonts w:hint="eastAsia" w:ascii="宋体" w:hAnsi="宋体" w:eastAsia="宋体" w:cs="宋体"/>
          <w:szCs w:val="21"/>
          <w:u w:val="single"/>
        </w:rPr>
        <w:t xml:space="preserve"> 本项目所涉安防系统是确保浙江省看守所安全、平稳运行的一个整体，任何一部分的维护保养都为主体性、关键性工作，无法进行分包维保。</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（八）质疑和投诉</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bookmarkStart w:id="38" w:name="_Hlk92273406"/>
      <w:r>
        <w:rPr>
          <w:rFonts w:hint="eastAsia" w:ascii="宋体" w:hAnsi="宋体" w:eastAsia="宋体" w:cs="宋体"/>
          <w:szCs w:val="21"/>
        </w:rPr>
        <w:t>1.供应商认为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时间内作出答复的，可以在答复期满后15个工作日内向本级财政部门提起投诉。</w:t>
      </w:r>
    </w:p>
    <w:bookmarkEnd w:id="38"/>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2.投标人提出质疑应当提交质疑函和必要的证明材料，质疑函范本、投诉书范本请到浙江政府采购网下载专区下载。质疑函应当包括下列内容：</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（1）供应商的姓名或者名称、地址、邮编、联系人及联系电话；</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（2）质疑项目的名称、编号；</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（3）具体、明确的质疑事项和与质疑事项相关的请求；</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（4）事实依据；</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（5）必要的法律依据；</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（6）提出质疑的日期。</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投标人为自然人的，应当由本人签名；投标人为法人或者其他组织的，应当由法定代表人、主要负责人，或者其授权代表签名或者盖章，并加盖公章。</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szCs w:val="21"/>
        </w:rPr>
        <w:t>3.提出质疑的供应商应当是参与本项目招标活动的投标人。</w:t>
      </w:r>
      <w:r>
        <w:rPr>
          <w:rFonts w:hint="eastAsia" w:ascii="宋体" w:hAnsi="宋体" w:eastAsia="宋体" w:cs="宋体"/>
          <w:b/>
          <w:bCs/>
          <w:szCs w:val="21"/>
        </w:rPr>
        <w:t>投标人在法定质疑期内应一次性提出针对同一采购程序环节的质疑。</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4.根据《政府采购质疑和投诉办法》第三十七条的规定，投诉人在全国范围12个月内三次以上投诉查无实据的，由财政部门列入不良行为记录名单。</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投诉人有下列行为之一的，属于虚假、恶意投诉，由财政部门列入不良行为记录名单，禁止其1至3年内参加政府采购活动：</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（1）捏造事实；</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（2）提供虚假材料；</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（3）以非法手段取得证明材料。证据来源的合法性存在明显疑问，投诉人无法证明其取得方式合法的，视为以非法手段取得证明材料。</w:t>
      </w:r>
    </w:p>
    <w:p>
      <w:pPr>
        <w:keepNext w:val="0"/>
        <w:keepLines w:val="0"/>
        <w:pageBreakBefore w:val="0"/>
        <w:kinsoku/>
        <w:wordWrap/>
        <w:topLinePunct w:val="0"/>
        <w:bidi w:val="0"/>
        <w:spacing w:after="0" w:line="288" w:lineRule="auto"/>
        <w:rPr>
          <w:rFonts w:hint="eastAsia" w:ascii="宋体" w:hAnsi="宋体" w:eastAsia="宋体" w:cs="宋体"/>
          <w:b/>
          <w:bCs/>
          <w:szCs w:val="21"/>
        </w:rPr>
      </w:pPr>
      <w:bookmarkStart w:id="39" w:name="_Hlk92273111"/>
      <w:bookmarkStart w:id="40" w:name="_Hlk94018492"/>
      <w:r>
        <w:rPr>
          <w:rFonts w:hint="eastAsia" w:ascii="宋体" w:hAnsi="宋体" w:eastAsia="宋体" w:cs="宋体"/>
          <w:b/>
          <w:bCs/>
          <w:szCs w:val="21"/>
        </w:rPr>
        <w:t>（九）采购项目需要落实的政府采购政策</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2.支持绿色发展（不适用）</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u w:val="single"/>
        </w:rPr>
        <w:t>▲采购人拟采购的产品属于政府强制采购的节能产品品目清单范围的，投标人未按招标文件要求提供国家确定的认证机构出具的、有效的节能产品认证证书的，投标无效。</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修缮、装修类项目采购建材的，采购人应将绿色建筑和绿色建材性能、指标等作为实质性条件纳入招标文件和合同。</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3.支持科技创新（不适用）</w:t>
      </w:r>
    </w:p>
    <w:p>
      <w:pPr>
        <w:keepNext w:val="0"/>
        <w:keepLines w:val="0"/>
        <w:pageBreakBefore w:val="0"/>
        <w:kinsoku/>
        <w:wordWrap/>
        <w:topLinePunct w:val="0"/>
        <w:bidi w:val="0"/>
        <w:adjustRightInd w:val="0"/>
        <w:snapToGrid w:val="0"/>
        <w:spacing w:after="0" w:line="288" w:lineRule="auto"/>
        <w:ind w:firstLine="420" w:firstLineChars="200"/>
        <w:jc w:val="left"/>
        <w:rPr>
          <w:rFonts w:hint="eastAsia" w:ascii="宋体" w:hAnsi="宋体" w:eastAsia="宋体" w:cs="Times New Roman"/>
          <w:spacing w:val="-6"/>
          <w:szCs w:val="21"/>
        </w:rPr>
      </w:pPr>
      <w:r>
        <w:rPr>
          <w:rFonts w:hint="eastAsia" w:ascii="宋体" w:hAnsi="宋体" w:eastAsia="宋体" w:cs="宋体"/>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1" w:name="_Hlk106875293"/>
    </w:p>
    <w:bookmarkEnd w:id="41"/>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4.支持中小企业发展</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符合中小企业划分标准的个体工商户，在政府采购活动中视同中小企业。</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在政府采购活动中，投标人提供的货物、工程或者服务符合下列情形的，享受中小企业扶持政策：</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在货物采购项目中，投标人提供的货物既有中小企业制造货物，也有大型企业制造货物的，不享受中小企业扶持政策。</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pPr>
        <w:keepNext w:val="0"/>
        <w:keepLines w:val="0"/>
        <w:pageBreakBefore w:val="0"/>
        <w:kinsoku/>
        <w:wordWrap/>
        <w:topLinePunct w:val="0"/>
        <w:bidi w:val="0"/>
        <w:adjustRightInd w:val="0"/>
        <w:snapToGrid w:val="0"/>
        <w:spacing w:after="0" w:line="288" w:lineRule="auto"/>
        <w:ind w:firstLine="396" w:firstLineChars="200"/>
        <w:jc w:val="both"/>
        <w:rPr>
          <w:rFonts w:ascii="宋体" w:hAnsi="宋体" w:eastAsia="宋体" w:cs="Times New Roman"/>
          <w:spacing w:val="-6"/>
          <w:szCs w:val="21"/>
          <w:u w:val="single"/>
        </w:rPr>
      </w:pPr>
      <w:r>
        <w:rPr>
          <w:rFonts w:ascii="宋体" w:hAnsi="宋体" w:eastAsia="宋体" w:cs="Times New Roman"/>
          <w:spacing w:val="-6"/>
          <w:szCs w:val="21"/>
          <w:u w:val="single"/>
        </w:rPr>
        <w:t>符合《关于促进残疾人就业政府采购政策的通知》（财库〔2017〕141号）规定的条件并提供《残疾人福利性单位声明函》的残疾人福利性单位视同小型、微型企业；</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396" w:firstLineChars="200"/>
        <w:jc w:val="left"/>
        <w:textAlignment w:val="auto"/>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widowControl w:val="0"/>
        <w:kinsoku/>
        <w:wordWrap/>
        <w:overflowPunct/>
        <w:topLinePunct w:val="0"/>
        <w:autoSpaceDE/>
        <w:autoSpaceDN/>
        <w:bidi w:val="0"/>
        <w:adjustRightInd w:val="0"/>
        <w:snapToGrid w:val="0"/>
        <w:spacing w:after="0" w:line="288" w:lineRule="auto"/>
        <w:ind w:firstLine="420" w:firstLineChars="200"/>
        <w:jc w:val="both"/>
        <w:textAlignment w:val="auto"/>
        <w:rPr>
          <w:rFonts w:hint="eastAsia" w:ascii="宋体" w:hAnsi="宋体" w:eastAsia="宋体" w:cs="宋体"/>
          <w:szCs w:val="21"/>
        </w:rPr>
      </w:pPr>
      <w:r>
        <w:rPr>
          <w:rFonts w:hint="eastAsia" w:ascii="宋体" w:hAnsi="宋体" w:eastAsia="宋体" w:cs="宋体"/>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中小企业享受扶持政策获得政府采购合同的，小微企业不得将合同分包给大中型企业，中型企业不得将合同分包给大型企业。</w:t>
      </w:r>
      <w:bookmarkEnd w:id="39"/>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bookmarkEnd w:id="40"/>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（一）招标文件的构成</w:t>
      </w:r>
    </w:p>
    <w:p>
      <w:pPr>
        <w:keepNext w:val="0"/>
        <w:keepLines w:val="0"/>
        <w:pageBreakBefore w:val="0"/>
        <w:kinsoku/>
        <w:wordWrap/>
        <w:topLinePunct w:val="0"/>
        <w:bidi w:val="0"/>
        <w:spacing w:after="0" w:line="288" w:lineRule="auto"/>
        <w:ind w:firstLine="210" w:firstLineChars="100"/>
        <w:rPr>
          <w:rFonts w:hint="eastAsia" w:ascii="宋体" w:hAnsi="宋体" w:eastAsia="宋体" w:cs="宋体"/>
          <w:b/>
          <w:bCs/>
          <w:szCs w:val="21"/>
        </w:rPr>
      </w:pPr>
      <w:r>
        <w:rPr>
          <w:rFonts w:hint="eastAsia" w:ascii="宋体" w:hAnsi="宋体" w:eastAsia="宋体" w:cs="宋体"/>
          <w:b/>
          <w:bCs/>
          <w:szCs w:val="21"/>
        </w:rPr>
        <w:t>本招标文件由以下部分组成：</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1.投标邀请</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2.采购需求</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3.投标人须知</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4.评标方法及评标标准</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5.拟签订的合同文本</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6.投标文件格式</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7.本项目招标文件的澄清、答复、修改、补充的内容</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（二）招标文件的澄清与修改</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1.采购人或者采购代理机构可以对已发出的招标文件进行必要的澄清或者修改，澄清或者修改会在原公告发布媒体上发布澄清公告，澄清或者修改的内容为招标文件的组成部分。</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（一）投标文件的组成</w:t>
      </w:r>
    </w:p>
    <w:p>
      <w:pPr>
        <w:keepNext w:val="0"/>
        <w:keepLines w:val="0"/>
        <w:pageBreakBefore w:val="0"/>
        <w:kinsoku/>
        <w:wordWrap/>
        <w:overflowPunct/>
        <w:topLinePunct w:val="0"/>
        <w:autoSpaceDE/>
        <w:autoSpaceDN/>
        <w:bidi w:val="0"/>
        <w:spacing w:after="0" w:line="288" w:lineRule="auto"/>
        <w:ind w:firstLine="396" w:firstLineChars="200"/>
        <w:textAlignment w:val="auto"/>
        <w:rPr>
          <w:rFonts w:hint="eastAsia" w:ascii="宋体" w:hAnsi="宋体" w:eastAsia="宋体" w:cs="Times New Roman"/>
          <w:spacing w:val="-6"/>
          <w:szCs w:val="21"/>
        </w:rPr>
      </w:pPr>
      <w:bookmarkStart w:id="42"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rPr>
        <w:t>至政府采购云平台指定位置。</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投标文件组成：详见“第六章  投标文件格式”目录</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szCs w:val="21"/>
        </w:rPr>
      </w:pPr>
      <w:r>
        <w:rPr>
          <w:rFonts w:hint="eastAsia" w:ascii="宋体" w:hAnsi="宋体" w:eastAsia="宋体" w:cs="宋体"/>
          <w:szCs w:val="21"/>
        </w:rPr>
        <w:t>如供应商提供的产品技术支持材料与采购需求偏离表响应不一致，以产品技术支持材料为准。</w:t>
      </w:r>
    </w:p>
    <w:bookmarkEnd w:id="42"/>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（二）投标文件的签署和份数</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b/>
          <w:bCs/>
          <w:spacing w:val="-6"/>
          <w:szCs w:val="21"/>
        </w:rPr>
      </w:pPr>
      <w:r>
        <w:rPr>
          <w:rFonts w:hint="eastAsia" w:ascii="宋体" w:hAnsi="宋体" w:eastAsia="宋体" w:cs="宋体"/>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rPr>
        <w:t>其中资格文件、商务技术文件中不得出现投标报价，如因投标人原因提前泄露投标报价，是投标人的责任。</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2.投标文件须由投标人在规定位置</w:t>
      </w:r>
      <w:bookmarkStart w:id="43" w:name="_Hlk96329183"/>
      <w:r>
        <w:rPr>
          <w:rFonts w:hint="eastAsia" w:ascii="宋体" w:hAnsi="宋体" w:eastAsia="宋体" w:cs="宋体"/>
          <w:szCs w:val="21"/>
        </w:rPr>
        <w:t>加盖公章</w:t>
      </w:r>
      <w:bookmarkEnd w:id="43"/>
      <w:r>
        <w:rPr>
          <w:rFonts w:hint="eastAsia" w:ascii="宋体" w:hAnsi="宋体" w:eastAsia="宋体" w:cs="宋体"/>
          <w:szCs w:val="21"/>
        </w:rPr>
        <w:t>，投标人应写全称。</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spacing w:val="-6"/>
          <w:szCs w:val="21"/>
        </w:rPr>
      </w:pPr>
      <w:r>
        <w:rPr>
          <w:rFonts w:hint="eastAsia" w:ascii="宋体" w:hAnsi="宋体" w:eastAsia="宋体" w:cs="宋体"/>
          <w:szCs w:val="21"/>
        </w:rPr>
        <w:t>3.投标文件不得涂改，若有修改错漏处，须由投标人加盖公章，或者由法定代表人或其授权的代表签名。投标文件因字迹潦草或表达不清所引起的后果由投标人负责。</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4.投标文件份数：</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电子加密投标文件：政府采购云平台在线上传一份；</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备份投标文件：密封包装后EMS或顺丰邮寄形式递交一份（邮寄地址：杭州市西湖区玉古路173号中田大厦21楼H室，浙江求是招标代理有限公司（陈丹妮）收，电话：0571-87666119，寄出后将（快递单号、项目名称、公司名称、联系方式等相关信息）发至：zb01@qszb.net，以便查收）。</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特别说明：双休日和法定节假日不收件，投标人自行承担邮寄风险。</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（三）投标文件的上传、递交、修改和撤回</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1.投标文件的上传、递交：</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（1）电子加密投标文件的上传：</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▲a.投标人应在投标截止时间前将电子加密投标文件成功上传至政府采购云平台，否则投标无效；</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b.电子加密投标文件成功上传后，投标人可自行打印投标文件接收回执。</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（2）备份投标文件的密封包装、递交：</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a.投标人在政府采购云平台完成电子加密投标文件的上传后，可以EMS或顺丰邮寄形式在投标截止时间前递交以介质（U盘）存储的数据电文形式的备份投标文件；</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b.备份投标文件应当密封包装并在包装上标注投标项目名称、投标人名称并加盖公章（非电子签章），投标人逾期送达或者未密封包装的备份投标文件采购代理机构将予以拒收；</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▲c.通过政府采购云平台成功上传的电子加密投标文件已按时解密的，备份投标文件自动失效。</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bookmarkStart w:id="44" w:name="_Hlk94018616"/>
      <w:r>
        <w:rPr>
          <w:rFonts w:hint="eastAsia" w:ascii="宋体" w:hAnsi="宋体" w:eastAsia="宋体" w:cs="宋体"/>
          <w:szCs w:val="21"/>
        </w:rPr>
        <w:t>▲d.投标人仅递交备份投标文件而未将电子加密投标文件成功上传至政府采购云平台的，投标无效。</w:t>
      </w:r>
    </w:p>
    <w:bookmarkEnd w:id="44"/>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2.投标人因未在线参加开标而导致电子加密投标文件无法按时解密等一切后果由投标人自行承担。</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3.投标人应按照招标文件和政府采购云平台的要求，根据投标文件的组成规定的内容及顺序通过政采云电子交易客户端（政采云投标客户端）编制加密投标文件。</w:t>
      </w:r>
    </w:p>
    <w:p>
      <w:pPr>
        <w:keepNext w:val="0"/>
        <w:keepLines w:val="0"/>
        <w:pageBreakBefore w:val="0"/>
        <w:kinsoku/>
        <w:wordWrap/>
        <w:overflowPunct/>
        <w:topLinePunct w:val="0"/>
        <w:autoSpaceDE/>
        <w:autoSpaceDN/>
        <w:bidi w:val="0"/>
        <w:adjustRightInd w:val="0"/>
        <w:snapToGrid w:val="0"/>
        <w:spacing w:after="0" w:line="288" w:lineRule="auto"/>
        <w:ind w:firstLine="420" w:firstLineChars="200"/>
        <w:jc w:val="left"/>
        <w:textAlignment w:val="auto"/>
        <w:rPr>
          <w:rFonts w:hint="eastAsia"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（四）投标文件的语言及计量</w:t>
      </w:r>
    </w:p>
    <w:p>
      <w:pPr>
        <w:keepNext w:val="0"/>
        <w:keepLines w:val="0"/>
        <w:pageBreakBefore w:val="0"/>
        <w:kinsoku/>
        <w:wordWrap/>
        <w:overflowPunct/>
        <w:topLinePunct w:val="0"/>
        <w:autoSpaceDE/>
        <w:autoSpaceDN/>
        <w:bidi w:val="0"/>
        <w:adjustRightInd w:val="0"/>
        <w:snapToGrid w:val="0"/>
        <w:spacing w:after="0" w:line="288" w:lineRule="auto"/>
        <w:ind w:firstLine="396" w:firstLineChars="200"/>
        <w:jc w:val="left"/>
        <w:textAlignment w:val="auto"/>
        <w:rPr>
          <w:rFonts w:hint="eastAsia"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（五）投标报价</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2.以人民币报价；</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3.投标报价是履行合同的最终价格，有关本项目实施所涉及的一切费用均计入报价；</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4.投标文件只允许有一个报价，有选择的报价将不予接受。</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bookmarkStart w:id="45" w:name="_Hlk94018664"/>
      <w:r>
        <w:rPr>
          <w:rFonts w:hint="eastAsia" w:ascii="宋体" w:hAnsi="宋体" w:eastAsia="宋体" w:cs="宋体"/>
          <w:szCs w:val="21"/>
        </w:rPr>
        <w:t>▲5.采购人将以合同形式有偿取得货物或服务，不接受投标人给予的赠品、回扣或者与采购无关的其他商品、服务。</w:t>
      </w:r>
    </w:p>
    <w:bookmarkEnd w:id="45"/>
    <w:p>
      <w:pPr>
        <w:keepNext w:val="0"/>
        <w:keepLines w:val="0"/>
        <w:pageBreakBefore w:val="0"/>
        <w:kinsoku/>
        <w:wordWrap/>
        <w:topLinePunct w:val="0"/>
        <w:bidi w:val="0"/>
        <w:spacing w:after="0" w:line="288" w:lineRule="auto"/>
        <w:rPr>
          <w:rFonts w:hint="eastAsia" w:ascii="宋体" w:hAnsi="宋体" w:eastAsia="宋体" w:cs="宋体"/>
          <w:b/>
          <w:bCs/>
          <w:szCs w:val="21"/>
        </w:rPr>
      </w:pPr>
      <w:r>
        <w:rPr>
          <w:rFonts w:hint="eastAsia" w:ascii="宋体" w:hAnsi="宋体" w:eastAsia="宋体" w:cs="宋体"/>
          <w:b/>
          <w:bCs/>
          <w:szCs w:val="21"/>
        </w:rPr>
        <w:t>（六）投标有效期</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▲从提交投标文件的截止之日起90天，在原投标有效期满之前，如果出现特殊情况，采购人或采购代理机构以书面形式通知投标人延长投标有效期。</w:t>
      </w:r>
    </w:p>
    <w:p>
      <w:pPr>
        <w:keepNext w:val="0"/>
        <w:keepLines w:val="0"/>
        <w:pageBreakBefore w:val="0"/>
        <w:widowControl/>
        <w:kinsoku/>
        <w:wordWrap/>
        <w:overflowPunct/>
        <w:topLinePunct w:val="0"/>
        <w:autoSpaceDE/>
        <w:autoSpaceDN/>
        <w:bidi w:val="0"/>
        <w:spacing w:after="0" w:line="288" w:lineRule="auto"/>
        <w:jc w:val="left"/>
        <w:textAlignment w:val="auto"/>
        <w:rPr>
          <w:rFonts w:hint="eastAsia"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bookmarkStart w:id="46" w:name="_Hlk94018682"/>
      <w:r>
        <w:rPr>
          <w:rFonts w:hint="eastAsia" w:ascii="宋体" w:hAnsi="宋体" w:eastAsia="宋体" w:cs="宋体"/>
          <w:szCs w:val="21"/>
        </w:rPr>
        <w:t>未响应招标文件“▲”标记条款要求的，投标无效。</w:t>
      </w:r>
    </w:p>
    <w:bookmarkEnd w:id="46"/>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1.在资格审查时，如发现下列情形之一的，投标人将被视为资格审查不通过：</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（1）资格证明材料不全的，或者不符合招标文件要求的；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（2）投标人不具备招标文件中规定的资格要求的；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（3）资格文件未按要求签署、盖章的。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2.在符合性审查、商务和技术评审时，如发现下列情形之一的，投标文件将被视为无效：</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（1）商务和技术文件未按要求签署、盖章的；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（2）未提供或未按要求提供投标函、法定代表人授权委托书的；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（3）法定代表人委托授权代表参加投标但未提供符合要求投标授权代表社保缴纳证明的；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（4）未提供或未如实提供采购需求偏离表的；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（5）明显不符合招标文件要求，或负偏离达到规定数目的，视为采购人不能接受的附加条件；</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（6）投标技术方案不明确，存在一个或一个以上备选（替代）投标方案的；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（7）投标文件含有采购人不能接受的附加条件的；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（8）法律、法规和招标文件规定的其他无效情形。</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3.在报价评审时，如发现下列情形之一的，投标文件将被视为无效：</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（1）报价文件未按要求签署、盖章的；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（2）未按照招标文件标明的币种报价的；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（3）报价内容有缺漏项，或者与招标文件要求不一致的；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（4）报价超过招标文件中规定的预算金额或者最高限价的；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（5）报价具有选择性的；</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bookmarkStart w:id="47" w:name="_Hlk94018736"/>
      <w:r>
        <w:rPr>
          <w:rFonts w:hint="eastAsia" w:ascii="宋体" w:hAnsi="宋体" w:eastAsia="宋体" w:cs="宋体"/>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7"/>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rPr>
      </w:pPr>
      <w:r>
        <w:rPr>
          <w:rFonts w:hint="eastAsia" w:ascii="宋体" w:hAnsi="宋体" w:eastAsia="宋体" w:cs="宋体"/>
          <w:b/>
          <w:bCs/>
          <w:szCs w:val="21"/>
        </w:rPr>
        <w:t>4.有下列情形之一的，视为投标人串通投标，其投标无效：</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（1）不同投标人的投标文件由同一单位或者个人编制；</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（2）不同投标人委托同一单位或者个人办理投标事宜；</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（3）不同投标人的投标文件载明的项目管理成员或者联系人员为同一人；</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（4）不同投标人的投标文件异常一致或者投标报价呈规律性差异；</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（5）不同投标人的投标文件相互混装。</w:t>
      </w: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lang w:val="en-US" w:eastAsia="zh-CN"/>
        </w:rPr>
      </w:pPr>
      <w:bookmarkStart w:id="48" w:name="_Hlk94018775"/>
      <w:r>
        <w:rPr>
          <w:rFonts w:hint="eastAsia" w:ascii="宋体" w:hAnsi="宋体" w:eastAsia="宋体" w:cs="宋体"/>
          <w:b/>
          <w:bCs/>
          <w:szCs w:val="21"/>
          <w:lang w:val="en-US" w:eastAsia="zh-CN"/>
        </w:rPr>
        <w:t>（一）开标</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采购机构按照招标文件规定的时间通过电子交易平台组织开标，所有投标人均应当准时在线参加。投标人不足3家的，不得开标。</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开标时，电子交易平台按开标时间自动提取所有投标文件。采购人或代理机构依托电子交易平台发起开始解密指令，投标人按照平台提示和招标文件的规定在半小时内完成在线解密。</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keepNext w:val="0"/>
        <w:keepLines w:val="0"/>
        <w:pageBreakBefore w:val="0"/>
        <w:kinsoku/>
        <w:wordWrap/>
        <w:topLinePunct w:val="0"/>
        <w:bidi w:val="0"/>
        <w:spacing w:after="0" w:line="288" w:lineRule="auto"/>
        <w:ind w:firstLine="420"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（二）资格审查</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开标后，采购人或采购机构依据法律法规和招标文件的规定，对投标人的资格条件进行审查。</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对未通过资格审查的投标人，采购人或采购机构告知其未通过的原因。</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通过资格审查的投标人不足3家的，不再评标。</w:t>
      </w:r>
    </w:p>
    <w:p>
      <w:pPr>
        <w:pStyle w:val="100"/>
        <w:keepNext w:val="0"/>
        <w:keepLines w:val="0"/>
        <w:pageBreakBefore w:val="0"/>
        <w:kinsoku/>
        <w:wordWrap/>
        <w:topLinePunct w:val="0"/>
        <w:bidi w:val="0"/>
        <w:adjustRightInd w:val="0"/>
        <w:snapToGrid w:val="0"/>
        <w:spacing w:before="0" w:after="0" w:line="288" w:lineRule="auto"/>
        <w:ind w:firstLine="423" w:firstLineChars="201"/>
        <w:rPr>
          <w:rFonts w:hint="eastAsia"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根据财库[2016]125号《关于在政府采购活动中查询及使用信用记录有关问题的通知》要求，采购代理机构会对投标人信用记录进行查询并甄别。信用信息查询的截止时点：投标截止时间；</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（1）查询渠道：“信用中国”（www.creditchina.gov.cn）、“中国政府采购网”（www.ccgp.gov.cn）；</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（2）信用信息查询记录和证据留存具体方式：采购代理机构经办人和监督人员将查询网页打印、签名与其他采购文件一并保存；</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（3）信用信息的使用规则：投标人被列入失信被执行人、重大税收违法案件当事人名单、政府采购严重违法失信行为记录名单的，拒绝其参与政府采购活动。</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Times New Roman"/>
          <w:b/>
          <w:bCs/>
          <w:color w:val="FF0000"/>
          <w:spacing w:val="-6"/>
          <w:szCs w:val="21"/>
        </w:rPr>
      </w:pPr>
      <w:r>
        <w:rPr>
          <w:rFonts w:hint="eastAsia" w:ascii="宋体" w:hAnsi="宋体" w:eastAsia="宋体" w:cs="宋体"/>
          <w:szCs w:val="21"/>
          <w:lang w:val="en-US" w:eastAsia="zh-CN"/>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48"/>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宋体"/>
          <w:kern w:val="0"/>
          <w:szCs w:val="21"/>
        </w:rPr>
      </w:pPr>
      <w:bookmarkStart w:id="49"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49"/>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bookmarkStart w:id="50" w:name="_Hlk94019000"/>
      <w:r>
        <w:rPr>
          <w:rFonts w:hint="eastAsia" w:ascii="宋体" w:hAnsi="宋体" w:eastAsia="宋体" w:cs="Arial"/>
          <w:b/>
          <w:kern w:val="0"/>
          <w:szCs w:val="21"/>
        </w:rPr>
        <w:t>（一）</w:t>
      </w:r>
      <w:r>
        <w:rPr>
          <w:rFonts w:ascii="宋体" w:hAnsi="宋体" w:eastAsia="宋体" w:cs="Arial"/>
          <w:b/>
          <w:kern w:val="0"/>
          <w:szCs w:val="21"/>
        </w:rPr>
        <w:t>符合性审查</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（二）比较与评价</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keepNext w:val="0"/>
        <w:keepLines w:val="0"/>
        <w:pageBreakBefore w:val="0"/>
        <w:kinsoku/>
        <w:wordWrap/>
        <w:topLinePunct w:val="0"/>
        <w:bidi w:val="0"/>
        <w:adjustRightInd w:val="0"/>
        <w:snapToGrid w:val="0"/>
        <w:spacing w:before="0" w:after="0" w:line="288" w:lineRule="auto"/>
        <w:ind w:firstLine="424" w:firstLineChars="202"/>
        <w:rPr>
          <w:rFonts w:hint="eastAsia"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keepNext w:val="0"/>
        <w:keepLines w:val="0"/>
        <w:pageBreakBefore w:val="0"/>
        <w:kinsoku/>
        <w:wordWrap/>
        <w:topLinePunct w:val="0"/>
        <w:bidi w:val="0"/>
        <w:adjustRightInd w:val="0"/>
        <w:snapToGrid w:val="0"/>
        <w:spacing w:before="0" w:after="0" w:line="288" w:lineRule="auto"/>
        <w:ind w:firstLine="424" w:firstLineChars="202"/>
        <w:rPr>
          <w:rFonts w:hint="eastAsia" w:ascii="宋体" w:hAnsi="宋体" w:cs="仿宋"/>
          <w:kern w:val="0"/>
          <w:sz w:val="21"/>
          <w:szCs w:val="21"/>
        </w:rPr>
      </w:pPr>
      <w:r>
        <w:rPr>
          <w:rFonts w:ascii="宋体" w:hAnsi="宋体" w:cs="仿宋"/>
          <w:kern w:val="0"/>
          <w:sz w:val="21"/>
          <w:szCs w:val="21"/>
        </w:rPr>
        <w:t>大写金额和小写金额不一致的，以大写金额为准；</w:t>
      </w:r>
    </w:p>
    <w:p>
      <w:pPr>
        <w:pStyle w:val="100"/>
        <w:keepNext w:val="0"/>
        <w:keepLines w:val="0"/>
        <w:pageBreakBefore w:val="0"/>
        <w:kinsoku/>
        <w:wordWrap/>
        <w:topLinePunct w:val="0"/>
        <w:bidi w:val="0"/>
        <w:adjustRightInd w:val="0"/>
        <w:snapToGrid w:val="0"/>
        <w:spacing w:before="0" w:after="0" w:line="288" w:lineRule="auto"/>
        <w:ind w:firstLine="424" w:firstLineChars="202"/>
        <w:rPr>
          <w:rFonts w:hint="eastAsia"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keepNext w:val="0"/>
        <w:keepLines w:val="0"/>
        <w:pageBreakBefore w:val="0"/>
        <w:kinsoku/>
        <w:wordWrap/>
        <w:topLinePunct w:val="0"/>
        <w:bidi w:val="0"/>
        <w:adjustRightInd w:val="0"/>
        <w:snapToGrid w:val="0"/>
        <w:spacing w:before="0" w:after="0" w:line="288" w:lineRule="auto"/>
        <w:ind w:firstLine="424" w:firstLineChars="202"/>
        <w:rPr>
          <w:rFonts w:hint="eastAsia"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keepNext w:val="0"/>
        <w:keepLines w:val="0"/>
        <w:pageBreakBefore w:val="0"/>
        <w:kinsoku/>
        <w:wordWrap/>
        <w:topLinePunct w:val="0"/>
        <w:bidi w:val="0"/>
        <w:adjustRightInd w:val="0"/>
        <w:snapToGrid w:val="0"/>
        <w:spacing w:before="0" w:after="0" w:line="288" w:lineRule="auto"/>
        <w:ind w:firstLine="424" w:firstLineChars="202"/>
        <w:rPr>
          <w:rFonts w:hint="eastAsia" w:ascii="宋体" w:hAnsi="宋体" w:cs="仿宋"/>
          <w:kern w:val="0"/>
          <w:sz w:val="21"/>
          <w:szCs w:val="21"/>
        </w:rPr>
      </w:pPr>
      <w:r>
        <w:rPr>
          <w:rFonts w:ascii="宋体" w:hAnsi="宋体" w:cs="仿宋"/>
          <w:kern w:val="0"/>
          <w:sz w:val="21"/>
          <w:szCs w:val="21"/>
        </w:rPr>
        <w:t>同时出现两种以上不一致的，按照</w:t>
      </w:r>
      <w:r>
        <w:rPr>
          <w:rFonts w:hint="eastAsia" w:ascii="宋体" w:hAnsi="宋体" w:cs="仿宋"/>
          <w:kern w:val="0"/>
          <w:sz w:val="21"/>
          <w:szCs w:val="21"/>
        </w:rPr>
        <w:t>前款规定的顺序修正。修正后的报价按照财政部第</w:t>
      </w:r>
      <w:r>
        <w:rPr>
          <w:rFonts w:ascii="宋体" w:hAnsi="宋体" w:cs="仿宋"/>
          <w:kern w:val="0"/>
          <w:sz w:val="21"/>
          <w:szCs w:val="21"/>
        </w:rPr>
        <w:t>87号令</w:t>
      </w:r>
      <w:r>
        <w:rPr>
          <w:rFonts w:hint="eastAsia" w:ascii="宋体" w:hAnsi="宋体" w:cs="仿宋"/>
          <w:kern w:val="0"/>
          <w:sz w:val="21"/>
          <w:szCs w:val="21"/>
        </w:rPr>
        <w:t>《政府采购货物和服务招标投标管理办法》</w:t>
      </w:r>
      <w:r>
        <w:rPr>
          <w:rFonts w:ascii="宋体" w:hAnsi="宋体" w:cs="仿宋"/>
          <w:kern w:val="0"/>
          <w:sz w:val="21"/>
          <w:szCs w:val="21"/>
        </w:rPr>
        <w:t>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r>
        <w:rPr>
          <w:rFonts w:hint="eastAsia" w:ascii="宋体" w:hAnsi="宋体" w:cs="仿宋"/>
          <w:kern w:val="0"/>
          <w:sz w:val="21"/>
          <w:szCs w:val="21"/>
        </w:rPr>
        <w:t>。</w:t>
      </w:r>
    </w:p>
    <w:p>
      <w:pPr>
        <w:pStyle w:val="100"/>
        <w:keepNext w:val="0"/>
        <w:keepLines w:val="0"/>
        <w:pageBreakBefore w:val="0"/>
        <w:kinsoku/>
        <w:wordWrap/>
        <w:topLinePunct w:val="0"/>
        <w:bidi w:val="0"/>
        <w:adjustRightInd w:val="0"/>
        <w:snapToGrid w:val="0"/>
        <w:spacing w:before="0" w:after="0" w:line="288" w:lineRule="auto"/>
        <w:ind w:firstLine="424" w:firstLineChars="202"/>
        <w:rPr>
          <w:rFonts w:hint="eastAsia" w:ascii="宋体" w:hAnsi="宋体" w:cs="仿宋"/>
          <w:kern w:val="0"/>
          <w:sz w:val="21"/>
          <w:szCs w:val="21"/>
        </w:rPr>
      </w:pPr>
      <w:r>
        <w:rPr>
          <w:rFonts w:hint="eastAsia" w:ascii="宋体" w:hAnsi="宋体" w:cs="仿宋"/>
          <w:kern w:val="0"/>
          <w:sz w:val="21"/>
          <w:szCs w:val="21"/>
        </w:rPr>
        <w:t>投标人收到修正确认文件后，在规定时间内未做出回复的，视为不确认。</w:t>
      </w:r>
    </w:p>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（五）投标人澄清、说明或者补正</w:t>
      </w:r>
    </w:p>
    <w:p>
      <w:pPr>
        <w:pStyle w:val="100"/>
        <w:keepNext w:val="0"/>
        <w:keepLines w:val="0"/>
        <w:pageBreakBefore w:val="0"/>
        <w:kinsoku/>
        <w:wordWrap/>
        <w:topLinePunct w:val="0"/>
        <w:bidi w:val="0"/>
        <w:adjustRightInd w:val="0"/>
        <w:snapToGrid w:val="0"/>
        <w:spacing w:before="0" w:after="0" w:line="288" w:lineRule="auto"/>
        <w:ind w:firstLine="424" w:firstLineChars="202"/>
        <w:rPr>
          <w:rFonts w:hint="eastAsia" w:ascii="宋体" w:hAnsi="宋体" w:cs="Arial"/>
          <w:kern w:val="0"/>
          <w:sz w:val="21"/>
          <w:szCs w:val="21"/>
        </w:rPr>
      </w:pP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投标人的书面澄清、说明或者补正无法通过政府采购云平台上传的，可在规定时间内（不少于半小时）通过指定的电子邮箱（</w:t>
      </w:r>
      <w:r>
        <w:rPr>
          <w:rFonts w:ascii="宋体" w:hAnsi="宋体" w:eastAsia="宋体" w:cs="宋体"/>
          <w:kern w:val="0"/>
          <w:szCs w:val="21"/>
        </w:rPr>
        <w:t>zb</w:t>
      </w:r>
      <w:r>
        <w:rPr>
          <w:rFonts w:hint="eastAsia" w:ascii="宋体" w:hAnsi="宋体" w:eastAsia="宋体" w:cs="宋体"/>
          <w:kern w:val="0"/>
          <w:szCs w:val="21"/>
        </w:rPr>
        <w:t>01</w:t>
      </w:r>
      <w:r>
        <w:rPr>
          <w:rFonts w:ascii="宋体" w:hAnsi="宋体" w:eastAsia="宋体" w:cs="宋体"/>
          <w:kern w:val="0"/>
          <w:szCs w:val="21"/>
        </w:rPr>
        <w:t>@qszb.net）或传真号码（0571-8766611</w:t>
      </w:r>
      <w:r>
        <w:rPr>
          <w:rFonts w:hint="eastAsia" w:ascii="宋体" w:hAnsi="宋体" w:eastAsia="宋体" w:cs="宋体"/>
          <w:kern w:val="0"/>
          <w:szCs w:val="21"/>
        </w:rPr>
        <w:t>9</w:t>
      </w:r>
      <w:r>
        <w:rPr>
          <w:rFonts w:ascii="宋体" w:hAnsi="宋体" w:eastAsia="宋体" w:cs="宋体"/>
          <w:kern w:val="0"/>
          <w:szCs w:val="21"/>
        </w:rPr>
        <w:t>）提交。</w:t>
      </w:r>
    </w:p>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（六）排序与推荐</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评标办法</w:t>
      </w:r>
      <w:r>
        <w:rPr>
          <w:rFonts w:hint="eastAsia" w:ascii="宋体" w:hAnsi="宋体" w:eastAsia="宋体" w:cs="Arial"/>
          <w:kern w:val="0"/>
          <w:szCs w:val="21"/>
        </w:rPr>
        <w:t>：</w:t>
      </w:r>
      <w:r>
        <w:rPr>
          <w:rFonts w:ascii="宋体" w:hAnsi="宋体" w:eastAsia="宋体" w:cs="Arial"/>
          <w:kern w:val="0"/>
          <w:szCs w:val="21"/>
        </w:rPr>
        <w:t>本项目评标办法是综合评分法，具体评标内容及评分标准等详见</w:t>
      </w:r>
      <w:r>
        <w:rPr>
          <w:rFonts w:hint="eastAsia" w:ascii="宋体" w:hAnsi="宋体" w:eastAsia="宋体" w:cs="Arial"/>
          <w:kern w:val="0"/>
          <w:szCs w:val="21"/>
        </w:rPr>
        <w:t>“</w:t>
      </w:r>
      <w:r>
        <w:rPr>
          <w:rFonts w:ascii="宋体" w:hAnsi="宋体" w:eastAsia="宋体" w:cs="Arial"/>
          <w:kern w:val="0"/>
          <w:szCs w:val="21"/>
        </w:rPr>
        <w:t>第四章：评标方法及评标标准”。</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rPr>
        <w:t>。本项目推荐1名中标候选人。</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hint="eastAsia" w:ascii="宋体" w:hAnsi="宋体" w:eastAsia="宋体" w:cs="Arial"/>
          <w:kern w:val="0"/>
          <w:szCs w:val="21"/>
        </w:rPr>
        <w:t>非单一产品采购项目，采购人应当根据采购项目技术构成、产品价格比重等合理确定核心产品，并在招标文件中载明。多家投标人提供的核心产品品牌相同的，按前款规定处理。</w:t>
      </w:r>
    </w:p>
    <w:p>
      <w:pPr>
        <w:keepNext w:val="0"/>
        <w:keepLines w:val="0"/>
        <w:pageBreakBefore w:val="0"/>
        <w:kinsoku/>
        <w:wordWrap/>
        <w:topLinePunct w:val="0"/>
        <w:bidi w:val="0"/>
        <w:adjustRightInd w:val="0"/>
        <w:snapToGrid w:val="0"/>
        <w:spacing w:after="0" w:line="288" w:lineRule="auto"/>
        <w:ind w:firstLine="425" w:firstLineChars="202"/>
        <w:rPr>
          <w:rFonts w:hint="eastAsia"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keepNext w:val="0"/>
        <w:keepLines w:val="0"/>
        <w:pageBreakBefore w:val="0"/>
        <w:kinsoku/>
        <w:wordWrap/>
        <w:topLinePunct w:val="0"/>
        <w:bidi w:val="0"/>
        <w:adjustRightInd w:val="0"/>
        <w:snapToGrid w:val="0"/>
        <w:spacing w:after="0" w:line="288" w:lineRule="auto"/>
        <w:ind w:firstLine="424" w:firstLineChars="202"/>
        <w:rPr>
          <w:rFonts w:hint="eastAsia"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0"/>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七、中标与合同</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（一）中标</w:t>
      </w:r>
    </w:p>
    <w:p>
      <w:pPr>
        <w:keepNext w:val="0"/>
        <w:keepLines w:val="0"/>
        <w:pageBreakBefore w:val="0"/>
        <w:kinsoku/>
        <w:wordWrap/>
        <w:topLinePunct w:val="0"/>
        <w:bidi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hint="eastAsia" w:ascii="宋体" w:hAnsi="宋体" w:eastAsia="宋体" w:cs="宋体"/>
          <w:szCs w:val="21"/>
          <w:lang w:bidi="ar"/>
        </w:rPr>
        <w:t>采购代理机构应当在评标结束后</w:t>
      </w:r>
      <w:r>
        <w:rPr>
          <w:rFonts w:hint="eastAsia" w:ascii="宋体" w:hAnsi="宋体" w:eastAsia="宋体" w:cs="Times New Roman"/>
          <w:szCs w:val="21"/>
          <w:lang w:bidi="ar"/>
        </w:rPr>
        <w:t>2个工作日内将评标报告送采购人。</w:t>
      </w:r>
      <w:r>
        <w:rPr>
          <w:rFonts w:hint="eastAsia" w:ascii="宋体" w:hAnsi="宋体" w:eastAsia="宋体" w:cs="宋体"/>
          <w:szCs w:val="21"/>
          <w:lang w:bidi="ar"/>
        </w:rPr>
        <w:t>采购人应当自收到评标报告之日起</w:t>
      </w:r>
      <w:r>
        <w:rPr>
          <w:rFonts w:hint="eastAsia" w:ascii="宋体" w:hAnsi="宋体" w:eastAsia="宋体" w:cs="Times New Roman"/>
          <w:szCs w:val="21"/>
          <w:lang w:bidi="ar"/>
        </w:rPr>
        <w:t>5个工作日内，在评标报告确定的中标候选人名单中按顺序确定中标人</w:t>
      </w:r>
      <w:r>
        <w:rPr>
          <w:rFonts w:hint="eastAsia" w:ascii="宋体" w:hAnsi="宋体" w:eastAsia="宋体" w:cs="宋体"/>
          <w:szCs w:val="21"/>
          <w:lang w:bidi="ar"/>
        </w:rPr>
        <w:t>，也可以书面授权评标委员会直接确定中标人。中标候选人并列的，由采购人确定中标人。</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（二）合同</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keepNext w:val="0"/>
        <w:keepLines w:val="0"/>
        <w:pageBreakBefore w:val="0"/>
        <w:tabs>
          <w:tab w:val="left" w:pos="0"/>
        </w:tabs>
        <w:kinsoku/>
        <w:wordWrap/>
        <w:topLinePunct w:val="0"/>
        <w:bidi w:val="0"/>
        <w:adjustRightInd w:val="0"/>
        <w:snapToGrid w:val="0"/>
        <w:spacing w:after="0"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keepNext w:val="0"/>
        <w:keepLines w:val="0"/>
        <w:pageBreakBefore w:val="0"/>
        <w:tabs>
          <w:tab w:val="left" w:pos="0"/>
        </w:tabs>
        <w:kinsoku/>
        <w:wordWrap/>
        <w:topLinePunct w:val="0"/>
        <w:bidi w:val="0"/>
        <w:adjustRightInd w:val="0"/>
        <w:snapToGrid w:val="0"/>
        <w:spacing w:after="0"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keepNext w:val="0"/>
        <w:keepLines w:val="0"/>
        <w:pageBreakBefore w:val="0"/>
        <w:tabs>
          <w:tab w:val="left" w:pos="0"/>
        </w:tabs>
        <w:kinsoku/>
        <w:wordWrap/>
        <w:topLinePunct w:val="0"/>
        <w:bidi w:val="0"/>
        <w:adjustRightInd w:val="0"/>
        <w:snapToGrid w:val="0"/>
        <w:spacing w:after="0"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tabs>
          <w:tab w:val="left" w:pos="0"/>
        </w:tabs>
        <w:kinsoku/>
        <w:wordWrap/>
        <w:topLinePunct w:val="0"/>
        <w:bidi w:val="0"/>
        <w:adjustRightInd w:val="0"/>
        <w:snapToGrid w:val="0"/>
        <w:spacing w:after="0" w:line="288" w:lineRule="auto"/>
        <w:ind w:firstLine="422" w:firstLineChars="201"/>
        <w:rPr>
          <w:rFonts w:hint="eastAsia"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tabs>
          <w:tab w:val="left" w:pos="0"/>
        </w:tabs>
        <w:kinsoku/>
        <w:wordWrap/>
        <w:topLinePunct w:val="0"/>
        <w:bidi w:val="0"/>
        <w:adjustRightInd w:val="0"/>
        <w:snapToGrid w:val="0"/>
        <w:spacing w:after="0" w:line="288" w:lineRule="auto"/>
        <w:ind w:firstLine="398" w:firstLineChars="201"/>
        <w:rPr>
          <w:rFonts w:hint="eastAsia" w:ascii="宋体" w:hAnsi="宋体" w:eastAsia="宋体" w:cs="Times New Roman"/>
          <w:b/>
          <w:spacing w:val="-6"/>
          <w:szCs w:val="21"/>
        </w:rPr>
      </w:pPr>
    </w:p>
    <w:p>
      <w:pPr>
        <w:keepNext w:val="0"/>
        <w:keepLines w:val="0"/>
        <w:pageBreakBefore w:val="0"/>
        <w:kinsoku/>
        <w:wordWrap/>
        <w:topLinePunct w:val="0"/>
        <w:bidi w:val="0"/>
        <w:adjustRightInd w:val="0"/>
        <w:snapToGrid w:val="0"/>
        <w:spacing w:after="0" w:line="288" w:lineRule="auto"/>
        <w:ind w:firstLine="396" w:firstLineChars="200"/>
        <w:jc w:val="center"/>
        <w:outlineLvl w:val="1"/>
        <w:rPr>
          <w:rFonts w:hint="eastAsia" w:ascii="宋体" w:hAnsi="宋体" w:eastAsia="宋体" w:cs="Times New Roman"/>
          <w:szCs w:val="21"/>
        </w:rPr>
      </w:pPr>
      <w:r>
        <w:rPr>
          <w:rFonts w:hint="eastAsia" w:ascii="宋体" w:hAnsi="宋体" w:eastAsia="宋体" w:cs="Times New Roman"/>
          <w:b/>
          <w:spacing w:val="-6"/>
          <w:szCs w:val="21"/>
        </w:rPr>
        <w:t>九、可中止电子交易活动的情形</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keepNext w:val="0"/>
        <w:keepLines w:val="0"/>
        <w:pageBreakBefore w:val="0"/>
        <w:kinsoku/>
        <w:wordWrap/>
        <w:topLinePunct w:val="0"/>
        <w:bidi w:val="0"/>
        <w:adjustRightInd w:val="0"/>
        <w:snapToGrid w:val="0"/>
        <w:spacing w:after="0"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br w:type="page"/>
      </w:r>
    </w:p>
    <w:p>
      <w:pPr>
        <w:keepNext w:val="0"/>
        <w:keepLines w:val="0"/>
        <w:pageBreakBefore w:val="0"/>
        <w:kinsoku/>
        <w:wordWrap/>
        <w:topLinePunct w:val="0"/>
        <w:bidi w:val="0"/>
        <w:adjustRightInd w:val="0"/>
        <w:snapToGrid w:val="0"/>
        <w:spacing w:after="0" w:line="288" w:lineRule="auto"/>
        <w:jc w:val="center"/>
        <w:outlineLvl w:val="0"/>
        <w:rPr>
          <w:rFonts w:hint="eastAsia" w:ascii="宋体" w:hAnsi="宋体" w:eastAsia="宋体" w:cs="Times New Roman"/>
          <w:b/>
          <w:spacing w:val="-6"/>
          <w:sz w:val="32"/>
          <w:szCs w:val="32"/>
        </w:rPr>
      </w:pPr>
      <w:r>
        <w:rPr>
          <w:rFonts w:hint="eastAsia" w:ascii="宋体" w:hAnsi="宋体" w:eastAsia="宋体" w:cs="Times New Roman"/>
          <w:b/>
          <w:sz w:val="32"/>
          <w:szCs w:val="32"/>
        </w:rPr>
        <w:t>第四章  评标方法及评标标准</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一、评标方法</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本次评标采用综合评分法，总分为100分。评分过程中采用四舍五入法，并保留小数2位。</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投标人评标综合得分=商务分+技术分+价格分</w:t>
      </w:r>
    </w:p>
    <w:p>
      <w:pPr>
        <w:keepNext w:val="0"/>
        <w:keepLines w:val="0"/>
        <w:pageBreakBefore w:val="0"/>
        <w:kinsoku/>
        <w:wordWrap/>
        <w:overflowPunct/>
        <w:topLinePunct w:val="0"/>
        <w:autoSpaceDE/>
        <w:autoSpaceDN/>
        <w:bidi w:val="0"/>
        <w:spacing w:after="0" w:line="288"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商务和技术分按照评标委员会成员的独立评分结果的算术平均分计算，计算公式为：商务分、技术分=评标委员会所有成员评分合计数/评标委员会组成人员数</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rPr>
          <w:trHeight w:val="283" w:hRule="atLeast"/>
        </w:trPr>
        <w:tc>
          <w:tcPr>
            <w:tcW w:w="17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bCs/>
                <w:szCs w:val="21"/>
              </w:rPr>
            </w:pPr>
            <w:r>
              <w:rPr>
                <w:rFonts w:ascii="宋体" w:hAnsi="宋体" w:eastAsia="宋体" w:cs="Times New Roman"/>
                <w:b/>
                <w:bCs/>
                <w:szCs w:val="21"/>
              </w:rPr>
              <w:t>评分细则</w:t>
            </w:r>
          </w:p>
        </w:tc>
      </w:tr>
      <w:tr>
        <w:trPr>
          <w:trHeight w:val="283" w:hRule="atLeast"/>
        </w:trPr>
        <w:tc>
          <w:tcPr>
            <w:tcW w:w="9493" w:type="dxa"/>
            <w:gridSpan w:val="3"/>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分（1</w:t>
            </w:r>
            <w:r>
              <w:rPr>
                <w:rFonts w:ascii="宋体" w:hAnsi="宋体" w:eastAsia="宋体" w:cs="Times New Roman"/>
                <w:b/>
                <w:bCs/>
                <w:szCs w:val="21"/>
              </w:rPr>
              <w:t>0</w:t>
            </w:r>
            <w:r>
              <w:rPr>
                <w:rFonts w:hint="eastAsia" w:ascii="宋体" w:hAnsi="宋体" w:eastAsia="宋体" w:cs="Times New Roman"/>
                <w:b/>
                <w:bCs/>
                <w:szCs w:val="21"/>
              </w:rPr>
              <w:t>）</w:t>
            </w:r>
          </w:p>
        </w:tc>
      </w:tr>
      <w:tr>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10</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价格分=（评标基准价/投标报价）×10%×100</w:t>
            </w:r>
          </w:p>
        </w:tc>
      </w:tr>
      <w:tr>
        <w:trPr>
          <w:trHeight w:val="283" w:hRule="atLeast"/>
        </w:trPr>
        <w:tc>
          <w:tcPr>
            <w:tcW w:w="9493" w:type="dxa"/>
            <w:gridSpan w:val="3"/>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（7）</w:t>
            </w:r>
          </w:p>
        </w:tc>
      </w:tr>
      <w:tr>
        <w:trPr>
          <w:trHeight w:val="283" w:hRule="atLeast"/>
        </w:trPr>
        <w:tc>
          <w:tcPr>
            <w:tcW w:w="17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综合实力</w:t>
            </w:r>
          </w:p>
        </w:tc>
        <w:tc>
          <w:tcPr>
            <w:tcW w:w="654"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6</w:t>
            </w:r>
          </w:p>
        </w:tc>
        <w:tc>
          <w:tcPr>
            <w:tcW w:w="7072" w:type="dxa"/>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【客观分】</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投标人具有有效的ISO系列管理体系认证，每提供一份有效认证材料得2分，最高6分。</w:t>
            </w:r>
          </w:p>
        </w:tc>
      </w:tr>
      <w:tr>
        <w:trPr>
          <w:trHeight w:val="283" w:hRule="atLeast"/>
        </w:trPr>
        <w:tc>
          <w:tcPr>
            <w:tcW w:w="17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业绩</w:t>
            </w:r>
          </w:p>
        </w:tc>
        <w:tc>
          <w:tcPr>
            <w:tcW w:w="654"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1</w:t>
            </w:r>
          </w:p>
        </w:tc>
        <w:tc>
          <w:tcPr>
            <w:tcW w:w="7072" w:type="dxa"/>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【客观分】</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投标人自2020年1月1日以来（以合同签订日期为准）同类维保项目业绩，每提供一份项目业绩得0.5分，最高得1分。（提供项目业绩合同扫描件，否则业绩将不被认可）。</w:t>
            </w:r>
          </w:p>
        </w:tc>
      </w:tr>
      <w:tr>
        <w:trPr>
          <w:trHeight w:val="283" w:hRule="atLeast"/>
        </w:trPr>
        <w:tc>
          <w:tcPr>
            <w:tcW w:w="9493" w:type="dxa"/>
            <w:gridSpan w:val="3"/>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（83）</w:t>
            </w:r>
          </w:p>
        </w:tc>
      </w:tr>
      <w:tr>
        <w:trPr>
          <w:trHeight w:val="1045" w:hRule="atLeast"/>
        </w:trPr>
        <w:tc>
          <w:tcPr>
            <w:tcW w:w="176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服务</w:t>
            </w: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方案</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18</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对招标文件采购需求的响应程度：</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满足招标文件明确的采购需求全部条款要求的该项得满分；</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采购需求条款低于采购要求（负偏离）的每项扣2分；</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负偏离9项及以上的，视为采购人不能接受的附加条件，投标文件将被视为无效。</w:t>
            </w:r>
          </w:p>
        </w:tc>
      </w:tr>
      <w:tr>
        <w:trPr>
          <w:trHeight w:val="283" w:hRule="atLeast"/>
        </w:trPr>
        <w:tc>
          <w:tcPr>
            <w:tcW w:w="1767"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在完全响应本项目需求指标的基础上，经评标委员会认定每有1项正偏离加1分，无实质性意义的正偏离不加分，最高得4分。</w:t>
            </w:r>
          </w:p>
        </w:tc>
      </w:tr>
      <w:tr>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根据投标人对项目需求的理解程度，充分理解的得4分，略有欠缺或不到位的得3分，部分理解或略有了解的得2分，完全不了解或未体现相关内容的不得分。（评分范围</w:t>
            </w:r>
            <w:r>
              <w:rPr>
                <w:rFonts w:hint="eastAsia" w:ascii="宋体" w:hAnsi="宋体" w:eastAsia="宋体" w:cs="宋体"/>
                <w:szCs w:val="21"/>
                <w:lang w:val="en-US" w:eastAsia="zh-CN"/>
              </w:rPr>
              <w:t>4</w:t>
            </w:r>
            <w:r>
              <w:rPr>
                <w:rFonts w:hint="default" w:ascii="宋体" w:hAnsi="宋体" w:eastAsia="宋体" w:cs="宋体"/>
                <w:szCs w:val="21"/>
                <w:lang w:val="en-US" w:eastAsia="zh-CN"/>
              </w:rPr>
              <w:t>,</w:t>
            </w:r>
            <w:r>
              <w:rPr>
                <w:rFonts w:hint="eastAsia" w:ascii="宋体" w:hAnsi="宋体" w:eastAsia="宋体" w:cs="宋体"/>
                <w:szCs w:val="21"/>
              </w:rPr>
              <w:t>3,2,0）</w:t>
            </w:r>
          </w:p>
        </w:tc>
      </w:tr>
      <w:tr>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根据投标人对项目实施的重难点分析及应对措施的合理性、适用性：重难点分析及应对措施的合理、适用性强的得4分，略有欠缺或不到位的得3分，合理性较差或适用性较差或内容简略的得2分，未提供相关内容的不得分。</w:t>
            </w:r>
            <w:r>
              <w:rPr>
                <w:rFonts w:hint="eastAsia" w:ascii="宋体" w:hAnsi="宋体" w:eastAsia="宋体" w:cs="宋体"/>
                <w:szCs w:val="21"/>
              </w:rPr>
              <w:t>（评分范围</w:t>
            </w:r>
            <w:r>
              <w:rPr>
                <w:rFonts w:hint="eastAsia" w:ascii="宋体" w:hAnsi="宋体" w:eastAsia="宋体" w:cs="宋体"/>
                <w:szCs w:val="21"/>
                <w:lang w:val="en-US" w:eastAsia="zh-CN"/>
              </w:rPr>
              <w:t>4</w:t>
            </w:r>
            <w:r>
              <w:rPr>
                <w:rFonts w:hint="default" w:ascii="宋体" w:hAnsi="宋体" w:eastAsia="宋体" w:cs="宋体"/>
                <w:szCs w:val="21"/>
                <w:lang w:val="en-US" w:eastAsia="zh-CN"/>
              </w:rPr>
              <w:t>,</w:t>
            </w:r>
            <w:r>
              <w:rPr>
                <w:rFonts w:hint="eastAsia" w:ascii="宋体" w:hAnsi="宋体" w:eastAsia="宋体" w:cs="宋体"/>
                <w:szCs w:val="21"/>
              </w:rPr>
              <w:t>3,2,0）</w:t>
            </w:r>
          </w:p>
        </w:tc>
      </w:tr>
      <w:tr>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服务方案总体思路清晰、合理的得4分，略有欠缺或不到位的得3分，思路基本模糊、基本合理的得2分，思路模糊、合理性的不得分。</w:t>
            </w:r>
            <w:r>
              <w:rPr>
                <w:rFonts w:hint="eastAsia" w:ascii="宋体" w:hAnsi="宋体" w:eastAsia="宋体" w:cs="宋体"/>
                <w:szCs w:val="21"/>
              </w:rPr>
              <w:t>（评分范围</w:t>
            </w:r>
            <w:r>
              <w:rPr>
                <w:rFonts w:hint="eastAsia" w:ascii="宋体" w:hAnsi="宋体" w:eastAsia="宋体" w:cs="宋体"/>
                <w:szCs w:val="21"/>
                <w:lang w:val="en-US" w:eastAsia="zh-CN"/>
              </w:rPr>
              <w:t>4</w:t>
            </w:r>
            <w:r>
              <w:rPr>
                <w:rFonts w:hint="default" w:ascii="宋体" w:hAnsi="宋体" w:eastAsia="宋体" w:cs="宋体"/>
                <w:szCs w:val="21"/>
                <w:lang w:val="en-US" w:eastAsia="zh-CN"/>
              </w:rPr>
              <w:t>,</w:t>
            </w:r>
            <w:r>
              <w:rPr>
                <w:rFonts w:hint="eastAsia" w:ascii="宋体" w:hAnsi="宋体" w:eastAsia="宋体" w:cs="宋体"/>
                <w:szCs w:val="21"/>
              </w:rPr>
              <w:t>3,2,0）</w:t>
            </w:r>
          </w:p>
        </w:tc>
      </w:tr>
      <w:tr>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8</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服务方案全面性，包含例行操作方案、响应支持方案、优化改善方案、调研评估方案（共4项），每项：方案全面详尽的得2分，略有欠缺或不到位的得1.5分，基本全面的得1分，全面性较差或内容简略粗糙的得0.5分，未提供相关内容的不得分。</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（评分范围</w:t>
            </w:r>
            <w:r>
              <w:rPr>
                <w:rFonts w:hint="default" w:ascii="宋体" w:hAnsi="宋体" w:eastAsia="宋体" w:cs="宋体"/>
                <w:szCs w:val="21"/>
                <w:lang w:val="en-US"/>
              </w:rPr>
              <w:t>8,7.5,7,6.5,6,5.5,5,4.5,</w:t>
            </w:r>
            <w:r>
              <w:rPr>
                <w:rFonts w:hint="eastAsia" w:ascii="宋体" w:hAnsi="宋体" w:eastAsia="宋体" w:cs="宋体"/>
                <w:szCs w:val="21"/>
                <w:lang w:val="en-US" w:eastAsia="zh-CN"/>
              </w:rPr>
              <w:t>4</w:t>
            </w:r>
            <w:r>
              <w:rPr>
                <w:rFonts w:hint="default" w:ascii="宋体" w:hAnsi="宋体" w:eastAsia="宋体" w:cs="宋体"/>
                <w:szCs w:val="21"/>
                <w:lang w:val="en-US" w:eastAsia="zh-CN"/>
              </w:rPr>
              <w:t>,3.5,</w:t>
            </w:r>
            <w:r>
              <w:rPr>
                <w:rFonts w:hint="eastAsia" w:ascii="宋体" w:hAnsi="宋体" w:eastAsia="宋体" w:cs="宋体"/>
                <w:szCs w:val="21"/>
              </w:rPr>
              <w:t>3,</w:t>
            </w:r>
            <w:r>
              <w:rPr>
                <w:rFonts w:hint="default" w:ascii="宋体" w:hAnsi="宋体" w:eastAsia="宋体" w:cs="宋体"/>
                <w:szCs w:val="21"/>
                <w:lang w:val="en-US"/>
              </w:rPr>
              <w:t>2.5,</w:t>
            </w:r>
            <w:r>
              <w:rPr>
                <w:rFonts w:hint="eastAsia" w:ascii="宋体" w:hAnsi="宋体" w:eastAsia="宋体" w:cs="宋体"/>
                <w:szCs w:val="21"/>
              </w:rPr>
              <w:t>2,</w:t>
            </w:r>
            <w:r>
              <w:rPr>
                <w:rFonts w:hint="default" w:ascii="宋体" w:hAnsi="宋体" w:eastAsia="宋体" w:cs="宋体"/>
                <w:szCs w:val="21"/>
                <w:lang w:val="en-US"/>
              </w:rPr>
              <w:t>1.5,1,0.5,</w:t>
            </w:r>
            <w:r>
              <w:rPr>
                <w:rFonts w:hint="eastAsia" w:ascii="宋体" w:hAnsi="宋体" w:eastAsia="宋体" w:cs="宋体"/>
                <w:szCs w:val="21"/>
              </w:rPr>
              <w:t>0）</w:t>
            </w:r>
          </w:p>
        </w:tc>
      </w:tr>
      <w:tr>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服务方案可行，与采购人业务需求贴合的得4分，略有欠缺或不到位的得3分，方案基本可行、基本贴合采购人业务需求的得2分，方案可行性较差或与采购人业务需求贴合程度较差或内容粗糙简略的得1分，完全不符合采购人业务需求或未体现相关内容的不得分。</w:t>
            </w:r>
            <w:r>
              <w:rPr>
                <w:rFonts w:hint="eastAsia" w:ascii="宋体" w:hAnsi="宋体" w:eastAsia="宋体" w:cs="宋体"/>
                <w:szCs w:val="21"/>
              </w:rPr>
              <w:t>（评分范围</w:t>
            </w:r>
            <w:r>
              <w:rPr>
                <w:rFonts w:hint="eastAsia" w:ascii="宋体" w:hAnsi="宋体" w:eastAsia="宋体" w:cs="宋体"/>
                <w:szCs w:val="21"/>
                <w:lang w:val="en-US" w:eastAsia="zh-CN"/>
              </w:rPr>
              <w:t>4</w:t>
            </w:r>
            <w:r>
              <w:rPr>
                <w:rFonts w:hint="default" w:ascii="宋体" w:hAnsi="宋体" w:eastAsia="宋体" w:cs="宋体"/>
                <w:szCs w:val="21"/>
                <w:lang w:val="en-US" w:eastAsia="zh-CN"/>
              </w:rPr>
              <w:t>,</w:t>
            </w:r>
            <w:r>
              <w:rPr>
                <w:rFonts w:hint="eastAsia" w:ascii="宋体" w:hAnsi="宋体" w:eastAsia="宋体" w:cs="宋体"/>
                <w:szCs w:val="21"/>
              </w:rPr>
              <w:t>3,2,</w:t>
            </w:r>
            <w:r>
              <w:rPr>
                <w:rFonts w:hint="default" w:ascii="宋体" w:hAnsi="宋体" w:eastAsia="宋体" w:cs="宋体"/>
                <w:szCs w:val="21"/>
                <w:lang w:val="en-US"/>
              </w:rPr>
              <w:t>1,</w:t>
            </w:r>
            <w:r>
              <w:rPr>
                <w:rFonts w:hint="eastAsia" w:ascii="宋体" w:hAnsi="宋体" w:eastAsia="宋体" w:cs="宋体"/>
                <w:szCs w:val="21"/>
              </w:rPr>
              <w:t>0）</w:t>
            </w:r>
          </w:p>
        </w:tc>
      </w:tr>
      <w:tr>
        <w:trPr>
          <w:trHeight w:val="283" w:hRule="atLeast"/>
        </w:trPr>
        <w:tc>
          <w:tcPr>
            <w:tcW w:w="176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维保服务质量保证计划及措施的合理、全面的得5分，计划及措施较为合理、全面的得4分，计划及措施基本合理、全面的得3分，计划及措施合理性较差、全面性较差的得2分，计划及措施内容简略粗糙的得1分，未提供相关内容的不得分。</w:t>
            </w:r>
            <w:r>
              <w:rPr>
                <w:rFonts w:hint="eastAsia" w:ascii="宋体" w:hAnsi="宋体" w:eastAsia="宋体" w:cs="宋体"/>
                <w:szCs w:val="21"/>
              </w:rPr>
              <w:t>（评分范围</w:t>
            </w:r>
            <w:r>
              <w:rPr>
                <w:rFonts w:hint="default" w:ascii="宋体" w:hAnsi="宋体" w:eastAsia="宋体" w:cs="宋体"/>
                <w:szCs w:val="21"/>
                <w:lang w:val="en-US"/>
              </w:rPr>
              <w:t>5,</w:t>
            </w:r>
            <w:r>
              <w:rPr>
                <w:rFonts w:hint="eastAsia" w:ascii="宋体" w:hAnsi="宋体" w:eastAsia="宋体" w:cs="宋体"/>
                <w:szCs w:val="21"/>
                <w:lang w:val="en-US" w:eastAsia="zh-CN"/>
              </w:rPr>
              <w:t>4</w:t>
            </w:r>
            <w:r>
              <w:rPr>
                <w:rFonts w:hint="default" w:ascii="宋体" w:hAnsi="宋体" w:eastAsia="宋体" w:cs="宋体"/>
                <w:szCs w:val="21"/>
                <w:lang w:val="en-US" w:eastAsia="zh-CN"/>
              </w:rPr>
              <w:t>,</w:t>
            </w:r>
            <w:r>
              <w:rPr>
                <w:rFonts w:hint="eastAsia" w:ascii="宋体" w:hAnsi="宋体" w:eastAsia="宋体" w:cs="宋体"/>
                <w:szCs w:val="21"/>
              </w:rPr>
              <w:t>3,2,</w:t>
            </w:r>
            <w:r>
              <w:rPr>
                <w:rFonts w:hint="default" w:ascii="宋体" w:hAnsi="宋体" w:eastAsia="宋体" w:cs="宋体"/>
                <w:szCs w:val="21"/>
                <w:lang w:val="en-US"/>
              </w:rPr>
              <w:t>1,</w:t>
            </w:r>
            <w:r>
              <w:rPr>
                <w:rFonts w:hint="eastAsia" w:ascii="宋体" w:hAnsi="宋体" w:eastAsia="宋体" w:cs="宋体"/>
                <w:szCs w:val="21"/>
              </w:rPr>
              <w:t>0）</w:t>
            </w:r>
          </w:p>
        </w:tc>
      </w:tr>
      <w:tr>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6</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投标人有明确的服务方式（包括但不限于技术支持服务、电话邮件咨询服务、上门故障处理服务等）且提供详细服务方案和服务流程的每一项得2分，最高不超过6分。</w:t>
            </w:r>
          </w:p>
        </w:tc>
      </w:tr>
      <w:tr>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投标人有明确的维保服务响应时间、到场服务时间、服务恢复时间且优于采购需求要求的时限，并具备相应保障措施的每一项得1分，最高不超过3分。</w:t>
            </w:r>
          </w:p>
        </w:tc>
      </w:tr>
      <w:tr>
        <w:trPr>
          <w:trHeight w:val="283"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投标人维保时对系统测试、验证采用的方法、手段、标准或工具的科学合理、可行的得4分，略有欠缺或不到位的得3分，基本合理、可行的得2分，合理性、可行性较差的得1分，未提供相应内容的不得分。</w:t>
            </w:r>
            <w:r>
              <w:rPr>
                <w:rFonts w:hint="eastAsia" w:ascii="宋体" w:hAnsi="宋体" w:eastAsia="宋体" w:cs="宋体"/>
                <w:szCs w:val="21"/>
              </w:rPr>
              <w:t>（评分范围</w:t>
            </w:r>
            <w:r>
              <w:rPr>
                <w:rFonts w:hint="eastAsia" w:ascii="宋体" w:hAnsi="宋体" w:eastAsia="宋体" w:cs="宋体"/>
                <w:szCs w:val="21"/>
                <w:lang w:val="en-US" w:eastAsia="zh-CN"/>
              </w:rPr>
              <w:t>4</w:t>
            </w:r>
            <w:r>
              <w:rPr>
                <w:rFonts w:hint="default" w:ascii="宋体" w:hAnsi="宋体" w:eastAsia="宋体" w:cs="宋体"/>
                <w:szCs w:val="21"/>
                <w:lang w:val="en-US" w:eastAsia="zh-CN"/>
              </w:rPr>
              <w:t>,</w:t>
            </w:r>
            <w:r>
              <w:rPr>
                <w:rFonts w:hint="eastAsia" w:ascii="宋体" w:hAnsi="宋体" w:eastAsia="宋体" w:cs="宋体"/>
                <w:szCs w:val="21"/>
              </w:rPr>
              <w:t>3,2,</w:t>
            </w:r>
            <w:r>
              <w:rPr>
                <w:rFonts w:hint="default" w:ascii="宋体" w:hAnsi="宋体" w:eastAsia="宋体" w:cs="宋体"/>
                <w:szCs w:val="21"/>
                <w:lang w:val="en-US"/>
              </w:rPr>
              <w:t>1,</w:t>
            </w:r>
            <w:r>
              <w:rPr>
                <w:rFonts w:hint="eastAsia" w:ascii="宋体" w:hAnsi="宋体" w:eastAsia="宋体" w:cs="宋体"/>
                <w:szCs w:val="21"/>
              </w:rPr>
              <w:t>0）</w:t>
            </w:r>
          </w:p>
        </w:tc>
      </w:tr>
      <w:tr>
        <w:trPr>
          <w:trHeight w:val="352"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投标人提供详细应急服务方案，包含重大安保事件、突发事件、节假日、双休日、其他非工作时间等特殊时段，且每个时段保障方案完整、与用户实际环境契合的每个得1分。</w:t>
            </w:r>
            <w:r>
              <w:rPr>
                <w:rFonts w:hint="eastAsia" w:ascii="宋体" w:hAnsi="宋体" w:eastAsia="宋体" w:cs="宋体"/>
                <w:szCs w:val="21"/>
              </w:rPr>
              <w:t>（评分范围</w:t>
            </w:r>
            <w:r>
              <w:rPr>
                <w:rFonts w:hint="default" w:ascii="宋体" w:hAnsi="宋体" w:eastAsia="宋体" w:cs="宋体"/>
                <w:szCs w:val="21"/>
                <w:lang w:val="en-US"/>
              </w:rPr>
              <w:t>5,</w:t>
            </w:r>
            <w:r>
              <w:rPr>
                <w:rFonts w:hint="eastAsia" w:ascii="宋体" w:hAnsi="宋体" w:eastAsia="宋体" w:cs="宋体"/>
                <w:szCs w:val="21"/>
                <w:lang w:val="en-US" w:eastAsia="zh-CN"/>
              </w:rPr>
              <w:t>4</w:t>
            </w:r>
            <w:r>
              <w:rPr>
                <w:rFonts w:hint="default" w:ascii="宋体" w:hAnsi="宋体" w:eastAsia="宋体" w:cs="宋体"/>
                <w:szCs w:val="21"/>
                <w:lang w:val="en-US" w:eastAsia="zh-CN"/>
              </w:rPr>
              <w:t>,</w:t>
            </w:r>
            <w:r>
              <w:rPr>
                <w:rFonts w:hint="eastAsia" w:ascii="宋体" w:hAnsi="宋体" w:eastAsia="宋体" w:cs="宋体"/>
                <w:szCs w:val="21"/>
              </w:rPr>
              <w:t>3,2,</w:t>
            </w:r>
            <w:r>
              <w:rPr>
                <w:rFonts w:hint="default" w:ascii="宋体" w:hAnsi="宋体" w:eastAsia="宋体" w:cs="宋体"/>
                <w:szCs w:val="21"/>
                <w:lang w:val="en-US"/>
              </w:rPr>
              <w:t>1,</w:t>
            </w:r>
            <w:r>
              <w:rPr>
                <w:rFonts w:hint="eastAsia" w:ascii="宋体" w:hAnsi="宋体" w:eastAsia="宋体" w:cs="宋体"/>
                <w:szCs w:val="21"/>
              </w:rPr>
              <w:t>0）</w:t>
            </w:r>
          </w:p>
        </w:tc>
      </w:tr>
      <w:tr>
        <w:trPr>
          <w:trHeight w:val="352"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spacing w:after="0" w:line="288" w:lineRule="auto"/>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4</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投标人提供确保维保服务过程中信息安全的管理措施，措施合理、与采购需求契合的每条得1分。</w:t>
            </w:r>
          </w:p>
        </w:tc>
      </w:tr>
      <w:tr>
        <w:trPr>
          <w:trHeight w:val="352" w:hRule="atLeast"/>
        </w:trPr>
        <w:tc>
          <w:tcPr>
            <w:tcW w:w="1767" w:type="dxa"/>
            <w:vMerge w:val="restart"/>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指派专门的项目经理（项目负责人）具备信息系统项目管理师（高级）资质的得1.5分，具备类似项目管理经验的得1.5分，未指派或未提供相关证明材料的不得分。</w:t>
            </w:r>
          </w:p>
        </w:tc>
      </w:tr>
      <w:tr>
        <w:trPr>
          <w:trHeight w:val="352"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3</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驻场人员维保工作经验：具备2（含）-5（不含）年相关维保工作经验的得1分，具备5（含）年以上的得2分；驻场人员具备大专及以上学历的得1分。投标文件中提供相关证明材料。</w:t>
            </w:r>
          </w:p>
        </w:tc>
      </w:tr>
      <w:tr>
        <w:trPr>
          <w:trHeight w:val="352"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客观分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投标人具有本地化服务团队或承诺在中标后建立本地化服务团队的得2分。</w:t>
            </w:r>
          </w:p>
        </w:tc>
      </w:tr>
      <w:tr>
        <w:trPr>
          <w:trHeight w:val="352" w:hRule="atLeast"/>
        </w:trPr>
        <w:tc>
          <w:tcPr>
            <w:tcW w:w="1767" w:type="dxa"/>
            <w:vMerge w:val="continue"/>
            <w:tcBorders>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2</w:t>
            </w:r>
          </w:p>
        </w:tc>
        <w:tc>
          <w:tcPr>
            <w:tcW w:w="7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主观分</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spacing w:after="0" w:line="288" w:lineRule="auto"/>
              <w:textAlignment w:val="auto"/>
              <w:rPr>
                <w:rFonts w:hint="eastAsia" w:ascii="宋体" w:hAnsi="宋体" w:eastAsia="宋体" w:cs="宋体"/>
                <w:szCs w:val="21"/>
              </w:rPr>
            </w:pPr>
            <w:r>
              <w:rPr>
                <w:rFonts w:hint="eastAsia" w:ascii="宋体" w:hAnsi="宋体" w:eastAsia="宋体" w:cs="宋体"/>
                <w:szCs w:val="21"/>
              </w:rPr>
              <w:t>项目团队其他人员（除项目负责人）配置、职责分工明的合理、类似项目实施经验丰富的得2分，略有欠缺或不到位的得1.5分，基本合理、经验丰富程度一般的得1分，合理性较差、经验较少的得0.5分，未提供相关证明材料或未提供相应内容的不得分。</w:t>
            </w:r>
            <w:r>
              <w:rPr>
                <w:rFonts w:hint="eastAsia" w:ascii="宋体" w:hAnsi="宋体" w:eastAsia="宋体" w:cs="宋体"/>
                <w:szCs w:val="21"/>
              </w:rPr>
              <w:t>（评分范围2,</w:t>
            </w:r>
            <w:r>
              <w:rPr>
                <w:rFonts w:hint="default" w:ascii="宋体" w:hAnsi="宋体" w:eastAsia="宋体" w:cs="宋体"/>
                <w:szCs w:val="21"/>
                <w:lang w:val="en-US"/>
              </w:rPr>
              <w:t>1.5,1,0.5,</w:t>
            </w:r>
            <w:r>
              <w:rPr>
                <w:rFonts w:hint="eastAsia" w:ascii="宋体" w:hAnsi="宋体" w:eastAsia="宋体" w:cs="宋体"/>
                <w:szCs w:val="21"/>
              </w:rPr>
              <w:t>0）</w:t>
            </w:r>
          </w:p>
        </w:tc>
      </w:tr>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b/>
          <w:szCs w:val="21"/>
        </w:rPr>
        <w:t>说明</w:t>
      </w:r>
      <w:r>
        <w:rPr>
          <w:rFonts w:ascii="宋体" w:hAnsi="宋体" w:eastAsia="宋体" w:cs="Times New Roman"/>
          <w:b/>
          <w:szCs w:val="21"/>
        </w:rPr>
        <w:t>：</w:t>
      </w:r>
      <w:bookmarkStart w:id="51" w:name="_Hlk81817387"/>
      <w:r>
        <w:rPr>
          <w:rFonts w:hint="eastAsia" w:ascii="宋体" w:hAnsi="宋体" w:eastAsia="宋体" w:cs="宋体"/>
          <w:b/>
          <w:szCs w:val="21"/>
        </w:rPr>
        <w:t>本项目专门面向中小企业采购，不再执行价格评审优惠的扶持政策。</w:t>
      </w:r>
    </w:p>
    <w:bookmarkEnd w:id="51"/>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Times New Roman"/>
          <w:b/>
          <w:bCs/>
          <w:spacing w:val="-6"/>
          <w:szCs w:val="21"/>
        </w:rPr>
      </w:pPr>
      <w:r>
        <w:rPr>
          <w:rFonts w:ascii="宋体" w:hAnsi="宋体" w:eastAsia="宋体" w:cs="Times New Roman"/>
          <w:b/>
          <w:bCs/>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0"/>
        <w:rPr>
          <w:rFonts w:hint="eastAsia" w:ascii="宋体" w:hAnsi="宋体" w:eastAsia="宋体" w:cs="宋体"/>
          <w:b/>
          <w:bCs/>
          <w:spacing w:val="-6"/>
          <w:sz w:val="32"/>
          <w:szCs w:val="32"/>
        </w:rPr>
      </w:pPr>
      <w:r>
        <w:rPr>
          <w:rFonts w:hint="eastAsia" w:ascii="宋体" w:hAnsi="宋体" w:eastAsia="宋体" w:cs="宋体"/>
          <w:b/>
          <w:sz w:val="32"/>
          <w:szCs w:val="32"/>
        </w:rPr>
        <w:t>第五章  拟签订的合同文本</w:t>
      </w:r>
    </w:p>
    <w:p>
      <w:pPr>
        <w:keepNext w:val="0"/>
        <w:keepLines w:val="0"/>
        <w:pageBreakBefore w:val="0"/>
        <w:kinsoku/>
        <w:wordWrap/>
        <w:topLinePunct w:val="0"/>
        <w:bidi w:val="0"/>
        <w:spacing w:after="0" w:line="288" w:lineRule="auto"/>
        <w:jc w:val="center"/>
        <w:rPr>
          <w:rFonts w:hint="eastAsia" w:ascii="宋体" w:hAnsi="宋体" w:eastAsia="宋体" w:cs="仿宋"/>
          <w:szCs w:val="21"/>
        </w:rPr>
      </w:pPr>
      <w:bookmarkStart w:id="52" w:name="_Hlk112246608"/>
      <w:r>
        <w:rPr>
          <w:rFonts w:hint="eastAsia" w:ascii="宋体" w:hAnsi="宋体" w:eastAsia="宋体" w:cs="仿宋"/>
          <w:b/>
          <w:szCs w:val="21"/>
        </w:rPr>
        <w:t>__________维保项目合同</w:t>
      </w:r>
    </w:p>
    <w:p>
      <w:pPr>
        <w:pStyle w:val="15"/>
        <w:keepNext w:val="0"/>
        <w:keepLines w:val="0"/>
        <w:pageBreakBefore w:val="0"/>
        <w:kinsoku/>
        <w:wordWrap/>
        <w:topLinePunct w:val="0"/>
        <w:bidi w:val="0"/>
        <w:snapToGrid w:val="0"/>
        <w:spacing w:before="0" w:beforeLines="0" w:after="0" w:afterLines="0" w:line="288" w:lineRule="auto"/>
        <w:jc w:val="center"/>
        <w:rPr>
          <w:rFonts w:hint="eastAsia" w:hAnsi="宋体" w:eastAsia="宋体" w:cs="仿宋"/>
          <w:b/>
          <w:sz w:val="21"/>
          <w:szCs w:val="21"/>
        </w:rPr>
      </w:pPr>
      <w:r>
        <w:rPr>
          <w:rFonts w:hint="eastAsia" w:hAnsi="宋体" w:eastAsia="宋体" w:cs="仿宋"/>
          <w:b/>
          <w:sz w:val="21"/>
          <w:szCs w:val="21"/>
        </w:rPr>
        <w:t>（本合同为合同格式稿）</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项目名称：</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预算执行确认书编号：</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合同编号：</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甲方：</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乙方：</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按照省财政厅有关要求，甲方根据采购结果，接受乙方为</w:t>
      </w:r>
      <w:r>
        <w:rPr>
          <w:rFonts w:hint="eastAsia" w:ascii="宋体" w:hAnsi="宋体" w:eastAsia="宋体" w:cs="仿宋"/>
          <w:szCs w:val="21"/>
          <w:u w:val="single"/>
        </w:rPr>
        <w:t xml:space="preserve">                     </w:t>
      </w:r>
      <w:r>
        <w:rPr>
          <w:rFonts w:hint="eastAsia" w:ascii="宋体" w:hAnsi="宋体" w:eastAsia="宋体" w:cs="仿宋"/>
          <w:szCs w:val="21"/>
        </w:rPr>
        <w:t>维保项目：</w:t>
      </w:r>
      <w:r>
        <w:rPr>
          <w:rFonts w:hint="eastAsia" w:ascii="宋体" w:hAnsi="宋体" w:eastAsia="宋体" w:cs="仿宋"/>
          <w:szCs w:val="21"/>
          <w:u w:val="single"/>
        </w:rPr>
        <w:t xml:space="preserve">     （名称及标段号，若有）     </w:t>
      </w:r>
      <w:r>
        <w:rPr>
          <w:rFonts w:hint="eastAsia" w:ascii="宋体" w:hAnsi="宋体" w:eastAsia="宋体" w:cs="仿宋"/>
          <w:szCs w:val="21"/>
        </w:rPr>
        <w:t>提供维保服务。甲乙双方经协商一致，同意签署本合同。</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一、合同范围</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kern w:val="0"/>
          <w:szCs w:val="21"/>
        </w:rPr>
        <w:t>（维保服务范围）</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二、合同金额</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维保金额为(大写):</w:t>
      </w:r>
      <w:r>
        <w:rPr>
          <w:rFonts w:hint="eastAsia" w:ascii="宋体" w:hAnsi="宋体" w:eastAsia="宋体" w:cs="仿宋"/>
          <w:szCs w:val="21"/>
          <w:u w:val="single"/>
        </w:rPr>
        <w:t xml:space="preserve">           </w:t>
      </w:r>
      <w:r>
        <w:rPr>
          <w:rFonts w:hint="eastAsia" w:ascii="宋体" w:hAnsi="宋体" w:eastAsia="宋体" w:cs="仿宋"/>
          <w:szCs w:val="21"/>
        </w:rPr>
        <w:t>元 (￥:</w:t>
      </w:r>
      <w:r>
        <w:rPr>
          <w:rFonts w:hint="eastAsia" w:ascii="宋体" w:hAnsi="宋体" w:eastAsia="宋体" w:cs="仿宋"/>
          <w:szCs w:val="21"/>
          <w:u w:val="single"/>
        </w:rPr>
        <w:t xml:space="preserve">      </w:t>
      </w:r>
      <w:r>
        <w:rPr>
          <w:rFonts w:hint="eastAsia" w:ascii="宋体" w:hAnsi="宋体" w:eastAsia="宋体" w:cs="仿宋"/>
          <w:szCs w:val="21"/>
        </w:rPr>
        <w:t>元) 人民币，含增值税。乙方报价清单</w:t>
      </w:r>
      <w:r>
        <w:rPr>
          <w:rFonts w:ascii="宋体" w:hAnsi="宋体" w:eastAsia="宋体" w:cs="仿宋"/>
          <w:szCs w:val="21"/>
        </w:rPr>
        <w:t>详见附件。</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三、合同期限、地点及方式</w:t>
      </w:r>
    </w:p>
    <w:p>
      <w:pPr>
        <w:keepNext w:val="0"/>
        <w:keepLines w:val="0"/>
        <w:pageBreakBefore w:val="0"/>
        <w:kinsoku/>
        <w:wordWrap/>
        <w:topLinePunct w:val="0"/>
        <w:bidi w:val="0"/>
        <w:spacing w:after="0"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期限：</w:t>
      </w:r>
    </w:p>
    <w:p>
      <w:pPr>
        <w:keepNext w:val="0"/>
        <w:keepLines w:val="0"/>
        <w:pageBreakBefore w:val="0"/>
        <w:kinsoku/>
        <w:wordWrap/>
        <w:topLinePunct w:val="0"/>
        <w:bidi w:val="0"/>
        <w:spacing w:after="0"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地点：</w:t>
      </w:r>
      <w:r>
        <w:rPr>
          <w:rFonts w:ascii="宋体" w:hAnsi="宋体" w:eastAsia="宋体" w:cs="仿宋"/>
          <w:szCs w:val="21"/>
        </w:rPr>
        <w:t xml:space="preserve"> </w:t>
      </w:r>
    </w:p>
    <w:p>
      <w:pPr>
        <w:keepNext w:val="0"/>
        <w:keepLines w:val="0"/>
        <w:pageBreakBefore w:val="0"/>
        <w:kinsoku/>
        <w:wordWrap/>
        <w:topLinePunct w:val="0"/>
        <w:bidi w:val="0"/>
        <w:spacing w:after="0" w:line="288" w:lineRule="auto"/>
        <w:ind w:left="508" w:leftChars="237" w:hanging="10" w:hangingChars="5"/>
        <w:rPr>
          <w:rFonts w:hint="eastAsia" w:ascii="宋体" w:hAnsi="宋体" w:eastAsia="宋体" w:cs="仿宋"/>
          <w:szCs w:val="21"/>
        </w:rPr>
      </w:pPr>
      <w:r>
        <w:rPr>
          <w:rFonts w:hint="eastAsia" w:ascii="宋体" w:hAnsi="宋体" w:eastAsia="宋体" w:cs="仿宋"/>
          <w:szCs w:val="21"/>
        </w:rPr>
        <w:t>服务方式：</w:t>
      </w:r>
    </w:p>
    <w:p>
      <w:pPr>
        <w:keepNext w:val="0"/>
        <w:keepLines w:val="0"/>
        <w:pageBreakBefore w:val="0"/>
        <w:kinsoku/>
        <w:wordWrap/>
        <w:topLinePunct w:val="0"/>
        <w:bidi w:val="0"/>
        <w:spacing w:after="0" w:line="288" w:lineRule="auto"/>
        <w:ind w:left="511" w:leftChars="237" w:hanging="13" w:hangingChars="6"/>
        <w:rPr>
          <w:rFonts w:hint="eastAsia" w:ascii="宋体" w:hAnsi="宋体" w:eastAsia="宋体" w:cs="仿宋"/>
          <w:b/>
          <w:szCs w:val="21"/>
        </w:rPr>
      </w:pPr>
      <w:r>
        <w:rPr>
          <w:rFonts w:hint="eastAsia" w:ascii="宋体" w:hAnsi="宋体" w:eastAsia="宋体" w:cs="仿宋"/>
          <w:b/>
          <w:szCs w:val="21"/>
        </w:rPr>
        <w:t>四、具体服务内容及要求</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“项目需求及技术要求”。（或：具体维保服务内容参见浙江省公安科技研究所发布的《XX维保项目》（项目编号：  ）的采购需求（详见附件））</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乙方承诺：</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双方对于维保内容的其他约定：</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五、</w:t>
      </w:r>
      <w:r>
        <w:rPr>
          <w:rFonts w:ascii="宋体" w:hAnsi="宋体" w:eastAsia="宋体" w:cs="仿宋"/>
          <w:b/>
          <w:szCs w:val="21"/>
        </w:rPr>
        <w:t>项目验收</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1．项目维保期结束后，乙方应向甲方申请项目验收。验收由甲方负责实施，验收依据包括合同、[招标文件/磋商文件/谈判文件/询价通知书]、乙方的[投标文件/响应文件]。</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ascii="宋体" w:hAnsi="宋体" w:eastAsia="宋体" w:cs="仿宋"/>
          <w:szCs w:val="21"/>
        </w:rPr>
        <w:t>2</w:t>
      </w:r>
      <w:r>
        <w:rPr>
          <w:rFonts w:hint="eastAsia" w:ascii="宋体" w:hAnsi="宋体" w:eastAsia="宋体" w:cs="仿宋"/>
          <w:szCs w:val="21"/>
        </w:rPr>
        <w:t>．乙方应提供整个维保期内的实绩举证材料，如：软硬件设备的维保记录、巡检报告、维保人员的考勤记录、重大事件的处置响应记录等（具体材料根据合同及招投标文件中的维保服务要求提供），重要材料应有项目责任单位相关人员签名。通过检查实绩举证材料考核乙方落实维保措施、完成维保任务情况是否满足合同约定要求。</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ascii="宋体" w:hAnsi="宋体" w:eastAsia="宋体" w:cs="仿宋"/>
          <w:szCs w:val="21"/>
        </w:rPr>
        <w:t>3</w:t>
      </w:r>
      <w:r>
        <w:rPr>
          <w:rFonts w:hint="eastAsia" w:ascii="宋体" w:hAnsi="宋体" w:eastAsia="宋体" w:cs="仿宋"/>
          <w:szCs w:val="21"/>
        </w:rPr>
        <w:t>．对维保过程中存在的人员未到岗或频繁更换、维保内容未完成、维保目标未达成等情况据实核算违约成本，并在[项目尾款/履约保证金]中予以扣除。</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4．验收合格的条件为乙方提交的验收文档齐全，符合合同及招投标文件要求；乙方按合同要求完成维保服务，并得到用户部门认可；项目通过甲方组织的验收。</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六、保密约定</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1.甲乙双方必须对本合同条款及相关内容进行保密，不得将其内容泄露给任何第三方（法律必须披露的情况除外）或以本合同之外的目的使用。</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2.双方对在合作过程中所获知的对方单位涉密信息、技术情报和资料均必须保密，任何一方不得向第三方泄露或以本合同之外的目的使用。</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3.违反上述的一切责任和损失由责任方承担。</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4.乙方承诺将严格遵守《安全保密协议》约定，承担相应的法律责任。</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七、付款方式</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合同签订且维保服务期开始后甲方支付60%合同款；维保服务期开始满6个月后，乙方提交半年度的实绩举证材料和工作总结报告，经甲方与监理方确认考核合格后，甲方支付30%合同款；维保服务期满项目验收合格后，乙方在维保期内无任何违约责任，甲方支付10%合同款，否则甲方将在扣除乙方应承担的费用后支付剩余的合同款（如有）。</w:t>
      </w:r>
    </w:p>
    <w:p>
      <w:pPr>
        <w:pStyle w:val="11"/>
        <w:keepNext w:val="0"/>
        <w:keepLines w:val="0"/>
        <w:pageBreakBefore w:val="0"/>
        <w:kinsoku/>
        <w:wordWrap/>
        <w:topLinePunct w:val="0"/>
        <w:bidi w:val="0"/>
        <w:spacing w:after="0" w:line="288" w:lineRule="auto"/>
        <w:ind w:firstLine="396" w:firstLineChars="200"/>
      </w:pPr>
      <w:r>
        <w:rPr>
          <w:rFonts w:hint="eastAsia" w:ascii="宋体" w:hAnsi="宋体"/>
          <w:spacing w:val="-6"/>
          <w:sz w:val="21"/>
          <w:szCs w:val="21"/>
        </w:rPr>
        <w:t>2</w:t>
      </w:r>
      <w:r>
        <w:rPr>
          <w:rFonts w:hint="eastAsia" w:ascii="宋体" w:hAnsi="宋体"/>
          <w:spacing w:val="-6"/>
          <w:sz w:val="21"/>
          <w:szCs w:val="21"/>
          <w:lang w:val="zh-CN"/>
        </w:rPr>
        <w:t>.乙方应在甲方每次付款至少十五日前内向甲方提供相应金额的合法、有效发票，否则甲方有权拒绝付款并不承担任何违约责任，且乙方应继续履行本合同项下义务。</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bCs/>
          <w:szCs w:val="21"/>
        </w:rPr>
      </w:pPr>
      <w:r>
        <w:rPr>
          <w:rFonts w:hint="eastAsia" w:ascii="宋体" w:hAnsi="宋体" w:eastAsia="宋体" w:cs="仿宋"/>
          <w:b/>
          <w:bCs/>
          <w:szCs w:val="21"/>
        </w:rPr>
        <w:t>八、履约保证金</w:t>
      </w:r>
    </w:p>
    <w:p>
      <w:pPr>
        <w:keepNext w:val="0"/>
        <w:keepLines w:val="0"/>
        <w:pageBreakBefore w:val="0"/>
        <w:kinsoku/>
        <w:wordWrap/>
        <w:topLinePunct w:val="0"/>
        <w:bidi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1.根据采购文件之规定，乙方[应当/无需]在合同签订后以[银行保函/商业保函]形式向甲方缴纳履约保证金______元。</w:t>
      </w:r>
    </w:p>
    <w:p>
      <w:pPr>
        <w:keepNext w:val="0"/>
        <w:keepLines w:val="0"/>
        <w:pageBreakBefore w:val="0"/>
        <w:kinsoku/>
        <w:wordWrap/>
        <w:topLinePunct w:val="0"/>
        <w:bidi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2.如乙方未能履行本合同约定的义务，甲方有权从履约保证金中直接扣除乙方因此而应当向甲方支付的任何费用。</w:t>
      </w:r>
    </w:p>
    <w:p>
      <w:pPr>
        <w:keepNext w:val="0"/>
        <w:keepLines w:val="0"/>
        <w:pageBreakBefore w:val="0"/>
        <w:kinsoku/>
        <w:wordWrap/>
        <w:topLinePunct w:val="0"/>
        <w:bidi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甲方应于本合同期满项目验收合格后十五日内扣除乙方应当承担的费用（如有）后退还履约保证金（不计息）。但如果此时存在合同争端并且未能解决，那么履约保证金的退还应延长到上述争端最终解决且索赔完毕后。</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lang w:val="zh-CN"/>
        </w:rPr>
      </w:pPr>
      <w:r>
        <w:rPr>
          <w:rFonts w:hint="eastAsia" w:ascii="宋体" w:hAnsi="宋体" w:eastAsia="宋体" w:cs="仿宋"/>
          <w:b/>
          <w:szCs w:val="21"/>
          <w:lang w:val="zh-CN"/>
        </w:rPr>
        <w:t>九、甲方的权利与义务</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甲方应当为乙方工作提供良好的外部条件，并按照合同约定支付款项。</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甲方有权随时对乙方服务情况进行监督、检查。</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rPr>
      </w:pPr>
      <w:r>
        <w:rPr>
          <w:rFonts w:hint="eastAsia" w:ascii="宋体" w:hAnsi="宋体" w:eastAsia="宋体" w:cs="仿宋"/>
          <w:bCs/>
          <w:szCs w:val="21"/>
        </w:rPr>
        <w:t>3.其他：__________________</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bCs/>
          <w:szCs w:val="21"/>
          <w:lang w:val="zh-CN"/>
        </w:rPr>
      </w:pPr>
      <w:r>
        <w:rPr>
          <w:rFonts w:hint="eastAsia" w:ascii="宋体" w:hAnsi="宋体" w:eastAsia="宋体" w:cs="仿宋"/>
          <w:b/>
          <w:bCs/>
          <w:szCs w:val="21"/>
          <w:lang w:val="zh-CN"/>
        </w:rPr>
        <w:t>十、乙方的权利与义务</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1.</w:t>
      </w:r>
      <w:r>
        <w:rPr>
          <w:rFonts w:hint="eastAsia" w:ascii="宋体" w:hAnsi="宋体" w:eastAsia="宋体" w:cs="仿宋"/>
          <w:bCs/>
          <w:szCs w:val="21"/>
          <w:lang w:val="zh-CN"/>
        </w:rPr>
        <w:t>乙方应指派项目负责人与甲方对接，项目负责人信息如下：</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rPr>
      </w:pPr>
      <w:r>
        <w:rPr>
          <w:rFonts w:hint="eastAsia" w:ascii="宋体" w:hAnsi="宋体" w:eastAsia="宋体" w:cs="仿宋"/>
          <w:bCs/>
          <w:szCs w:val="21"/>
          <w:lang w:val="zh-CN"/>
        </w:rPr>
        <w:t>姓名：</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lang w:val="zh-CN"/>
        </w:rPr>
        <w:t>身份证号：</w:t>
      </w:r>
      <w:r>
        <w:rPr>
          <w:rFonts w:hint="eastAsia" w:ascii="宋体" w:hAnsi="宋体" w:eastAsia="宋体" w:cs="仿宋"/>
          <w:bCs/>
          <w:szCs w:val="21"/>
        </w:rPr>
        <w:t xml:space="preserve"> </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lang w:val="zh-CN"/>
        </w:rPr>
        <w:t>手机号码：</w:t>
      </w:r>
      <w:r>
        <w:rPr>
          <w:rFonts w:hint="eastAsia" w:ascii="宋体" w:hAnsi="宋体" w:eastAsia="宋体" w:cs="仿宋"/>
          <w:bCs/>
          <w:szCs w:val="21"/>
        </w:rPr>
        <w:t xml:space="preserve">     </w:t>
      </w:r>
      <w:r>
        <w:rPr>
          <w:rFonts w:ascii="宋体" w:hAnsi="宋体" w:eastAsia="宋体" w:cs="仿宋"/>
          <w:bCs/>
          <w:szCs w:val="21"/>
        </w:rPr>
        <w:t xml:space="preserve">          </w:t>
      </w:r>
      <w:r>
        <w:rPr>
          <w:rFonts w:hint="eastAsia" w:ascii="宋体" w:hAnsi="宋体" w:eastAsia="宋体" w:cs="仿宋"/>
          <w:bCs/>
          <w:szCs w:val="21"/>
        </w:rPr>
        <w:t>公司固定电话</w:t>
      </w:r>
      <w:r>
        <w:rPr>
          <w:rFonts w:hint="eastAsia" w:ascii="宋体" w:hAnsi="宋体" w:eastAsia="宋体" w:cs="仿宋"/>
          <w:bCs/>
          <w:szCs w:val="21"/>
          <w:lang w:val="zh-CN"/>
        </w:rPr>
        <w:t>：</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2.</w:t>
      </w:r>
      <w:r>
        <w:rPr>
          <w:rFonts w:hint="eastAsia" w:ascii="宋体" w:hAnsi="宋体" w:eastAsia="宋体" w:cs="仿宋"/>
          <w:bCs/>
          <w:szCs w:val="21"/>
          <w:lang w:val="zh-CN"/>
        </w:rPr>
        <w:t>乙方向甲方委派的项目组人员应当固定，乙方保证项目组人员具备完成此次</w:t>
      </w:r>
      <w:r>
        <w:rPr>
          <w:rFonts w:hint="eastAsia" w:ascii="宋体" w:hAnsi="宋体" w:eastAsia="宋体" w:cs="仿宋"/>
          <w:bCs/>
          <w:szCs w:val="21"/>
        </w:rPr>
        <w:t>服务</w:t>
      </w:r>
      <w:r>
        <w:rPr>
          <w:rFonts w:hint="eastAsia" w:ascii="宋体" w:hAnsi="宋体" w:eastAsia="宋体" w:cs="仿宋"/>
          <w:bCs/>
          <w:szCs w:val="21"/>
          <w:lang w:val="zh-CN"/>
        </w:rPr>
        <w:t>的相关资质、经验等条件，乙方更换人员必须经甲方书面同意。</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3.</w:t>
      </w:r>
      <w:r>
        <w:rPr>
          <w:rFonts w:hint="eastAsia" w:ascii="宋体" w:hAnsi="宋体" w:eastAsia="宋体" w:cs="仿宋"/>
          <w:bCs/>
          <w:szCs w:val="21"/>
          <w:lang w:val="zh-CN"/>
        </w:rPr>
        <w:t>乙方在履行本合同义务的期间，应运用合理的技能，认真、勤奋的工作，按照合同约定的内容完成</w:t>
      </w:r>
      <w:r>
        <w:rPr>
          <w:rFonts w:hint="eastAsia" w:ascii="宋体" w:hAnsi="宋体" w:eastAsia="宋体" w:cs="仿宋"/>
          <w:bCs/>
          <w:szCs w:val="21"/>
        </w:rPr>
        <w:t>服务</w:t>
      </w:r>
      <w:r>
        <w:rPr>
          <w:rFonts w:hint="eastAsia" w:ascii="宋体" w:hAnsi="宋体" w:eastAsia="宋体" w:cs="仿宋"/>
          <w:bCs/>
          <w:szCs w:val="21"/>
          <w:lang w:val="zh-CN"/>
        </w:rPr>
        <w:t>。</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Cs/>
          <w:szCs w:val="21"/>
          <w:lang w:val="zh-CN"/>
        </w:rPr>
      </w:pPr>
      <w:r>
        <w:rPr>
          <w:rFonts w:hint="eastAsia" w:ascii="宋体" w:hAnsi="宋体" w:eastAsia="宋体" w:cs="仿宋"/>
          <w:bCs/>
          <w:szCs w:val="21"/>
        </w:rPr>
        <w:t>4.</w:t>
      </w:r>
      <w:r>
        <w:rPr>
          <w:rFonts w:hint="eastAsia" w:ascii="宋体" w:hAnsi="宋体" w:eastAsia="宋体" w:cs="仿宋"/>
          <w:bCs/>
          <w:szCs w:val="21"/>
          <w:lang w:val="zh-CN"/>
        </w:rPr>
        <w:t>乙方在工作准备及实施过程中，应遵守甲方单位相关管理规定，接受甲方任何形式的监督、检查，及时与甲方沟通工作情况。</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bCs/>
          <w:szCs w:val="21"/>
        </w:rPr>
        <w:t>5.其他：__________________</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十一、违约责任</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1.甲方无故逾期办理价款支付手续的，甲方应按逾期付款总额每日万分之五向乙方支付违约金。</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乙方逾期完成维修、未按期提供服务的，乙方应按合同价款总额每日千分之六向甲方支付违约金，由甲方从履约保证金或尾款中扣除。逾期或未提供服务超过约定日期十个工作日不能完成的，甲方可解除本合同。</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乙方所提供的维保服务质量标准不符合合同规定或采购文件规定标准的，甲方有权拒绝接受服务，乙方愿意继续维修、提供服务但逾期完成的，按乙方逾期完成处理或提供服务。乙方拒绝按要求继续服务的，甲方可单方面解除合同。</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4</w:t>
      </w:r>
      <w:r>
        <w:rPr>
          <w:rFonts w:hint="eastAsia" w:ascii="宋体" w:hAnsi="宋体" w:eastAsia="宋体" w:cs="仿宋"/>
          <w:bCs/>
          <w:szCs w:val="21"/>
        </w:rPr>
        <w:t>.</w:t>
      </w:r>
      <w:r>
        <w:rPr>
          <w:rFonts w:hint="eastAsia" w:ascii="宋体" w:hAnsi="宋体" w:eastAsia="宋体" w:cs="仿宋"/>
          <w:szCs w:val="21"/>
        </w:rPr>
        <w:t>如乙方逾期完成维修、未按期提供服务，或乙方所提供的维保服务质量标准不符合合同规定或采购文件规定标准的，甲方有权委托第三方提供本合同项下维保服务的，相应费用由乙方承担。</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5</w:t>
      </w:r>
      <w:r>
        <w:rPr>
          <w:rFonts w:hint="eastAsia" w:ascii="宋体" w:hAnsi="宋体" w:eastAsia="宋体" w:cs="仿宋"/>
          <w:bCs/>
          <w:szCs w:val="21"/>
        </w:rPr>
        <w:t>.</w:t>
      </w:r>
      <w:r>
        <w:rPr>
          <w:rFonts w:hint="eastAsia" w:ascii="宋体" w:hAnsi="宋体" w:eastAsia="宋体" w:cs="仿宋"/>
          <w:szCs w:val="21"/>
        </w:rPr>
        <w:t>本项目不允许转包，如有转让和未经甲方同意的分包行为，甲方有权解除合同并追究乙方的违约责任。</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6</w:t>
      </w:r>
      <w:r>
        <w:rPr>
          <w:rFonts w:hint="eastAsia" w:ascii="宋体" w:hAnsi="宋体" w:eastAsia="宋体" w:cs="仿宋"/>
          <w:bCs/>
          <w:szCs w:val="21"/>
        </w:rPr>
        <w:t>.</w:t>
      </w:r>
      <w:r>
        <w:rPr>
          <w:rFonts w:hint="eastAsia" w:ascii="宋体" w:hAnsi="宋体" w:eastAsia="宋体" w:cs="仿宋"/>
          <w:szCs w:val="21"/>
        </w:rPr>
        <w:t>乙方因逾期完成、未提供服务或因其他违约行为导致甲方解除合同的，乙方应向甲方支付合同价款百分之五的违约金，如造成甲方损失超过违约金的，超出部分由乙方继续承担赔偿责任。</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十二、不可抗力事件处理</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1.在合同有效期内，任何一方因不可抗力事件导致不能履行合同，则合同履行期可延长，其延长期与不可抗力影响期相同。</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不可抗力事件发生后，应立即通知对方，并寄送有关权威机构出具的证明。</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不可抗力事件延续120天以上，双方应通过友好协商，确定是否继续履行合同。</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十三、争议的解决</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在履行合同过程中发生争议时，双方当事人协商解决，协商不成的，采用下列第</w:t>
      </w:r>
      <w:r>
        <w:rPr>
          <w:rFonts w:hint="eastAsia" w:ascii="宋体" w:hAnsi="宋体" w:eastAsia="宋体" w:cs="仿宋"/>
          <w:szCs w:val="21"/>
          <w:u w:val="single"/>
        </w:rPr>
        <w:t xml:space="preserve"> 1 </w:t>
      </w:r>
      <w:r>
        <w:rPr>
          <w:rFonts w:hint="eastAsia" w:ascii="宋体" w:hAnsi="宋体" w:eastAsia="宋体" w:cs="仿宋"/>
          <w:szCs w:val="21"/>
        </w:rPr>
        <w:t>种方法解决。</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1.提交杭州仲裁委员会仲裁；</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2.依法向甲方所在地人民法院提起诉讼。</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b/>
          <w:szCs w:val="21"/>
        </w:rPr>
      </w:pPr>
      <w:r>
        <w:rPr>
          <w:rFonts w:hint="eastAsia" w:ascii="宋体" w:hAnsi="宋体" w:eastAsia="宋体" w:cs="仿宋"/>
          <w:b/>
          <w:szCs w:val="21"/>
        </w:rPr>
        <w:t>十四、合同生效及其它</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1.合同经双方法定代表人或授权委托代理人签字并加盖单位公章后生效。</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bCs/>
          <w:szCs w:val="21"/>
        </w:rPr>
        <w:t>2.</w:t>
      </w:r>
      <w:r>
        <w:rPr>
          <w:rFonts w:hint="eastAsia" w:ascii="宋体" w:hAnsi="宋体" w:eastAsia="宋体" w:cs="仿宋"/>
          <w:szCs w:val="21"/>
        </w:rPr>
        <w:t>合同执行中涉及采购资金和谈判采购内容修改或补充的，须经省财政部门审批，并签书面补充协议报管理部门备案，方可作为主合同不可分割的一部分。</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bCs/>
          <w:szCs w:val="21"/>
        </w:rPr>
        <w:t>3.</w:t>
      </w:r>
      <w:r>
        <w:rPr>
          <w:rFonts w:hint="eastAsia" w:ascii="宋体" w:hAnsi="宋体" w:eastAsia="宋体" w:cs="仿宋"/>
          <w:szCs w:val="21"/>
        </w:rPr>
        <w:t>下述合同附件为本合同不可分割的部分并与本合同具有同等效力：</w:t>
      </w:r>
      <w:r>
        <w:rPr>
          <w:rFonts w:hint="eastAsia" w:ascii="宋体" w:hAnsi="宋体" w:eastAsia="宋体" w:cs="仿宋"/>
          <w:b/>
          <w:szCs w:val="21"/>
        </w:rPr>
        <w:t>(已有内容仅供参考,用户单位可根据实际情况定)</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（1）维修、服务所需材料、人工等分项价格表</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（2）维修、服务质量标准</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（3）乙方谈判响应文件的内容及澄清内容</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（4）其他与本合同相关的单据</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（5）本合同适用的特殊条款 </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ascii="宋体" w:hAnsi="宋体" w:eastAsia="宋体" w:cs="仿宋"/>
          <w:bCs/>
          <w:szCs w:val="21"/>
        </w:rPr>
        <w:t>4</w:t>
      </w:r>
      <w:r>
        <w:rPr>
          <w:rFonts w:hint="eastAsia" w:ascii="宋体" w:hAnsi="宋体" w:eastAsia="宋体" w:cs="仿宋"/>
          <w:bCs/>
          <w:szCs w:val="21"/>
        </w:rPr>
        <w:t>.[</w:t>
      </w:r>
      <w:r>
        <w:rPr>
          <w:rFonts w:hint="eastAsia" w:ascii="宋体" w:hAnsi="宋体" w:eastAsia="宋体" w:cs="仿宋"/>
          <w:szCs w:val="21"/>
        </w:rPr>
        <w:t>招标/单一来源采购/竞争性磋商</w:t>
      </w:r>
      <w:r>
        <w:rPr>
          <w:rFonts w:ascii="宋体" w:hAnsi="宋体" w:eastAsia="宋体" w:cs="仿宋"/>
          <w:szCs w:val="21"/>
        </w:rPr>
        <w:t>]</w:t>
      </w:r>
      <w:r>
        <w:rPr>
          <w:rFonts w:hint="eastAsia" w:ascii="宋体" w:hAnsi="宋体" w:eastAsia="宋体" w:cs="仿宋"/>
          <w:szCs w:val="21"/>
        </w:rPr>
        <w:t>文件、[</w:t>
      </w:r>
      <w:r>
        <w:rPr>
          <w:rFonts w:ascii="宋体" w:hAnsi="宋体" w:eastAsia="宋体" w:cs="仿宋"/>
          <w:szCs w:val="21"/>
        </w:rPr>
        <w:t>投标</w:t>
      </w:r>
      <w:r>
        <w:rPr>
          <w:rFonts w:hint="eastAsia" w:ascii="宋体" w:hAnsi="宋体" w:eastAsia="宋体" w:cs="仿宋"/>
          <w:szCs w:val="21"/>
        </w:rPr>
        <w:t>/响应]</w:t>
      </w:r>
      <w:r>
        <w:rPr>
          <w:rFonts w:ascii="宋体" w:hAnsi="宋体" w:eastAsia="宋体" w:cs="仿宋"/>
          <w:szCs w:val="21"/>
        </w:rPr>
        <w:t>文件（</w:t>
      </w:r>
      <w:r>
        <w:rPr>
          <w:rFonts w:hint="eastAsia" w:ascii="宋体" w:hAnsi="宋体" w:eastAsia="宋体" w:cs="仿宋"/>
          <w:szCs w:val="21"/>
        </w:rPr>
        <w:t>含</w:t>
      </w:r>
      <w:r>
        <w:rPr>
          <w:rFonts w:ascii="宋体" w:hAnsi="宋体" w:eastAsia="宋体" w:cs="仿宋"/>
          <w:szCs w:val="21"/>
        </w:rPr>
        <w:t>乙方的最终报价及承诺）</w:t>
      </w:r>
      <w:r>
        <w:rPr>
          <w:rFonts w:hint="eastAsia" w:ascii="宋体" w:hAnsi="宋体" w:eastAsia="宋体" w:cs="仿宋"/>
          <w:szCs w:val="21"/>
        </w:rPr>
        <w:t>与</w:t>
      </w:r>
      <w:r>
        <w:rPr>
          <w:rFonts w:ascii="宋体" w:hAnsi="宋体" w:eastAsia="宋体" w:cs="仿宋"/>
          <w:szCs w:val="21"/>
        </w:rPr>
        <w:t>本合同具有同等法律效力。</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ascii="宋体" w:hAnsi="宋体" w:eastAsia="宋体" w:cs="仿宋"/>
          <w:bCs/>
          <w:szCs w:val="21"/>
        </w:rPr>
        <w:t>5</w:t>
      </w:r>
      <w:r>
        <w:rPr>
          <w:rFonts w:hint="eastAsia" w:ascii="宋体" w:hAnsi="宋体" w:eastAsia="宋体" w:cs="仿宋"/>
          <w:bCs/>
          <w:szCs w:val="21"/>
        </w:rPr>
        <w:t>.</w:t>
      </w:r>
      <w:r>
        <w:rPr>
          <w:rFonts w:hint="eastAsia" w:ascii="宋体" w:hAnsi="宋体" w:eastAsia="宋体" w:cs="仿宋"/>
          <w:szCs w:val="21"/>
        </w:rPr>
        <w:t>本合同未尽事宜，遵照《中华人民共和国民法典》有关条文执行。</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ascii="宋体" w:hAnsi="宋体" w:eastAsia="宋体" w:cs="仿宋"/>
          <w:bCs/>
          <w:szCs w:val="21"/>
        </w:rPr>
        <w:t>6</w:t>
      </w:r>
      <w:r>
        <w:rPr>
          <w:rFonts w:hint="eastAsia" w:ascii="宋体" w:hAnsi="宋体" w:eastAsia="宋体" w:cs="仿宋"/>
          <w:bCs/>
          <w:szCs w:val="21"/>
        </w:rPr>
        <w:t>.</w:t>
      </w:r>
      <w:r>
        <w:rPr>
          <w:rFonts w:hint="eastAsia" w:ascii="宋体" w:hAnsi="宋体" w:eastAsia="宋体" w:cs="仿宋"/>
          <w:szCs w:val="21"/>
        </w:rPr>
        <w:t>本合同正本一式八份，其中甲方执六份，乙方执二份，具有同等法律效力。</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甲方（盖章）：                     乙方（盖章）：</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地址： 浙江省</w:t>
      </w:r>
      <w:r>
        <w:rPr>
          <w:rFonts w:ascii="宋体" w:hAnsi="宋体" w:eastAsia="宋体" w:cs="仿宋"/>
          <w:szCs w:val="21"/>
        </w:rPr>
        <w:t>杭州市</w:t>
      </w:r>
      <w:r>
        <w:rPr>
          <w:rFonts w:hint="eastAsia" w:ascii="宋体" w:hAnsi="宋体" w:eastAsia="宋体" w:cs="仿宋"/>
          <w:szCs w:val="21"/>
        </w:rPr>
        <w:t>民生路66号    地址：</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法定代表人或委托代理人：          法定代表人或委托代理人：</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 xml:space="preserve">                </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电话：</w:t>
      </w:r>
      <w:r>
        <w:rPr>
          <w:rFonts w:ascii="宋体" w:hAnsi="宋体" w:eastAsia="宋体" w:cs="仿宋"/>
          <w:szCs w:val="21"/>
        </w:rPr>
        <w:t xml:space="preserve">87286949     </w:t>
      </w:r>
      <w:r>
        <w:rPr>
          <w:rFonts w:hint="eastAsia" w:ascii="宋体" w:hAnsi="宋体" w:eastAsia="宋体" w:cs="仿宋"/>
          <w:szCs w:val="21"/>
        </w:rPr>
        <w:t xml:space="preserve">               电话：</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传真：                            传真：</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邮政编码：</w:t>
      </w:r>
      <w:r>
        <w:rPr>
          <w:rFonts w:ascii="宋体" w:hAnsi="宋体" w:eastAsia="宋体" w:cs="仿宋"/>
          <w:szCs w:val="21"/>
        </w:rPr>
        <w:t xml:space="preserve">310009  </w:t>
      </w:r>
      <w:r>
        <w:rPr>
          <w:rFonts w:hint="eastAsia" w:ascii="宋体" w:hAnsi="宋体" w:eastAsia="宋体" w:cs="仿宋"/>
          <w:szCs w:val="21"/>
        </w:rPr>
        <w:t xml:space="preserve">                邮政编码：</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开户银行：工行城站支行            开户银行：</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r>
        <w:rPr>
          <w:rFonts w:hint="eastAsia" w:ascii="宋体" w:hAnsi="宋体" w:eastAsia="宋体" w:cs="仿宋"/>
          <w:szCs w:val="21"/>
        </w:rPr>
        <w:t>帐号：</w:t>
      </w:r>
      <w:r>
        <w:rPr>
          <w:rFonts w:ascii="宋体" w:hAnsi="宋体" w:eastAsia="宋体" w:cs="仿宋"/>
          <w:szCs w:val="21"/>
        </w:rPr>
        <w:t>1202027709900037017</w:t>
      </w:r>
      <w:r>
        <w:rPr>
          <w:rFonts w:hint="eastAsia" w:ascii="宋体" w:hAnsi="宋体" w:eastAsia="宋体" w:cs="仿宋"/>
          <w:szCs w:val="21"/>
        </w:rPr>
        <w:t xml:space="preserve">         帐号：</w:t>
      </w:r>
    </w:p>
    <w:p>
      <w:pPr>
        <w:keepNext w:val="0"/>
        <w:keepLines w:val="0"/>
        <w:pageBreakBefore w:val="0"/>
        <w:kinsoku/>
        <w:wordWrap/>
        <w:topLinePunct w:val="0"/>
        <w:bidi w:val="0"/>
        <w:spacing w:after="0" w:line="288" w:lineRule="auto"/>
        <w:ind w:firstLine="420" w:firstLineChars="200"/>
        <w:rPr>
          <w:rFonts w:hint="eastAsia" w:ascii="宋体" w:hAnsi="宋体" w:eastAsia="宋体" w:cs="仿宋"/>
          <w:szCs w:val="21"/>
        </w:rPr>
      </w:pPr>
    </w:p>
    <w:p>
      <w:pPr>
        <w:keepNext w:val="0"/>
        <w:keepLines w:val="0"/>
        <w:pageBreakBefore w:val="0"/>
        <w:kinsoku/>
        <w:wordWrap/>
        <w:topLinePunct w:val="0"/>
        <w:bidi w:val="0"/>
        <w:spacing w:after="0" w:line="288" w:lineRule="auto"/>
        <w:rPr>
          <w:rFonts w:hint="eastAsia" w:ascii="宋体" w:hAnsi="宋体" w:eastAsia="宋体" w:cs="仿宋"/>
          <w:szCs w:val="21"/>
        </w:rPr>
      </w:pPr>
    </w:p>
    <w:p>
      <w:pPr>
        <w:keepNext w:val="0"/>
        <w:keepLines w:val="0"/>
        <w:pageBreakBefore w:val="0"/>
        <w:kinsoku/>
        <w:wordWrap/>
        <w:topLinePunct w:val="0"/>
        <w:bidi w:val="0"/>
        <w:spacing w:after="0" w:line="288" w:lineRule="auto"/>
        <w:rPr>
          <w:rFonts w:hint="eastAsia" w:ascii="宋体" w:hAnsi="宋体" w:eastAsia="宋体" w:cs="仿宋"/>
          <w:szCs w:val="21"/>
        </w:rPr>
      </w:pPr>
      <w:r>
        <w:rPr>
          <w:rFonts w:hint="eastAsia" w:ascii="宋体" w:hAnsi="宋体" w:eastAsia="宋体" w:cs="仿宋"/>
          <w:szCs w:val="21"/>
        </w:rPr>
        <w:t xml:space="preserve">    签订时间：</w:t>
      </w:r>
    </w:p>
    <w:p>
      <w:pPr>
        <w:keepNext w:val="0"/>
        <w:keepLines w:val="0"/>
        <w:pageBreakBefore w:val="0"/>
        <w:kinsoku/>
        <w:wordWrap/>
        <w:topLinePunct w:val="0"/>
        <w:bidi w:val="0"/>
        <w:spacing w:after="0" w:line="288" w:lineRule="auto"/>
        <w:rPr>
          <w:rFonts w:hint="eastAsia" w:ascii="宋体" w:hAnsi="宋体" w:eastAsia="宋体" w:cs="仿宋"/>
          <w:szCs w:val="21"/>
        </w:rPr>
      </w:pPr>
    </w:p>
    <w:p>
      <w:pPr>
        <w:keepNext w:val="0"/>
        <w:keepLines w:val="0"/>
        <w:pageBreakBefore w:val="0"/>
        <w:kinsoku/>
        <w:wordWrap/>
        <w:topLinePunct w:val="0"/>
        <w:bidi w:val="0"/>
        <w:spacing w:after="0" w:line="288" w:lineRule="auto"/>
        <w:rPr>
          <w:rFonts w:hint="eastAsia" w:ascii="宋体" w:hAnsi="宋体" w:eastAsia="宋体" w:cs="仿宋"/>
          <w:szCs w:val="21"/>
        </w:rPr>
      </w:pPr>
    </w:p>
    <w:p>
      <w:pPr>
        <w:keepNext w:val="0"/>
        <w:keepLines w:val="0"/>
        <w:pageBreakBefore w:val="0"/>
        <w:kinsoku/>
        <w:wordWrap/>
        <w:topLinePunct w:val="0"/>
        <w:bidi w:val="0"/>
        <w:spacing w:after="0" w:line="288" w:lineRule="auto"/>
        <w:rPr>
          <w:rFonts w:hint="eastAsia" w:ascii="宋体" w:hAnsi="宋体" w:eastAsia="宋体" w:cs="仿宋"/>
          <w:szCs w:val="21"/>
        </w:rPr>
      </w:pPr>
      <w:r>
        <w:rPr>
          <w:rFonts w:hint="eastAsia" w:ascii="宋体" w:hAnsi="宋体" w:eastAsia="宋体" w:cs="仿宋"/>
          <w:szCs w:val="21"/>
        </w:rPr>
        <w:t>附件一</w:t>
      </w:r>
    </w:p>
    <w:p>
      <w:pPr>
        <w:keepNext w:val="0"/>
        <w:keepLines w:val="0"/>
        <w:pageBreakBefore w:val="0"/>
        <w:kinsoku/>
        <w:wordWrap/>
        <w:topLinePunct w:val="0"/>
        <w:bidi w:val="0"/>
        <w:spacing w:after="0" w:line="288" w:lineRule="auto"/>
        <w:rPr>
          <w:rFonts w:hint="eastAsia" w:ascii="宋体" w:hAnsi="宋体" w:eastAsia="宋体" w:cs="仿宋"/>
          <w:szCs w:val="21"/>
        </w:rPr>
      </w:pPr>
    </w:p>
    <w:p>
      <w:pPr>
        <w:keepNext w:val="0"/>
        <w:keepLines w:val="0"/>
        <w:pageBreakBefore w:val="0"/>
        <w:kinsoku/>
        <w:wordWrap/>
        <w:topLinePunct w:val="0"/>
        <w:bidi w:val="0"/>
        <w:spacing w:after="0" w:line="288" w:lineRule="auto"/>
        <w:jc w:val="center"/>
        <w:rPr>
          <w:rFonts w:hint="eastAsia" w:ascii="宋体" w:hAnsi="宋体" w:eastAsia="宋体" w:cs="仿宋"/>
          <w:b/>
          <w:szCs w:val="21"/>
        </w:rPr>
      </w:pPr>
      <w:r>
        <w:rPr>
          <w:rFonts w:hint="eastAsia" w:ascii="宋体" w:hAnsi="宋体" w:eastAsia="宋体" w:cs="仿宋"/>
          <w:b/>
          <w:szCs w:val="21"/>
        </w:rPr>
        <w:t>报价清单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2503"/>
        <w:gridCol w:w="1563"/>
        <w:gridCol w:w="938"/>
        <w:gridCol w:w="1408"/>
        <w:gridCol w:w="1931"/>
      </w:tblGrid>
      <w:tr>
        <w:trPr>
          <w:trHeight w:val="454" w:hRule="atLeast"/>
        </w:trPr>
        <w:tc>
          <w:tcPr>
            <w:tcW w:w="1059"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序号</w:t>
            </w:r>
          </w:p>
        </w:tc>
        <w:tc>
          <w:tcPr>
            <w:tcW w:w="250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项目</w:t>
            </w:r>
          </w:p>
        </w:tc>
        <w:tc>
          <w:tcPr>
            <w:tcW w:w="156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单价</w:t>
            </w:r>
          </w:p>
        </w:tc>
        <w:tc>
          <w:tcPr>
            <w:tcW w:w="93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数量</w:t>
            </w: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总价</w:t>
            </w:r>
          </w:p>
        </w:tc>
        <w:tc>
          <w:tcPr>
            <w:tcW w:w="193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备注</w:t>
            </w:r>
          </w:p>
        </w:tc>
      </w:tr>
      <w:tr>
        <w:trPr>
          <w:trHeight w:val="454" w:hRule="atLeast"/>
        </w:trPr>
        <w:tc>
          <w:tcPr>
            <w:tcW w:w="1059"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1</w:t>
            </w:r>
          </w:p>
        </w:tc>
        <w:tc>
          <w:tcPr>
            <w:tcW w:w="250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93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93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r>
      <w:tr>
        <w:trPr>
          <w:trHeight w:val="454" w:hRule="atLeast"/>
        </w:trPr>
        <w:tc>
          <w:tcPr>
            <w:tcW w:w="1059"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2</w:t>
            </w:r>
          </w:p>
        </w:tc>
        <w:tc>
          <w:tcPr>
            <w:tcW w:w="250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93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93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r>
      <w:tr>
        <w:trPr>
          <w:trHeight w:val="454" w:hRule="atLeast"/>
        </w:trPr>
        <w:tc>
          <w:tcPr>
            <w:tcW w:w="1059"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3</w:t>
            </w:r>
          </w:p>
        </w:tc>
        <w:tc>
          <w:tcPr>
            <w:tcW w:w="250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3"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93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93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r>
    </w:tbl>
    <w:p>
      <w:pPr>
        <w:keepNext w:val="0"/>
        <w:keepLines w:val="0"/>
        <w:pageBreakBefore w:val="0"/>
        <w:kinsoku/>
        <w:wordWrap/>
        <w:topLinePunct w:val="0"/>
        <w:bidi w:val="0"/>
        <w:spacing w:after="0" w:line="288" w:lineRule="auto"/>
        <w:rPr>
          <w:rFonts w:hint="eastAsia" w:ascii="宋体" w:hAnsi="宋体" w:eastAsia="宋体" w:cs="仿宋"/>
          <w:szCs w:val="21"/>
        </w:rPr>
      </w:pPr>
    </w:p>
    <w:p>
      <w:pPr>
        <w:keepNext w:val="0"/>
        <w:keepLines w:val="0"/>
        <w:pageBreakBefore w:val="0"/>
        <w:kinsoku/>
        <w:wordWrap/>
        <w:topLinePunct w:val="0"/>
        <w:bidi w:val="0"/>
        <w:spacing w:after="0" w:line="288" w:lineRule="auto"/>
        <w:rPr>
          <w:rFonts w:hint="eastAsia" w:ascii="宋体" w:hAnsi="宋体" w:eastAsia="宋体" w:cs="仿宋"/>
          <w:szCs w:val="21"/>
        </w:rPr>
      </w:pPr>
      <w:r>
        <w:rPr>
          <w:rFonts w:hint="eastAsia" w:ascii="宋体" w:hAnsi="宋体" w:eastAsia="宋体" w:cs="仿宋"/>
          <w:szCs w:val="21"/>
        </w:rPr>
        <w:t>附件二</w:t>
      </w:r>
    </w:p>
    <w:p>
      <w:pPr>
        <w:keepNext w:val="0"/>
        <w:keepLines w:val="0"/>
        <w:pageBreakBefore w:val="0"/>
        <w:kinsoku/>
        <w:wordWrap/>
        <w:topLinePunct w:val="0"/>
        <w:bidi w:val="0"/>
        <w:spacing w:after="0" w:line="288" w:lineRule="auto"/>
        <w:jc w:val="center"/>
        <w:rPr>
          <w:rFonts w:hint="eastAsia" w:ascii="宋体" w:hAnsi="宋体" w:eastAsia="宋体" w:cs="仿宋"/>
          <w:b/>
          <w:szCs w:val="21"/>
        </w:rPr>
      </w:pPr>
      <w:r>
        <w:rPr>
          <w:rFonts w:hint="eastAsia" w:ascii="宋体" w:hAnsi="宋体" w:eastAsia="宋体" w:cs="仿宋"/>
          <w:b/>
          <w:szCs w:val="21"/>
        </w:rPr>
        <w:t>驻场人员名单</w:t>
      </w:r>
    </w:p>
    <w:tbl>
      <w:tblPr>
        <w:tblStyle w:val="25"/>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07"/>
        <w:gridCol w:w="1564"/>
        <w:gridCol w:w="1408"/>
        <w:gridCol w:w="2241"/>
        <w:gridCol w:w="1566"/>
      </w:tblGrid>
      <w:tr>
        <w:trPr>
          <w:trHeight w:val="454" w:hRule="atLeast"/>
        </w:trPr>
        <w:tc>
          <w:tcPr>
            <w:tcW w:w="121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序号</w:t>
            </w:r>
          </w:p>
        </w:tc>
        <w:tc>
          <w:tcPr>
            <w:tcW w:w="1407"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姓名</w:t>
            </w:r>
          </w:p>
        </w:tc>
        <w:tc>
          <w:tcPr>
            <w:tcW w:w="1564"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职务</w:t>
            </w: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资质</w:t>
            </w:r>
          </w:p>
        </w:tc>
        <w:tc>
          <w:tcPr>
            <w:tcW w:w="224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身份证</w:t>
            </w:r>
            <w:r>
              <w:rPr>
                <w:rFonts w:ascii="宋体" w:hAnsi="宋体" w:eastAsia="宋体" w:cs="仿宋"/>
                <w:szCs w:val="21"/>
              </w:rPr>
              <w:t>号</w:t>
            </w:r>
          </w:p>
        </w:tc>
        <w:tc>
          <w:tcPr>
            <w:tcW w:w="156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联系方式</w:t>
            </w:r>
          </w:p>
        </w:tc>
      </w:tr>
      <w:tr>
        <w:trPr>
          <w:trHeight w:val="454" w:hRule="atLeast"/>
        </w:trPr>
        <w:tc>
          <w:tcPr>
            <w:tcW w:w="121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1</w:t>
            </w:r>
          </w:p>
        </w:tc>
        <w:tc>
          <w:tcPr>
            <w:tcW w:w="1407"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4"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224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r>
      <w:tr>
        <w:trPr>
          <w:trHeight w:val="454" w:hRule="atLeast"/>
        </w:trPr>
        <w:tc>
          <w:tcPr>
            <w:tcW w:w="121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2</w:t>
            </w:r>
          </w:p>
        </w:tc>
        <w:tc>
          <w:tcPr>
            <w:tcW w:w="1407"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4"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224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r>
      <w:tr>
        <w:trPr>
          <w:trHeight w:val="454" w:hRule="atLeast"/>
        </w:trPr>
        <w:tc>
          <w:tcPr>
            <w:tcW w:w="121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r>
              <w:rPr>
                <w:rFonts w:hint="eastAsia" w:ascii="宋体" w:hAnsi="宋体" w:eastAsia="宋体" w:cs="仿宋"/>
                <w:szCs w:val="21"/>
              </w:rPr>
              <w:t>3</w:t>
            </w:r>
          </w:p>
        </w:tc>
        <w:tc>
          <w:tcPr>
            <w:tcW w:w="1407"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4"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408"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2241"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c>
          <w:tcPr>
            <w:tcW w:w="1566" w:type="dxa"/>
            <w:vAlign w:val="center"/>
          </w:tcPr>
          <w:p>
            <w:pPr>
              <w:keepNext w:val="0"/>
              <w:keepLines w:val="0"/>
              <w:pageBreakBefore w:val="0"/>
              <w:kinsoku/>
              <w:wordWrap/>
              <w:topLinePunct w:val="0"/>
              <w:bidi w:val="0"/>
              <w:spacing w:after="0" w:line="288" w:lineRule="auto"/>
              <w:jc w:val="center"/>
              <w:rPr>
                <w:rFonts w:hint="eastAsia" w:ascii="宋体" w:hAnsi="宋体" w:eastAsia="宋体" w:cs="仿宋"/>
                <w:szCs w:val="21"/>
              </w:rPr>
            </w:pPr>
          </w:p>
        </w:tc>
      </w:tr>
      <w:bookmarkEnd w:id="52"/>
    </w:tbl>
    <w:p>
      <w:pPr>
        <w:keepNext w:val="0"/>
        <w:keepLines w:val="0"/>
        <w:pageBreakBefore w:val="0"/>
        <w:kinsoku/>
        <w:wordWrap/>
        <w:topLinePunct w:val="0"/>
        <w:autoSpaceDE w:val="0"/>
        <w:autoSpaceDN w:val="0"/>
        <w:bidi w:val="0"/>
        <w:adjustRightInd w:val="0"/>
        <w:snapToGrid w:val="0"/>
        <w:spacing w:after="0" w:line="288" w:lineRule="auto"/>
        <w:jc w:val="left"/>
        <w:rPr>
          <w:rFonts w:hint="eastAsia" w:ascii="宋体" w:hAnsi="宋体" w:eastAsia="宋体" w:cs="Arial"/>
          <w:kern w:val="0"/>
          <w:sz w:val="24"/>
          <w:szCs w:val="24"/>
        </w:rPr>
      </w:pPr>
    </w:p>
    <w:p>
      <w:pPr>
        <w:keepNext w:val="0"/>
        <w:keepLines w:val="0"/>
        <w:pageBreakBefore w:val="0"/>
        <w:kinsoku/>
        <w:wordWrap/>
        <w:topLinePunct w:val="0"/>
        <w:bidi w:val="0"/>
        <w:adjustRightInd w:val="0"/>
        <w:snapToGrid w:val="0"/>
        <w:spacing w:after="0" w:line="288" w:lineRule="auto"/>
        <w:ind w:firstLine="420" w:firstLineChars="200"/>
        <w:jc w:val="center"/>
        <w:rPr>
          <w:rFonts w:hint="eastAsia" w:ascii="宋体" w:hAnsi="宋体" w:eastAsia="宋体" w:cs="Times New Roman"/>
          <w:b/>
          <w:sz w:val="32"/>
          <w:szCs w:val="32"/>
        </w:rPr>
      </w:pPr>
      <w:r>
        <w:rPr>
          <w:rFonts w:ascii="宋体" w:hAnsi="宋体" w:eastAsia="宋体" w:cs="宋体"/>
          <w:szCs w:val="21"/>
          <w:lang w:val="zh-CN"/>
        </w:rPr>
        <w:br w:type="page"/>
      </w:r>
    </w:p>
    <w:p>
      <w:pPr>
        <w:keepNext w:val="0"/>
        <w:keepLines w:val="0"/>
        <w:pageBreakBefore w:val="0"/>
        <w:kinsoku/>
        <w:wordWrap/>
        <w:topLinePunct w:val="0"/>
        <w:bidi w:val="0"/>
        <w:adjustRightInd w:val="0"/>
        <w:snapToGrid w:val="0"/>
        <w:spacing w:after="0" w:line="288" w:lineRule="auto"/>
        <w:jc w:val="center"/>
        <w:outlineLvl w:val="0"/>
        <w:rPr>
          <w:rFonts w:hint="eastAsia"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 w:val="24"/>
          <w:szCs w:val="24"/>
        </w:rPr>
      </w:pP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 w:val="24"/>
          <w:szCs w:val="24"/>
        </w:rPr>
      </w:pP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中小企业声明函（若属于中小企业）</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属于监狱企业的证明文件（若属于监狱企业）</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残疾人福利性单位声明函（若属于残疾人福利性单位）</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rPr>
      </w:pPr>
      <w:r>
        <w:rPr>
          <w:rFonts w:hint="eastAsia" w:ascii="宋体" w:hAnsi="宋体" w:eastAsia="宋体" w:cs="宋体"/>
          <w:bCs/>
          <w:spacing w:val="-6"/>
          <w:szCs w:val="21"/>
        </w:rPr>
        <w:t>（4）</w:t>
      </w:r>
      <w:r>
        <w:rPr>
          <w:rFonts w:ascii="宋体" w:hAnsi="宋体" w:eastAsia="宋体" w:cs="宋体"/>
          <w:bCs/>
          <w:spacing w:val="-6"/>
          <w:szCs w:val="21"/>
        </w:rPr>
        <w:t>联合协议（联合体投标须提供）</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highlight w:val="cyan"/>
        </w:rPr>
      </w:pPr>
      <w:r>
        <w:rPr>
          <w:rFonts w:hint="eastAsia" w:ascii="宋体" w:hAnsi="宋体" w:eastAsia="宋体" w:cs="宋体"/>
          <w:b/>
          <w:spacing w:val="-6"/>
          <w:szCs w:val="21"/>
        </w:rPr>
        <w:t>▲联合体投标的，联合体各方均应提供资格文件（</w:t>
      </w:r>
      <w:r>
        <w:rPr>
          <w:rFonts w:ascii="宋体" w:hAnsi="宋体" w:eastAsia="宋体" w:cs="宋体"/>
          <w:b/>
          <w:spacing w:val="-6"/>
          <w:szCs w:val="21"/>
        </w:rPr>
        <w:t>1）</w:t>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材料</w:t>
      </w:r>
      <w:r>
        <w:rPr>
          <w:rFonts w:ascii="宋体" w:hAnsi="宋体" w:eastAsia="宋体" w:cs="宋体"/>
          <w:b/>
          <w:spacing w:val="-6"/>
          <w:szCs w:val="21"/>
        </w:rPr>
        <w:t>。</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bCs/>
          <w:spacing w:val="-6"/>
          <w:szCs w:val="21"/>
          <w:highlight w:val="cyan"/>
        </w:rPr>
      </w:pP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b/>
          <w:bCs/>
          <w:spacing w:val="-6"/>
          <w:szCs w:val="21"/>
        </w:rPr>
      </w:pPr>
      <w:r>
        <w:rPr>
          <w:rFonts w:ascii="宋体" w:hAnsi="宋体" w:eastAsia="宋体" w:cs="Times New Roman"/>
          <w:b/>
          <w:spacing w:val="-6"/>
          <w:szCs w:val="21"/>
        </w:rPr>
        <w:t>2</w:t>
      </w:r>
      <w:r>
        <w:rPr>
          <w:rFonts w:hint="eastAsia" w:ascii="宋体" w:hAnsi="宋体" w:eastAsia="宋体" w:cs="Times New Roman"/>
          <w:b/>
          <w:spacing w:val="-6"/>
          <w:szCs w:val="21"/>
        </w:rPr>
        <w:t>.商务和</w:t>
      </w:r>
      <w:r>
        <w:rPr>
          <w:rFonts w:hint="eastAsia" w:ascii="宋体" w:hAnsi="宋体" w:eastAsia="宋体" w:cs="Times New Roman"/>
          <w:b/>
          <w:bCs/>
          <w:spacing w:val="-6"/>
          <w:szCs w:val="21"/>
        </w:rPr>
        <w:t>技术文件（单独上传）</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（1）投标函</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w:t>
      </w:r>
      <w:r>
        <w:rPr>
          <w:rFonts w:ascii="宋体" w:hAnsi="宋体" w:eastAsia="宋体" w:cs="Times New Roman"/>
          <w:spacing w:val="-6"/>
          <w:szCs w:val="21"/>
        </w:rPr>
        <w:t>授权委托书</w:t>
      </w:r>
      <w:r>
        <w:rPr>
          <w:rFonts w:hint="eastAsia" w:ascii="宋体" w:hAnsi="宋体" w:eastAsia="宋体" w:cs="Times New Roman"/>
          <w:spacing w:val="-6"/>
          <w:szCs w:val="21"/>
        </w:rPr>
        <w:t>/法定代表人（单位负责人、自然人本人）身份证明</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spacing w:val="-6"/>
          <w:szCs w:val="21"/>
        </w:rPr>
      </w:pPr>
      <w:r>
        <w:rPr>
          <w:rFonts w:ascii="宋体" w:hAnsi="宋体" w:eastAsia="宋体" w:cs="Times New Roman"/>
          <w:spacing w:val="-6"/>
          <w:szCs w:val="21"/>
        </w:rPr>
        <w:t>附：授权代表社保缴纳证明（202</w:t>
      </w:r>
      <w:r>
        <w:rPr>
          <w:rFonts w:hint="eastAsia" w:ascii="宋体" w:hAnsi="宋体" w:eastAsia="宋体" w:cs="Times New Roman"/>
          <w:spacing w:val="-6"/>
          <w:szCs w:val="21"/>
        </w:rPr>
        <w:t>3</w:t>
      </w:r>
      <w:r>
        <w:rPr>
          <w:rFonts w:ascii="宋体" w:hAnsi="宋体" w:eastAsia="宋体" w:cs="Times New Roman"/>
          <w:spacing w:val="-6"/>
          <w:szCs w:val="21"/>
        </w:rPr>
        <w:t>年</w:t>
      </w:r>
      <w:r>
        <w:rPr>
          <w:rFonts w:hint="eastAsia" w:ascii="宋体" w:hAnsi="宋体" w:eastAsia="宋体" w:cs="Times New Roman"/>
          <w:spacing w:val="-6"/>
          <w:szCs w:val="21"/>
        </w:rPr>
        <w:t>6</w:t>
      </w:r>
      <w:r>
        <w:rPr>
          <w:rFonts w:ascii="宋体" w:hAnsi="宋体" w:eastAsia="宋体" w:cs="Times New Roman"/>
          <w:spacing w:val="-6"/>
          <w:szCs w:val="21"/>
        </w:rPr>
        <w:t>月（含）以后任意一月）</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3</w:t>
      </w:r>
      <w:r>
        <w:rPr>
          <w:rFonts w:hint="eastAsia" w:ascii="宋体" w:hAnsi="宋体" w:eastAsia="宋体" w:cs="Times New Roman"/>
          <w:spacing w:val="-6"/>
          <w:szCs w:val="21"/>
        </w:rPr>
        <w:t>）投标人同类合同一览表</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w:t>
      </w:r>
      <w:r>
        <w:rPr>
          <w:rFonts w:ascii="宋体" w:hAnsi="宋体" w:eastAsia="宋体" w:cs="宋体"/>
          <w:spacing w:val="-6"/>
          <w:szCs w:val="21"/>
        </w:rPr>
        <w:t>4</w:t>
      </w:r>
      <w:r>
        <w:rPr>
          <w:rFonts w:hint="eastAsia" w:ascii="宋体" w:hAnsi="宋体" w:eastAsia="宋体" w:cs="宋体"/>
          <w:spacing w:val="-6"/>
          <w:szCs w:val="21"/>
        </w:rPr>
        <w:t>）采购需求偏离表</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（5）服务方案</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（6）服务团队</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宋体"/>
          <w:spacing w:val="-6"/>
          <w:szCs w:val="21"/>
        </w:rPr>
      </w:pPr>
      <w:r>
        <w:rPr>
          <w:rFonts w:hint="eastAsia" w:ascii="宋体" w:hAnsi="宋体" w:eastAsia="宋体" w:cs="宋体"/>
          <w:spacing w:val="-6"/>
          <w:szCs w:val="21"/>
        </w:rPr>
        <w:t>（7</w:t>
      </w:r>
      <w:r>
        <w:rPr>
          <w:rFonts w:ascii="宋体" w:hAnsi="宋体" w:eastAsia="宋体" w:cs="宋体"/>
          <w:spacing w:val="-6"/>
          <w:szCs w:val="21"/>
        </w:rPr>
        <w:t>）投标人需要说明的其他文件和材料。</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b/>
          <w:spacing w:val="-6"/>
          <w:szCs w:val="21"/>
        </w:rPr>
      </w:pP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b/>
          <w:spacing w:val="-6"/>
          <w:szCs w:val="21"/>
        </w:rPr>
      </w:pPr>
      <w:r>
        <w:rPr>
          <w:rFonts w:ascii="宋体" w:hAnsi="宋体" w:eastAsia="宋体" w:cs="Times New Roman"/>
          <w:b/>
          <w:spacing w:val="-6"/>
          <w:szCs w:val="21"/>
        </w:rPr>
        <w:t>3.</w:t>
      </w:r>
      <w:r>
        <w:rPr>
          <w:rFonts w:hint="eastAsia" w:ascii="宋体" w:hAnsi="宋体" w:eastAsia="宋体" w:cs="Times New Roman"/>
          <w:b/>
          <w:spacing w:val="-6"/>
          <w:szCs w:val="21"/>
        </w:rPr>
        <w:t>报价文件</w:t>
      </w:r>
      <w:r>
        <w:rPr>
          <w:rFonts w:hint="eastAsia" w:ascii="宋体" w:hAnsi="宋体" w:eastAsia="宋体" w:cs="Times New Roman"/>
          <w:b/>
          <w:bCs/>
          <w:spacing w:val="-6"/>
          <w:szCs w:val="21"/>
        </w:rPr>
        <w:t>（单独上传）</w:t>
      </w:r>
    </w:p>
    <w:p>
      <w:pPr>
        <w:keepNext w:val="0"/>
        <w:keepLines w:val="0"/>
        <w:pageBreakBefore w:val="0"/>
        <w:kinsoku/>
        <w:wordWrap/>
        <w:topLinePunct w:val="0"/>
        <w:bidi w:val="0"/>
        <w:adjustRightInd w:val="0"/>
        <w:snapToGrid w:val="0"/>
        <w:spacing w:after="0" w:line="288" w:lineRule="auto"/>
        <w:ind w:firstLine="396" w:firstLineChars="200"/>
        <w:jc w:val="left"/>
        <w:rPr>
          <w:rFonts w:hint="eastAsia" w:ascii="宋体" w:hAnsi="宋体" w:eastAsia="宋体" w:cs="Times New Roman"/>
          <w:spacing w:val="-6"/>
          <w:szCs w:val="21"/>
        </w:rPr>
      </w:pPr>
      <w:r>
        <w:rPr>
          <w:rFonts w:hint="eastAsia" w:ascii="宋体" w:hAnsi="宋体" w:eastAsia="宋体" w:cs="Times New Roman"/>
          <w:spacing w:val="-6"/>
          <w:szCs w:val="21"/>
        </w:rPr>
        <w:t>（1）开标一览表</w:t>
      </w:r>
    </w:p>
    <w:p>
      <w:pPr>
        <w:keepNext w:val="0"/>
        <w:keepLines w:val="0"/>
        <w:pageBreakBefore w:val="0"/>
        <w:kinsoku/>
        <w:wordWrap/>
        <w:topLinePunct w:val="0"/>
        <w:bidi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br w:type="page"/>
      </w:r>
    </w:p>
    <w:p>
      <w:pPr>
        <w:keepNext w:val="0"/>
        <w:keepLines w:val="0"/>
        <w:pageBreakBefore w:val="0"/>
        <w:tabs>
          <w:tab w:val="center" w:pos="4706"/>
        </w:tabs>
        <w:kinsoku/>
        <w:wordWrap/>
        <w:topLinePunct w:val="0"/>
        <w:bidi w:val="0"/>
        <w:adjustRightInd w:val="0"/>
        <w:snapToGrid w:val="0"/>
        <w:spacing w:after="0" w:line="288" w:lineRule="auto"/>
        <w:jc w:val="center"/>
        <w:outlineLvl w:val="2"/>
        <w:rPr>
          <w:rFonts w:hint="eastAsia"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keepNext w:val="0"/>
              <w:keepLines w:val="0"/>
              <w:pageBreakBefore w:val="0"/>
              <w:tabs>
                <w:tab w:val="left" w:pos="1418"/>
              </w:tabs>
              <w:kinsoku/>
              <w:wordWrap/>
              <w:topLinePunct w:val="0"/>
              <w:bidi w:val="0"/>
              <w:adjustRightInd w:val="0"/>
              <w:snapToGrid w:val="0"/>
              <w:spacing w:after="0" w:line="288" w:lineRule="auto"/>
              <w:ind w:firstLine="398"/>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keepNext w:val="0"/>
              <w:keepLines w:val="0"/>
              <w:pageBreakBefore w:val="0"/>
              <w:tabs>
                <w:tab w:val="left" w:pos="1418"/>
              </w:tabs>
              <w:kinsoku/>
              <w:wordWrap/>
              <w:topLinePunct w:val="0"/>
              <w:bidi w:val="0"/>
              <w:adjustRightInd w:val="0"/>
              <w:snapToGrid w:val="0"/>
              <w:spacing w:after="0"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keepNext w:val="0"/>
              <w:keepLines w:val="0"/>
              <w:pageBreakBefore w:val="0"/>
              <w:tabs>
                <w:tab w:val="left" w:pos="1418"/>
              </w:tabs>
              <w:kinsoku/>
              <w:wordWrap/>
              <w:topLinePunct w:val="0"/>
              <w:bidi w:val="0"/>
              <w:adjustRightInd w:val="0"/>
              <w:snapToGrid w:val="0"/>
              <w:spacing w:after="0"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2" w:type="dxa"/>
            <w:vAlign w:val="center"/>
          </w:tcPr>
          <w:p>
            <w:pPr>
              <w:keepNext w:val="0"/>
              <w:keepLines w:val="0"/>
              <w:pageBreakBefore w:val="0"/>
              <w:tabs>
                <w:tab w:val="left" w:pos="1418"/>
              </w:tabs>
              <w:kinsoku/>
              <w:wordWrap/>
              <w:topLinePunct w:val="0"/>
              <w:bidi w:val="0"/>
              <w:adjustRightInd w:val="0"/>
              <w:snapToGrid w:val="0"/>
              <w:spacing w:after="0"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页码</w:t>
            </w:r>
          </w:p>
        </w:tc>
      </w:tr>
      <w:tr>
        <w:trPr>
          <w:trHeight w:val="454" w:hRule="atLeast"/>
        </w:trPr>
        <w:tc>
          <w:tcPr>
            <w:tcW w:w="9423" w:type="dxa"/>
            <w:gridSpan w:val="7"/>
            <w:vAlign w:val="center"/>
          </w:tcPr>
          <w:p>
            <w:pPr>
              <w:keepNext w:val="0"/>
              <w:keepLines w:val="0"/>
              <w:pageBreakBefore w:val="0"/>
              <w:tabs>
                <w:tab w:val="left" w:pos="1418"/>
              </w:tabs>
              <w:kinsoku/>
              <w:wordWrap/>
              <w:topLinePunct w:val="0"/>
              <w:bidi w:val="0"/>
              <w:adjustRightInd w:val="0"/>
              <w:snapToGrid w:val="0"/>
              <w:spacing w:after="0" w:line="288" w:lineRule="auto"/>
              <w:jc w:val="center"/>
              <w:rPr>
                <w:rFonts w:hint="eastAsia" w:ascii="宋体" w:hAnsi="宋体" w:eastAsia="宋体" w:cs="Times New Roman"/>
                <w:b/>
                <w:spacing w:val="-6"/>
                <w:kern w:val="0"/>
                <w:szCs w:val="21"/>
              </w:rPr>
            </w:pPr>
            <w:r>
              <w:rPr>
                <w:rFonts w:ascii="宋体" w:hAnsi="宋体" w:eastAsia="宋体" w:cs="Times New Roman"/>
                <w:b/>
                <w:spacing w:val="-6"/>
                <w:kern w:val="0"/>
                <w:szCs w:val="21"/>
              </w:rPr>
              <w:t>商务分</w:t>
            </w: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kern w:val="0"/>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kern w:val="0"/>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kern w:val="0"/>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kern w:val="0"/>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9423" w:type="dxa"/>
            <w:gridSpan w:val="7"/>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r>
        <w:trPr>
          <w:trHeight w:val="454" w:hRule="atLeast"/>
        </w:trPr>
        <w:tc>
          <w:tcPr>
            <w:tcW w:w="68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2091"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709"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3040"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c>
          <w:tcPr>
            <w:tcW w:w="967"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1053"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c>
          <w:tcPr>
            <w:tcW w:w="882" w:type="dxa"/>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spacing w:val="-6"/>
                <w:szCs w:val="21"/>
              </w:rPr>
            </w:pPr>
          </w:p>
        </w:tc>
      </w:tr>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widowControl/>
        <w:kinsoku/>
        <w:wordWrap/>
        <w:topLinePunct w:val="0"/>
        <w:bidi w:val="0"/>
        <w:spacing w:after="0" w:line="288" w:lineRule="auto"/>
        <w:jc w:val="left"/>
        <w:rPr>
          <w:rFonts w:hint="eastAsia" w:ascii="宋体" w:hAnsi="宋体" w:eastAsia="宋体" w:cs="Times New Roman"/>
          <w:spacing w:val="-6"/>
          <w:szCs w:val="21"/>
        </w:rPr>
        <w:sectPr>
          <w:footerReference r:id="rId8"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pacing w:val="-6"/>
          <w:szCs w:val="21"/>
        </w:rPr>
        <w:t>备注：本表仅为方便评标委员会评审使用，不作为判别投标文件是否有效的依据。</w:t>
      </w:r>
    </w:p>
    <w:p>
      <w:pPr>
        <w:keepNext w:val="0"/>
        <w:keepLines w:val="0"/>
        <w:pageBreakBefore w:val="0"/>
        <w:kinsoku/>
        <w:wordWrap/>
        <w:topLinePunct w:val="0"/>
        <w:bidi w:val="0"/>
        <w:adjustRightInd w:val="0"/>
        <w:snapToGrid w:val="0"/>
        <w:spacing w:after="0"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 w:val="24"/>
          <w:szCs w:val="24"/>
        </w:rPr>
      </w:pP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 w:val="24"/>
          <w:szCs w:val="24"/>
        </w:rPr>
      </w:pP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资格审查要求的资格证明材料(均需加盖公章)</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kinsoku/>
        <w:wordWrap/>
        <w:topLinePunct w:val="0"/>
        <w:bidi w:val="0"/>
        <w:adjustRightInd w:val="0"/>
        <w:snapToGrid w:val="0"/>
        <w:spacing w:after="0"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keepNext w:val="0"/>
        <w:keepLines w:val="0"/>
        <w:pageBreakBefore w:val="0"/>
        <w:kinsoku/>
        <w:wordWrap/>
        <w:topLinePunct w:val="0"/>
        <w:bidi w:val="0"/>
        <w:adjustRightInd w:val="0"/>
        <w:snapToGrid w:val="0"/>
        <w:spacing w:after="0"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keepNext w:val="0"/>
        <w:keepLines w:val="0"/>
        <w:pageBreakBefore w:val="0"/>
        <w:kinsoku/>
        <w:wordWrap/>
        <w:topLinePunct w:val="0"/>
        <w:bidi w:val="0"/>
        <w:adjustRightInd w:val="0"/>
        <w:snapToGrid w:val="0"/>
        <w:spacing w:after="0"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keepNext w:val="0"/>
        <w:keepLines w:val="0"/>
        <w:pageBreakBefore w:val="0"/>
        <w:kinsoku/>
        <w:wordWrap/>
        <w:topLinePunct w:val="0"/>
        <w:bidi w:val="0"/>
        <w:adjustRightInd w:val="0"/>
        <w:snapToGrid w:val="0"/>
        <w:spacing w:after="0"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keepNext w:val="0"/>
        <w:keepLines w:val="0"/>
        <w:pageBreakBefore w:val="0"/>
        <w:kinsoku/>
        <w:wordWrap/>
        <w:topLinePunct w:val="0"/>
        <w:bidi w:val="0"/>
        <w:adjustRightInd w:val="0"/>
        <w:snapToGrid w:val="0"/>
        <w:spacing w:after="0"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keepNext w:val="0"/>
        <w:keepLines w:val="0"/>
        <w:pageBreakBefore w:val="0"/>
        <w:kinsoku/>
        <w:wordWrap/>
        <w:topLinePunct w:val="0"/>
        <w:bidi w:val="0"/>
        <w:adjustRightInd w:val="0"/>
        <w:snapToGrid w:val="0"/>
        <w:spacing w:after="0" w:line="288" w:lineRule="auto"/>
        <w:ind w:left="396" w:hanging="396" w:hangingChars="200"/>
        <w:rPr>
          <w:rFonts w:hint="eastAsia"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浙江省公安科技研究所</w:t>
      </w:r>
      <w:r>
        <w:rPr>
          <w:rFonts w:hint="eastAsia" w:ascii="宋体" w:hAnsi="宋体" w:eastAsia="宋体" w:cs="Times New Roman"/>
          <w:b/>
          <w:bCs/>
          <w:spacing w:val="-6"/>
          <w:szCs w:val="21"/>
        </w:rPr>
        <w:t>、浙江求是招标代理有限公司</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lang w:eastAsia="zh-CN"/>
        </w:rPr>
        <w:t>浙江省看守所智能化系统维保项目（2024年度）</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三、不存在以下情况：</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p>
    <w:p>
      <w:pPr>
        <w:keepNext w:val="0"/>
        <w:keepLines w:val="0"/>
        <w:pageBreakBefore w:val="0"/>
        <w:numPr>
          <w:ilvl w:val="0"/>
          <w:numId w:val="4"/>
        </w:numPr>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br w:type="page"/>
      </w:r>
      <w:r>
        <w:rPr>
          <w:rFonts w:ascii="宋体" w:hAnsi="宋体" w:eastAsia="宋体" w:cs="宋体"/>
          <w:b/>
          <w:spacing w:val="-6"/>
          <w:szCs w:val="21"/>
        </w:rPr>
        <w:t>落实政府采购政策需满足的资格要求</w:t>
      </w: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keepNext w:val="0"/>
        <w:keepLines w:val="0"/>
        <w:pageBreakBefore w:val="0"/>
        <w:kinsoku/>
        <w:wordWrap/>
        <w:topLinePunct w:val="0"/>
        <w:bidi w:val="0"/>
        <w:adjustRightInd w:val="0"/>
        <w:snapToGrid w:val="0"/>
        <w:spacing w:after="0" w:line="288" w:lineRule="auto"/>
        <w:ind w:firstLine="496" w:firstLineChars="236"/>
        <w:rPr>
          <w:rFonts w:hint="eastAsia" w:ascii="宋体" w:hAnsi="宋体" w:eastAsia="宋体" w:cs="Times New Roman"/>
          <w:b/>
          <w:szCs w:val="21"/>
        </w:rPr>
      </w:pP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u w:val="single"/>
        </w:rPr>
        <w:t>浙江省公安科技研究所</w:t>
      </w:r>
      <w:r>
        <w:rPr>
          <w:rFonts w:ascii="宋体" w:hAnsi="宋体" w:eastAsia="宋体" w:cs="Times New Roman"/>
          <w:szCs w:val="21"/>
        </w:rPr>
        <w:t>的</w:t>
      </w:r>
      <w:r>
        <w:rPr>
          <w:rFonts w:hint="eastAsia" w:ascii="宋体" w:hAnsi="宋体" w:eastAsia="宋体" w:cs="Times New Roman"/>
          <w:szCs w:val="21"/>
          <w:lang w:eastAsia="zh-CN"/>
        </w:rPr>
        <w:t>浙江省看守所智能化系统维保项目（2024年度）</w:t>
      </w:r>
      <w:r>
        <w:rPr>
          <w:rFonts w:ascii="宋体" w:hAnsi="宋体" w:eastAsia="宋体" w:cs="Times New Roman"/>
          <w:szCs w:val="21"/>
        </w:rPr>
        <w:t>采购活动，服务全部由符合政策要求的中小企业承接。相关企业（含联合体中的中小企业、签订分包意向协议的中小企业）的具体情况如下：</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i/>
          <w:szCs w:val="21"/>
          <w:u w:val="single"/>
        </w:rPr>
      </w:pPr>
      <w:r>
        <w:rPr>
          <w:rFonts w:hint="eastAsia" w:ascii="宋体" w:hAnsi="宋体" w:eastAsia="宋体" w:cs="Times New Roman"/>
          <w:i/>
          <w:szCs w:val="21"/>
          <w:u w:val="single"/>
        </w:rPr>
        <w:t>1</w:t>
      </w:r>
      <w:r>
        <w:rPr>
          <w:rFonts w:ascii="宋体" w:hAnsi="宋体" w:eastAsia="宋体" w:cs="Times New Roman"/>
          <w:i/>
          <w:szCs w:val="21"/>
          <w:u w:val="single"/>
        </w:rPr>
        <w:t>.（标的名称），属于（</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hint="eastAsia" w:ascii="宋体" w:hAnsi="宋体" w:eastAsia="宋体" w:cs="Times New Roman"/>
          <w:i/>
          <w:szCs w:val="21"/>
          <w:u w:val="single"/>
        </w:rPr>
        <w:t>2</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rPr>
        <w:t>（</w:t>
      </w:r>
      <w:r>
        <w:rPr>
          <w:rFonts w:hint="eastAsia" w:ascii="宋体" w:hAnsi="宋体" w:eastAsia="宋体" w:cs="Times New Roman"/>
          <w:i/>
          <w:szCs w:val="21"/>
          <w:u w:val="single"/>
        </w:rPr>
        <w:t>软件和信息技术服务业</w:t>
      </w:r>
      <w:r>
        <w:rPr>
          <w:rFonts w:ascii="宋体" w:hAnsi="宋体" w:eastAsia="宋体" w:cs="Times New Roman"/>
          <w:i/>
          <w:szCs w:val="21"/>
          <w:u w:val="single"/>
        </w:rPr>
        <w:t>）</w:t>
      </w:r>
      <w:r>
        <w:rPr>
          <w:rFonts w:ascii="宋体" w:hAnsi="宋体" w:eastAsia="宋体" w:cs="Times New Roman"/>
          <w:szCs w:val="21"/>
        </w:rPr>
        <w:t>；承建（承接）企业为</w:t>
      </w:r>
      <w:r>
        <w:rPr>
          <w:rFonts w:ascii="宋体" w:hAnsi="宋体" w:eastAsia="宋体" w:cs="Times New Roman"/>
          <w:i/>
          <w:szCs w:val="21"/>
          <w:u w:val="single"/>
        </w:rPr>
        <w:t>（企业名称）</w:t>
      </w:r>
      <w:r>
        <w:rPr>
          <w:rFonts w:ascii="宋体" w:hAnsi="宋体" w:eastAsia="宋体" w:cs="Times New Roman"/>
          <w:szCs w:val="21"/>
        </w:rPr>
        <w:t>，从业人员</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人，营业收入为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万元，资产总额为</w:t>
      </w:r>
      <w:r>
        <w:rPr>
          <w:rFonts w:ascii="宋体" w:hAnsi="宋体" w:eastAsia="宋体" w:cs="Times New Roman"/>
          <w:szCs w:val="21"/>
          <w:u w:val="single"/>
        </w:rPr>
        <w:t xml:space="preserve"> </w:t>
      </w:r>
      <w:r>
        <w:rPr>
          <w:rFonts w:ascii="宋体" w:hAnsi="宋体" w:eastAsia="宋体" w:cs="Times New Roman"/>
          <w:szCs w:val="21"/>
          <w:u w:val="single"/>
        </w:rPr>
        <w:tab/>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企业名称（盖章）：</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日期：</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hint="eastAsia" w:ascii="宋体" w:hAnsi="宋体" w:eastAsia="宋体" w:cs="Times New Roman"/>
          <w:szCs w:val="21"/>
        </w:rPr>
        <w:t>注：</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.供应商提供《中小企业声明函》内容不实的，属于提供虚假材料谋取中标、成交，依照《中华人民共和国政府采购法》等国家有关规定追究相应责任。</w:t>
      </w:r>
    </w:p>
    <w:p>
      <w:pPr>
        <w:keepNext w:val="0"/>
        <w:keepLines w:val="0"/>
        <w:pageBreakBefore w:val="0"/>
        <w:kinsoku/>
        <w:wordWrap/>
        <w:topLinePunct w:val="0"/>
        <w:bidi w:val="0"/>
        <w:adjustRightInd w:val="0"/>
        <w:snapToGrid w:val="0"/>
        <w:spacing w:after="0" w:line="288" w:lineRule="auto"/>
        <w:ind w:firstLine="495" w:firstLineChars="236"/>
        <w:rPr>
          <w:rFonts w:hint="eastAsia" w:ascii="宋体" w:hAnsi="宋体" w:eastAsia="宋体"/>
          <w:u w:val="single"/>
        </w:rPr>
      </w:pPr>
      <w:r>
        <w:rPr>
          <w:rFonts w:ascii="宋体" w:hAnsi="宋体" w:eastAsia="宋体" w:cs="Times New Roman"/>
          <w:szCs w:val="21"/>
          <w:u w:val="single"/>
        </w:rPr>
        <w:t>5.</w:t>
      </w:r>
      <w:r>
        <w:rPr>
          <w:rFonts w:hint="eastAsia" w:ascii="宋体" w:hAnsi="宋体" w:eastAsia="宋体" w:cs="Times New Roman"/>
          <w:szCs w:val="21"/>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u w:val="single"/>
        </w:rPr>
        <w:t>不享受中小企业扶持政策。</w:t>
      </w:r>
    </w:p>
    <w:p>
      <w:pPr>
        <w:keepNext w:val="0"/>
        <w:keepLines w:val="0"/>
        <w:pageBreakBefore w:val="0"/>
        <w:kinsoku/>
        <w:wordWrap/>
        <w:topLinePunct w:val="0"/>
        <w:bidi w:val="0"/>
        <w:adjustRightInd w:val="0"/>
        <w:snapToGrid w:val="0"/>
        <w:spacing w:after="0" w:line="288" w:lineRule="auto"/>
        <w:ind w:firstLine="420" w:firstLineChars="200"/>
        <w:jc w:val="left"/>
        <w:outlineLvl w:val="2"/>
        <w:rPr>
          <w:rFonts w:hint="eastAsia" w:ascii="宋体" w:hAnsi="宋体" w:eastAsia="宋体" w:cs="Times New Roman"/>
          <w:szCs w:val="21"/>
          <w:u w:val="single"/>
        </w:rPr>
        <w:sectPr>
          <w:footerReference r:id="rId9" w:type="default"/>
          <w:pgSz w:w="11906" w:h="16838"/>
          <w:pgMar w:top="1247" w:right="1247" w:bottom="1247" w:left="1247" w:header="0" w:footer="694" w:gutter="0"/>
          <w:pgNumType w:start="1"/>
          <w:cols w:space="720" w:num="1"/>
          <w:docGrid w:linePitch="381" w:charSpace="0"/>
        </w:sectPr>
      </w:pPr>
      <w:r>
        <w:rPr>
          <w:rFonts w:hint="eastAsia" w:ascii="宋体" w:hAnsi="宋体" w:eastAsia="宋体" w:cs="Times New Roman"/>
          <w:szCs w:val="21"/>
          <w:u w:val="single"/>
        </w:rPr>
        <w:t>6</w:t>
      </w:r>
      <w:r>
        <w:rPr>
          <w:rFonts w:ascii="宋体" w:hAnsi="宋体" w:eastAsia="宋体" w:cs="Times New Roman"/>
          <w:szCs w:val="21"/>
          <w:u w:val="single"/>
        </w:rPr>
        <w:t>.如项目包含“多件”标的物的，需按标的物项数逐项填写。</w:t>
      </w: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kern w:val="0"/>
          <w:szCs w:val="21"/>
        </w:rPr>
      </w:pPr>
      <w:r>
        <w:rPr>
          <w:rFonts w:hint="eastAsia" w:ascii="宋体" w:hAnsi="宋体" w:eastAsia="宋体" w:cs="宋体"/>
          <w:b/>
          <w:spacing w:val="-6"/>
          <w:szCs w:val="21"/>
        </w:rPr>
        <w:t>属于监狱企业的证明文件（若属于监狱企业）</w:t>
      </w: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kern w:val="0"/>
          <w:szCs w:val="21"/>
        </w:rPr>
      </w:pPr>
    </w:p>
    <w:p>
      <w:pPr>
        <w:keepNext w:val="0"/>
        <w:keepLines w:val="0"/>
        <w:pageBreakBefore w:val="0"/>
        <w:kinsoku/>
        <w:wordWrap/>
        <w:topLinePunct w:val="0"/>
        <w:bidi w:val="0"/>
        <w:adjustRightInd w:val="0"/>
        <w:snapToGrid w:val="0"/>
        <w:spacing w:after="0" w:line="288" w:lineRule="auto"/>
        <w:ind w:firstLine="372" w:firstLineChars="177"/>
        <w:rPr>
          <w:rFonts w:hint="eastAsia" w:ascii="宋体" w:hAnsi="宋体" w:eastAsia="宋体"/>
          <w:b/>
          <w:bCs/>
          <w:szCs w:val="21"/>
        </w:rPr>
      </w:pPr>
      <w:r>
        <w:rPr>
          <w:rFonts w:hint="eastAsia" w:ascii="宋体" w:hAnsi="宋体" w:eastAsia="宋体" w:cs="宋体"/>
          <w:b/>
          <w:bCs/>
          <w:kern w:val="0"/>
          <w:szCs w:val="21"/>
        </w:rPr>
        <w:t>监狱企业参加政府采购活动时，应当提供由省级以上监狱管理局、戒毒管理局（含新疆生产建设兵团）出具的属于监狱企业的证明文件。</w:t>
      </w:r>
    </w:p>
    <w:p>
      <w:pPr>
        <w:keepNext w:val="0"/>
        <w:keepLines w:val="0"/>
        <w:pageBreakBefore w:val="0"/>
        <w:kinsoku/>
        <w:wordWrap/>
        <w:topLinePunct w:val="0"/>
        <w:bidi w:val="0"/>
        <w:adjustRightInd w:val="0"/>
        <w:snapToGrid w:val="0"/>
        <w:spacing w:after="0" w:line="288" w:lineRule="auto"/>
        <w:rPr>
          <w:rFonts w:hint="eastAsia" w:ascii="宋体" w:hAnsi="宋体" w:eastAsia="宋体"/>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b/>
          <w:bCs/>
          <w:szCs w:val="21"/>
        </w:rPr>
      </w:pPr>
      <w:r>
        <w:rPr>
          <w:rFonts w:hint="eastAsia" w:ascii="宋体" w:hAnsi="宋体" w:eastAsia="宋体"/>
          <w:b/>
          <w:bCs/>
          <w:szCs w:val="21"/>
        </w:rPr>
        <w:t>说明：</w:t>
      </w:r>
    </w:p>
    <w:p>
      <w:pPr>
        <w:keepNext w:val="0"/>
        <w:keepLines w:val="0"/>
        <w:pageBreakBefore w:val="0"/>
        <w:widowControl/>
        <w:shd w:val="clear" w:color="auto" w:fill="FFFFFF"/>
        <w:kinsoku/>
        <w:wordWrap/>
        <w:topLinePunct w:val="0"/>
        <w:bidi w:val="0"/>
        <w:adjustRightInd w:val="0"/>
        <w:snapToGrid w:val="0"/>
        <w:spacing w:after="0"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keepNext w:val="0"/>
        <w:keepLines w:val="0"/>
        <w:pageBreakBefore w:val="0"/>
        <w:widowControl/>
        <w:shd w:val="clear" w:color="auto" w:fill="FFFFFF"/>
        <w:kinsoku/>
        <w:wordWrap/>
        <w:topLinePunct w:val="0"/>
        <w:bidi w:val="0"/>
        <w:adjustRightInd w:val="0"/>
        <w:snapToGrid w:val="0"/>
        <w:spacing w:after="0" w:line="288" w:lineRule="auto"/>
        <w:ind w:firstLine="371" w:firstLineChars="177"/>
        <w:jc w:val="left"/>
        <w:rPr>
          <w:rFonts w:hint="eastAsia" w:ascii="宋体" w:hAnsi="宋体" w:eastAsia="宋体" w:cs="宋体"/>
          <w:kern w:val="0"/>
          <w:szCs w:val="21"/>
        </w:rPr>
      </w:pPr>
      <w:r>
        <w:rPr>
          <w:rFonts w:hint="eastAsia" w:ascii="宋体" w:hAnsi="宋体" w:eastAsia="宋体" w:cs="宋体"/>
          <w:kern w:val="0"/>
          <w:szCs w:val="21"/>
        </w:rPr>
        <w:t>二、在政府采购活动中，监狱企业视同小型、微型企业，享受预留份额、评审中价格扣除等政府采购促进中小企业发展的政府采购政策。</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残疾人福利性单位声明函（若属于残疾人福利性单位）</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p>
    <w:p>
      <w:pPr>
        <w:keepNext w:val="0"/>
        <w:keepLines w:val="0"/>
        <w:pageBreakBefore w:val="0"/>
        <w:kinsoku/>
        <w:wordWrap/>
        <w:topLinePunct w:val="0"/>
        <w:bidi w:val="0"/>
        <w:adjustRightInd w:val="0"/>
        <w:snapToGrid w:val="0"/>
        <w:spacing w:after="0"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〔2017〕 141</w:t>
      </w:r>
      <w:r>
        <w:rPr>
          <w:rFonts w:hint="eastAsia" w:ascii="宋体" w:hAnsi="宋体" w:eastAsia="宋体" w:cs="Times New Roman"/>
          <w:spacing w:val="6"/>
          <w:szCs w:val="21"/>
        </w:rPr>
        <w:t>号）的规定，</w:t>
      </w:r>
      <w:r>
        <w:rPr>
          <w:rFonts w:hint="eastAsia" w:ascii="宋体" w:hAnsi="宋体" w:eastAsia="宋体" w:cs="Times New Roman"/>
          <w:b/>
          <w:bCs/>
          <w:spacing w:val="6"/>
          <w:szCs w:val="21"/>
        </w:rPr>
        <w:t>本单位为符合条件的残疾人福利性单位</w:t>
      </w:r>
      <w:r>
        <w:rPr>
          <w:rFonts w:hint="eastAsia" w:ascii="宋体" w:hAnsi="宋体" w:eastAsia="宋体" w:cs="Times New Roman"/>
          <w:spacing w:val="6"/>
          <w:szCs w:val="21"/>
        </w:rPr>
        <w:t>，且本单位参加______（采购人）单位的______（项目名称）项目采购活动由本单位提供服务。</w:t>
      </w:r>
    </w:p>
    <w:p>
      <w:pPr>
        <w:keepNext w:val="0"/>
        <w:keepLines w:val="0"/>
        <w:pageBreakBefore w:val="0"/>
        <w:kinsoku/>
        <w:wordWrap/>
        <w:topLinePunct w:val="0"/>
        <w:bidi w:val="0"/>
        <w:adjustRightInd w:val="0"/>
        <w:snapToGrid w:val="0"/>
        <w:spacing w:after="0" w:line="288" w:lineRule="auto"/>
        <w:ind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本单位对上述声明的真实性负责。如有虚假，将依法承担相应责任。</w:t>
      </w:r>
    </w:p>
    <w:p>
      <w:pPr>
        <w:keepNext w:val="0"/>
        <w:keepLines w:val="0"/>
        <w:pageBreakBefore w:val="0"/>
        <w:tabs>
          <w:tab w:val="left" w:pos="4860"/>
        </w:tabs>
        <w:kinsoku/>
        <w:wordWrap/>
        <w:topLinePunct w:val="0"/>
        <w:bidi w:val="0"/>
        <w:adjustRightInd w:val="0"/>
        <w:snapToGrid w:val="0"/>
        <w:spacing w:after="0"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单位名称（盖章）：</w:t>
      </w:r>
    </w:p>
    <w:p>
      <w:pPr>
        <w:keepNext w:val="0"/>
        <w:keepLines w:val="0"/>
        <w:pageBreakBefore w:val="0"/>
        <w:tabs>
          <w:tab w:val="left" w:pos="4860"/>
        </w:tabs>
        <w:kinsoku/>
        <w:wordWrap/>
        <w:topLinePunct w:val="0"/>
        <w:bidi w:val="0"/>
        <w:adjustRightInd w:val="0"/>
        <w:snapToGrid w:val="0"/>
        <w:spacing w:after="0" w:line="288" w:lineRule="auto"/>
        <w:ind w:right="1560" w:firstLine="444" w:firstLineChars="200"/>
        <w:rPr>
          <w:rFonts w:hint="eastAsia" w:ascii="宋体" w:hAnsi="宋体" w:eastAsia="宋体" w:cs="Times New Roman"/>
          <w:spacing w:val="6"/>
          <w:szCs w:val="21"/>
        </w:rPr>
      </w:pPr>
      <w:r>
        <w:rPr>
          <w:rFonts w:hint="eastAsia" w:ascii="宋体" w:hAnsi="宋体" w:eastAsia="宋体" w:cs="Times New Roman"/>
          <w:spacing w:val="6"/>
          <w:szCs w:val="21"/>
        </w:rPr>
        <w:t>日  期：</w:t>
      </w:r>
    </w:p>
    <w:p>
      <w:pPr>
        <w:keepNext w:val="0"/>
        <w:keepLines w:val="0"/>
        <w:pageBreakBefore w:val="0"/>
        <w:kinsoku/>
        <w:wordWrap/>
        <w:topLinePunct w:val="0"/>
        <w:bidi w:val="0"/>
        <w:adjustRightInd w:val="0"/>
        <w:snapToGrid w:val="0"/>
        <w:spacing w:after="0" w:line="288" w:lineRule="auto"/>
        <w:rPr>
          <w:rFonts w:hint="eastAsia" w:ascii="宋体" w:hAnsi="宋体" w:eastAsia="宋体"/>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b/>
          <w:bCs/>
          <w:szCs w:val="21"/>
        </w:rPr>
      </w:pPr>
      <w:r>
        <w:rPr>
          <w:rFonts w:hint="eastAsia" w:ascii="宋体" w:hAnsi="宋体" w:eastAsia="宋体"/>
          <w:b/>
          <w:bCs/>
          <w:szCs w:val="21"/>
        </w:rPr>
        <w:t>说明：</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一、享受政府采购支持政策的残疾人福利性单位应当同时满足以下条件：</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（一）安置的残疾人占本单位在职职工人数的比例不低于25%（含25%），并且安置的残疾人人数不少于10人（含10人）；</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（二）依法与安置的每位残疾人签订了一年以上（含一年）的劳动合同或服务协议；</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（三）为安置的每位残疾人按月足额缴纳了基本养老保险、基本医疗保险、失业保险、工伤保险和生育保险等社会保险费；</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22"/>
        <w:keepNext w:val="0"/>
        <w:keepLines w:val="0"/>
        <w:pageBreakBefore w:val="0"/>
        <w:shd w:val="clear" w:color="auto" w:fill="FFFFFF"/>
        <w:kinsoku/>
        <w:wordWrap/>
        <w:topLinePunct w:val="0"/>
        <w:bidi w:val="0"/>
        <w:adjustRightInd w:val="0"/>
        <w:snapToGrid w:val="0"/>
        <w:spacing w:before="0" w:beforeAutospacing="0" w:after="0" w:afterAutospacing="0" w:line="288" w:lineRule="auto"/>
        <w:ind w:firstLine="371" w:firstLineChars="177"/>
        <w:rPr>
          <w:rFonts w:hint="eastAsia"/>
          <w:sz w:val="21"/>
          <w:szCs w:val="21"/>
        </w:rPr>
      </w:pPr>
      <w:r>
        <w:rPr>
          <w:rFonts w:hint="eastAsia"/>
          <w:sz w:val="21"/>
          <w:szCs w:val="21"/>
        </w:rPr>
        <w:t>三、在政府采购活动中，残疾人福利性单位视同小型、微型企业，享受预留份额、评审中价格扣除等促进中小企业发展的政府采购政策。</w:t>
      </w:r>
    </w:p>
    <w:p>
      <w:pPr>
        <w:keepNext w:val="0"/>
        <w:keepLines w:val="0"/>
        <w:pageBreakBefore w:val="0"/>
        <w:kinsoku/>
        <w:wordWrap/>
        <w:topLinePunct w:val="0"/>
        <w:bidi w:val="0"/>
        <w:adjustRightInd w:val="0"/>
        <w:snapToGrid w:val="0"/>
        <w:spacing w:after="0" w:line="288" w:lineRule="auto"/>
        <w:jc w:val="left"/>
        <w:outlineLvl w:val="2"/>
        <w:rPr>
          <w:rFonts w:hint="eastAsia" w:ascii="宋体" w:hAnsi="宋体" w:eastAsia="宋体" w:cs="宋体"/>
          <w:b/>
          <w:spacing w:val="-6"/>
          <w:szCs w:val="21"/>
        </w:rPr>
      </w:pPr>
      <w:r>
        <w:rPr>
          <w:rFonts w:hint="eastAsia" w:ascii="宋体" w:hAnsi="宋体" w:eastAsia="宋体" w:cs="Times New Roman"/>
          <w:kern w:val="0"/>
          <w:szCs w:val="21"/>
        </w:rPr>
        <w:t>残疾人福利性单位属于小型、微型企业的，不重复享受政策。</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p>
    <w:p>
      <w:pPr>
        <w:keepNext w:val="0"/>
        <w:keepLines w:val="0"/>
        <w:pageBreakBefore w:val="0"/>
        <w:kinsoku/>
        <w:wordWrap/>
        <w:topLinePunct w:val="0"/>
        <w:bidi w:val="0"/>
        <w:spacing w:after="0" w:line="288" w:lineRule="auto"/>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br w:type="page"/>
      </w:r>
    </w:p>
    <w:p>
      <w:pPr>
        <w:keepNext w:val="0"/>
        <w:keepLines w:val="0"/>
        <w:pageBreakBefore w:val="0"/>
        <w:kinsoku/>
        <w:wordWrap/>
        <w:overflowPunct w:val="0"/>
        <w:topLinePunct w:val="0"/>
        <w:bidi w:val="0"/>
        <w:adjustRightInd w:val="0"/>
        <w:snapToGrid w:val="0"/>
        <w:spacing w:after="0" w:line="288" w:lineRule="auto"/>
        <w:jc w:val="center"/>
        <w:outlineLvl w:val="1"/>
        <w:rPr>
          <w:rFonts w:hint="eastAsia"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（1）投标函</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浙江省公安科技研究所</w:t>
      </w:r>
      <w:r>
        <w:rPr>
          <w:rFonts w:hint="eastAsia" w:ascii="宋体" w:hAnsi="宋体" w:eastAsia="宋体" w:cs="Times New Roman"/>
          <w:b/>
          <w:bCs/>
          <w:spacing w:val="-6"/>
          <w:szCs w:val="21"/>
        </w:rPr>
        <w:t>、浙江求是招标代理有限公司</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highlight w:val="cyan"/>
        </w:rPr>
      </w:pP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浙江省公安科技研究所浙江省看守所智能化系统维保项目（2024年度）</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highlight w:val="none"/>
          <w:u w:val="single"/>
          <w:lang w:eastAsia="zh-CN"/>
        </w:rPr>
        <w:t xml:space="preserve">QSZB-Z(F)-A24425(GK) </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tc>
          <w:tcPr>
            <w:tcW w:w="2122"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r>
      <w:tr>
        <w:tc>
          <w:tcPr>
            <w:tcW w:w="2122"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r>
      <w:tr>
        <w:tc>
          <w:tcPr>
            <w:tcW w:w="2122"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r>
      <w:tr>
        <w:tc>
          <w:tcPr>
            <w:tcW w:w="2122"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r>
      <w:tr>
        <w:tc>
          <w:tcPr>
            <w:tcW w:w="2122"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r>
      <w:tr>
        <w:tc>
          <w:tcPr>
            <w:tcW w:w="2122"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r>
      <w:tr>
        <w:tc>
          <w:tcPr>
            <w:tcW w:w="2122"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tc>
      </w:tr>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kinsoku/>
        <w:wordWrap/>
        <w:topLinePunct w:val="0"/>
        <w:bidi w:val="0"/>
        <w:adjustRightInd w:val="0"/>
        <w:snapToGrid w:val="0"/>
        <w:spacing w:after="0" w:line="288" w:lineRule="auto"/>
        <w:ind w:firstLine="496" w:firstLineChars="236"/>
        <w:jc w:val="center"/>
        <w:outlineLvl w:val="2"/>
        <w:rPr>
          <w:rFonts w:hint="eastAsia"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浙江省公安科技研究所</w:t>
      </w:r>
      <w:r>
        <w:rPr>
          <w:rFonts w:hint="eastAsia" w:ascii="宋体" w:hAnsi="宋体" w:eastAsia="宋体" w:cs="Times New Roman"/>
          <w:b/>
          <w:spacing w:val="-6"/>
          <w:szCs w:val="21"/>
        </w:rPr>
        <w:t>、浙江求是招标代理有限公司</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spacing w:val="-6"/>
          <w:szCs w:val="21"/>
          <w:lang w:eastAsia="zh-CN"/>
        </w:rPr>
        <w:t>浙江省公安科技研究所浙江省看守所智能化系统维保项目（2024年度）</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highlight w:val="none"/>
          <w:lang w:eastAsia="zh-CN"/>
        </w:rPr>
        <w:t xml:space="preserve">QSZB-Z(F)-A24425(GK) </w:t>
      </w:r>
      <w:r>
        <w:rPr>
          <w:rFonts w:hint="eastAsia" w:ascii="宋体" w:hAnsi="宋体" w:eastAsia="宋体" w:cs="Times New Roman"/>
          <w:bCs/>
          <w:spacing w:val="-6"/>
          <w:szCs w:val="21"/>
          <w:highlight w:val="none"/>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keepNext w:val="0"/>
        <w:keepLines w:val="0"/>
        <w:pageBreakBefore w:val="0"/>
        <w:kinsoku/>
        <w:wordWrap/>
        <w:topLinePunct w:val="0"/>
        <w:bidi w:val="0"/>
        <w:adjustRightInd w:val="0"/>
        <w:snapToGrid w:val="0"/>
        <w:spacing w:after="0"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keepNext w:val="0"/>
        <w:keepLines w:val="0"/>
        <w:pageBreakBefore w:val="0"/>
        <w:kinsoku/>
        <w:wordWrap/>
        <w:topLinePunct w:val="0"/>
        <w:bidi w:val="0"/>
        <w:adjustRightInd w:val="0"/>
        <w:snapToGrid w:val="0"/>
        <w:spacing w:after="0" w:line="288" w:lineRule="auto"/>
        <w:ind w:firstLine="368" w:firstLineChars="186"/>
        <w:rPr>
          <w:rFonts w:hint="eastAsia"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▲提供授权代表社保缴纳证明（2023年6月（含）以后任意一月）。</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r>
        <w:rPr>
          <w:rFonts w:hint="eastAsia" w:ascii="宋体" w:hAnsi="宋体" w:eastAsia="宋体" w:cs="Times New Roman"/>
          <w:szCs w:val="21"/>
        </w:rPr>
        <w:t>注：</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keepNext w:val="0"/>
        <w:keepLines w:val="0"/>
        <w:pageBreakBefore w:val="0"/>
        <w:kinsoku/>
        <w:wordWrap/>
        <w:topLinePunct w:val="0"/>
        <w:bidi w:val="0"/>
        <w:adjustRightInd w:val="0"/>
        <w:snapToGrid w:val="0"/>
        <w:spacing w:after="0" w:line="288" w:lineRule="auto"/>
        <w:ind w:firstLine="495" w:firstLineChars="236"/>
        <w:jc w:val="center"/>
        <w:rPr>
          <w:rFonts w:hint="eastAsia"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Times New Roman"/>
          <w:szCs w:val="21"/>
        </w:rPr>
      </w:pPr>
      <w:r>
        <w:rPr>
          <w:rFonts w:hint="eastAsia" w:ascii="宋体" w:hAnsi="宋体" w:eastAsia="宋体" w:cs="宋体"/>
          <w:bCs/>
          <w:szCs w:val="21"/>
        </w:rPr>
        <w:t>身份证件复印件</w:t>
      </w:r>
    </w:p>
    <w:tbl>
      <w:tblPr>
        <w:tblStyle w:val="1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rPr>
          <w:trHeight w:val="3039" w:hRule="atLeast"/>
        </w:trPr>
        <w:tc>
          <w:tcPr>
            <w:tcW w:w="4814"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Cs/>
                <w:szCs w:val="21"/>
              </w:rPr>
            </w:pPr>
            <w:r>
              <w:rPr>
                <w:rFonts w:hint="eastAsia" w:ascii="宋体" w:hAnsi="宋体" w:eastAsia="宋体" w:cs="宋体"/>
                <w:bCs/>
                <w:szCs w:val="21"/>
              </w:rPr>
              <w:t>正面：</w:t>
            </w:r>
          </w:p>
        </w:tc>
        <w:tc>
          <w:tcPr>
            <w:tcW w:w="4814" w:type="dxa"/>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Cs/>
                <w:szCs w:val="21"/>
              </w:rPr>
            </w:pPr>
            <w:r>
              <w:rPr>
                <w:rFonts w:hint="eastAsia" w:ascii="宋体" w:hAnsi="宋体" w:eastAsia="宋体" w:cs="宋体"/>
                <w:bCs/>
                <w:szCs w:val="21"/>
              </w:rPr>
              <w:t>反面：</w:t>
            </w:r>
          </w:p>
        </w:tc>
      </w:tr>
    </w:tbl>
    <w:p>
      <w:pPr>
        <w:keepNext w:val="0"/>
        <w:keepLines w:val="0"/>
        <w:pageBreakBefore w:val="0"/>
        <w:kinsoku/>
        <w:wordWrap/>
        <w:topLinePunct w:val="0"/>
        <w:bidi w:val="0"/>
        <w:adjustRightInd w:val="0"/>
        <w:snapToGrid w:val="0"/>
        <w:spacing w:after="0" w:line="288" w:lineRule="auto"/>
        <w:jc w:val="left"/>
        <w:outlineLvl w:val="2"/>
        <w:rPr>
          <w:rFonts w:hint="eastAsia" w:ascii="宋体" w:hAnsi="宋体" w:eastAsia="宋体" w:cs="Times New Roman"/>
          <w:b/>
          <w:bCs/>
          <w:szCs w:val="21"/>
        </w:rPr>
      </w:pPr>
      <w:r>
        <w:rPr>
          <w:rFonts w:ascii="宋体" w:hAnsi="宋体" w:eastAsia="宋体" w:cs="Times New Roman"/>
          <w:b/>
          <w:spacing w:val="-6"/>
          <w:szCs w:val="21"/>
        </w:rPr>
        <w:br w:type="page"/>
      </w:r>
      <w:r>
        <w:rPr>
          <w:rFonts w:hint="eastAsia" w:ascii="宋体" w:hAnsi="宋体" w:eastAsia="宋体" w:cs="Times New Roman"/>
          <w:b/>
          <w:bCs/>
          <w:szCs w:val="21"/>
        </w:rPr>
        <w:t>附：授权代表社保缴纳证明（2023年6月（含）以后任意一月）</w:t>
      </w:r>
    </w:p>
    <w:p>
      <w:pPr>
        <w:keepNext w:val="0"/>
        <w:keepLines w:val="0"/>
        <w:pageBreakBefore w:val="0"/>
        <w:kinsoku/>
        <w:wordWrap/>
        <w:topLinePunct w:val="0"/>
        <w:bidi w:val="0"/>
        <w:adjustRightInd w:val="0"/>
        <w:snapToGrid w:val="0"/>
        <w:spacing w:after="0" w:line="288" w:lineRule="auto"/>
        <w:outlineLvl w:val="2"/>
        <w:rPr>
          <w:rFonts w:hint="eastAsia" w:ascii="宋体" w:hAnsi="宋体" w:eastAsia="宋体" w:cs="宋体"/>
          <w:b/>
          <w:spacing w:val="-6"/>
          <w:szCs w:val="21"/>
        </w:rPr>
      </w:pP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Times New Roman"/>
          <w:b/>
          <w:spacing w:val="-6"/>
          <w:szCs w:val="21"/>
        </w:rPr>
      </w:pPr>
      <w:r>
        <w:rPr>
          <w:rFonts w:ascii="宋体" w:hAnsi="宋体" w:eastAsia="宋体" w:cs="Times New Roman"/>
          <w:b/>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合同金额</w:t>
            </w: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采购人联系人</w:t>
            </w: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联系方式</w:t>
            </w: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r>
      <w:tr>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r>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说明：</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浙江省公安科技研究所</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浙江省看守所智能化系统维保项目（2024年度）</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highlight w:val="none"/>
          <w:lang w:eastAsia="zh-CN"/>
        </w:rPr>
        <w:t xml:space="preserve">QSZB-Z(F)-A24425(GK) </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是否偏离（提供说明）</w:t>
            </w:r>
          </w:p>
        </w:tc>
      </w:tr>
      <w:tr>
        <w:trPr>
          <w:trHeight w:val="340" w:hRule="atLeast"/>
          <w:jc w:val="center"/>
        </w:trPr>
        <w:tc>
          <w:tcPr>
            <w:tcW w:w="9628" w:type="dxa"/>
            <w:gridSpan w:val="4"/>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r>
              <w:rPr>
                <w:rFonts w:hint="eastAsia" w:ascii="宋体" w:hAnsi="宋体" w:eastAsia="宋体" w:cs="宋体"/>
                <w:b/>
                <w:bCs/>
                <w:szCs w:val="21"/>
              </w:rPr>
              <w:t>采购资金的支付方式、时间、条件</w:t>
            </w:r>
          </w:p>
        </w:tc>
      </w:tr>
      <w:tr>
        <w:trPr>
          <w:trHeight w:val="340" w:hRule="atLeast"/>
          <w:jc w:val="center"/>
        </w:trPr>
        <w:tc>
          <w:tcPr>
            <w:tcW w:w="67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c>
          <w:tcPr>
            <w:tcW w:w="257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c>
          <w:tcPr>
            <w:tcW w:w="212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r>
      <w:tr>
        <w:trPr>
          <w:trHeight w:val="340" w:hRule="atLeast"/>
          <w:jc w:val="center"/>
        </w:trPr>
        <w:tc>
          <w:tcPr>
            <w:tcW w:w="67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c>
          <w:tcPr>
            <w:tcW w:w="257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c>
          <w:tcPr>
            <w:tcW w:w="212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r>
      <w:tr>
        <w:trPr>
          <w:trHeight w:val="340" w:hRule="atLeast"/>
          <w:jc w:val="center"/>
        </w:trPr>
        <w:tc>
          <w:tcPr>
            <w:tcW w:w="67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c>
          <w:tcPr>
            <w:tcW w:w="257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c>
          <w:tcPr>
            <w:tcW w:w="2124" w:type="dxa"/>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p>
        </w:tc>
      </w:tr>
      <w:tr>
        <w:trPr>
          <w:trHeight w:val="340" w:hRule="atLeast"/>
          <w:jc w:val="center"/>
        </w:trPr>
        <w:tc>
          <w:tcPr>
            <w:tcW w:w="9628" w:type="dxa"/>
            <w:gridSpan w:val="4"/>
            <w:vAlign w:val="center"/>
          </w:tcPr>
          <w:p>
            <w:pPr>
              <w:keepNext w:val="0"/>
              <w:keepLines w:val="0"/>
              <w:pageBreakBefore w:val="0"/>
              <w:kinsoku/>
              <w:wordWrap/>
              <w:topLinePunct w:val="0"/>
              <w:bidi w:val="0"/>
              <w:adjustRightInd w:val="0"/>
              <w:snapToGrid w:val="0"/>
              <w:spacing w:after="0" w:line="288" w:lineRule="auto"/>
              <w:rPr>
                <w:rFonts w:hint="eastAsia" w:ascii="宋体" w:hAnsi="宋体" w:eastAsia="宋体" w:cs="宋体"/>
                <w:szCs w:val="21"/>
              </w:rPr>
            </w:pPr>
            <w:r>
              <w:rPr>
                <w:rFonts w:hint="eastAsia" w:ascii="宋体" w:hAnsi="宋体" w:eastAsia="宋体" w:cs="宋体"/>
                <w:b/>
                <w:bCs/>
                <w:szCs w:val="21"/>
              </w:rPr>
              <w:t>服务要求</w:t>
            </w:r>
          </w:p>
        </w:tc>
      </w:tr>
      <w:tr>
        <w:trPr>
          <w:trHeight w:val="340" w:hRule="atLeast"/>
          <w:jc w:val="center"/>
        </w:trPr>
        <w:tc>
          <w:tcPr>
            <w:tcW w:w="67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szCs w:val="21"/>
              </w:rPr>
            </w:pPr>
            <w:r>
              <w:rPr>
                <w:rFonts w:hint="eastAsia" w:ascii="宋体" w:hAnsi="宋体" w:eastAsia="宋体" w:cs="宋体"/>
                <w:szCs w:val="21"/>
              </w:rPr>
              <w:t>1</w:t>
            </w:r>
          </w:p>
        </w:tc>
        <w:tc>
          <w:tcPr>
            <w:tcW w:w="425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c>
          <w:tcPr>
            <w:tcW w:w="257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c>
          <w:tcPr>
            <w:tcW w:w="212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r>
      <w:tr>
        <w:trPr>
          <w:trHeight w:val="340" w:hRule="atLeast"/>
          <w:jc w:val="center"/>
        </w:trPr>
        <w:tc>
          <w:tcPr>
            <w:tcW w:w="67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szCs w:val="21"/>
              </w:rPr>
            </w:pPr>
            <w:r>
              <w:rPr>
                <w:rFonts w:hint="eastAsia" w:ascii="宋体" w:hAnsi="宋体" w:eastAsia="宋体" w:cs="宋体"/>
                <w:szCs w:val="21"/>
              </w:rPr>
              <w:t>2</w:t>
            </w:r>
          </w:p>
        </w:tc>
        <w:tc>
          <w:tcPr>
            <w:tcW w:w="425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c>
          <w:tcPr>
            <w:tcW w:w="257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c>
          <w:tcPr>
            <w:tcW w:w="212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r>
      <w:tr>
        <w:trPr>
          <w:trHeight w:val="340" w:hRule="atLeast"/>
          <w:jc w:val="center"/>
        </w:trPr>
        <w:tc>
          <w:tcPr>
            <w:tcW w:w="676" w:type="dxa"/>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szCs w:val="21"/>
              </w:rPr>
            </w:pPr>
            <w:r>
              <w:rPr>
                <w:rFonts w:hint="eastAsia" w:ascii="宋体" w:hAnsi="宋体" w:eastAsia="宋体" w:cs="宋体"/>
                <w:szCs w:val="21"/>
              </w:rPr>
              <w:t>……</w:t>
            </w:r>
          </w:p>
        </w:tc>
        <w:tc>
          <w:tcPr>
            <w:tcW w:w="425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c>
          <w:tcPr>
            <w:tcW w:w="257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c>
          <w:tcPr>
            <w:tcW w:w="2124" w:type="dxa"/>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szCs w:val="21"/>
              </w:rPr>
            </w:pPr>
          </w:p>
        </w:tc>
      </w:tr>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pacing w:val="-6"/>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b/>
          <w:spacing w:val="-6"/>
          <w:szCs w:val="21"/>
        </w:rPr>
      </w:pPr>
      <w:r>
        <w:rPr>
          <w:rFonts w:hint="eastAsia" w:ascii="宋体" w:hAnsi="宋体" w:eastAsia="宋体" w:cs="Times New Roman"/>
          <w:spacing w:val="-6"/>
          <w:szCs w:val="21"/>
        </w:rPr>
        <w:br w:type="page"/>
      </w:r>
    </w:p>
    <w:p>
      <w:pPr>
        <w:keepNext w:val="0"/>
        <w:keepLines w:val="0"/>
        <w:pageBreakBefore w:val="0"/>
        <w:kinsoku/>
        <w:wordWrap/>
        <w:topLinePunct w:val="0"/>
        <w:bidi w:val="0"/>
        <w:adjustRightInd w:val="0"/>
        <w:snapToGrid w:val="0"/>
        <w:spacing w:after="0" w:line="288" w:lineRule="auto"/>
        <w:jc w:val="left"/>
        <w:outlineLvl w:val="2"/>
        <w:rPr>
          <w:rFonts w:hint="eastAsia" w:ascii="宋体" w:hAnsi="宋体" w:eastAsia="宋体" w:cs="宋体"/>
          <w:b/>
          <w:spacing w:val="-6"/>
          <w:szCs w:val="21"/>
        </w:rPr>
      </w:pPr>
      <w:r>
        <w:rPr>
          <w:rFonts w:hint="eastAsia" w:ascii="宋体" w:hAnsi="宋体" w:eastAsia="宋体" w:cs="宋体"/>
          <w:b/>
          <w:spacing w:val="-6"/>
          <w:szCs w:val="21"/>
        </w:rPr>
        <w:t>（5）服务方案</w:t>
      </w:r>
    </w:p>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b/>
          <w:spacing w:val="-6"/>
          <w:szCs w:val="21"/>
        </w:rPr>
      </w:pPr>
      <w:r>
        <w:rPr>
          <w:rFonts w:hint="eastAsia" w:ascii="宋体" w:hAnsi="宋体" w:eastAsia="宋体" w:cs="宋体"/>
          <w:b/>
          <w:spacing w:val="-6"/>
          <w:szCs w:val="21"/>
        </w:rPr>
        <w:t>（6）服务团队</w:t>
      </w: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b/>
          <w:spacing w:val="-6"/>
          <w:szCs w:val="21"/>
        </w:rPr>
      </w:pPr>
    </w:p>
    <w:p>
      <w:pPr>
        <w:keepNext w:val="0"/>
        <w:keepLines w:val="0"/>
        <w:pageBreakBefore w:val="0"/>
        <w:kinsoku/>
        <w:wordWrap/>
        <w:topLinePunct w:val="0"/>
        <w:bidi w:val="0"/>
        <w:adjustRightInd w:val="0"/>
        <w:snapToGrid w:val="0"/>
        <w:spacing w:after="0" w:line="288" w:lineRule="auto"/>
        <w:outlineLvl w:val="2"/>
        <w:rPr>
          <w:rFonts w:hint="eastAsia" w:ascii="宋体" w:hAnsi="宋体" w:eastAsia="宋体" w:cs="宋体"/>
          <w:b/>
          <w:spacing w:val="-6"/>
          <w:szCs w:val="21"/>
        </w:rPr>
      </w:pPr>
      <w:r>
        <w:rPr>
          <w:rFonts w:hint="eastAsia" w:ascii="宋体" w:hAnsi="宋体" w:eastAsia="宋体" w:cs="宋体"/>
          <w:b/>
          <w:spacing w:val="-6"/>
          <w:szCs w:val="21"/>
        </w:rPr>
        <w:t>（7）投标人需要说明的其他文件和材料。</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kinsoku/>
        <w:wordWrap/>
        <w:overflowPunct w:val="0"/>
        <w:topLinePunct w:val="0"/>
        <w:bidi w:val="0"/>
        <w:adjustRightInd w:val="0"/>
        <w:snapToGrid w:val="0"/>
        <w:spacing w:after="0" w:line="288" w:lineRule="auto"/>
        <w:jc w:val="center"/>
        <w:outlineLvl w:val="1"/>
        <w:rPr>
          <w:rFonts w:hint="eastAsia"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keepNext w:val="0"/>
        <w:keepLines w:val="0"/>
        <w:pageBreakBefore w:val="0"/>
        <w:widowControl/>
        <w:kinsoku/>
        <w:wordWrap/>
        <w:topLinePunct w:val="0"/>
        <w:bidi w:val="0"/>
        <w:adjustRightInd w:val="0"/>
        <w:snapToGrid w:val="0"/>
        <w:spacing w:after="0" w:line="288" w:lineRule="auto"/>
        <w:jc w:val="left"/>
        <w:rPr>
          <w:rFonts w:hint="eastAsia" w:ascii="宋体" w:hAnsi="宋体" w:eastAsia="宋体" w:cs="宋体"/>
          <w:b/>
          <w:spacing w:val="-6"/>
          <w:szCs w:val="21"/>
        </w:rPr>
      </w:pPr>
      <w:r>
        <w:rPr>
          <w:rFonts w:ascii="宋体" w:hAnsi="宋体" w:eastAsia="宋体" w:cs="宋体"/>
          <w:b/>
          <w:spacing w:val="-6"/>
          <w:szCs w:val="21"/>
        </w:rPr>
        <w:br w:type="page"/>
      </w:r>
    </w:p>
    <w:p>
      <w:pPr>
        <w:keepNext w:val="0"/>
        <w:keepLines w:val="0"/>
        <w:pageBreakBefore w:val="0"/>
        <w:kinsoku/>
        <w:wordWrap/>
        <w:topLinePunct w:val="0"/>
        <w:bidi w:val="0"/>
        <w:adjustRightInd w:val="0"/>
        <w:snapToGrid w:val="0"/>
        <w:spacing w:after="0" w:line="288" w:lineRule="auto"/>
        <w:jc w:val="center"/>
        <w:outlineLvl w:val="2"/>
        <w:rPr>
          <w:rFonts w:hint="eastAsia"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浙江省公安科技研究所</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rPr>
        <w:t>项目名称：</w:t>
      </w:r>
      <w:bookmarkStart w:id="53" w:name="_GoBack"/>
      <w:r>
        <w:rPr>
          <w:rFonts w:hint="eastAsia" w:ascii="宋体" w:hAnsi="宋体" w:eastAsia="宋体" w:cs="Times New Roman"/>
          <w:bCs/>
          <w:spacing w:val="-6"/>
          <w:szCs w:val="21"/>
          <w:highlight w:val="none"/>
          <w:lang w:eastAsia="zh-CN"/>
        </w:rPr>
        <w:t>浙江省看守所智能化系统维保项目（2024年度）</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highlight w:val="none"/>
          <w:lang w:eastAsia="zh-CN"/>
        </w:rPr>
      </w:pPr>
      <w:r>
        <w:rPr>
          <w:rFonts w:hint="eastAsia" w:ascii="宋体" w:hAnsi="宋体" w:eastAsia="宋体" w:cs="Times New Roman"/>
          <w:bCs/>
          <w:spacing w:val="-6"/>
          <w:szCs w:val="21"/>
          <w:highlight w:val="none"/>
        </w:rPr>
        <w:t>项目编号：</w:t>
      </w:r>
      <w:r>
        <w:rPr>
          <w:rFonts w:hint="eastAsia" w:ascii="宋体" w:hAnsi="宋体" w:eastAsia="宋体" w:cs="Times New Roman"/>
          <w:bCs/>
          <w:spacing w:val="-6"/>
          <w:szCs w:val="21"/>
          <w:highlight w:val="none"/>
          <w:lang w:eastAsia="zh-CN"/>
        </w:rPr>
        <w:t xml:space="preserve">QSZB-Z(F)-A24425(GK) </w:t>
      </w:r>
    </w:p>
    <w:bookmarkEnd w:id="53"/>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1702"/>
        <w:gridCol w:w="1011"/>
        <w:gridCol w:w="2362"/>
        <w:gridCol w:w="2296"/>
      </w:tblGrid>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名称</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数量</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单价（元）</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金额（元）</w:t>
            </w: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r>
      <w:tr>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p>
        </w:tc>
      </w:tr>
      <w:tr>
        <w:trPr>
          <w:trHeight w:val="340" w:hRule="atLeast"/>
        </w:trPr>
        <w:tc>
          <w:tcPr>
            <w:tcW w:w="991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宋体"/>
                <w:b/>
                <w:bCs/>
                <w:szCs w:val="21"/>
              </w:rPr>
            </w:pPr>
            <w:r>
              <w:rPr>
                <w:rFonts w:hint="eastAsia" w:ascii="宋体" w:hAnsi="宋体" w:eastAsia="宋体" w:cs="宋体"/>
                <w:b/>
                <w:spacing w:val="-6"/>
                <w:szCs w:val="21"/>
              </w:rPr>
              <w:t>说明：</w:t>
            </w:r>
            <w:r>
              <w:rPr>
                <w:rFonts w:hint="eastAsia" w:ascii="宋体" w:hAnsi="宋体" w:eastAsia="宋体" w:cs="Times New Roman"/>
                <w:b/>
                <w:spacing w:val="-6"/>
                <w:szCs w:val="21"/>
              </w:rPr>
              <w:t>▲</w:t>
            </w:r>
            <w:r>
              <w:rPr>
                <w:rFonts w:ascii="宋体" w:hAnsi="宋体" w:eastAsia="宋体" w:cs="Times New Roman"/>
                <w:bCs/>
                <w:spacing w:val="-6"/>
                <w:szCs w:val="21"/>
              </w:rPr>
              <w:t>采购人将以合同形式有偿取得货物或服务，不接受投标人给予的赠品、回扣或者与采购无关的其他商品、服务。</w:t>
            </w:r>
          </w:p>
          <w:p>
            <w:pPr>
              <w:keepNext w:val="0"/>
              <w:keepLines w:val="0"/>
              <w:pageBreakBefore w:val="0"/>
              <w:kinsoku/>
              <w:wordWrap/>
              <w:topLinePunct w:val="0"/>
              <w:bidi w:val="0"/>
              <w:adjustRightInd w:val="0"/>
              <w:snapToGrid w:val="0"/>
              <w:spacing w:after="0" w:line="288" w:lineRule="auto"/>
              <w:jc w:val="center"/>
              <w:rPr>
                <w:rFonts w:hint="eastAsia" w:ascii="宋体" w:hAnsi="宋体" w:eastAsia="宋体" w:cs="宋体"/>
                <w:b/>
                <w:bCs/>
                <w:szCs w:val="21"/>
              </w:rPr>
            </w:pPr>
            <w:r>
              <w:rPr>
                <w:rFonts w:hint="eastAsia" w:ascii="宋体" w:hAnsi="宋体" w:eastAsia="宋体" w:cs="宋体"/>
                <w:b/>
                <w:bCs/>
                <w:szCs w:val="21"/>
              </w:rPr>
              <w:t>总价（人民币元）</w:t>
            </w: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r>
              <w:rPr>
                <w:rFonts w:hint="eastAsia" w:ascii="宋体" w:hAnsi="宋体" w:eastAsia="宋体" w:cs="宋体"/>
                <w:b/>
                <w:bCs/>
                <w:szCs w:val="21"/>
              </w:rPr>
              <w:t>小写：_________________________</w:t>
            </w: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r>
              <w:rPr>
                <w:rFonts w:hint="eastAsia" w:ascii="宋体" w:hAnsi="宋体" w:eastAsia="宋体" w:cs="宋体"/>
                <w:b/>
                <w:bCs/>
                <w:szCs w:val="21"/>
              </w:rPr>
              <w:t>大写：_________________________</w:t>
            </w:r>
          </w:p>
          <w:p>
            <w:pPr>
              <w:keepNext w:val="0"/>
              <w:keepLines w:val="0"/>
              <w:pageBreakBefore w:val="0"/>
              <w:kinsoku/>
              <w:wordWrap/>
              <w:topLinePunct w:val="0"/>
              <w:bidi w:val="0"/>
              <w:adjustRightInd w:val="0"/>
              <w:snapToGrid w:val="0"/>
              <w:spacing w:after="0" w:line="288" w:lineRule="auto"/>
              <w:rPr>
                <w:rFonts w:hint="eastAsia" w:ascii="宋体" w:hAnsi="宋体" w:eastAsia="宋体" w:cs="宋体"/>
                <w:b/>
                <w:bCs/>
                <w:szCs w:val="21"/>
              </w:rPr>
            </w:pPr>
          </w:p>
        </w:tc>
      </w:tr>
    </w:tbl>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说明：</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keepNext w:val="0"/>
        <w:keepLines w:val="0"/>
        <w:pageBreakBefore w:val="0"/>
        <w:kinsoku/>
        <w:wordWrap/>
        <w:topLinePunct w:val="0"/>
        <w:bidi w:val="0"/>
        <w:adjustRightInd w:val="0"/>
        <w:snapToGrid w:val="0"/>
        <w:spacing w:after="0" w:line="288" w:lineRule="auto"/>
        <w:jc w:val="left"/>
        <w:rPr>
          <w:rFonts w:hint="eastAsia" w:ascii="宋体" w:hAnsi="宋体" w:eastAsia="宋体" w:cs="Times New Roman"/>
          <w:b/>
          <w:spacing w:val="-6"/>
          <w:szCs w:val="21"/>
        </w:rPr>
      </w:pPr>
      <w:r>
        <w:rPr>
          <w:rFonts w:ascii="宋体" w:hAnsi="宋体" w:eastAsia="宋体" w:cs="Times New Roman"/>
          <w:b/>
          <w:spacing w:val="-6"/>
          <w:szCs w:val="21"/>
        </w:rPr>
        <w:t>3.以上表格要求细分项目及报价，在“规格型号（或具体服务）”一栏中，服务类项目填写具体服务。</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szCs w:val="21"/>
        </w:rPr>
      </w:pP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keepNext w:val="0"/>
        <w:keepLines w:val="0"/>
        <w:pageBreakBefore w:val="0"/>
        <w:kinsoku/>
        <w:wordWrap/>
        <w:topLinePunct w:val="0"/>
        <w:bidi w:val="0"/>
        <w:adjustRightInd w:val="0"/>
        <w:snapToGrid w:val="0"/>
        <w:spacing w:after="0"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日期：     年   月   日</w:t>
      </w:r>
    </w:p>
    <w:p>
      <w:pPr>
        <w:keepNext w:val="0"/>
        <w:keepLines w:val="0"/>
        <w:pageBreakBefore w:val="0"/>
        <w:kinsoku/>
        <w:wordWrap/>
        <w:topLinePunct w:val="0"/>
        <w:bidi w:val="0"/>
        <w:spacing w:after="0" w:line="288" w:lineRule="auto"/>
        <w:rPr>
          <w:rFonts w:hint="eastAsia" w:ascii="宋体" w:hAnsi="宋体" w:eastAsia="宋体" w:cs="Times New Roman"/>
          <w:b/>
          <w:spacing w:val="-6"/>
          <w:szCs w:val="21"/>
        </w:rPr>
      </w:pPr>
      <w:r>
        <w:rPr>
          <w:rFonts w:hint="eastAsia" w:ascii="宋体" w:hAnsi="宋体" w:eastAsia="宋体" w:cs="Times New Roman"/>
          <w:bCs/>
          <w:spacing w:val="-6"/>
          <w:szCs w:val="21"/>
        </w:rPr>
        <w:br w:type="page"/>
      </w:r>
    </w:p>
    <w:p>
      <w:pPr>
        <w:keepNext w:val="0"/>
        <w:keepLines w:val="0"/>
        <w:pageBreakBefore w:val="0"/>
        <w:kinsoku/>
        <w:wordWrap/>
        <w:topLinePunct w:val="0"/>
        <w:bidi w:val="0"/>
        <w:adjustRightInd w:val="0"/>
        <w:snapToGrid w:val="0"/>
        <w:spacing w:after="0" w:line="288" w:lineRule="auto"/>
        <w:outlineLvl w:val="2"/>
        <w:rPr>
          <w:rFonts w:hint="eastAsia"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keepNext w:val="0"/>
        <w:keepLines w:val="0"/>
        <w:pageBreakBefore w:val="0"/>
        <w:kinsoku/>
        <w:wordWrap/>
        <w:topLinePunct w:val="0"/>
        <w:bidi w:val="0"/>
        <w:snapToGrid w:val="0"/>
        <w:spacing w:after="0" w:line="288" w:lineRule="auto"/>
        <w:rPr>
          <w:rFonts w:hint="eastAsia" w:ascii="宋体" w:hAnsi="宋体" w:eastAsia="宋体" w:cs="仿宋_GB2312"/>
          <w:szCs w:val="21"/>
          <w:u w:val="single"/>
        </w:rPr>
      </w:pPr>
    </w:p>
    <w:p>
      <w:pPr>
        <w:keepNext w:val="0"/>
        <w:keepLines w:val="0"/>
        <w:pageBreakBefore w:val="0"/>
        <w:kinsoku/>
        <w:wordWrap/>
        <w:topLinePunct w:val="0"/>
        <w:bidi w:val="0"/>
        <w:snapToGrid w:val="0"/>
        <w:spacing w:after="0" w:line="288" w:lineRule="auto"/>
        <w:rPr>
          <w:rFonts w:hint="eastAsia" w:ascii="宋体" w:hAnsi="宋体" w:eastAsia="宋体" w:cs="Times New Roman"/>
          <w:szCs w:val="21"/>
        </w:rPr>
      </w:pPr>
      <w:r>
        <w:rPr>
          <w:rFonts w:hint="eastAsia" w:ascii="宋体" w:hAnsi="宋体" w:eastAsia="宋体" w:cs="仿宋_GB2312"/>
          <w:szCs w:val="21"/>
          <w:u w:val="single"/>
        </w:rPr>
        <w:t>（采购人）、（采购代理机构）</w:t>
      </w:r>
    </w:p>
    <w:p>
      <w:pPr>
        <w:keepNext w:val="0"/>
        <w:keepLines w:val="0"/>
        <w:pageBreakBefore w:val="0"/>
        <w:kinsoku/>
        <w:wordWrap/>
        <w:topLinePunct w:val="0"/>
        <w:bidi w:val="0"/>
        <w:snapToGrid w:val="0"/>
        <w:spacing w:after="0" w:line="288" w:lineRule="auto"/>
        <w:ind w:firstLine="424" w:firstLineChars="202"/>
        <w:rPr>
          <w:rFonts w:hint="eastAsia"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keepNext w:val="0"/>
        <w:keepLines w:val="0"/>
        <w:pageBreakBefore w:val="0"/>
        <w:kinsoku/>
        <w:wordWrap/>
        <w:topLinePunct w:val="0"/>
        <w:bidi w:val="0"/>
        <w:snapToGrid w:val="0"/>
        <w:spacing w:after="0" w:line="288" w:lineRule="auto"/>
        <w:ind w:firstLine="424" w:firstLineChars="202"/>
        <w:rPr>
          <w:rFonts w:hint="eastAsia" w:ascii="宋体" w:hAnsi="宋体" w:eastAsia="宋体" w:cs="宋体"/>
          <w:szCs w:val="21"/>
        </w:rPr>
      </w:pPr>
      <w:r>
        <w:rPr>
          <w:rFonts w:hint="eastAsia" w:ascii="宋体" w:hAnsi="宋体" w:eastAsia="宋体" w:cs="宋体"/>
          <w:szCs w:val="21"/>
        </w:rPr>
        <w:t>特此说明。</w:t>
      </w:r>
    </w:p>
    <w:p>
      <w:pPr>
        <w:keepNext w:val="0"/>
        <w:keepLines w:val="0"/>
        <w:pageBreakBefore w:val="0"/>
        <w:kinsoku/>
        <w:wordWrap/>
        <w:topLinePunct w:val="0"/>
        <w:bidi w:val="0"/>
        <w:snapToGrid w:val="0"/>
        <w:spacing w:after="0" w:line="288" w:lineRule="auto"/>
        <w:ind w:right="480" w:firstLine="424" w:firstLineChars="202"/>
        <w:rPr>
          <w:rFonts w:hint="eastAsia" w:ascii="宋体" w:hAnsi="宋体" w:eastAsia="宋体" w:cs="宋体"/>
          <w:szCs w:val="21"/>
        </w:rPr>
      </w:pPr>
      <w:r>
        <w:rPr>
          <w:rFonts w:hint="eastAsia" w:ascii="宋体" w:hAnsi="宋体" w:eastAsia="宋体" w:cs="宋体"/>
          <w:szCs w:val="21"/>
        </w:rPr>
        <w:t>供应商（法定名称章）：</w:t>
      </w:r>
    </w:p>
    <w:p>
      <w:pPr>
        <w:keepNext w:val="0"/>
        <w:keepLines w:val="0"/>
        <w:pageBreakBefore w:val="0"/>
        <w:kinsoku/>
        <w:wordWrap/>
        <w:topLinePunct w:val="0"/>
        <w:bidi w:val="0"/>
        <w:snapToGrid w:val="0"/>
        <w:spacing w:after="0" w:line="288" w:lineRule="auto"/>
        <w:ind w:right="1440" w:firstLine="424" w:firstLineChars="202"/>
        <w:rPr>
          <w:rFonts w:hint="eastAsia" w:ascii="宋体" w:hAnsi="宋体" w:eastAsia="宋体" w:cs="宋体"/>
          <w:szCs w:val="21"/>
        </w:rPr>
      </w:pPr>
      <w:r>
        <w:rPr>
          <w:rFonts w:ascii="宋体" w:hAnsi="宋体" w:eastAsia="宋体" w:cs="宋体"/>
          <w:szCs w:val="21"/>
        </w:rPr>
        <w:t>日期：       年     月     日</w:t>
      </w:r>
    </w:p>
    <w:p>
      <w:pPr>
        <w:keepNext w:val="0"/>
        <w:keepLines w:val="0"/>
        <w:pageBreakBefore w:val="0"/>
        <w:kinsoku/>
        <w:wordWrap/>
        <w:topLinePunct w:val="0"/>
        <w:bidi w:val="0"/>
        <w:snapToGrid w:val="0"/>
        <w:spacing w:after="0" w:line="288" w:lineRule="auto"/>
        <w:rPr>
          <w:rFonts w:hint="eastAsia" w:ascii="宋体" w:hAnsi="宋体" w:eastAsia="宋体" w:cs="宋体"/>
          <w:b/>
          <w:bCs/>
          <w:szCs w:val="21"/>
        </w:rPr>
      </w:pPr>
    </w:p>
    <w:p>
      <w:pPr>
        <w:keepNext w:val="0"/>
        <w:keepLines w:val="0"/>
        <w:pageBreakBefore w:val="0"/>
        <w:kinsoku/>
        <w:wordWrap/>
        <w:topLinePunct w:val="0"/>
        <w:bidi w:val="0"/>
        <w:snapToGrid w:val="0"/>
        <w:spacing w:after="0" w:line="288" w:lineRule="auto"/>
        <w:rPr>
          <w:rFonts w:hint="eastAsia"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keepNext w:val="0"/>
        <w:keepLines w:val="0"/>
        <w:pageBreakBefore w:val="0"/>
        <w:kinsoku/>
        <w:wordWrap/>
        <w:topLinePunct w:val="0"/>
        <w:bidi w:val="0"/>
        <w:snapToGrid w:val="0"/>
        <w:spacing w:after="0" w:line="288" w:lineRule="auto"/>
        <w:rPr>
          <w:rFonts w:hint="eastAsia"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TXkbzWAAAABQEAAA8AAAAAAAAAAQAgAAAAOAAAAGRy&#10;cy9kb3ducmV2LnhtbFBLAQIUABQAAAAIAIdO4kDi15gJKgIAAHQEAAAOAAAAAAAAAAEAIAAAADsB&#10;AABkcnMvZTJvRG9jLnhtbFBLBQYAAAAABgAGAFkBAADX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VSUy1AAAAAUBAAAPAAAAAAAAAAEAIAAAADgAAABkcnMv&#10;ZG93bnJldi54bWxQSwECFAAUAAAACACHTuJAd4J9RCoCAAB0BAAADgAAAAAAAAABACAAAAA5AQAA&#10;ZHJzL2Uyb0RvYy54bWxQSwUGAAAAAAYABgBZAQAA1QUAAAAA&#10;">
                <v:fill on="t" focussize="0,0"/>
                <v:stroke color="#000000" miterlimit="2" joinstyle="miter"/>
                <v:imagedata o:title=""/>
                <o:lock v:ext="edit" aspectratio="f"/>
                <w10:wrap type="none"/>
                <w10:anchorlock/>
              </v:rect>
            </w:pict>
          </mc:Fallback>
        </mc:AlternateContent>
      </w:r>
    </w:p>
    <w:p>
      <w:pPr>
        <w:keepNext w:val="0"/>
        <w:keepLines w:val="0"/>
        <w:pageBreakBefore w:val="0"/>
        <w:kinsoku/>
        <w:wordWrap/>
        <w:topLinePunct w:val="0"/>
        <w:bidi w:val="0"/>
        <w:spacing w:after="0" w:line="288" w:lineRule="auto"/>
        <w:rPr>
          <w:rFonts w:hint="eastAsia" w:ascii="宋体" w:hAnsi="宋体" w:eastAsia="宋体" w:cs="仿宋_GB2312"/>
          <w:b/>
          <w:kern w:val="0"/>
          <w:szCs w:val="21"/>
          <w:lang w:val="zh-CN"/>
        </w:rPr>
      </w:pPr>
      <w:r>
        <w:rPr>
          <w:rFonts w:hint="eastAsia" w:ascii="宋体" w:hAnsi="宋体" w:eastAsia="宋体" w:cs="仿宋_GB2312"/>
          <w:b/>
          <w:kern w:val="0"/>
          <w:szCs w:val="21"/>
          <w:lang w:val="zh-CN"/>
        </w:rPr>
        <w:br w:type="page"/>
      </w:r>
    </w:p>
    <w:p>
      <w:pPr>
        <w:keepNext w:val="0"/>
        <w:keepLines w:val="0"/>
        <w:pageBreakBefore w:val="0"/>
        <w:kinsoku/>
        <w:wordWrap/>
        <w:topLinePunct w:val="0"/>
        <w:bidi w:val="0"/>
        <w:snapToGrid w:val="0"/>
        <w:spacing w:after="0" w:line="288" w:lineRule="auto"/>
        <w:outlineLvl w:val="2"/>
        <w:rPr>
          <w:rFonts w:hint="eastAsia"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keepNext w:val="0"/>
        <w:keepLines w:val="0"/>
        <w:pageBreakBefore w:val="0"/>
        <w:widowControl/>
        <w:kinsoku/>
        <w:wordWrap/>
        <w:topLinePunct w:val="0"/>
        <w:bidi w:val="0"/>
        <w:snapToGrid w:val="0"/>
        <w:spacing w:after="0" w:line="288" w:lineRule="auto"/>
        <w:ind w:firstLine="423" w:firstLineChars="201"/>
        <w:jc w:val="left"/>
        <w:rPr>
          <w:rFonts w:hint="eastAsia"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r>
        <w:rPr>
          <w:rFonts w:ascii="宋体" w:hAnsi="宋体" w:eastAsia="宋体" w:cs="仿宋_GB2312"/>
          <w:kern w:val="0"/>
          <w:szCs w:val="21"/>
          <w:lang w:val="zh-CN"/>
        </w:rPr>
        <w:t>3、本协议提交采购人、采购机构后，联合体各方不得以任何形式对上述内容进行修改或撤销。</w:t>
      </w: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p>
    <w:p>
      <w:pPr>
        <w:keepNext w:val="0"/>
        <w:keepLines w:val="0"/>
        <w:pageBreakBefore w:val="0"/>
        <w:kinsoku/>
        <w:wordWrap/>
        <w:topLinePunct w:val="0"/>
        <w:bidi w:val="0"/>
        <w:snapToGrid w:val="0"/>
        <w:spacing w:after="0" w:line="288" w:lineRule="auto"/>
        <w:ind w:firstLine="422" w:firstLineChars="201"/>
        <w:rPr>
          <w:rFonts w:hint="eastAsia" w:ascii="宋体" w:hAnsi="宋体" w:eastAsia="宋体" w:cs="仿宋_GB2312"/>
          <w:kern w:val="0"/>
          <w:szCs w:val="21"/>
          <w:lang w:val="zh-CN"/>
        </w:rPr>
      </w:pPr>
    </w:p>
    <w:p>
      <w:pPr>
        <w:keepNext w:val="0"/>
        <w:keepLines w:val="0"/>
        <w:pageBreakBefore w:val="0"/>
        <w:kinsoku/>
        <w:wordWrap/>
        <w:topLinePunct w:val="0"/>
        <w:bidi w:val="0"/>
        <w:snapToGrid w:val="0"/>
        <w:spacing w:after="0" w:line="288" w:lineRule="auto"/>
        <w:ind w:firstLine="423" w:firstLineChars="201"/>
        <w:rPr>
          <w:rFonts w:hint="eastAsia"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keepNext w:val="0"/>
        <w:keepLines w:val="0"/>
        <w:pageBreakBefore w:val="0"/>
        <w:kinsoku/>
        <w:wordWrap/>
        <w:topLinePunct w:val="0"/>
        <w:bidi w:val="0"/>
        <w:snapToGrid w:val="0"/>
        <w:spacing w:after="0" w:line="288" w:lineRule="auto"/>
        <w:ind w:firstLine="423" w:firstLineChars="201"/>
        <w:rPr>
          <w:rFonts w:hint="eastAsia" w:ascii="宋体" w:hAnsi="宋体" w:eastAsia="宋体" w:cs="仿宋_GB2312"/>
          <w:b/>
          <w:bCs/>
          <w:kern w:val="0"/>
          <w:szCs w:val="21"/>
          <w:lang w:val="zh-CN"/>
        </w:rPr>
      </w:pPr>
    </w:p>
    <w:p>
      <w:pPr>
        <w:keepNext w:val="0"/>
        <w:keepLines w:val="0"/>
        <w:pageBreakBefore w:val="0"/>
        <w:kinsoku/>
        <w:wordWrap/>
        <w:topLinePunct w:val="0"/>
        <w:bidi w:val="0"/>
        <w:snapToGrid w:val="0"/>
        <w:spacing w:after="0" w:line="288" w:lineRule="auto"/>
        <w:ind w:firstLine="423" w:firstLineChars="201"/>
        <w:rPr>
          <w:rFonts w:hint="eastAsia" w:ascii="宋体" w:hAnsi="宋体" w:eastAsia="宋体" w:cs="Times New Roman"/>
          <w:b/>
          <w:bCs/>
          <w:szCs w:val="21"/>
        </w:rPr>
      </w:pPr>
    </w:p>
    <w:p>
      <w:pPr>
        <w:keepNext w:val="0"/>
        <w:keepLines w:val="0"/>
        <w:pageBreakBefore w:val="0"/>
        <w:kinsoku/>
        <w:wordWrap/>
        <w:topLinePunct w:val="0"/>
        <w:bidi w:val="0"/>
        <w:snapToGrid w:val="0"/>
        <w:spacing w:after="0" w:line="288" w:lineRule="auto"/>
        <w:ind w:firstLine="423" w:firstLineChars="201"/>
        <w:rPr>
          <w:rFonts w:hint="eastAsia"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keepNext w:val="0"/>
        <w:keepLines w:val="0"/>
        <w:pageBreakBefore w:val="0"/>
        <w:widowControl/>
        <w:kinsoku/>
        <w:wordWrap/>
        <w:topLinePunct w:val="0"/>
        <w:bidi w:val="0"/>
        <w:spacing w:after="0" w:line="288" w:lineRule="auto"/>
        <w:jc w:val="left"/>
        <w:rPr>
          <w:rFonts w:hint="eastAsia" w:ascii="宋体" w:hAnsi="宋体" w:eastAsia="宋体" w:cs="Times New Roman"/>
          <w:b/>
          <w:spacing w:val="-6"/>
          <w:szCs w:val="21"/>
        </w:rPr>
      </w:pPr>
    </w:p>
    <w:sectPr>
      <w:footerReference r:id="rId10" w:type="default"/>
      <w:pgSz w:w="11906" w:h="16838"/>
      <w:pgMar w:top="1247" w:right="1247" w:bottom="1247" w:left="1247" w:header="0" w:footer="69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0000000000000000000"/>
    <w:charset w:val="86"/>
    <w:family w:val="modern"/>
    <w:pitch w:val="default"/>
    <w:sig w:usb0="00000000" w:usb1="00000000" w:usb2="00000000" w:usb3="00000000" w:csb0="00040000" w:csb1="00000000"/>
  </w:font>
  <w:font w:name="-apple-system">
    <w:altName w:val="苹方-简"/>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Microsoft YaHei UI">
    <w:altName w:val="苹方-简"/>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panose1 w:val="02000503000000020004"/>
    <w:charset w:val="00"/>
    <w:family w:val="auto"/>
    <w:pitch w:val="default"/>
    <w:sig w:usb0="E50002FF" w:usb1="500079DB" w:usb2="00000010" w:usb3="00000000" w:csb0="00000000" w:csb1="00000000"/>
  </w:font>
  <w:font w:name="ヒラギノ角ゴ Pro W3">
    <w:panose1 w:val="020B0300000000000000"/>
    <w:charset w:val="80"/>
    <w:family w:val="auto"/>
    <w:pitch w:val="default"/>
    <w:sig w:usb0="E00002FF" w:usb1="7AE7FFFF" w:usb2="00000012" w:usb3="00000000" w:csb0="0002000D"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宋体" w:hAnsi="宋体" w:eastAsia="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8"/>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883B3"/>
    <w:multiLevelType w:val="singleLevel"/>
    <w:tmpl w:val="D54883B3"/>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3BF8A44"/>
    <w:multiLevelType w:val="singleLevel"/>
    <w:tmpl w:val="63BF8A44"/>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6E6ED355"/>
    <w:multiLevelType w:val="singleLevel"/>
    <w:tmpl w:val="6E6ED355"/>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ZDRlYmFjZTQwMjhkYzQ3NzQ1NTRlMmZkNDZjM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77E2D"/>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7085"/>
    <w:rsid w:val="002A799A"/>
    <w:rsid w:val="002B0296"/>
    <w:rsid w:val="002B1048"/>
    <w:rsid w:val="002B4AE9"/>
    <w:rsid w:val="002C3342"/>
    <w:rsid w:val="002C33D1"/>
    <w:rsid w:val="002D2EAF"/>
    <w:rsid w:val="002D2FCD"/>
    <w:rsid w:val="002D3A28"/>
    <w:rsid w:val="002E094C"/>
    <w:rsid w:val="002E200D"/>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16D"/>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7EA9"/>
    <w:rsid w:val="005A026D"/>
    <w:rsid w:val="005A2031"/>
    <w:rsid w:val="005A592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4E31"/>
    <w:rsid w:val="00645B02"/>
    <w:rsid w:val="00653A68"/>
    <w:rsid w:val="00657DC0"/>
    <w:rsid w:val="00660BB7"/>
    <w:rsid w:val="00661F9F"/>
    <w:rsid w:val="00664079"/>
    <w:rsid w:val="006642C4"/>
    <w:rsid w:val="00664DAA"/>
    <w:rsid w:val="00664F3B"/>
    <w:rsid w:val="00665F11"/>
    <w:rsid w:val="00670120"/>
    <w:rsid w:val="006713B5"/>
    <w:rsid w:val="00674C38"/>
    <w:rsid w:val="006763DA"/>
    <w:rsid w:val="00681FEB"/>
    <w:rsid w:val="006823E7"/>
    <w:rsid w:val="0068459B"/>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63D"/>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B0ED1"/>
    <w:rsid w:val="008B2C2E"/>
    <w:rsid w:val="008B3188"/>
    <w:rsid w:val="008B336F"/>
    <w:rsid w:val="008B56D2"/>
    <w:rsid w:val="008B7147"/>
    <w:rsid w:val="008C23E0"/>
    <w:rsid w:val="008C3D8A"/>
    <w:rsid w:val="008C3FF0"/>
    <w:rsid w:val="008C56F5"/>
    <w:rsid w:val="008C6787"/>
    <w:rsid w:val="008C7394"/>
    <w:rsid w:val="008C7810"/>
    <w:rsid w:val="008C789D"/>
    <w:rsid w:val="008D0FB0"/>
    <w:rsid w:val="008D1F82"/>
    <w:rsid w:val="008D2DB0"/>
    <w:rsid w:val="008D3747"/>
    <w:rsid w:val="008D6BE2"/>
    <w:rsid w:val="008E0100"/>
    <w:rsid w:val="008E7989"/>
    <w:rsid w:val="008E7DD4"/>
    <w:rsid w:val="008F3F87"/>
    <w:rsid w:val="008F3FFA"/>
    <w:rsid w:val="008F6917"/>
    <w:rsid w:val="008F71B6"/>
    <w:rsid w:val="008F7584"/>
    <w:rsid w:val="0090229C"/>
    <w:rsid w:val="00903112"/>
    <w:rsid w:val="0090469F"/>
    <w:rsid w:val="0090555B"/>
    <w:rsid w:val="009113FC"/>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D54"/>
    <w:rsid w:val="009E2C98"/>
    <w:rsid w:val="009E5DE6"/>
    <w:rsid w:val="009E6E7D"/>
    <w:rsid w:val="009E7376"/>
    <w:rsid w:val="009F00CA"/>
    <w:rsid w:val="009F5445"/>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16FB"/>
    <w:rsid w:val="00A62023"/>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4C7"/>
    <w:rsid w:val="00D37935"/>
    <w:rsid w:val="00D421C7"/>
    <w:rsid w:val="00D42928"/>
    <w:rsid w:val="00D430E2"/>
    <w:rsid w:val="00D43116"/>
    <w:rsid w:val="00D4372E"/>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59F2"/>
    <w:rsid w:val="00DD6BBE"/>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728"/>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4EB8"/>
    <w:rsid w:val="00FF6F04"/>
    <w:rsid w:val="010033FE"/>
    <w:rsid w:val="01285229"/>
    <w:rsid w:val="01F81427"/>
    <w:rsid w:val="03F93561"/>
    <w:rsid w:val="04692B5D"/>
    <w:rsid w:val="0506368B"/>
    <w:rsid w:val="054B7A82"/>
    <w:rsid w:val="05D34727"/>
    <w:rsid w:val="07100627"/>
    <w:rsid w:val="081846FA"/>
    <w:rsid w:val="08931933"/>
    <w:rsid w:val="08F94D49"/>
    <w:rsid w:val="093D5647"/>
    <w:rsid w:val="09DE0A48"/>
    <w:rsid w:val="0A103DD1"/>
    <w:rsid w:val="0AC74667"/>
    <w:rsid w:val="0B0D7722"/>
    <w:rsid w:val="0B4A1776"/>
    <w:rsid w:val="0C786503"/>
    <w:rsid w:val="0C7F7205"/>
    <w:rsid w:val="0CBE4045"/>
    <w:rsid w:val="0D1A04C9"/>
    <w:rsid w:val="0D1F38C1"/>
    <w:rsid w:val="0DCD2719"/>
    <w:rsid w:val="0ECEC93E"/>
    <w:rsid w:val="0EEFFD6D"/>
    <w:rsid w:val="0FFFA92E"/>
    <w:rsid w:val="10757130"/>
    <w:rsid w:val="10903924"/>
    <w:rsid w:val="112B34AD"/>
    <w:rsid w:val="11FF5827"/>
    <w:rsid w:val="14BA7E1E"/>
    <w:rsid w:val="167006A0"/>
    <w:rsid w:val="16AFDDD6"/>
    <w:rsid w:val="17B82D98"/>
    <w:rsid w:val="18090C43"/>
    <w:rsid w:val="18721FD4"/>
    <w:rsid w:val="18FB5F15"/>
    <w:rsid w:val="195D14B2"/>
    <w:rsid w:val="1A8A0093"/>
    <w:rsid w:val="1B321622"/>
    <w:rsid w:val="1BAD3FA7"/>
    <w:rsid w:val="1E29215A"/>
    <w:rsid w:val="1EFF418B"/>
    <w:rsid w:val="1F9C38D3"/>
    <w:rsid w:val="20767551"/>
    <w:rsid w:val="20AD3585"/>
    <w:rsid w:val="21DB64E2"/>
    <w:rsid w:val="221C4C30"/>
    <w:rsid w:val="22A70B6C"/>
    <w:rsid w:val="22D95B25"/>
    <w:rsid w:val="23C14303"/>
    <w:rsid w:val="23FF4622"/>
    <w:rsid w:val="27432BC1"/>
    <w:rsid w:val="27F0275A"/>
    <w:rsid w:val="28580092"/>
    <w:rsid w:val="28BC23D4"/>
    <w:rsid w:val="2AA10ED5"/>
    <w:rsid w:val="2ADA0518"/>
    <w:rsid w:val="2C921974"/>
    <w:rsid w:val="2DBE14C9"/>
    <w:rsid w:val="2DF84451"/>
    <w:rsid w:val="2EE57C19"/>
    <w:rsid w:val="2EE73802"/>
    <w:rsid w:val="2EEF7088"/>
    <w:rsid w:val="2F277859"/>
    <w:rsid w:val="2F6A64D8"/>
    <w:rsid w:val="2F6EA659"/>
    <w:rsid w:val="30616EA9"/>
    <w:rsid w:val="307D03FB"/>
    <w:rsid w:val="319C24DC"/>
    <w:rsid w:val="31A44D82"/>
    <w:rsid w:val="32A5060D"/>
    <w:rsid w:val="32BE120D"/>
    <w:rsid w:val="330C0EF9"/>
    <w:rsid w:val="330C6252"/>
    <w:rsid w:val="33506DE6"/>
    <w:rsid w:val="33906705"/>
    <w:rsid w:val="34D66DAF"/>
    <w:rsid w:val="35A54CED"/>
    <w:rsid w:val="35CA53F3"/>
    <w:rsid w:val="36767D3B"/>
    <w:rsid w:val="36AE26C1"/>
    <w:rsid w:val="36F67782"/>
    <w:rsid w:val="37534CA7"/>
    <w:rsid w:val="37D824F1"/>
    <w:rsid w:val="37DDEC1F"/>
    <w:rsid w:val="37FA54BB"/>
    <w:rsid w:val="380721EE"/>
    <w:rsid w:val="392C42E6"/>
    <w:rsid w:val="39E147C6"/>
    <w:rsid w:val="3A271930"/>
    <w:rsid w:val="3B0C4DFA"/>
    <w:rsid w:val="3BDE1253"/>
    <w:rsid w:val="3C4D26C6"/>
    <w:rsid w:val="3C5F6D2B"/>
    <w:rsid w:val="3C882635"/>
    <w:rsid w:val="3D044EFC"/>
    <w:rsid w:val="3E6946AD"/>
    <w:rsid w:val="3E9F5226"/>
    <w:rsid w:val="3EB60CB3"/>
    <w:rsid w:val="3EC436F9"/>
    <w:rsid w:val="3F740895"/>
    <w:rsid w:val="3FB93DC6"/>
    <w:rsid w:val="402A691C"/>
    <w:rsid w:val="422E66F3"/>
    <w:rsid w:val="4275164D"/>
    <w:rsid w:val="430A3262"/>
    <w:rsid w:val="44A1731C"/>
    <w:rsid w:val="45B86D2F"/>
    <w:rsid w:val="46A824B9"/>
    <w:rsid w:val="46BB170B"/>
    <w:rsid w:val="46D78CCA"/>
    <w:rsid w:val="47510906"/>
    <w:rsid w:val="47DC8FBF"/>
    <w:rsid w:val="48C20414"/>
    <w:rsid w:val="48F61474"/>
    <w:rsid w:val="495D70F7"/>
    <w:rsid w:val="4B7D5F80"/>
    <w:rsid w:val="4BF40741"/>
    <w:rsid w:val="4C5E019B"/>
    <w:rsid w:val="4F64249F"/>
    <w:rsid w:val="4F6E1200"/>
    <w:rsid w:val="4FEE189E"/>
    <w:rsid w:val="50F23399"/>
    <w:rsid w:val="529A4303"/>
    <w:rsid w:val="531B2B0F"/>
    <w:rsid w:val="53F038EA"/>
    <w:rsid w:val="54F96EFA"/>
    <w:rsid w:val="557FD886"/>
    <w:rsid w:val="55D90439"/>
    <w:rsid w:val="565966A3"/>
    <w:rsid w:val="576A2058"/>
    <w:rsid w:val="57AFF5C7"/>
    <w:rsid w:val="57FF4886"/>
    <w:rsid w:val="59BA69E3"/>
    <w:rsid w:val="59DF77D3"/>
    <w:rsid w:val="5A661DF4"/>
    <w:rsid w:val="5ACF0178"/>
    <w:rsid w:val="5C066F15"/>
    <w:rsid w:val="5C3E17F9"/>
    <w:rsid w:val="5D3A6920"/>
    <w:rsid w:val="5D76232C"/>
    <w:rsid w:val="5D8135CC"/>
    <w:rsid w:val="5E3D051A"/>
    <w:rsid w:val="5EFF2EC4"/>
    <w:rsid w:val="5F103E94"/>
    <w:rsid w:val="5F5B6882"/>
    <w:rsid w:val="5FFDCAD4"/>
    <w:rsid w:val="5FFFE662"/>
    <w:rsid w:val="600446EC"/>
    <w:rsid w:val="600D2EE6"/>
    <w:rsid w:val="61111EF6"/>
    <w:rsid w:val="621760F6"/>
    <w:rsid w:val="62246B60"/>
    <w:rsid w:val="624C05A2"/>
    <w:rsid w:val="63776713"/>
    <w:rsid w:val="637FF5BF"/>
    <w:rsid w:val="644F1ACD"/>
    <w:rsid w:val="65831BD2"/>
    <w:rsid w:val="66ED19C7"/>
    <w:rsid w:val="672CE6EE"/>
    <w:rsid w:val="67FF1998"/>
    <w:rsid w:val="680D1D99"/>
    <w:rsid w:val="69431270"/>
    <w:rsid w:val="6A7F4F75"/>
    <w:rsid w:val="6ACA16F9"/>
    <w:rsid w:val="6B16774A"/>
    <w:rsid w:val="6BB70808"/>
    <w:rsid w:val="6C326123"/>
    <w:rsid w:val="6DF57FC1"/>
    <w:rsid w:val="6DFE9A9B"/>
    <w:rsid w:val="6ECB576B"/>
    <w:rsid w:val="6ECE2681"/>
    <w:rsid w:val="6ECFFE5B"/>
    <w:rsid w:val="6F492052"/>
    <w:rsid w:val="6F7FCF8C"/>
    <w:rsid w:val="6FBF3CB7"/>
    <w:rsid w:val="6FDE7A21"/>
    <w:rsid w:val="70656004"/>
    <w:rsid w:val="72340F9C"/>
    <w:rsid w:val="72BF5DD9"/>
    <w:rsid w:val="72FB49D1"/>
    <w:rsid w:val="732A1997"/>
    <w:rsid w:val="73BF570A"/>
    <w:rsid w:val="73F0ABA3"/>
    <w:rsid w:val="74FF163A"/>
    <w:rsid w:val="75CF1440"/>
    <w:rsid w:val="75D3665B"/>
    <w:rsid w:val="774152C9"/>
    <w:rsid w:val="779743D0"/>
    <w:rsid w:val="779F1708"/>
    <w:rsid w:val="77AF3F89"/>
    <w:rsid w:val="793070F8"/>
    <w:rsid w:val="797026E5"/>
    <w:rsid w:val="79836D47"/>
    <w:rsid w:val="79D825C1"/>
    <w:rsid w:val="7B5D131E"/>
    <w:rsid w:val="7BBEAE26"/>
    <w:rsid w:val="7BF2B4C3"/>
    <w:rsid w:val="7C8E3F8C"/>
    <w:rsid w:val="7CA62FF4"/>
    <w:rsid w:val="7CEBE89E"/>
    <w:rsid w:val="7D3F13B6"/>
    <w:rsid w:val="7D4F6414"/>
    <w:rsid w:val="7DB41B16"/>
    <w:rsid w:val="7DEB79E2"/>
    <w:rsid w:val="7DFC5027"/>
    <w:rsid w:val="7DFF39ED"/>
    <w:rsid w:val="7E002D54"/>
    <w:rsid w:val="7EEC3C50"/>
    <w:rsid w:val="7EFBDB4C"/>
    <w:rsid w:val="7F9FE3EA"/>
    <w:rsid w:val="7FAEBF0A"/>
    <w:rsid w:val="7FEB86CB"/>
    <w:rsid w:val="8B7DBEAA"/>
    <w:rsid w:val="8B7F9A0C"/>
    <w:rsid w:val="9BC9E0AD"/>
    <w:rsid w:val="A52F7025"/>
    <w:rsid w:val="A7F9EBEB"/>
    <w:rsid w:val="B17DDD86"/>
    <w:rsid w:val="B7EFCA1B"/>
    <w:rsid w:val="BCFE5D71"/>
    <w:rsid w:val="BD945DEA"/>
    <w:rsid w:val="BE3C7E44"/>
    <w:rsid w:val="BF7ED9B4"/>
    <w:rsid w:val="C79AD789"/>
    <w:rsid w:val="C7B55480"/>
    <w:rsid w:val="C9DD4AA8"/>
    <w:rsid w:val="CBBD689F"/>
    <w:rsid w:val="D7BF0954"/>
    <w:rsid w:val="D9FDCC16"/>
    <w:rsid w:val="DB3FBCB4"/>
    <w:rsid w:val="DE7FA6B1"/>
    <w:rsid w:val="DEFC585A"/>
    <w:rsid w:val="DFD9B2F3"/>
    <w:rsid w:val="DFFE04B8"/>
    <w:rsid w:val="E594C618"/>
    <w:rsid w:val="E7AAB38C"/>
    <w:rsid w:val="E7C9B964"/>
    <w:rsid w:val="EB7E0B5C"/>
    <w:rsid w:val="EEDFC301"/>
    <w:rsid w:val="EF7BB127"/>
    <w:rsid w:val="EFFF162D"/>
    <w:rsid w:val="EFFF44CB"/>
    <w:rsid w:val="F376A302"/>
    <w:rsid w:val="F5EAAC58"/>
    <w:rsid w:val="F7FE2526"/>
    <w:rsid w:val="F9BFC1B1"/>
    <w:rsid w:val="FAFDAEB0"/>
    <w:rsid w:val="FB6F8353"/>
    <w:rsid w:val="FBDD5968"/>
    <w:rsid w:val="FBF7F288"/>
    <w:rsid w:val="FBFED51B"/>
    <w:rsid w:val="FD674F2C"/>
    <w:rsid w:val="FD7FED3F"/>
    <w:rsid w:val="FEDFDE0F"/>
    <w:rsid w:val="FF1D854D"/>
    <w:rsid w:val="FF73C909"/>
    <w:rsid w:val="FF854777"/>
    <w:rsid w:val="FFA7704D"/>
    <w:rsid w:val="FFD9646C"/>
    <w:rsid w:val="FFDD6E8B"/>
    <w:rsid w:val="FFDE6EFE"/>
    <w:rsid w:val="FFF58066"/>
    <w:rsid w:val="FFF630AC"/>
    <w:rsid w:val="FFF7C889"/>
    <w:rsid w:val="FFFE1AE2"/>
    <w:rsid w:val="FFFE98A5"/>
    <w:rsid w:val="FFFF2D95"/>
    <w:rsid w:val="FFFF8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8"/>
    <w:qFormat/>
    <w:uiPriority w:val="0"/>
    <w:pPr>
      <w:ind w:firstLine="420"/>
    </w:pPr>
    <w:rPr>
      <w:rFonts w:eastAsia="宋体"/>
    </w:rPr>
  </w:style>
  <w:style w:type="paragraph" w:styleId="6">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caption"/>
    <w:basedOn w:val="1"/>
    <w:next w:val="1"/>
    <w:qFormat/>
    <w:uiPriority w:val="0"/>
    <w:pPr>
      <w:spacing w:before="152"/>
    </w:pPr>
    <w:rPr>
      <w:rFonts w:ascii="Arial" w:hAnsi="Arial" w:eastAsia="黑体" w:cs="Arial"/>
      <w:sz w:val="20"/>
      <w:szCs w:val="20"/>
    </w:rPr>
  </w:style>
  <w:style w:type="paragraph" w:styleId="8">
    <w:name w:val="List Bullet"/>
    <w:basedOn w:val="1"/>
    <w:unhideWhenUsed/>
    <w:qFormat/>
    <w:uiPriority w:val="99"/>
    <w:pPr>
      <w:numPr>
        <w:ilvl w:val="0"/>
        <w:numId w:val="2"/>
      </w:numPr>
    </w:pPr>
  </w:style>
  <w:style w:type="paragraph" w:styleId="9">
    <w:name w:val="Document Map"/>
    <w:basedOn w:val="1"/>
    <w:link w:val="45"/>
    <w:unhideWhenUsed/>
    <w:qFormat/>
    <w:uiPriority w:val="99"/>
    <w:rPr>
      <w:rFonts w:ascii="宋体"/>
      <w:sz w:val="18"/>
      <w:szCs w:val="18"/>
    </w:rPr>
  </w:style>
  <w:style w:type="paragraph" w:styleId="10">
    <w:name w:val="annotation text"/>
    <w:basedOn w:val="1"/>
    <w:link w:val="82"/>
    <w:unhideWhenUsed/>
    <w:qFormat/>
    <w:uiPriority w:val="99"/>
    <w:pPr>
      <w:spacing w:after="0"/>
      <w:jc w:val="left"/>
    </w:pPr>
    <w:rPr>
      <w:rFonts w:ascii="等线" w:hAnsi="等线" w:eastAsia="等线" w:cs="Times New Roman"/>
      <w:szCs w:val="21"/>
    </w:rPr>
  </w:style>
  <w:style w:type="paragraph" w:styleId="11">
    <w:name w:val="Body Text"/>
    <w:basedOn w:val="1"/>
    <w:next w:val="12"/>
    <w:link w:val="85"/>
    <w:unhideWhenUsed/>
    <w:qFormat/>
    <w:uiPriority w:val="99"/>
    <w:pPr>
      <w:spacing w:after="120"/>
    </w:pPr>
    <w:rPr>
      <w:rFonts w:ascii="Times New Roman" w:hAnsi="Times New Roman" w:eastAsia="宋体" w:cs="Times New Roman"/>
      <w:sz w:val="28"/>
      <w:szCs w:val="24"/>
    </w:rPr>
  </w:style>
  <w:style w:type="paragraph" w:styleId="12">
    <w:name w:val="Body Text First Indent"/>
    <w:basedOn w:val="11"/>
    <w:unhideWhenUsed/>
    <w:qFormat/>
    <w:uiPriority w:val="99"/>
    <w:pPr>
      <w:ind w:firstLine="420" w:firstLineChars="100"/>
    </w:pPr>
  </w:style>
  <w:style w:type="paragraph" w:styleId="13">
    <w:name w:val="Body Text Indent"/>
    <w:basedOn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8"/>
    <w:unhideWhenUsed/>
    <w:qFormat/>
    <w:uiPriority w:val="99"/>
    <w:rPr>
      <w:b/>
      <w:bCs/>
      <w:sz w:val="28"/>
      <w:szCs w:val="24"/>
    </w:rPr>
  </w:style>
  <w:style w:type="paragraph" w:styleId="24">
    <w:name w:val="Body Text First Indent 2"/>
    <w:basedOn w:val="13"/>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3"/>
    <w:qFormat/>
    <w:uiPriority w:val="9"/>
    <w:rPr>
      <w:rFonts w:ascii="Times New Roman" w:hAnsi="Times New Roman" w:eastAsia="宋体" w:cs="Times New Roman"/>
      <w:b/>
      <w:bCs/>
      <w:kern w:val="44"/>
      <w:sz w:val="44"/>
      <w:szCs w:val="44"/>
    </w:rPr>
  </w:style>
  <w:style w:type="character" w:customStyle="1" w:styleId="40">
    <w:name w:val="标题 2 字符"/>
    <w:basedOn w:val="27"/>
    <w:link w:val="4"/>
    <w:qFormat/>
    <w:uiPriority w:val="9"/>
    <w:rPr>
      <w:rFonts w:ascii="Cambria" w:hAnsi="Cambria" w:eastAsia="宋体" w:cs="Times New Roman"/>
      <w:b/>
      <w:bCs/>
      <w:sz w:val="32"/>
      <w:szCs w:val="32"/>
    </w:rPr>
  </w:style>
  <w:style w:type="character" w:customStyle="1" w:styleId="41">
    <w:name w:val="标题 3 字符"/>
    <w:basedOn w:val="27"/>
    <w:link w:val="5"/>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9"/>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2"/>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character" w:customStyle="1" w:styleId="82">
    <w:name w:val="批注文字 字符1"/>
    <w:basedOn w:val="27"/>
    <w:link w:val="10"/>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11"/>
    <w:qFormat/>
    <w:uiPriority w:val="99"/>
    <w:rPr>
      <w:rFonts w:ascii="Times New Roman" w:hAnsi="Times New Roman" w:eastAsia="宋体" w:cs="Times New Roman"/>
      <w:sz w:val="28"/>
      <w:szCs w:val="24"/>
    </w:rPr>
  </w:style>
  <w:style w:type="character" w:customStyle="1" w:styleId="86">
    <w:name w:val="批注框文本 字符"/>
    <w:basedOn w:val="27"/>
    <w:link w:val="17"/>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6"/>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spacing w:after="160" w:line="278" w:lineRule="auto"/>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03">
    <w:name w:val="列表段落1"/>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4"/>
    <w:qFormat/>
    <w:uiPriority w:val="0"/>
    <w:pPr>
      <w:jc w:val="center"/>
    </w:pPr>
    <w:rPr>
      <w:kern w:val="0"/>
    </w:rPr>
  </w:style>
  <w:style w:type="character" w:customStyle="1" w:styleId="106">
    <w:name w:val="未处理的提及1"/>
    <w:unhideWhenUsed/>
    <w:qFormat/>
    <w:uiPriority w:val="99"/>
    <w:rPr>
      <w:color w:val="605E5C"/>
      <w:shd w:val="clear" w:color="auto" w:fill="E1DFDD"/>
    </w:rPr>
  </w:style>
  <w:style w:type="character" w:customStyle="1" w:styleId="107">
    <w:name w:val="未处理的提及2"/>
    <w:basedOn w:val="27"/>
    <w:unhideWhenUsed/>
    <w:qFormat/>
    <w:uiPriority w:val="99"/>
    <w:rPr>
      <w:color w:val="605E5C"/>
      <w:shd w:val="clear" w:color="auto" w:fill="E1DFDD"/>
    </w:rPr>
  </w:style>
  <w:style w:type="character" w:customStyle="1" w:styleId="108">
    <w:name w:val="未处理的提及3"/>
    <w:basedOn w:val="27"/>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表格文字"/>
    <w:basedOn w:val="1"/>
    <w:next w:val="11"/>
    <w:qFormat/>
    <w:uiPriority w:val="0"/>
    <w:pPr>
      <w:jc w:val="left"/>
      <w:textAlignment w:val="top"/>
    </w:pPr>
    <w:rPr>
      <w:rFonts w:ascii="Times New Roman" w:hAnsi="Times New Roman"/>
      <w:sz w:val="18"/>
    </w:rPr>
  </w:style>
  <w:style w:type="paragraph" w:customStyle="1" w:styleId="111">
    <w:name w:val="[Normal]"/>
    <w:qFormat/>
    <w:uiPriority w:val="99"/>
    <w:pPr>
      <w:spacing w:after="160" w:line="278" w:lineRule="auto"/>
    </w:pPr>
    <w:rPr>
      <w:rFonts w:ascii="宋体" w:hAnsi="宋体" w:eastAsia="宋体" w:cs="Times New Roman"/>
      <w:sz w:val="24"/>
      <w:szCs w:val="22"/>
      <w:lang w:val="zh-CN" w:eastAsia="zh-CN" w:bidi="ar-SA"/>
    </w:rPr>
  </w:style>
  <w:style w:type="table" w:customStyle="1" w:styleId="112">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3">
    <w:name w:val="font31"/>
    <w:basedOn w:val="27"/>
    <w:qFormat/>
    <w:uiPriority w:val="0"/>
    <w:rPr>
      <w:rFonts w:hint="eastAsia" w:ascii="仿宋" w:hAnsi="仿宋" w:eastAsia="仿宋" w:cs="仿宋"/>
      <w:color w:val="000000"/>
      <w:sz w:val="21"/>
      <w:szCs w:val="21"/>
      <w:u w:val="none"/>
    </w:rPr>
  </w:style>
  <w:style w:type="character" w:customStyle="1" w:styleId="114">
    <w:name w:val="font41"/>
    <w:basedOn w:val="2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37213</Words>
  <Characters>50382</Characters>
  <Lines>392</Lines>
  <Paragraphs>110</Paragraphs>
  <TotalTime>1</TotalTime>
  <ScaleCrop>false</ScaleCrop>
  <LinksUpToDate>false</LinksUpToDate>
  <CharactersWithSpaces>50914</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2021-05-16T13:24:00Z</dcterms:created>
  <dc:creator>hj j</dc:creator>
  <cp:lastModifiedBy>Danielle</cp:lastModifiedBy>
  <cp:lastPrinted>2024-09-03T17:31:00Z</cp:lastPrinted>
  <dcterms:modified xsi:type="dcterms:W3CDTF">2024-09-19T17:12:59Z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8F0802C345738F19EFD6EB661641348E_43</vt:lpwstr>
  </property>
</Properties>
</file>