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86D692">
      <w:pPr>
        <w:adjustRightInd w:val="0"/>
        <w:snapToGrid w:val="0"/>
        <w:spacing w:line="288" w:lineRule="auto"/>
        <w:rPr>
          <w:rFonts w:hint="eastAsia" w:ascii="楷体" w:hAnsi="楷体" w:eastAsia="楷体" w:cs="Times New Roman"/>
          <w:b/>
          <w:spacing w:val="-6"/>
          <w:sz w:val="44"/>
          <w:szCs w:val="44"/>
        </w:rPr>
      </w:pPr>
    </w:p>
    <w:p w14:paraId="12E25417">
      <w:pPr>
        <w:adjustRightInd w:val="0"/>
        <w:snapToGrid w:val="0"/>
        <w:spacing w:line="288" w:lineRule="auto"/>
        <w:rPr>
          <w:rFonts w:hint="eastAsia" w:ascii="楷体" w:hAnsi="楷体" w:eastAsia="楷体" w:cs="Times New Roman"/>
          <w:b/>
          <w:spacing w:val="-6"/>
          <w:sz w:val="44"/>
          <w:szCs w:val="44"/>
        </w:rPr>
      </w:pPr>
    </w:p>
    <w:p w14:paraId="0FC0C0EA">
      <w:pPr>
        <w:adjustRightInd w:val="0"/>
        <w:snapToGrid w:val="0"/>
        <w:spacing w:line="288" w:lineRule="auto"/>
        <w:rPr>
          <w:rFonts w:hint="eastAsia" w:ascii="楷体" w:hAnsi="楷体" w:eastAsia="楷体" w:cs="Times New Roman"/>
          <w:b/>
          <w:spacing w:val="-6"/>
          <w:sz w:val="44"/>
          <w:szCs w:val="44"/>
        </w:rPr>
      </w:pPr>
    </w:p>
    <w:p w14:paraId="70B57A37">
      <w:pPr>
        <w:adjustRightInd w:val="0"/>
        <w:snapToGrid w:val="0"/>
        <w:spacing w:line="288" w:lineRule="auto"/>
        <w:jc w:val="center"/>
        <w:rPr>
          <w:rFonts w:hint="eastAsia" w:ascii="楷体" w:hAnsi="楷体" w:eastAsia="楷体" w:cs="Times New Roman"/>
          <w:b/>
          <w:spacing w:val="-6"/>
          <w:sz w:val="48"/>
          <w:szCs w:val="48"/>
        </w:rPr>
      </w:pPr>
      <w:r>
        <w:rPr>
          <w:rFonts w:hint="eastAsia" w:ascii="楷体" w:hAnsi="楷体" w:eastAsia="楷体" w:cs="Times New Roman"/>
          <w:b/>
          <w:spacing w:val="-6"/>
          <w:sz w:val="48"/>
          <w:szCs w:val="48"/>
        </w:rPr>
        <w:t>浙江农林大学</w:t>
      </w:r>
    </w:p>
    <w:p w14:paraId="7D1E8C6F">
      <w:pPr>
        <w:adjustRightInd w:val="0"/>
        <w:snapToGrid w:val="0"/>
        <w:spacing w:line="288" w:lineRule="auto"/>
        <w:jc w:val="center"/>
        <w:rPr>
          <w:rFonts w:hint="eastAsia" w:ascii="楷体" w:hAnsi="楷体" w:eastAsia="楷体" w:cs="Times New Roman"/>
          <w:b/>
          <w:spacing w:val="-6"/>
          <w:sz w:val="48"/>
          <w:szCs w:val="48"/>
        </w:rPr>
      </w:pPr>
      <w:r>
        <w:rPr>
          <w:rFonts w:hint="eastAsia" w:ascii="楷体" w:hAnsi="楷体" w:eastAsia="楷体" w:cs="Times New Roman"/>
          <w:b/>
          <w:spacing w:val="-6"/>
          <w:sz w:val="48"/>
          <w:szCs w:val="48"/>
        </w:rPr>
        <w:t>山地健康土壤培育子平台</w:t>
      </w:r>
    </w:p>
    <w:p w14:paraId="17FE734A">
      <w:pPr>
        <w:adjustRightInd w:val="0"/>
        <w:snapToGrid w:val="0"/>
        <w:spacing w:line="288" w:lineRule="auto"/>
        <w:jc w:val="center"/>
        <w:rPr>
          <w:rFonts w:hint="eastAsia" w:ascii="楷体" w:hAnsi="楷体" w:eastAsia="楷体" w:cs="Times New Roman"/>
          <w:b/>
          <w:spacing w:val="-6"/>
          <w:sz w:val="48"/>
          <w:szCs w:val="48"/>
        </w:rPr>
      </w:pPr>
    </w:p>
    <w:p w14:paraId="1799A631">
      <w:pPr>
        <w:adjustRightInd w:val="0"/>
        <w:snapToGrid w:val="0"/>
        <w:spacing w:line="288" w:lineRule="auto"/>
        <w:jc w:val="center"/>
        <w:rPr>
          <w:rFonts w:hint="eastAsia" w:ascii="楷体" w:hAnsi="楷体" w:eastAsia="楷体" w:cs="Times New Roman"/>
          <w:b/>
          <w:spacing w:val="-6"/>
          <w:sz w:val="48"/>
          <w:szCs w:val="48"/>
        </w:rPr>
      </w:pPr>
    </w:p>
    <w:p w14:paraId="7C896423">
      <w:pPr>
        <w:adjustRightInd w:val="0"/>
        <w:snapToGrid w:val="0"/>
        <w:spacing w:line="288" w:lineRule="auto"/>
        <w:jc w:val="center"/>
        <w:rPr>
          <w:rFonts w:hint="eastAsia"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14:paraId="3DD397B7">
      <w:pPr>
        <w:widowControl/>
        <w:adjustRightInd w:val="0"/>
        <w:snapToGrid w:val="0"/>
        <w:spacing w:line="288" w:lineRule="auto"/>
        <w:ind w:right="-2"/>
        <w:jc w:val="center"/>
        <w:rPr>
          <w:rFonts w:hint="eastAsia" w:ascii="楷体" w:hAnsi="楷体" w:eastAsia="楷体" w:cs="Times New Roman"/>
          <w:b/>
          <w:sz w:val="36"/>
          <w:szCs w:val="24"/>
        </w:rPr>
      </w:pPr>
      <w:r>
        <w:rPr>
          <w:rFonts w:hint="eastAsia" w:ascii="楷体" w:hAnsi="楷体" w:eastAsia="楷体" w:cs="Times New Roman"/>
          <w:b/>
          <w:sz w:val="36"/>
          <w:szCs w:val="24"/>
        </w:rPr>
        <w:t>（线上电子招投标）</w:t>
      </w:r>
    </w:p>
    <w:p w14:paraId="79700AD6">
      <w:pPr>
        <w:adjustRightInd w:val="0"/>
        <w:snapToGrid w:val="0"/>
        <w:spacing w:line="288" w:lineRule="auto"/>
        <w:jc w:val="center"/>
        <w:rPr>
          <w:rFonts w:hint="eastAsia" w:ascii="楷体" w:hAnsi="楷体" w:eastAsia="楷体" w:cs="Times New Roman"/>
          <w:sz w:val="44"/>
          <w:szCs w:val="44"/>
        </w:rPr>
      </w:pPr>
    </w:p>
    <w:p w14:paraId="5A5CBF42">
      <w:pPr>
        <w:adjustRightInd w:val="0"/>
        <w:snapToGrid w:val="0"/>
        <w:spacing w:line="288" w:lineRule="auto"/>
        <w:jc w:val="center"/>
        <w:rPr>
          <w:rFonts w:hint="eastAsia" w:ascii="楷体" w:hAnsi="楷体" w:eastAsia="楷体" w:cs="Times New Roman"/>
          <w:sz w:val="44"/>
          <w:szCs w:val="44"/>
        </w:rPr>
      </w:pPr>
    </w:p>
    <w:p w14:paraId="33222935">
      <w:pPr>
        <w:adjustRightInd w:val="0"/>
        <w:snapToGrid w:val="0"/>
        <w:spacing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项目名称：山地健康土壤培育子平台</w:t>
      </w:r>
    </w:p>
    <w:p w14:paraId="4093B51D">
      <w:pPr>
        <w:adjustRightInd w:val="0"/>
        <w:snapToGrid w:val="0"/>
        <w:spacing w:line="288" w:lineRule="auto"/>
        <w:rPr>
          <w:rFonts w:hint="eastAsia" w:ascii="楷体" w:hAnsi="楷体" w:eastAsia="楷体" w:cs="Times New Roman"/>
          <w:b/>
          <w:spacing w:val="-6"/>
          <w:sz w:val="30"/>
          <w:szCs w:val="30"/>
          <w:lang w:eastAsia="zh-CN"/>
        </w:rPr>
      </w:pPr>
      <w:r>
        <w:rPr>
          <w:rFonts w:hint="eastAsia" w:ascii="楷体" w:hAnsi="楷体" w:eastAsia="楷体" w:cs="Times New Roman"/>
          <w:b/>
          <w:spacing w:val="-6"/>
          <w:sz w:val="30"/>
          <w:szCs w:val="30"/>
        </w:rPr>
        <w:t>项目编号：</w:t>
      </w:r>
      <w:r>
        <w:rPr>
          <w:rFonts w:hint="eastAsia" w:ascii="楷体" w:hAnsi="楷体" w:eastAsia="楷体" w:cs="Times New Roman"/>
          <w:b/>
          <w:spacing w:val="-6"/>
          <w:sz w:val="30"/>
          <w:szCs w:val="30"/>
          <w:lang w:eastAsia="zh-CN"/>
        </w:rPr>
        <w:t>QSZB-Z(H)-B24472(GK)</w:t>
      </w:r>
    </w:p>
    <w:p w14:paraId="7D97F1B9">
      <w:pPr>
        <w:adjustRightInd w:val="0"/>
        <w:snapToGrid w:val="0"/>
        <w:spacing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采 购 人：浙江农林大学</w:t>
      </w:r>
    </w:p>
    <w:p w14:paraId="49213E64">
      <w:pPr>
        <w:adjustRightInd w:val="0"/>
        <w:snapToGrid w:val="0"/>
        <w:spacing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采购代理机构：浙江求是招标代理有限公司</w:t>
      </w:r>
    </w:p>
    <w:p w14:paraId="1B6369A8">
      <w:pPr>
        <w:adjustRightInd w:val="0"/>
        <w:snapToGrid w:val="0"/>
        <w:spacing w:line="288" w:lineRule="auto"/>
        <w:rPr>
          <w:rFonts w:hint="eastAsia" w:ascii="楷体" w:hAnsi="楷体" w:eastAsia="楷体" w:cs="Times New Roman"/>
          <w:b/>
          <w:spacing w:val="-6"/>
          <w:sz w:val="30"/>
          <w:szCs w:val="30"/>
          <w:lang w:eastAsia="zh-CN"/>
        </w:rPr>
      </w:pPr>
      <w:r>
        <w:rPr>
          <w:rFonts w:ascii="楷体" w:hAnsi="楷体" w:eastAsia="楷体" w:cs="Times New Roman"/>
          <w:b/>
          <w:spacing w:val="-6"/>
          <w:sz w:val="30"/>
          <w:szCs w:val="30"/>
        </w:rPr>
        <w:t>采购计划文号：</w:t>
      </w:r>
      <w:r>
        <w:rPr>
          <w:rFonts w:hint="eastAsia" w:ascii="楷体" w:hAnsi="楷体" w:eastAsia="楷体" w:cs="Times New Roman"/>
          <w:b/>
          <w:spacing w:val="-6"/>
          <w:sz w:val="30"/>
          <w:szCs w:val="30"/>
          <w:lang w:eastAsia="zh-CN"/>
        </w:rPr>
        <w:t>[2024]62625号、[2024]62626号</w:t>
      </w:r>
    </w:p>
    <w:p w14:paraId="4FD91803">
      <w:pPr>
        <w:adjustRightInd w:val="0"/>
        <w:snapToGrid w:val="0"/>
        <w:spacing w:line="288" w:lineRule="auto"/>
        <w:rPr>
          <w:rFonts w:hint="eastAsia" w:ascii="楷体" w:hAnsi="楷体" w:eastAsia="楷体" w:cs="Times New Roman"/>
          <w:b/>
          <w:szCs w:val="21"/>
        </w:rPr>
      </w:pPr>
    </w:p>
    <w:p w14:paraId="4F57710F">
      <w:pPr>
        <w:adjustRightInd w:val="0"/>
        <w:snapToGrid w:val="0"/>
        <w:spacing w:line="288" w:lineRule="auto"/>
        <w:rPr>
          <w:rFonts w:hint="eastAsia"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4C3904F0">
      <w:pPr>
        <w:adjustRightInd w:val="0"/>
        <w:snapToGrid w:val="0"/>
        <w:spacing w:line="288" w:lineRule="auto"/>
        <w:rPr>
          <w:rFonts w:hint="eastAsia" w:ascii="楷体" w:hAnsi="楷体" w:eastAsia="楷体" w:cs="Times New Roman"/>
          <w:b/>
          <w:sz w:val="30"/>
          <w:szCs w:val="30"/>
        </w:rPr>
      </w:pPr>
    </w:p>
    <w:p w14:paraId="427F4939">
      <w:pPr>
        <w:adjustRightInd w:val="0"/>
        <w:snapToGrid w:val="0"/>
        <w:spacing w:line="288" w:lineRule="auto"/>
        <w:jc w:val="center"/>
        <w:outlineLvl w:val="0"/>
        <w:rPr>
          <w:rFonts w:hint="eastAsia"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2828E7F9">
      <w:pPr>
        <w:adjustRightInd w:val="0"/>
        <w:snapToGrid w:val="0"/>
        <w:spacing w:line="288" w:lineRule="auto"/>
        <w:rPr>
          <w:rFonts w:hint="eastAsia" w:ascii="楷体" w:hAnsi="楷体" w:eastAsia="楷体" w:cs="Times New Roman"/>
          <w:b/>
          <w:sz w:val="30"/>
          <w:szCs w:val="30"/>
        </w:rPr>
      </w:pPr>
    </w:p>
    <w:p w14:paraId="4458143F">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020D9819">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5E909713">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6C00A33F">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14:paraId="6F839594">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260E4BF9">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0D855704">
      <w:pPr>
        <w:widowControl/>
        <w:adjustRightInd w:val="0"/>
        <w:snapToGrid w:val="0"/>
        <w:spacing w:line="288" w:lineRule="auto"/>
        <w:jc w:val="left"/>
        <w:rPr>
          <w:rFonts w:hint="eastAsia" w:ascii="宋体" w:hAnsi="宋体" w:eastAsia="宋体" w:cs="Times New Roman"/>
          <w:szCs w:val="21"/>
        </w:rPr>
      </w:pPr>
    </w:p>
    <w:p w14:paraId="79821CA4">
      <w:pPr>
        <w:widowControl/>
        <w:adjustRightInd w:val="0"/>
        <w:snapToGrid w:val="0"/>
        <w:spacing w:line="288" w:lineRule="auto"/>
        <w:jc w:val="left"/>
        <w:rPr>
          <w:rFonts w:hint="eastAsia"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14:paraId="62E86839">
      <w:pPr>
        <w:adjustRightInd w:val="0"/>
        <w:snapToGrid w:val="0"/>
        <w:spacing w:line="288" w:lineRule="auto"/>
        <w:jc w:val="center"/>
        <w:outlineLvl w:val="0"/>
        <w:rPr>
          <w:rFonts w:hint="eastAsia"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08F3389D">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ascii="宋体" w:hAnsi="宋体" w:eastAsia="宋体" w:cs="Times New Roman"/>
          <w:b/>
          <w:szCs w:val="21"/>
        </w:rPr>
      </w:pPr>
      <w:r>
        <w:rPr>
          <w:rFonts w:hint="eastAsia" w:ascii="宋体" w:hAnsi="宋体" w:eastAsia="宋体" w:cs="Times New Roman"/>
          <w:b/>
          <w:szCs w:val="21"/>
        </w:rPr>
        <w:t>项目概况</w:t>
      </w:r>
    </w:p>
    <w:p w14:paraId="75CF93B5">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hint="eastAsia" w:ascii="宋体" w:hAnsi="宋体" w:eastAsia="宋体" w:cs="Times New Roman"/>
          <w:b/>
          <w:szCs w:val="21"/>
        </w:rPr>
      </w:pPr>
      <w:r>
        <w:rPr>
          <w:rFonts w:hint="eastAsia" w:ascii="宋体" w:hAnsi="宋体" w:eastAsia="宋体" w:cs="Times New Roman"/>
          <w:b/>
          <w:szCs w:val="21"/>
          <w:u w:val="single"/>
        </w:rPr>
        <w:t xml:space="preserve"> 山地健康土壤培育子平台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获取（下载）招标文件，并于</w:t>
      </w:r>
      <w:r>
        <w:rPr>
          <w:rFonts w:hint="eastAsia" w:ascii="宋体" w:hAnsi="宋体" w:eastAsia="宋体" w:cs="Times New Roman"/>
          <w:b/>
          <w:szCs w:val="21"/>
          <w:u w:val="single"/>
        </w:rPr>
        <w:t>2024年</w:t>
      </w:r>
      <w:r>
        <w:rPr>
          <w:rFonts w:hint="eastAsia" w:ascii="宋体" w:hAnsi="宋体" w:eastAsia="宋体" w:cs="Times New Roman"/>
          <w:b/>
          <w:szCs w:val="21"/>
          <w:u w:val="single"/>
          <w:lang w:eastAsia="zh-CN"/>
        </w:rPr>
        <w:t>10月21日13:30:00</w:t>
      </w:r>
      <w:r>
        <w:rPr>
          <w:rFonts w:hint="eastAsia" w:ascii="宋体" w:hAnsi="宋体" w:eastAsia="宋体" w:cs="Times New Roman"/>
          <w:b/>
          <w:szCs w:val="21"/>
          <w:u w:val="single"/>
        </w:rPr>
        <w:t>（北京时间）</w:t>
      </w:r>
      <w:r>
        <w:rPr>
          <w:rFonts w:hint="eastAsia" w:ascii="宋体" w:hAnsi="宋体" w:eastAsia="宋体" w:cs="Times New Roman"/>
          <w:b/>
          <w:bCs/>
          <w:szCs w:val="21"/>
        </w:rPr>
        <w:t>前递交（上传）投标</w:t>
      </w:r>
      <w:r>
        <w:rPr>
          <w:rFonts w:ascii="宋体" w:hAnsi="宋体" w:eastAsia="宋体" w:cs="Times New Roman"/>
          <w:b/>
          <w:bCs/>
          <w:szCs w:val="21"/>
        </w:rPr>
        <w:t>文件</w:t>
      </w:r>
      <w:r>
        <w:rPr>
          <w:rFonts w:hint="eastAsia" w:ascii="宋体" w:hAnsi="宋体" w:eastAsia="宋体" w:cs="Times New Roman"/>
          <w:b/>
          <w:szCs w:val="21"/>
        </w:rPr>
        <w:t>。</w:t>
      </w:r>
    </w:p>
    <w:p w14:paraId="37627B31">
      <w:pPr>
        <w:adjustRightInd w:val="0"/>
        <w:snapToGrid w:val="0"/>
        <w:spacing w:line="288" w:lineRule="auto"/>
        <w:rPr>
          <w:rFonts w:hint="eastAsia" w:ascii="宋体" w:hAnsi="宋体" w:eastAsia="宋体" w:cs="宋体"/>
          <w:b/>
          <w:szCs w:val="21"/>
        </w:rPr>
      </w:pPr>
      <w:bookmarkStart w:id="0" w:name="_Toc28359079"/>
      <w:bookmarkStart w:id="1" w:name="_Toc35393621"/>
      <w:bookmarkStart w:id="2" w:name="_Toc28359002"/>
      <w:bookmarkStart w:id="3" w:name="_Toc35393790"/>
      <w:bookmarkStart w:id="4" w:name="_Hlk24379207"/>
      <w:r>
        <w:rPr>
          <w:rFonts w:hint="eastAsia" w:ascii="宋体" w:hAnsi="宋体" w:eastAsia="宋体" w:cs="宋体"/>
          <w:b/>
          <w:szCs w:val="21"/>
        </w:rPr>
        <w:t>一、项目基本情况</w:t>
      </w:r>
      <w:bookmarkEnd w:id="0"/>
      <w:bookmarkEnd w:id="1"/>
      <w:bookmarkEnd w:id="2"/>
      <w:bookmarkEnd w:id="3"/>
    </w:p>
    <w:p w14:paraId="581CEB21">
      <w:pPr>
        <w:adjustRightInd w:val="0"/>
        <w:snapToGrid w:val="0"/>
        <w:spacing w:line="288" w:lineRule="auto"/>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1.项目编号：</w:t>
      </w:r>
      <w:r>
        <w:rPr>
          <w:rFonts w:hint="eastAsia" w:ascii="宋体" w:hAnsi="宋体" w:eastAsia="宋体" w:cs="Times New Roman"/>
          <w:szCs w:val="21"/>
          <w:lang w:eastAsia="zh-CN"/>
        </w:rPr>
        <w:t>QSZB-Z(H)-B24472(GK)</w:t>
      </w:r>
    </w:p>
    <w:p w14:paraId="68753324">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.项目名称：山地健康土壤培育子平台</w:t>
      </w:r>
    </w:p>
    <w:bookmarkEnd w:id="4"/>
    <w:p w14:paraId="7337EA54">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.预算金额：</w:t>
      </w:r>
      <w:r>
        <w:rPr>
          <w:rFonts w:hint="eastAsia" w:ascii="宋体" w:hAnsi="宋体" w:eastAsia="宋体" w:cs="Times New Roman"/>
          <w:szCs w:val="21"/>
          <w:lang w:val="en-US" w:eastAsia="zh-CN"/>
        </w:rPr>
        <w:t>371</w:t>
      </w:r>
      <w:r>
        <w:rPr>
          <w:rFonts w:hint="eastAsia" w:ascii="宋体" w:hAnsi="宋体" w:eastAsia="宋体" w:cs="Times New Roman"/>
          <w:szCs w:val="21"/>
        </w:rPr>
        <w:t>0000元</w:t>
      </w:r>
    </w:p>
    <w:p w14:paraId="43259B31">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.最高限价：标项一：1780000元；标项二：</w:t>
      </w:r>
      <w:r>
        <w:rPr>
          <w:rFonts w:hint="eastAsia" w:ascii="宋体" w:hAnsi="宋体" w:eastAsia="宋体" w:cs="Times New Roman"/>
          <w:szCs w:val="21"/>
          <w:lang w:val="en-US" w:eastAsia="zh-CN"/>
        </w:rPr>
        <w:t>193</w:t>
      </w:r>
      <w:r>
        <w:rPr>
          <w:rFonts w:hint="eastAsia" w:ascii="宋体" w:hAnsi="宋体" w:eastAsia="宋体" w:cs="Times New Roman"/>
          <w:szCs w:val="21"/>
        </w:rPr>
        <w:t>0000元</w:t>
      </w:r>
    </w:p>
    <w:p w14:paraId="14BF7840">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5</w:t>
      </w:r>
      <w:r>
        <w:rPr>
          <w:rFonts w:hint="eastAsia" w:ascii="宋体" w:hAnsi="宋体" w:eastAsia="宋体" w:cs="Times New Roman"/>
          <w:szCs w:val="21"/>
        </w:rPr>
        <w:t>.合同履约期限：</w:t>
      </w:r>
      <w:bookmarkStart w:id="5" w:name="OLE_LINK1"/>
    </w:p>
    <w:p w14:paraId="1074F3BD">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国产设备：自合同签订之日起90日内交付并安装完毕</w:t>
      </w:r>
      <w:bookmarkEnd w:id="5"/>
      <w:r>
        <w:rPr>
          <w:rFonts w:hint="eastAsia" w:ascii="宋体" w:hAnsi="宋体" w:eastAsia="宋体" w:cs="Times New Roman"/>
          <w:szCs w:val="21"/>
        </w:rPr>
        <w:t>；</w:t>
      </w:r>
    </w:p>
    <w:p w14:paraId="71B74DE2">
      <w:pPr>
        <w:adjustRightInd w:val="0"/>
        <w:snapToGrid w:val="0"/>
        <w:spacing w:line="288" w:lineRule="auto"/>
        <w:ind w:firstLine="420" w:firstLineChars="200"/>
        <w:rPr>
          <w:rFonts w:hint="eastAsia" w:ascii="宋体" w:hAnsi="宋体" w:eastAsia="宋体" w:cs="Times New Roman"/>
          <w:szCs w:val="21"/>
          <w:u w:val="single"/>
        </w:rPr>
      </w:pPr>
      <w:r>
        <w:rPr>
          <w:rFonts w:hint="eastAsia" w:ascii="宋体" w:hAnsi="宋体" w:eastAsia="宋体" w:cs="Times New Roman"/>
          <w:szCs w:val="21"/>
        </w:rPr>
        <w:t>进口设备：自合同签订、免表办理完成后90日内交付并安装完毕。</w:t>
      </w:r>
    </w:p>
    <w:p w14:paraId="2033C818">
      <w:pPr>
        <w:adjustRightInd w:val="0"/>
        <w:snapToGrid w:val="0"/>
        <w:spacing w:line="288" w:lineRule="auto"/>
        <w:ind w:firstLine="420" w:firstLineChars="200"/>
        <w:rPr>
          <w:rFonts w:hint="eastAsia" w:ascii="宋体" w:hAnsi="宋体" w:eastAsia="宋体" w:cs="Times New Roman"/>
          <w:bCs/>
          <w:szCs w:val="21"/>
        </w:rPr>
      </w:pPr>
      <w:r>
        <w:rPr>
          <w:rFonts w:ascii="宋体" w:hAnsi="宋体" w:eastAsia="宋体" w:cs="Times New Roman"/>
          <w:bCs/>
          <w:szCs w:val="21"/>
        </w:rPr>
        <w:t>6</w:t>
      </w:r>
      <w:r>
        <w:rPr>
          <w:rFonts w:hint="eastAsia" w:ascii="宋体" w:hAnsi="宋体" w:eastAsia="宋体" w:cs="Times New Roman"/>
          <w:bCs/>
          <w:szCs w:val="21"/>
        </w:rPr>
        <w:t>.本项目（是）接受联合体投标。</w:t>
      </w:r>
    </w:p>
    <w:p w14:paraId="7D901742">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.采购需求：</w:t>
      </w:r>
    </w:p>
    <w:tbl>
      <w:tblPr>
        <w:tblStyle w:val="24"/>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6"/>
        <w:gridCol w:w="3287"/>
        <w:gridCol w:w="668"/>
        <w:gridCol w:w="689"/>
        <w:gridCol w:w="2837"/>
        <w:gridCol w:w="1276"/>
      </w:tblGrid>
      <w:tr w14:paraId="7E27E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736" w:type="dxa"/>
            <w:tcBorders>
              <w:tl2br w:val="nil"/>
              <w:tr2bl w:val="nil"/>
            </w:tcBorders>
            <w:vAlign w:val="center"/>
          </w:tcPr>
          <w:p w14:paraId="1BD93750">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标项</w:t>
            </w:r>
          </w:p>
        </w:tc>
        <w:tc>
          <w:tcPr>
            <w:tcW w:w="3287" w:type="dxa"/>
            <w:tcBorders>
              <w:right w:val="single" w:color="auto" w:sz="4" w:space="0"/>
              <w:tl2br w:val="nil"/>
              <w:tr2bl w:val="nil"/>
            </w:tcBorders>
            <w:vAlign w:val="center"/>
          </w:tcPr>
          <w:p w14:paraId="772BC71C">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名称</w:t>
            </w:r>
          </w:p>
        </w:tc>
        <w:tc>
          <w:tcPr>
            <w:tcW w:w="668" w:type="dxa"/>
            <w:tcBorders>
              <w:tl2br w:val="nil"/>
              <w:tr2bl w:val="nil"/>
            </w:tcBorders>
            <w:vAlign w:val="center"/>
          </w:tcPr>
          <w:p w14:paraId="65826F36">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689" w:type="dxa"/>
            <w:tcBorders>
              <w:tl2br w:val="nil"/>
              <w:tr2bl w:val="nil"/>
            </w:tcBorders>
            <w:vAlign w:val="center"/>
          </w:tcPr>
          <w:p w14:paraId="57F15623">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单位</w:t>
            </w:r>
          </w:p>
        </w:tc>
        <w:tc>
          <w:tcPr>
            <w:tcW w:w="2837" w:type="dxa"/>
            <w:tcBorders>
              <w:right w:val="single" w:color="auto" w:sz="4" w:space="0"/>
              <w:tl2br w:val="nil"/>
              <w:tr2bl w:val="nil"/>
            </w:tcBorders>
            <w:vAlign w:val="center"/>
          </w:tcPr>
          <w:p w14:paraId="60826FA7">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简要技术需求或服务要求</w:t>
            </w:r>
          </w:p>
        </w:tc>
        <w:tc>
          <w:tcPr>
            <w:tcW w:w="1276" w:type="dxa"/>
            <w:tcBorders>
              <w:right w:val="single" w:color="auto" w:sz="4" w:space="0"/>
              <w:tl2br w:val="nil"/>
              <w:tr2bl w:val="nil"/>
            </w:tcBorders>
            <w:vAlign w:val="center"/>
          </w:tcPr>
          <w:p w14:paraId="07024BF0">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szCs w:val="21"/>
              </w:rPr>
              <w:t>是否允许采购进口产品</w:t>
            </w:r>
          </w:p>
        </w:tc>
      </w:tr>
      <w:tr w14:paraId="2D605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36" w:type="dxa"/>
            <w:tcBorders>
              <w:tl2br w:val="nil"/>
              <w:tr2bl w:val="nil"/>
            </w:tcBorders>
            <w:vAlign w:val="center"/>
          </w:tcPr>
          <w:p w14:paraId="5C3ED04D">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一</w:t>
            </w:r>
          </w:p>
        </w:tc>
        <w:tc>
          <w:tcPr>
            <w:tcW w:w="3287" w:type="dxa"/>
            <w:tcBorders>
              <w:right w:val="single" w:color="auto" w:sz="4" w:space="0"/>
              <w:tl2br w:val="nil"/>
              <w:tr2bl w:val="nil"/>
            </w:tcBorders>
            <w:vAlign w:val="center"/>
          </w:tcPr>
          <w:p w14:paraId="70C9EF50">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电感耦合等离子质谱仪</w:t>
            </w:r>
          </w:p>
        </w:tc>
        <w:tc>
          <w:tcPr>
            <w:tcW w:w="668" w:type="dxa"/>
            <w:tcBorders>
              <w:tl2br w:val="nil"/>
              <w:tr2bl w:val="nil"/>
            </w:tcBorders>
            <w:vAlign w:val="center"/>
          </w:tcPr>
          <w:p w14:paraId="0DEECBFF">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1</w:t>
            </w:r>
          </w:p>
        </w:tc>
        <w:tc>
          <w:tcPr>
            <w:tcW w:w="689" w:type="dxa"/>
            <w:tcBorders>
              <w:tl2br w:val="nil"/>
              <w:tr2bl w:val="nil"/>
            </w:tcBorders>
            <w:vAlign w:val="center"/>
          </w:tcPr>
          <w:p w14:paraId="1D14B9E6">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套</w:t>
            </w:r>
          </w:p>
        </w:tc>
        <w:tc>
          <w:tcPr>
            <w:tcW w:w="2837" w:type="dxa"/>
            <w:vMerge w:val="restart"/>
            <w:tcBorders>
              <w:right w:val="single" w:color="auto" w:sz="4" w:space="0"/>
              <w:tl2br w:val="nil"/>
              <w:tr2bl w:val="nil"/>
            </w:tcBorders>
            <w:vAlign w:val="center"/>
          </w:tcPr>
          <w:p w14:paraId="3F2C723D">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详见第二章 采购需求</w:t>
            </w:r>
          </w:p>
        </w:tc>
        <w:tc>
          <w:tcPr>
            <w:tcW w:w="1276" w:type="dxa"/>
            <w:vMerge w:val="restart"/>
            <w:tcBorders>
              <w:right w:val="single" w:color="auto" w:sz="4" w:space="0"/>
              <w:tl2br w:val="nil"/>
              <w:tr2bl w:val="nil"/>
            </w:tcBorders>
            <w:vAlign w:val="center"/>
          </w:tcPr>
          <w:p w14:paraId="27276527">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是</w:t>
            </w:r>
          </w:p>
        </w:tc>
      </w:tr>
      <w:tr w14:paraId="57CBE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36" w:type="dxa"/>
            <w:tcBorders>
              <w:tl2br w:val="nil"/>
              <w:tr2bl w:val="nil"/>
            </w:tcBorders>
            <w:vAlign w:val="center"/>
          </w:tcPr>
          <w:p w14:paraId="65197D07">
            <w:pPr>
              <w:adjustRightInd w:val="0"/>
              <w:snapToGrid w:val="0"/>
              <w:spacing w:line="288" w:lineRule="auto"/>
              <w:jc w:val="center"/>
              <w:rPr>
                <w:rFonts w:hint="eastAsia" w:ascii="宋体" w:hAnsi="宋体" w:eastAsia="宋体" w:cs="宋体"/>
                <w:bCs/>
                <w:szCs w:val="21"/>
              </w:rPr>
            </w:pPr>
            <w:bookmarkStart w:id="6" w:name="_Toc35393622"/>
            <w:bookmarkStart w:id="7" w:name="_Toc35393791"/>
            <w:bookmarkStart w:id="8" w:name="_Toc28359080"/>
            <w:bookmarkStart w:id="9" w:name="_Toc28359003"/>
            <w:r>
              <w:rPr>
                <w:rFonts w:hint="eastAsia" w:ascii="宋体" w:hAnsi="宋体" w:eastAsia="宋体" w:cs="宋体"/>
                <w:bCs/>
                <w:szCs w:val="21"/>
              </w:rPr>
              <w:t>二</w:t>
            </w:r>
          </w:p>
        </w:tc>
        <w:tc>
          <w:tcPr>
            <w:tcW w:w="3287" w:type="dxa"/>
            <w:tcBorders>
              <w:right w:val="single" w:color="auto" w:sz="4" w:space="0"/>
              <w:tl2br w:val="nil"/>
              <w:tr2bl w:val="nil"/>
            </w:tcBorders>
            <w:vAlign w:val="center"/>
          </w:tcPr>
          <w:p w14:paraId="1DDE5BE6">
            <w:pPr>
              <w:adjustRightInd w:val="0"/>
              <w:snapToGrid w:val="0"/>
              <w:spacing w:line="288" w:lineRule="auto"/>
              <w:jc w:val="center"/>
              <w:rPr>
                <w:rFonts w:hint="eastAsia" w:ascii="宋体" w:hAnsi="宋体" w:eastAsia="宋体" w:cs="宋体"/>
                <w:bCs/>
                <w:szCs w:val="21"/>
              </w:rPr>
            </w:pPr>
            <w:bookmarkStart w:id="62" w:name="_GoBack"/>
            <w:bookmarkStart w:id="10" w:name="OLE_LINK3"/>
            <w:r>
              <w:rPr>
                <w:rFonts w:hint="eastAsia" w:ascii="宋体" w:hAnsi="宋体" w:eastAsia="宋体" w:cs="宋体"/>
                <w:bCs/>
                <w:szCs w:val="21"/>
              </w:rPr>
              <w:t>蜂巢矩阵叶绿素荧光成像系统等</w:t>
            </w:r>
            <w:bookmarkEnd w:id="10"/>
            <w:bookmarkEnd w:id="62"/>
          </w:p>
        </w:tc>
        <w:tc>
          <w:tcPr>
            <w:tcW w:w="668" w:type="dxa"/>
            <w:tcBorders>
              <w:tl2br w:val="nil"/>
              <w:tr2bl w:val="nil"/>
            </w:tcBorders>
            <w:vAlign w:val="center"/>
          </w:tcPr>
          <w:p w14:paraId="76783EAC">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1</w:t>
            </w:r>
          </w:p>
        </w:tc>
        <w:tc>
          <w:tcPr>
            <w:tcW w:w="689" w:type="dxa"/>
            <w:tcBorders>
              <w:tl2br w:val="nil"/>
              <w:tr2bl w:val="nil"/>
            </w:tcBorders>
            <w:vAlign w:val="center"/>
          </w:tcPr>
          <w:p w14:paraId="7E094E8E">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批</w:t>
            </w:r>
          </w:p>
        </w:tc>
        <w:tc>
          <w:tcPr>
            <w:tcW w:w="2837" w:type="dxa"/>
            <w:vMerge w:val="continue"/>
            <w:tcBorders>
              <w:right w:val="single" w:color="auto" w:sz="4" w:space="0"/>
              <w:tl2br w:val="nil"/>
              <w:tr2bl w:val="nil"/>
            </w:tcBorders>
            <w:vAlign w:val="center"/>
          </w:tcPr>
          <w:p w14:paraId="4617AA60">
            <w:pPr>
              <w:adjustRightInd w:val="0"/>
              <w:snapToGrid w:val="0"/>
              <w:spacing w:line="288" w:lineRule="auto"/>
              <w:jc w:val="center"/>
              <w:rPr>
                <w:rFonts w:hint="eastAsia" w:ascii="宋体" w:hAnsi="宋体" w:eastAsia="宋体" w:cs="宋体"/>
                <w:bCs/>
                <w:szCs w:val="21"/>
              </w:rPr>
            </w:pPr>
          </w:p>
        </w:tc>
        <w:tc>
          <w:tcPr>
            <w:tcW w:w="1276" w:type="dxa"/>
            <w:vMerge w:val="continue"/>
            <w:tcBorders>
              <w:right w:val="single" w:color="auto" w:sz="4" w:space="0"/>
              <w:tl2br w:val="nil"/>
              <w:tr2bl w:val="nil"/>
            </w:tcBorders>
            <w:vAlign w:val="center"/>
          </w:tcPr>
          <w:p w14:paraId="14F00A68">
            <w:pPr>
              <w:adjustRightInd w:val="0"/>
              <w:snapToGrid w:val="0"/>
              <w:spacing w:line="288" w:lineRule="auto"/>
              <w:jc w:val="center"/>
              <w:rPr>
                <w:rFonts w:hint="eastAsia" w:ascii="宋体" w:hAnsi="宋体" w:eastAsia="宋体" w:cs="宋体"/>
                <w:szCs w:val="21"/>
              </w:rPr>
            </w:pPr>
          </w:p>
        </w:tc>
      </w:tr>
    </w:tbl>
    <w:p w14:paraId="45C22C80">
      <w:pPr>
        <w:adjustRightInd w:val="0"/>
        <w:snapToGrid w:val="0"/>
        <w:spacing w:line="288" w:lineRule="auto"/>
        <w:rPr>
          <w:rFonts w:hint="eastAsia" w:ascii="宋体" w:hAnsi="宋体" w:eastAsia="宋体" w:cs="宋体"/>
          <w:b/>
          <w:szCs w:val="21"/>
        </w:rPr>
      </w:pPr>
      <w:r>
        <w:rPr>
          <w:rFonts w:hint="eastAsia" w:ascii="宋体" w:hAnsi="宋体" w:eastAsia="宋体" w:cs="宋体"/>
          <w:b/>
          <w:szCs w:val="21"/>
        </w:rPr>
        <w:t>二、申请人的资格要求：</w:t>
      </w:r>
      <w:bookmarkEnd w:id="6"/>
      <w:bookmarkEnd w:id="7"/>
      <w:bookmarkEnd w:id="8"/>
      <w:bookmarkEnd w:id="9"/>
    </w:p>
    <w:p w14:paraId="45320CCE">
      <w:pPr>
        <w:adjustRightInd w:val="0"/>
        <w:snapToGrid w:val="0"/>
        <w:spacing w:line="288"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1.满足《中华人民共和国政府采购法》第二十二条规定，未被“信用中国”（www.creditchina.gov.cn）</w:t>
      </w:r>
      <w:r>
        <w:rPr>
          <w:rFonts w:ascii="宋体" w:hAnsi="宋体" w:eastAsia="宋体" w:cs="Times New Roman"/>
          <w:bCs/>
          <w:szCs w:val="21"/>
        </w:rPr>
        <w:t>、中国政府采购网（www.ccgp.gov.cn）列入失信被执行人、重大税收违法案件当事人名单、政府采购严重违法失信行为记录名单</w:t>
      </w:r>
      <w:r>
        <w:rPr>
          <w:rFonts w:hint="eastAsia" w:ascii="宋体" w:hAnsi="宋体" w:eastAsia="宋体" w:cs="Times New Roman"/>
          <w:bCs/>
          <w:szCs w:val="21"/>
        </w:rPr>
        <w:t>；</w:t>
      </w:r>
    </w:p>
    <w:p w14:paraId="2C2220AA">
      <w:pPr>
        <w:adjustRightInd w:val="0"/>
        <w:snapToGrid w:val="0"/>
        <w:spacing w:line="288" w:lineRule="auto"/>
        <w:ind w:firstLine="420" w:firstLineChars="200"/>
        <w:rPr>
          <w:rFonts w:hint="eastAsia" w:ascii="宋体" w:hAnsi="宋体" w:eastAsia="宋体" w:cs="Times New Roman"/>
          <w:szCs w:val="21"/>
        </w:rPr>
      </w:pPr>
      <w:bookmarkStart w:id="11" w:name="_Toc28359081"/>
      <w:bookmarkStart w:id="12" w:name="_Toc28359004"/>
      <w:r>
        <w:rPr>
          <w:rFonts w:hint="eastAsia" w:ascii="宋体" w:hAnsi="宋体" w:eastAsia="宋体" w:cs="Times New Roman"/>
          <w:szCs w:val="21"/>
        </w:rPr>
        <w:t>2.落实政府采购政策需满足的资格要求：无</w:t>
      </w:r>
    </w:p>
    <w:p w14:paraId="344BEDD4">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3.本项目的特定资格要求：无</w:t>
      </w:r>
    </w:p>
    <w:p w14:paraId="5FEFB036">
      <w:pPr>
        <w:adjustRightInd w:val="0"/>
        <w:snapToGrid w:val="0"/>
        <w:spacing w:line="288" w:lineRule="auto"/>
        <w:rPr>
          <w:rFonts w:hint="eastAsia" w:ascii="宋体" w:hAnsi="宋体" w:eastAsia="宋体" w:cs="宋体"/>
          <w:b/>
          <w:szCs w:val="21"/>
        </w:rPr>
      </w:pPr>
      <w:bookmarkStart w:id="13" w:name="_Toc35393623"/>
      <w:bookmarkStart w:id="14" w:name="_Toc35393792"/>
      <w:r>
        <w:rPr>
          <w:rFonts w:hint="eastAsia" w:ascii="宋体" w:hAnsi="宋体" w:eastAsia="宋体" w:cs="宋体"/>
          <w:b/>
          <w:szCs w:val="21"/>
        </w:rPr>
        <w:t>三、获取招标文件</w:t>
      </w:r>
      <w:bookmarkEnd w:id="11"/>
      <w:bookmarkEnd w:id="12"/>
      <w:bookmarkEnd w:id="13"/>
      <w:bookmarkEnd w:id="14"/>
    </w:p>
    <w:p w14:paraId="0947EB6D">
      <w:pPr>
        <w:adjustRightInd w:val="0"/>
        <w:snapToGrid w:val="0"/>
        <w:spacing w:line="288" w:lineRule="auto"/>
        <w:ind w:firstLine="420" w:firstLineChars="200"/>
        <w:rPr>
          <w:rFonts w:hint="eastAsia" w:ascii="宋体" w:hAnsi="宋体" w:eastAsia="宋体" w:cs="Times New Roman"/>
          <w:szCs w:val="21"/>
        </w:rPr>
      </w:pPr>
      <w:bookmarkStart w:id="15" w:name="_Toc28359082"/>
      <w:bookmarkStart w:id="16" w:name="_Toc28359005"/>
      <w:bookmarkStart w:id="17" w:name="_Toc35393793"/>
      <w:bookmarkStart w:id="18" w:name="_Toc35393624"/>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时间：2024年</w:t>
      </w:r>
      <w:r>
        <w:rPr>
          <w:rFonts w:hint="eastAsia" w:ascii="宋体" w:hAnsi="宋体" w:eastAsia="宋体" w:cs="Times New Roman"/>
          <w:szCs w:val="21"/>
          <w:lang w:val="en-US" w:eastAsia="zh-CN"/>
        </w:rPr>
        <w:t>9</w:t>
      </w:r>
      <w:r>
        <w:rPr>
          <w:rFonts w:hint="eastAsia" w:ascii="宋体" w:hAnsi="宋体" w:eastAsia="宋体" w:cs="Times New Roman"/>
          <w:szCs w:val="21"/>
        </w:rPr>
        <w:t>月</w:t>
      </w:r>
      <w:r>
        <w:rPr>
          <w:rFonts w:hint="eastAsia" w:ascii="宋体" w:hAnsi="宋体" w:eastAsia="宋体" w:cs="Times New Roman"/>
          <w:szCs w:val="21"/>
          <w:lang w:val="en-US" w:eastAsia="zh-CN"/>
        </w:rPr>
        <w:t>30</w:t>
      </w:r>
      <w:r>
        <w:rPr>
          <w:rFonts w:hint="eastAsia" w:ascii="宋体" w:hAnsi="宋体" w:eastAsia="宋体" w:cs="Times New Roman"/>
          <w:szCs w:val="21"/>
        </w:rPr>
        <w:t>日至2024年</w:t>
      </w:r>
      <w:r>
        <w:rPr>
          <w:rFonts w:hint="eastAsia" w:ascii="宋体" w:hAnsi="宋体" w:eastAsia="宋体" w:cs="Times New Roman"/>
          <w:szCs w:val="21"/>
          <w:lang w:eastAsia="zh-CN"/>
        </w:rPr>
        <w:t>10月21日</w:t>
      </w:r>
      <w:r>
        <w:rPr>
          <w:rFonts w:hint="eastAsia" w:ascii="宋体" w:hAnsi="宋体" w:eastAsia="宋体" w:cs="Times New Roman"/>
          <w:szCs w:val="21"/>
        </w:rPr>
        <w:t>，上午</w:t>
      </w:r>
      <w:r>
        <w:rPr>
          <w:rFonts w:hint="eastAsia" w:ascii="宋体" w:hAnsi="宋体" w:eastAsia="宋体" w:cs="Times New Roman"/>
          <w:bCs/>
          <w:szCs w:val="21"/>
        </w:rPr>
        <w:t>00:00至12:00，下午12:00至23:59（北京时间，线上获取法定节假日均可，线下获取文件法定节假日除外）</w:t>
      </w:r>
    </w:p>
    <w:p w14:paraId="271F65FA">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地点（网址）：政府采购云平台（https://www.zcygov.cn）</w:t>
      </w:r>
    </w:p>
    <w:p w14:paraId="7A97F631">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方式：供应商登录政采云平台（https://www.zcygov.cn）</w:t>
      </w:r>
      <w:r>
        <w:rPr>
          <w:rFonts w:ascii="宋体" w:hAnsi="宋体" w:eastAsia="宋体" w:cs="Times New Roman"/>
          <w:szCs w:val="21"/>
        </w:rPr>
        <w:t>在线申请获取采购文件（进入“项目采购”应用，在获取采购文件菜单中选择项目，申请获取采购文件）。</w:t>
      </w:r>
    </w:p>
    <w:p w14:paraId="32CCB5DB">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售价（元）：0</w:t>
      </w:r>
    </w:p>
    <w:p w14:paraId="7269565E">
      <w:pPr>
        <w:adjustRightInd w:val="0"/>
        <w:snapToGrid w:val="0"/>
        <w:spacing w:line="288" w:lineRule="auto"/>
        <w:rPr>
          <w:rFonts w:hint="eastAsia" w:ascii="宋体" w:hAnsi="宋体" w:eastAsia="宋体" w:cs="宋体"/>
          <w:b/>
          <w:szCs w:val="21"/>
        </w:rPr>
      </w:pPr>
      <w:r>
        <w:rPr>
          <w:rFonts w:hint="eastAsia" w:ascii="宋体" w:hAnsi="宋体" w:eastAsia="宋体" w:cs="宋体"/>
          <w:b/>
          <w:szCs w:val="21"/>
        </w:rPr>
        <w:t>四、提交（上传）投标文件</w:t>
      </w:r>
      <w:bookmarkEnd w:id="15"/>
      <w:bookmarkEnd w:id="16"/>
      <w:r>
        <w:rPr>
          <w:rFonts w:hint="eastAsia" w:ascii="宋体" w:hAnsi="宋体" w:eastAsia="宋体" w:cs="宋体"/>
          <w:b/>
          <w:szCs w:val="21"/>
        </w:rPr>
        <w:t>截止时间、开标时间和地点</w:t>
      </w:r>
      <w:bookmarkEnd w:id="17"/>
      <w:bookmarkEnd w:id="18"/>
    </w:p>
    <w:p w14:paraId="4E233CBF">
      <w:pPr>
        <w:adjustRightInd w:val="0"/>
        <w:snapToGrid w:val="0"/>
        <w:spacing w:line="288" w:lineRule="auto"/>
        <w:ind w:firstLine="420" w:firstLineChars="200"/>
        <w:rPr>
          <w:rFonts w:hint="eastAsia" w:ascii="宋体" w:hAnsi="宋体" w:eastAsia="宋体" w:cs="Times New Roman"/>
          <w:bCs/>
          <w:szCs w:val="21"/>
        </w:rPr>
      </w:pPr>
      <w:bookmarkStart w:id="19" w:name="_Hlk81212057"/>
      <w:r>
        <w:rPr>
          <w:rFonts w:hint="eastAsia" w:ascii="宋体" w:hAnsi="宋体" w:eastAsia="宋体" w:cs="Times New Roman"/>
          <w:bCs/>
          <w:szCs w:val="21"/>
        </w:rPr>
        <w:t>提交投标文件截止时间：2024年</w:t>
      </w:r>
      <w:r>
        <w:rPr>
          <w:rFonts w:hint="eastAsia" w:ascii="宋体" w:hAnsi="宋体" w:eastAsia="宋体" w:cs="Times New Roman"/>
          <w:bCs/>
          <w:szCs w:val="21"/>
          <w:lang w:eastAsia="zh-CN"/>
        </w:rPr>
        <w:t>10月21日13:30:00</w:t>
      </w:r>
      <w:r>
        <w:rPr>
          <w:rFonts w:hint="eastAsia" w:ascii="宋体" w:hAnsi="宋体" w:eastAsia="宋体" w:cs="Times New Roman"/>
          <w:bCs/>
          <w:szCs w:val="21"/>
        </w:rPr>
        <w:t>（北京时间）</w:t>
      </w:r>
    </w:p>
    <w:p w14:paraId="38DE5B1B">
      <w:pPr>
        <w:adjustRightInd w:val="0"/>
        <w:snapToGrid w:val="0"/>
        <w:spacing w:line="288" w:lineRule="auto"/>
        <w:ind w:firstLine="420" w:firstLineChars="200"/>
        <w:rPr>
          <w:rFonts w:hint="eastAsia" w:ascii="宋体" w:hAnsi="宋体" w:eastAsia="宋体" w:cs="Times New Roman"/>
          <w:bCs/>
          <w:szCs w:val="21"/>
        </w:rPr>
      </w:pPr>
      <w:r>
        <w:rPr>
          <w:rFonts w:ascii="宋体" w:hAnsi="宋体" w:eastAsia="宋体" w:cs="Times New Roman"/>
          <w:bCs/>
          <w:szCs w:val="21"/>
        </w:rPr>
        <w:t>投标地点（网址）：</w:t>
      </w:r>
      <w:r>
        <w:rPr>
          <w:rFonts w:hint="eastAsia" w:ascii="宋体" w:hAnsi="宋体" w:eastAsia="宋体" w:cs="Times New Roman"/>
          <w:szCs w:val="21"/>
        </w:rPr>
        <w:t>政府采购云平台（https://www.zcygov.cn）</w:t>
      </w:r>
    </w:p>
    <w:p w14:paraId="4559EDFB">
      <w:pPr>
        <w:adjustRightInd w:val="0"/>
        <w:snapToGrid w:val="0"/>
        <w:spacing w:line="288" w:lineRule="auto"/>
        <w:ind w:firstLine="420" w:firstLineChars="200"/>
        <w:rPr>
          <w:rFonts w:hint="eastAsia" w:ascii="宋体" w:hAnsi="宋体" w:eastAsia="宋体" w:cs="Times New Roman"/>
          <w:bCs/>
          <w:szCs w:val="21"/>
        </w:rPr>
      </w:pPr>
      <w:r>
        <w:rPr>
          <w:rFonts w:ascii="宋体" w:hAnsi="宋体" w:eastAsia="宋体" w:cs="Times New Roman"/>
          <w:bCs/>
          <w:szCs w:val="21"/>
        </w:rPr>
        <w:t>开标时间：</w:t>
      </w:r>
      <w:r>
        <w:rPr>
          <w:rFonts w:hint="eastAsia" w:ascii="宋体" w:hAnsi="宋体" w:eastAsia="宋体" w:cs="Times New Roman"/>
          <w:bCs/>
          <w:szCs w:val="21"/>
        </w:rPr>
        <w:t>2024年</w:t>
      </w:r>
      <w:r>
        <w:rPr>
          <w:rFonts w:hint="eastAsia" w:ascii="宋体" w:hAnsi="宋体" w:eastAsia="宋体" w:cs="Times New Roman"/>
          <w:bCs/>
          <w:szCs w:val="21"/>
          <w:lang w:eastAsia="zh-CN"/>
        </w:rPr>
        <w:t>10月21日13:30:00</w:t>
      </w:r>
      <w:r>
        <w:rPr>
          <w:rFonts w:hint="eastAsia" w:ascii="宋体" w:hAnsi="宋体" w:eastAsia="宋体" w:cs="Times New Roman"/>
          <w:bCs/>
          <w:szCs w:val="21"/>
        </w:rPr>
        <w:t>（北京时间）</w:t>
      </w:r>
    </w:p>
    <w:p w14:paraId="260B817D">
      <w:pPr>
        <w:adjustRightInd w:val="0"/>
        <w:snapToGrid w:val="0"/>
        <w:spacing w:line="288" w:lineRule="auto"/>
        <w:ind w:firstLine="420" w:firstLineChars="200"/>
        <w:rPr>
          <w:rFonts w:hint="eastAsia" w:ascii="宋体" w:hAnsi="宋体" w:eastAsia="宋体" w:cs="Times New Roman"/>
          <w:bCs/>
          <w:szCs w:val="21"/>
        </w:rPr>
      </w:pPr>
      <w:r>
        <w:rPr>
          <w:rFonts w:ascii="宋体" w:hAnsi="宋体" w:eastAsia="宋体" w:cs="Times New Roman"/>
          <w:bCs/>
          <w:szCs w:val="21"/>
        </w:rPr>
        <w:t>开标地点（网址）：</w:t>
      </w:r>
      <w:r>
        <w:rPr>
          <w:rFonts w:hint="eastAsia" w:ascii="宋体" w:hAnsi="宋体" w:eastAsia="宋体" w:cs="Times New Roman"/>
          <w:szCs w:val="21"/>
        </w:rPr>
        <w:t>政府采购云平台（https://www.zcygov.cn）</w:t>
      </w:r>
      <w:bookmarkStart w:id="20" w:name="_Hlk81212131"/>
      <w:r>
        <w:rPr>
          <w:rFonts w:hint="eastAsia" w:ascii="宋体" w:hAnsi="宋体" w:eastAsia="宋体" w:cs="Times New Roman"/>
          <w:szCs w:val="21"/>
        </w:rPr>
        <w:t>/杭州市西湖区玉古路173号中田大厦21楼（求是招标会议室</w:t>
      </w:r>
      <w:r>
        <w:rPr>
          <w:rFonts w:hint="eastAsia" w:ascii="宋体" w:hAnsi="宋体" w:eastAsia="宋体" w:cs="Times New Roman"/>
          <w:szCs w:val="21"/>
          <w:lang w:val="en-US" w:eastAsia="zh-CN"/>
        </w:rPr>
        <w:t>3</w:t>
      </w:r>
      <w:r>
        <w:rPr>
          <w:rFonts w:hint="eastAsia" w:ascii="宋体" w:hAnsi="宋体" w:eastAsia="宋体" w:cs="Times New Roman"/>
          <w:szCs w:val="21"/>
        </w:rPr>
        <w:t>）</w:t>
      </w:r>
      <w:bookmarkEnd w:id="20"/>
    </w:p>
    <w:bookmarkEnd w:id="19"/>
    <w:p w14:paraId="227360F1">
      <w:pPr>
        <w:adjustRightInd w:val="0"/>
        <w:snapToGrid w:val="0"/>
        <w:spacing w:line="288" w:lineRule="auto"/>
        <w:rPr>
          <w:rFonts w:hint="eastAsia" w:ascii="宋体" w:hAnsi="宋体" w:eastAsia="宋体" w:cs="宋体"/>
          <w:b/>
          <w:szCs w:val="21"/>
        </w:rPr>
      </w:pPr>
      <w:bookmarkStart w:id="21" w:name="_Toc28359007"/>
      <w:bookmarkStart w:id="22" w:name="_Toc28359084"/>
      <w:bookmarkStart w:id="23" w:name="_Toc35393794"/>
      <w:bookmarkStart w:id="24" w:name="_Toc35393625"/>
      <w:r>
        <w:rPr>
          <w:rFonts w:hint="eastAsia" w:ascii="宋体" w:hAnsi="宋体" w:eastAsia="宋体" w:cs="宋体"/>
          <w:b/>
          <w:szCs w:val="21"/>
        </w:rPr>
        <w:t>五、公告期限</w:t>
      </w:r>
      <w:bookmarkEnd w:id="21"/>
      <w:bookmarkEnd w:id="22"/>
      <w:bookmarkEnd w:id="23"/>
      <w:bookmarkEnd w:id="24"/>
    </w:p>
    <w:p w14:paraId="3F5AD0CC">
      <w:pPr>
        <w:adjustRightInd w:val="0"/>
        <w:snapToGrid w:val="0"/>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自本公告发布之日起5个工作日。</w:t>
      </w:r>
    </w:p>
    <w:p w14:paraId="1A08F462">
      <w:pPr>
        <w:adjustRightInd w:val="0"/>
        <w:snapToGrid w:val="0"/>
        <w:spacing w:line="288" w:lineRule="auto"/>
        <w:rPr>
          <w:rFonts w:hint="eastAsia" w:ascii="宋体" w:hAnsi="宋体" w:eastAsia="宋体" w:cs="宋体"/>
          <w:b/>
          <w:szCs w:val="21"/>
        </w:rPr>
      </w:pPr>
      <w:bookmarkStart w:id="25" w:name="_Toc35393626"/>
      <w:bookmarkStart w:id="26" w:name="_Toc35393795"/>
      <w:r>
        <w:rPr>
          <w:rFonts w:hint="eastAsia" w:ascii="宋体" w:hAnsi="宋体" w:eastAsia="宋体" w:cs="宋体"/>
          <w:b/>
          <w:szCs w:val="21"/>
        </w:rPr>
        <w:t>六、其他补充事宜</w:t>
      </w:r>
      <w:bookmarkEnd w:id="25"/>
      <w:bookmarkEnd w:id="26"/>
    </w:p>
    <w:p w14:paraId="64941802">
      <w:pPr>
        <w:adjustRightInd w:val="0"/>
        <w:snapToGrid w:val="0"/>
        <w:spacing w:line="288" w:lineRule="auto"/>
        <w:ind w:firstLine="420" w:firstLineChars="200"/>
        <w:rPr>
          <w:rFonts w:hint="eastAsia" w:ascii="宋体" w:hAnsi="宋体" w:eastAsia="宋体" w:cs="Times New Roman"/>
          <w:szCs w:val="21"/>
        </w:rPr>
      </w:pPr>
      <w:bookmarkStart w:id="27" w:name="_Hlk92271231"/>
      <w:r>
        <w:rPr>
          <w:rFonts w:hint="eastAsia"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069FEB6">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5D5ADF">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173CCD1">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4.其他事项：</w:t>
      </w:r>
      <w:bookmarkStart w:id="28" w:name="_Hlk92271331"/>
    </w:p>
    <w:p w14:paraId="7285436B">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9" w:name="_Hlk106877787"/>
      <w:r>
        <w:rPr>
          <w:rFonts w:hint="eastAsia" w:ascii="宋体" w:hAnsi="宋体" w:eastAsia="宋体" w:cs="Times New Roman"/>
          <w:szCs w:val="21"/>
        </w:rPr>
        <w:t>支持科技创新、</w:t>
      </w:r>
      <w:bookmarkEnd w:id="29"/>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7D78435F">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w:t>
      </w:r>
      <w:bookmarkStart w:id="30"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30"/>
    </w:p>
    <w:bookmarkEnd w:id="27"/>
    <w:bookmarkEnd w:id="28"/>
    <w:p w14:paraId="09BD9C1C">
      <w:pPr>
        <w:adjustRightInd w:val="0"/>
        <w:snapToGrid w:val="0"/>
        <w:spacing w:line="288" w:lineRule="auto"/>
        <w:rPr>
          <w:rFonts w:hint="eastAsia" w:ascii="宋体" w:hAnsi="宋体" w:eastAsia="宋体" w:cs="Times New Roman"/>
          <w:b/>
          <w:szCs w:val="21"/>
        </w:rPr>
      </w:pPr>
      <w:bookmarkStart w:id="31" w:name="_Toc35393627"/>
      <w:bookmarkStart w:id="32" w:name="_Toc28359008"/>
      <w:bookmarkStart w:id="33" w:name="_Toc35393796"/>
      <w:bookmarkStart w:id="34" w:name="_Toc28359085"/>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31"/>
      <w:bookmarkEnd w:id="32"/>
      <w:bookmarkEnd w:id="33"/>
      <w:bookmarkEnd w:id="34"/>
    </w:p>
    <w:p w14:paraId="4A1A96BE">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1.采购人信息</w:t>
      </w:r>
    </w:p>
    <w:p w14:paraId="7915D62E">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名称：浙江农林大学</w:t>
      </w:r>
    </w:p>
    <w:p w14:paraId="55C696C6">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地址：杭州市临安区武肃街666号</w:t>
      </w:r>
    </w:p>
    <w:p w14:paraId="3E9311B5">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传真：/</w:t>
      </w:r>
    </w:p>
    <w:p w14:paraId="2B1B162F">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项目联系人（询问）：方老师</w:t>
      </w:r>
    </w:p>
    <w:p w14:paraId="492EE336">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项目联系方式（询问）：15925638797</w:t>
      </w:r>
    </w:p>
    <w:p w14:paraId="26CF7C2A">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质疑联系人：王老师</w:t>
      </w:r>
    </w:p>
    <w:p w14:paraId="00DB202B">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质疑联系方式：0571-63740897</w:t>
      </w:r>
    </w:p>
    <w:p w14:paraId="716DBAFB">
      <w:pPr>
        <w:adjustRightInd w:val="0"/>
        <w:snapToGrid w:val="0"/>
        <w:spacing w:line="288" w:lineRule="auto"/>
        <w:ind w:firstLine="424" w:firstLineChars="202"/>
        <w:rPr>
          <w:rFonts w:hint="eastAsia" w:ascii="宋体" w:hAnsi="宋体" w:eastAsia="宋体" w:cs="Times New Roman"/>
          <w:szCs w:val="21"/>
        </w:rPr>
      </w:pPr>
    </w:p>
    <w:p w14:paraId="19AB1337">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2.采购代理机构信息</w:t>
      </w:r>
    </w:p>
    <w:p w14:paraId="530CF6E0">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名称：浙江求是招标代理有限公司</w:t>
      </w:r>
    </w:p>
    <w:p w14:paraId="3367DDAC">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地址：杭州市西湖区玉古路173号中田大厦21楼</w:t>
      </w:r>
    </w:p>
    <w:p w14:paraId="32AFD159">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传真：/</w:t>
      </w:r>
    </w:p>
    <w:p w14:paraId="1DFF1036">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项目联系人（询问）：</w:t>
      </w:r>
      <w:r>
        <w:rPr>
          <w:rFonts w:hint="eastAsia" w:ascii="宋体" w:hAnsi="宋体" w:eastAsia="宋体" w:cs="Times New Roman"/>
          <w:bCs/>
          <w:spacing w:val="-6"/>
          <w:szCs w:val="21"/>
        </w:rPr>
        <w:t>陈应俭、俞炳</w:t>
      </w:r>
    </w:p>
    <w:p w14:paraId="5D1DA907">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项目联系方式（询问）：0571-87670302</w:t>
      </w:r>
    </w:p>
    <w:p w14:paraId="55EA6156">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质疑联系人：周安琪</w:t>
      </w:r>
    </w:p>
    <w:p w14:paraId="1BA4FA62">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质疑联系方式：0571-81110356</w:t>
      </w:r>
    </w:p>
    <w:p w14:paraId="232648C9">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14:paraId="0EC30FEE">
      <w:pPr>
        <w:adjustRightInd w:val="0"/>
        <w:snapToGrid w:val="0"/>
        <w:spacing w:line="288" w:lineRule="auto"/>
        <w:ind w:firstLine="424" w:firstLineChars="202"/>
        <w:rPr>
          <w:rFonts w:hint="eastAsia" w:ascii="宋体" w:hAnsi="宋体" w:eastAsia="宋体" w:cs="Times New Roman"/>
          <w:szCs w:val="21"/>
        </w:rPr>
      </w:pPr>
      <w:bookmarkStart w:id="35" w:name="_Hlk124147873"/>
    </w:p>
    <w:p w14:paraId="6C46C6D2">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3.同级政府采购监督管理部门</w:t>
      </w:r>
    </w:p>
    <w:p w14:paraId="72464A51">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名称：浙江省财政厅政府采购监管处、浙江省政府采购行政裁决服务中心（杭州）</w:t>
      </w:r>
    </w:p>
    <w:p w14:paraId="0D9DF226">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地址：</w:t>
      </w:r>
      <w:r>
        <w:rPr>
          <w:rFonts w:hint="eastAsia" w:ascii="宋体" w:hAnsi="宋体" w:eastAsia="宋体" w:cs="Times New Roman"/>
          <w:spacing w:val="-6"/>
          <w:szCs w:val="21"/>
        </w:rPr>
        <w:t>杭州市上城区清泰街549号城建综合大楼11楼（快递仅限ems或顺丰）</w:t>
      </w:r>
    </w:p>
    <w:p w14:paraId="7F5F64DB">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传真：/</w:t>
      </w:r>
    </w:p>
    <w:p w14:paraId="09AD2996">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联系人：朱女士、王女士</w:t>
      </w:r>
    </w:p>
    <w:p w14:paraId="53211511">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监督投诉电话：</w:t>
      </w:r>
      <w:r>
        <w:rPr>
          <w:rFonts w:hint="eastAsia" w:ascii="宋体" w:hAnsi="宋体" w:eastAsia="宋体" w:cs="Times New Roman"/>
          <w:spacing w:val="-6"/>
          <w:szCs w:val="21"/>
        </w:rPr>
        <w:t>0571-87227671,0571-87800218</w:t>
      </w:r>
    </w:p>
    <w:p w14:paraId="37320225">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政策咨询：何一平、冯华，0571-87058424、87055741</w:t>
      </w:r>
    </w:p>
    <w:p w14:paraId="14891E89">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预算金额未达100万元的采购项目，由采购人处理采购争议。</w:t>
      </w:r>
    </w:p>
    <w:p w14:paraId="6B65201E">
      <w:pPr>
        <w:adjustRightInd w:val="0"/>
        <w:snapToGrid w:val="0"/>
        <w:spacing w:line="288" w:lineRule="auto"/>
        <w:ind w:firstLine="370"/>
        <w:rPr>
          <w:rFonts w:hint="eastAsia" w:ascii="宋体" w:hAnsi="宋体" w:eastAsia="宋体" w:cs="Times New Roman"/>
          <w:spacing w:val="-6"/>
          <w:szCs w:val="21"/>
        </w:rPr>
      </w:pPr>
    </w:p>
    <w:p w14:paraId="218E2180">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若对项目采购电子交易系统操作有疑问，可登录政采云（</w:t>
      </w:r>
      <w:r>
        <w:rPr>
          <w:rFonts w:ascii="宋体" w:hAnsi="宋体" w:eastAsia="宋体" w:cs="Times New Roman"/>
          <w:spacing w:val="-6"/>
          <w:szCs w:val="21"/>
        </w:rPr>
        <w:t>https://www.zcygov.cn/），点击右侧咨询小采，获取采小蜜智能服务管家帮助，或拨打政采云服务热线</w:t>
      </w:r>
      <w:r>
        <w:rPr>
          <w:rFonts w:hint="eastAsia" w:ascii="宋体" w:hAnsi="宋体" w:eastAsia="宋体" w:cs="Times New Roman"/>
          <w:spacing w:val="-6"/>
          <w:szCs w:val="21"/>
        </w:rPr>
        <w:t>95763</w:t>
      </w:r>
      <w:r>
        <w:rPr>
          <w:rFonts w:ascii="宋体" w:hAnsi="宋体" w:eastAsia="宋体" w:cs="Times New Roman"/>
          <w:spacing w:val="-6"/>
          <w:szCs w:val="21"/>
        </w:rPr>
        <w:t>获取热线服务帮助。</w:t>
      </w:r>
    </w:p>
    <w:p w14:paraId="64A7F60D">
      <w:pPr>
        <w:adjustRightInd w:val="0"/>
        <w:snapToGrid w:val="0"/>
        <w:spacing w:line="288" w:lineRule="auto"/>
        <w:ind w:firstLine="396" w:firstLineChars="200"/>
        <w:rPr>
          <w:rFonts w:hint="eastAsia" w:ascii="宋体" w:hAnsi="宋体" w:eastAsia="宋体" w:cs="Times New Roman"/>
          <w:szCs w:val="21"/>
        </w:rPr>
      </w:pPr>
      <w:r>
        <w:rPr>
          <w:rFonts w:ascii="宋体" w:hAnsi="宋体" w:eastAsia="宋体" w:cs="Times New Roman"/>
          <w:spacing w:val="-6"/>
          <w:szCs w:val="21"/>
        </w:rPr>
        <w:t>CA问题联系电话（人工）：汇信CA400-888-4636；天谷CA400-087-8198。</w:t>
      </w:r>
    </w:p>
    <w:bookmarkEnd w:id="35"/>
    <w:p w14:paraId="1A9746AA">
      <w:pPr>
        <w:adjustRightInd w:val="0"/>
        <w:snapToGrid w:val="0"/>
        <w:spacing w:line="288" w:lineRule="auto"/>
        <w:ind w:left="238"/>
        <w:jc w:val="center"/>
        <w:outlineLvl w:val="0"/>
        <w:rPr>
          <w:rFonts w:hint="eastAsia"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387E977D">
      <w:pPr>
        <w:adjustRightInd w:val="0"/>
        <w:snapToGrid w:val="0"/>
        <w:spacing w:line="288" w:lineRule="auto"/>
        <w:outlineLvl w:val="1"/>
        <w:rPr>
          <w:rFonts w:hint="eastAsia"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0A3EF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B8664EF">
            <w:pPr>
              <w:adjustRightInd w:val="0"/>
              <w:snapToGrid w:val="0"/>
              <w:spacing w:line="288" w:lineRule="auto"/>
              <w:jc w:val="center"/>
              <w:rPr>
                <w:rFonts w:hint="eastAsia" w:ascii="宋体" w:hAnsi="宋体" w:eastAsia="宋体" w:cs="宋体"/>
                <w:b/>
                <w:bCs/>
                <w:szCs w:val="21"/>
              </w:rPr>
            </w:pPr>
            <w:bookmarkStart w:id="36" w:name="_Hlk45005599"/>
            <w:r>
              <w:rPr>
                <w:rFonts w:hint="eastAsia" w:ascii="宋体" w:hAnsi="宋体" w:eastAsia="宋体" w:cs="宋体"/>
                <w:b/>
                <w:bCs/>
                <w:szCs w:val="21"/>
              </w:rPr>
              <w:t>序号</w:t>
            </w:r>
          </w:p>
        </w:tc>
        <w:tc>
          <w:tcPr>
            <w:tcW w:w="3256" w:type="dxa"/>
            <w:vAlign w:val="center"/>
          </w:tcPr>
          <w:p w14:paraId="1DDB0C74">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777979B5">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内容</w:t>
            </w:r>
          </w:p>
        </w:tc>
      </w:tr>
      <w:tr w14:paraId="115B0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DA71445">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szCs w:val="21"/>
              </w:rPr>
              <w:t>1</w:t>
            </w:r>
          </w:p>
        </w:tc>
        <w:tc>
          <w:tcPr>
            <w:tcW w:w="3256" w:type="dxa"/>
            <w:vAlign w:val="center"/>
          </w:tcPr>
          <w:p w14:paraId="7DC17953">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14:paraId="02585254">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允许采购进口产品。</w:t>
            </w:r>
          </w:p>
        </w:tc>
      </w:tr>
      <w:tr w14:paraId="621BC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C1B1FF7">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szCs w:val="21"/>
              </w:rPr>
              <w:t>2</w:t>
            </w:r>
          </w:p>
        </w:tc>
        <w:tc>
          <w:tcPr>
            <w:tcW w:w="3256" w:type="dxa"/>
            <w:vAlign w:val="center"/>
          </w:tcPr>
          <w:p w14:paraId="67A63BC4">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14:paraId="6F4FC3EA">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不适用</w:t>
            </w:r>
          </w:p>
        </w:tc>
      </w:tr>
      <w:tr w14:paraId="272E7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FF67BFC">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szCs w:val="21"/>
              </w:rPr>
              <w:t>3</w:t>
            </w:r>
          </w:p>
        </w:tc>
        <w:tc>
          <w:tcPr>
            <w:tcW w:w="3256" w:type="dxa"/>
            <w:vAlign w:val="center"/>
          </w:tcPr>
          <w:p w14:paraId="0DFF66FD">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14:paraId="1A1EB5BB">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提供材料详见招标文件第六章“商务和技术文件”</w:t>
            </w:r>
          </w:p>
        </w:tc>
      </w:tr>
      <w:tr w14:paraId="39076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C434984">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4</w:t>
            </w:r>
          </w:p>
        </w:tc>
        <w:tc>
          <w:tcPr>
            <w:tcW w:w="3256" w:type="dxa"/>
            <w:vAlign w:val="center"/>
          </w:tcPr>
          <w:p w14:paraId="7C682883">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14:paraId="42E72872">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提供材料详见招标文件第六章“商务和技术文件”</w:t>
            </w:r>
          </w:p>
        </w:tc>
      </w:tr>
      <w:tr w14:paraId="20FA6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BB3AA19">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szCs w:val="21"/>
              </w:rPr>
              <w:t>5</w:t>
            </w:r>
          </w:p>
        </w:tc>
        <w:tc>
          <w:tcPr>
            <w:tcW w:w="3256" w:type="dxa"/>
            <w:vAlign w:val="center"/>
          </w:tcPr>
          <w:p w14:paraId="66916ACE">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政府采购促进中小企业发展</w:t>
            </w:r>
          </w:p>
        </w:tc>
        <w:tc>
          <w:tcPr>
            <w:tcW w:w="5529" w:type="dxa"/>
            <w:vAlign w:val="center"/>
          </w:tcPr>
          <w:p w14:paraId="73BB4610">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提供材料详见招标文件第六章“报价文件”</w:t>
            </w:r>
          </w:p>
          <w:p w14:paraId="727BBCDC">
            <w:pPr>
              <w:adjustRightInd w:val="0"/>
              <w:snapToGrid w:val="0"/>
              <w:spacing w:line="288" w:lineRule="auto"/>
              <w:jc w:val="left"/>
              <w:rPr>
                <w:rFonts w:hint="eastAsia" w:ascii="宋体" w:hAnsi="宋体" w:eastAsia="宋体" w:cs="Times New Roman"/>
                <w:b/>
                <w:bCs/>
                <w:szCs w:val="21"/>
              </w:rPr>
            </w:pPr>
            <w:r>
              <w:rPr>
                <w:rFonts w:hint="eastAsia" w:ascii="宋体" w:hAnsi="宋体" w:eastAsia="宋体" w:cs="Times New Roman"/>
                <w:b/>
                <w:bCs/>
                <w:szCs w:val="21"/>
              </w:rPr>
              <w:t>本项目属性为：货物</w:t>
            </w:r>
          </w:p>
          <w:p w14:paraId="1009373D">
            <w:pPr>
              <w:adjustRightInd w:val="0"/>
              <w:snapToGrid w:val="0"/>
              <w:spacing w:line="288" w:lineRule="auto"/>
              <w:jc w:val="left"/>
              <w:rPr>
                <w:rFonts w:hint="eastAsia" w:ascii="宋体" w:hAnsi="宋体" w:eastAsia="宋体" w:cs="Times New Roman"/>
                <w:b/>
                <w:bCs/>
                <w:szCs w:val="21"/>
              </w:rPr>
            </w:pPr>
            <w:r>
              <w:rPr>
                <w:rFonts w:hint="eastAsia" w:ascii="宋体" w:hAnsi="宋体" w:eastAsia="宋体" w:cs="Times New Roman"/>
                <w:b/>
                <w:bCs/>
                <w:szCs w:val="21"/>
              </w:rPr>
              <w:t>采购标的对应的中小企业划分标准所属行业：工业</w:t>
            </w:r>
          </w:p>
          <w:p w14:paraId="4C98E79E">
            <w:pPr>
              <w:adjustRightInd w:val="0"/>
              <w:snapToGrid w:val="0"/>
              <w:spacing w:line="288" w:lineRule="auto"/>
              <w:jc w:val="left"/>
              <w:rPr>
                <w:rFonts w:hint="eastAsia" w:ascii="宋体" w:hAnsi="宋体" w:eastAsia="宋体" w:cs="宋体"/>
                <w:b/>
                <w:bCs/>
                <w:szCs w:val="21"/>
              </w:rPr>
            </w:pPr>
            <w:r>
              <w:rPr>
                <w:rFonts w:hint="eastAsia" w:ascii="宋体" w:hAnsi="宋体" w:eastAsia="宋体" w:cs="Times New Roman"/>
                <w:b/>
                <w:bCs/>
                <w:szCs w:val="21"/>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3F29D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0F5173E">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6</w:t>
            </w:r>
          </w:p>
        </w:tc>
        <w:tc>
          <w:tcPr>
            <w:tcW w:w="3256" w:type="dxa"/>
            <w:vAlign w:val="center"/>
          </w:tcPr>
          <w:p w14:paraId="15896990">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14:paraId="53A36A17">
            <w:pPr>
              <w:adjustRightInd w:val="0"/>
              <w:snapToGrid w:val="0"/>
              <w:spacing w:line="288" w:lineRule="auto"/>
              <w:jc w:val="left"/>
              <w:rPr>
                <w:rFonts w:hint="eastAsia" w:ascii="宋体" w:hAnsi="宋体" w:eastAsia="宋体" w:cs="Times New Roman"/>
                <w:b/>
                <w:bCs/>
                <w:szCs w:val="21"/>
              </w:rPr>
            </w:pPr>
            <w:r>
              <w:rPr>
                <w:rFonts w:hint="eastAsia" w:ascii="宋体" w:hAnsi="宋体" w:eastAsia="宋体" w:cs="宋体"/>
                <w:szCs w:val="21"/>
              </w:rPr>
              <w:t>提供材料详见招标文件第六章“报价文件”</w:t>
            </w:r>
          </w:p>
        </w:tc>
      </w:tr>
      <w:tr w14:paraId="5C769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43453569">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7</w:t>
            </w:r>
          </w:p>
        </w:tc>
        <w:tc>
          <w:tcPr>
            <w:tcW w:w="3256" w:type="dxa"/>
            <w:vAlign w:val="center"/>
          </w:tcPr>
          <w:p w14:paraId="511EE43F">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14:paraId="29271C54">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提供材料详见招标文件第六章“报价文件”</w:t>
            </w:r>
          </w:p>
        </w:tc>
      </w:tr>
      <w:bookmarkEnd w:id="36"/>
    </w:tbl>
    <w:p w14:paraId="4D33C269">
      <w:pPr>
        <w:adjustRightInd w:val="0"/>
        <w:snapToGrid w:val="0"/>
        <w:spacing w:line="288" w:lineRule="auto"/>
        <w:rPr>
          <w:rFonts w:hint="eastAsia" w:ascii="宋体" w:hAnsi="宋体" w:eastAsia="宋体" w:cs="Times New Roman"/>
          <w:b/>
          <w:spacing w:val="-4"/>
          <w:szCs w:val="21"/>
        </w:rPr>
      </w:pPr>
    </w:p>
    <w:p w14:paraId="55B61EBE">
      <w:pPr>
        <w:adjustRightInd w:val="0"/>
        <w:snapToGrid w:val="0"/>
        <w:spacing w:line="288" w:lineRule="auto"/>
        <w:outlineLvl w:val="1"/>
        <w:rPr>
          <w:rFonts w:hint="eastAsia"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4"/>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11AB7B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46C64EBE">
            <w:pPr>
              <w:adjustRightInd w:val="0"/>
              <w:snapToGrid w:val="0"/>
              <w:spacing w:line="288" w:lineRule="auto"/>
              <w:jc w:val="center"/>
              <w:rPr>
                <w:rFonts w:hint="eastAsia" w:ascii="宋体" w:hAnsi="宋体" w:eastAsia="宋体" w:cs="Times New Roman"/>
                <w:b/>
                <w:spacing w:val="-6"/>
                <w:szCs w:val="21"/>
              </w:rPr>
            </w:pPr>
            <w:bookmarkStart w:id="37" w:name="_Hlk45005608"/>
            <w:r>
              <w:rPr>
                <w:rFonts w:hint="eastAsia" w:ascii="宋体" w:hAnsi="宋体" w:eastAsia="宋体" w:cs="Times New Roman"/>
                <w:b/>
                <w:spacing w:val="-6"/>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40C7A232">
            <w:pPr>
              <w:adjustRightInd w:val="0"/>
              <w:snapToGrid w:val="0"/>
              <w:spacing w:line="288" w:lineRule="auto"/>
              <w:jc w:val="left"/>
              <w:rPr>
                <w:rFonts w:hint="eastAsia" w:ascii="宋体" w:hAnsi="宋体" w:eastAsia="宋体" w:cs="宋体"/>
                <w:spacing w:val="-6"/>
                <w:kern w:val="0"/>
                <w:szCs w:val="21"/>
              </w:rPr>
            </w:pPr>
            <w:r>
              <w:rPr>
                <w:rFonts w:hint="eastAsia" w:ascii="宋体" w:hAnsi="宋体" w:eastAsia="宋体" w:cs="宋体"/>
                <w:spacing w:val="-6"/>
                <w:kern w:val="0"/>
                <w:szCs w:val="21"/>
              </w:rPr>
              <w:t>1.合同签订后一周内，中标人向采购人提交合同总价</w:t>
            </w:r>
            <w:r>
              <w:rPr>
                <w:rFonts w:ascii="宋体" w:hAnsi="宋体" w:eastAsia="宋体" w:cs="宋体"/>
                <w:spacing w:val="-6"/>
                <w:kern w:val="0"/>
                <w:szCs w:val="21"/>
              </w:rPr>
              <w:t>1</w:t>
            </w:r>
            <w:r>
              <w:rPr>
                <w:rFonts w:hint="eastAsia" w:ascii="宋体" w:hAnsi="宋体" w:eastAsia="宋体" w:cs="宋体"/>
                <w:spacing w:val="-6"/>
                <w:kern w:val="0"/>
                <w:szCs w:val="21"/>
              </w:rPr>
              <w:t>%的履约保证金，履约保证金在合同履约期间无违约情形的，项目验收结束后，于一周内退还（不计息）；</w:t>
            </w:r>
          </w:p>
          <w:p w14:paraId="45A62378">
            <w:pPr>
              <w:adjustRightInd w:val="0"/>
              <w:snapToGrid w:val="0"/>
              <w:spacing w:line="288" w:lineRule="auto"/>
              <w:jc w:val="left"/>
              <w:rPr>
                <w:rFonts w:hint="eastAsia" w:ascii="宋体" w:hAnsi="宋体" w:eastAsia="宋体" w:cs="宋体"/>
                <w:spacing w:val="-6"/>
                <w:kern w:val="0"/>
                <w:szCs w:val="21"/>
              </w:rPr>
            </w:pPr>
            <w:r>
              <w:rPr>
                <w:rFonts w:hint="eastAsia" w:ascii="宋体" w:hAnsi="宋体" w:eastAsia="宋体" w:cs="宋体"/>
                <w:spacing w:val="-6"/>
                <w:kern w:val="0"/>
                <w:szCs w:val="21"/>
              </w:rPr>
              <w:t>2.提交方式：支票、汇票、本票或金融机构、担保机构出具的保函等非现金形式。</w:t>
            </w:r>
          </w:p>
        </w:tc>
      </w:tr>
      <w:tr w14:paraId="5F06F0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A9F4DDE">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4C7B3648">
            <w:pPr>
              <w:autoSpaceDE w:val="0"/>
              <w:autoSpaceDN w:val="0"/>
              <w:adjustRightInd w:val="0"/>
              <w:snapToGrid w:val="0"/>
              <w:spacing w:line="288" w:lineRule="auto"/>
              <w:jc w:val="left"/>
              <w:rPr>
                <w:rFonts w:hint="eastAsia" w:ascii="宋体" w:hAnsi="宋体" w:eastAsia="宋体" w:cs="宋体"/>
                <w:spacing w:val="-6"/>
                <w:kern w:val="0"/>
                <w:szCs w:val="21"/>
              </w:rPr>
            </w:pPr>
            <w:r>
              <w:rPr>
                <w:rFonts w:hint="eastAsia" w:ascii="宋体" w:hAnsi="宋体" w:eastAsia="宋体" w:cs="宋体"/>
                <w:spacing w:val="-6"/>
                <w:kern w:val="0"/>
                <w:szCs w:val="21"/>
              </w:rPr>
              <w:t>1.付款方式分为两种：</w:t>
            </w:r>
          </w:p>
          <w:p w14:paraId="2DDE5315">
            <w:pPr>
              <w:autoSpaceDE w:val="0"/>
              <w:autoSpaceDN w:val="0"/>
              <w:adjustRightInd w:val="0"/>
              <w:snapToGrid w:val="0"/>
              <w:spacing w:line="288" w:lineRule="auto"/>
              <w:jc w:val="left"/>
              <w:rPr>
                <w:rFonts w:hint="eastAsia" w:ascii="宋体" w:hAnsi="宋体" w:eastAsia="宋体" w:cs="宋体"/>
                <w:spacing w:val="-6"/>
                <w:kern w:val="0"/>
                <w:szCs w:val="21"/>
              </w:rPr>
            </w:pPr>
            <w:r>
              <w:rPr>
                <w:rFonts w:hint="eastAsia" w:ascii="宋体" w:hAnsi="宋体" w:eastAsia="宋体" w:cs="宋体"/>
                <w:spacing w:val="-6"/>
                <w:kern w:val="0"/>
                <w:szCs w:val="21"/>
              </w:rPr>
              <w:t>国产设备付款方式为：合同生效以及具备实施条件后7个工作日内，且供应商已向采购人提交银行、保险公司等金融机构出具的预付款保函的，采购人向供应商支付合同总价的40%；项目履约完成，经采购人验收合格后，收到发票后7个工作日内，采购人向供应商支付合同总价的60%。</w:t>
            </w:r>
          </w:p>
          <w:p w14:paraId="452607D3">
            <w:pPr>
              <w:autoSpaceDE w:val="0"/>
              <w:autoSpaceDN w:val="0"/>
              <w:adjustRightInd w:val="0"/>
              <w:snapToGrid w:val="0"/>
              <w:spacing w:line="288" w:lineRule="auto"/>
              <w:jc w:val="left"/>
              <w:rPr>
                <w:rFonts w:hint="eastAsia" w:ascii="宋体" w:hAnsi="宋体" w:eastAsia="宋体" w:cs="宋体"/>
                <w:spacing w:val="-6"/>
                <w:kern w:val="0"/>
                <w:szCs w:val="21"/>
              </w:rPr>
            </w:pPr>
            <w:r>
              <w:rPr>
                <w:rFonts w:hint="eastAsia" w:ascii="宋体" w:hAnsi="宋体" w:eastAsia="宋体" w:cs="宋体"/>
                <w:spacing w:val="-6"/>
                <w:kern w:val="0"/>
                <w:szCs w:val="21"/>
              </w:rPr>
              <w:t>进口设备付款方式为：100%信用证。采购人在收到中标人的履约保证金后，见单后支付100%给外贸代理机构。</w:t>
            </w:r>
          </w:p>
        </w:tc>
      </w:tr>
      <w:bookmarkEnd w:id="37"/>
    </w:tbl>
    <w:p w14:paraId="28382BD0">
      <w:pPr>
        <w:adjustRightInd w:val="0"/>
        <w:snapToGrid w:val="0"/>
        <w:spacing w:line="288" w:lineRule="auto"/>
        <w:rPr>
          <w:rFonts w:hint="eastAsia" w:ascii="宋体" w:hAnsi="宋体" w:eastAsia="宋体" w:cs="Times New Roman"/>
          <w:spacing w:val="-4"/>
          <w:szCs w:val="21"/>
        </w:rPr>
      </w:pPr>
    </w:p>
    <w:p w14:paraId="0DF59904">
      <w:pPr>
        <w:adjustRightInd w:val="0"/>
        <w:snapToGrid w:val="0"/>
        <w:spacing w:line="288" w:lineRule="auto"/>
        <w:outlineLvl w:val="1"/>
        <w:rPr>
          <w:rFonts w:hint="eastAsia" w:ascii="宋体" w:hAnsi="宋体" w:eastAsia="宋体" w:cs="Times New Roman"/>
          <w:b/>
          <w:szCs w:val="21"/>
        </w:rPr>
      </w:pPr>
      <w:r>
        <w:rPr>
          <w:rFonts w:hint="eastAsia" w:ascii="宋体" w:hAnsi="宋体" w:eastAsia="宋体" w:cs="Times New Roman"/>
          <w:b/>
          <w:szCs w:val="21"/>
        </w:rPr>
        <w:t>三、服务要求（技术要求里另有注明的以技术要求为准）</w:t>
      </w:r>
    </w:p>
    <w:tbl>
      <w:tblPr>
        <w:tblStyle w:val="24"/>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53E517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1FBE8C0">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581CCD5D">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国产设备：自合同签订之日起90日内交付并安装完毕；</w:t>
            </w:r>
          </w:p>
          <w:p w14:paraId="63FF4ACA">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进口设备：自合同签订、免表办理完成后90日内交付并安装完毕。</w:t>
            </w:r>
          </w:p>
        </w:tc>
      </w:tr>
      <w:tr w14:paraId="6E03C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6CB1295">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0794AED5">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采购人指定地点</w:t>
            </w:r>
          </w:p>
        </w:tc>
      </w:tr>
      <w:tr w14:paraId="391F85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1E49FEF">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5AD85AC8">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3年，项目验收合格后开始计算。</w:t>
            </w:r>
          </w:p>
        </w:tc>
      </w:tr>
      <w:tr w14:paraId="1BE506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93EECE8">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4E133CD3">
            <w:pPr>
              <w:adjustRightInd w:val="0"/>
              <w:snapToGrid w:val="0"/>
              <w:spacing w:line="288" w:lineRule="auto"/>
              <w:rPr>
                <w:rFonts w:hint="eastAsia" w:ascii="宋体" w:hAnsi="宋体" w:eastAsia="宋体" w:cs="宋体"/>
                <w:szCs w:val="21"/>
              </w:rPr>
            </w:pPr>
            <w:r>
              <w:rPr>
                <w:rFonts w:ascii="宋体" w:hAnsi="宋体" w:eastAsia="宋体" w:cs="宋体"/>
                <w:szCs w:val="21"/>
              </w:rPr>
              <w:t>1</w:t>
            </w:r>
            <w:r>
              <w:rPr>
                <w:rFonts w:hint="eastAsia" w:ascii="宋体" w:hAnsi="宋体" w:eastAsia="宋体" w:cs="宋体"/>
                <w:szCs w:val="21"/>
              </w:rPr>
              <w:t>.在质保期内，供应商应对货物出现的质量及安全问题负责处理解决并承担一切费用。</w:t>
            </w:r>
          </w:p>
          <w:p w14:paraId="53113B80">
            <w:pPr>
              <w:adjustRightInd w:val="0"/>
              <w:snapToGrid w:val="0"/>
              <w:spacing w:line="288" w:lineRule="auto"/>
              <w:rPr>
                <w:rFonts w:hint="eastAsia" w:ascii="宋体" w:hAnsi="宋体" w:eastAsia="宋体" w:cs="宋体"/>
                <w:szCs w:val="21"/>
              </w:rPr>
            </w:pPr>
            <w:r>
              <w:rPr>
                <w:rFonts w:ascii="宋体" w:hAnsi="宋体" w:eastAsia="宋体" w:cs="宋体"/>
                <w:szCs w:val="21"/>
              </w:rPr>
              <w:t>2.</w:t>
            </w:r>
            <w:r>
              <w:rPr>
                <w:rFonts w:hint="eastAsia" w:ascii="宋体" w:hAnsi="宋体" w:eastAsia="宋体" w:cs="宋体"/>
                <w:szCs w:val="21"/>
              </w:rPr>
              <w:t>质保期内出现无法排除的故障，供应商需无条件更换同型号产品。</w:t>
            </w:r>
          </w:p>
          <w:p w14:paraId="572476F7">
            <w:pPr>
              <w:adjustRightInd w:val="0"/>
              <w:snapToGrid w:val="0"/>
              <w:spacing w:line="288" w:lineRule="auto"/>
              <w:rPr>
                <w:rFonts w:hint="eastAsia" w:ascii="宋体" w:hAnsi="宋体" w:eastAsia="宋体" w:cs="宋体"/>
                <w:szCs w:val="21"/>
              </w:rPr>
            </w:pPr>
            <w:r>
              <w:rPr>
                <w:rFonts w:ascii="宋体" w:hAnsi="宋体" w:eastAsia="宋体" w:cs="宋体"/>
                <w:szCs w:val="21"/>
              </w:rPr>
              <w:t>3.</w:t>
            </w:r>
            <w:r>
              <w:rPr>
                <w:rFonts w:hint="eastAsia" w:ascii="宋体" w:hAnsi="宋体" w:eastAsia="宋体" w:cs="宋体"/>
                <w:szCs w:val="21"/>
              </w:rPr>
              <w:t>质保期满后，供应商继续为采购人服务，仅收取零配件成本费。</w:t>
            </w:r>
          </w:p>
          <w:p w14:paraId="2CF4B6ED">
            <w:pPr>
              <w:adjustRightInd w:val="0"/>
              <w:snapToGrid w:val="0"/>
              <w:spacing w:line="288" w:lineRule="auto"/>
              <w:rPr>
                <w:rFonts w:hint="eastAsia" w:ascii="宋体" w:hAnsi="宋体" w:eastAsia="宋体" w:cs="宋体"/>
                <w:szCs w:val="21"/>
              </w:rPr>
            </w:pPr>
            <w:r>
              <w:rPr>
                <w:rFonts w:ascii="宋体" w:hAnsi="宋体" w:eastAsia="宋体" w:cs="宋体"/>
                <w:szCs w:val="21"/>
              </w:rPr>
              <w:t>4.</w:t>
            </w:r>
            <w:r>
              <w:rPr>
                <w:rFonts w:hint="eastAsia" w:ascii="宋体" w:hAnsi="宋体" w:eastAsia="宋体" w:cs="宋体"/>
                <w:szCs w:val="21"/>
              </w:rPr>
              <w:t>因人为因素出现的故障不在免费保修范围内。</w:t>
            </w:r>
          </w:p>
          <w:p w14:paraId="431A69BB">
            <w:pPr>
              <w:adjustRightInd w:val="0"/>
              <w:snapToGrid w:val="0"/>
              <w:spacing w:line="288" w:lineRule="auto"/>
              <w:rPr>
                <w:rFonts w:hint="eastAsia" w:ascii="宋体" w:hAnsi="宋体" w:eastAsia="宋体" w:cs="宋体"/>
                <w:szCs w:val="21"/>
                <w:u w:val="single"/>
              </w:rPr>
            </w:pPr>
            <w:r>
              <w:rPr>
                <w:rFonts w:ascii="宋体" w:hAnsi="宋体" w:eastAsia="宋体" w:cs="宋体"/>
                <w:szCs w:val="21"/>
              </w:rPr>
              <w:t>5</w:t>
            </w:r>
            <w:r>
              <w:rPr>
                <w:rFonts w:hint="eastAsia" w:ascii="宋体" w:hAnsi="宋体" w:eastAsia="宋体" w:cs="宋体"/>
                <w:szCs w:val="21"/>
              </w:rPr>
              <w:t>.</w:t>
            </w:r>
            <w:r>
              <w:rPr>
                <w:rFonts w:hint="eastAsia" w:ascii="宋体" w:hAnsi="宋体" w:eastAsia="宋体" w:cs="宋体"/>
                <w:szCs w:val="21"/>
                <w:u w:val="single"/>
              </w:rPr>
              <w:t>如在使用过程中发生质量问题，供应商维修响应时间：1小时以内；</w:t>
            </w:r>
          </w:p>
          <w:p w14:paraId="6756F749">
            <w:pPr>
              <w:adjustRightInd w:val="0"/>
              <w:snapToGrid w:val="0"/>
              <w:spacing w:line="288" w:lineRule="auto"/>
              <w:rPr>
                <w:rFonts w:hint="eastAsia" w:ascii="宋体" w:hAnsi="宋体" w:eastAsia="宋体" w:cs="宋体"/>
                <w:szCs w:val="21"/>
                <w:u w:val="single"/>
              </w:rPr>
            </w:pPr>
            <w:r>
              <w:rPr>
                <w:rFonts w:hint="eastAsia" w:ascii="宋体" w:hAnsi="宋体" w:eastAsia="宋体" w:cs="宋体"/>
                <w:szCs w:val="21"/>
                <w:u w:val="single"/>
              </w:rPr>
              <w:t>电话技术支持时间：2小时以内；</w:t>
            </w:r>
          </w:p>
          <w:p w14:paraId="3AB31DD7">
            <w:pPr>
              <w:adjustRightInd w:val="0"/>
              <w:snapToGrid w:val="0"/>
              <w:spacing w:line="288" w:lineRule="auto"/>
              <w:rPr>
                <w:rFonts w:hint="eastAsia" w:ascii="宋体" w:hAnsi="宋体" w:eastAsia="宋体" w:cs="宋体"/>
                <w:szCs w:val="21"/>
                <w:u w:val="single"/>
              </w:rPr>
            </w:pPr>
            <w:r>
              <w:rPr>
                <w:rFonts w:hint="eastAsia" w:ascii="宋体" w:hAnsi="宋体" w:eastAsia="宋体" w:cs="宋体"/>
                <w:szCs w:val="21"/>
                <w:u w:val="single"/>
              </w:rPr>
              <w:t>若需上门维修，则在：6小时内到达现场并进行维修；不超过2个工作日解决故障。</w:t>
            </w:r>
          </w:p>
          <w:p w14:paraId="0E5988E2">
            <w:pPr>
              <w:adjustRightInd w:val="0"/>
              <w:snapToGrid w:val="0"/>
              <w:spacing w:line="288" w:lineRule="auto"/>
              <w:rPr>
                <w:rFonts w:hint="eastAsia" w:ascii="宋体" w:hAnsi="宋体" w:eastAsia="宋体" w:cs="宋体"/>
                <w:szCs w:val="21"/>
                <w:u w:val="single"/>
              </w:rPr>
            </w:pPr>
            <w:r>
              <w:rPr>
                <w:rFonts w:hint="eastAsia" w:ascii="宋体" w:hAnsi="宋体" w:eastAsia="宋体" w:cs="宋体"/>
                <w:szCs w:val="21"/>
                <w:u w:val="none"/>
              </w:rPr>
              <w:t>6.质保期内，中标人须提供每年至少2次的上门服务，服务内容包括但不限于设备巡检等。</w:t>
            </w:r>
          </w:p>
        </w:tc>
      </w:tr>
      <w:tr w14:paraId="07B184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C249EF8">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63F36FED">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1.验收由采购人负责实施；</w:t>
            </w:r>
          </w:p>
          <w:p w14:paraId="0D19BD27">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2.验收依据：</w:t>
            </w:r>
          </w:p>
          <w:p w14:paraId="2F7A43C8">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2.1合同、招标文件、投标文件；</w:t>
            </w:r>
          </w:p>
          <w:p w14:paraId="0087157E">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2.2供应商提供的技术规格、经采购人认可的合同货物的有效检验文件；</w:t>
            </w:r>
          </w:p>
          <w:p w14:paraId="5950415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2.3供应商投标文件中提供的经采购人认可的合同货物的验收标准（符合中国有关的国家、地方、行业标准）和检测办法及相应检测手段。</w:t>
            </w:r>
          </w:p>
          <w:p w14:paraId="76E773C8">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2851A868">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4.验收合格的条件：</w:t>
            </w:r>
          </w:p>
          <w:p w14:paraId="5FB67539">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4.1所供货物符合产品标准和合同的要求；</w:t>
            </w:r>
          </w:p>
          <w:p w14:paraId="75BBE492">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4.2在进行测试和验收过程中发现的问题已被解决并得到采购人的认可；</w:t>
            </w:r>
          </w:p>
          <w:p w14:paraId="443C9F3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4.3合同中规定的所有货物和材料均已交付；</w:t>
            </w:r>
          </w:p>
          <w:p w14:paraId="64B4C34A">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4.4所供货物已通过使用单位组织的验收；</w:t>
            </w:r>
          </w:p>
          <w:p w14:paraId="05B4E493">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4.5所有相关的技术文件及资料均已提交并得到接受。</w:t>
            </w:r>
          </w:p>
        </w:tc>
      </w:tr>
      <w:tr w14:paraId="658313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0253209">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6DFD4847">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▲1</w:t>
            </w:r>
            <w:r>
              <w:rPr>
                <w:rFonts w:ascii="宋体" w:hAnsi="宋体" w:eastAsia="宋体" w:cs="宋体"/>
                <w:szCs w:val="21"/>
              </w:rPr>
              <w:t>.</w:t>
            </w:r>
            <w:r>
              <w:rPr>
                <w:rFonts w:hint="eastAsia" w:ascii="宋体" w:hAnsi="宋体" w:eastAsia="宋体" w:cs="宋体"/>
                <w:szCs w:val="21"/>
              </w:rPr>
              <w:t>供应商应按招标文件规定的货物性能、技术要求、质量标准向采购人提供未经使用的全新产品，符合国家法律法规规定和技术规格、质量标准的出厂原装合格产品。</w:t>
            </w:r>
          </w:p>
          <w:p w14:paraId="28CAB0CC">
            <w:pPr>
              <w:adjustRightInd w:val="0"/>
              <w:snapToGrid w:val="0"/>
              <w:spacing w:line="288" w:lineRule="auto"/>
              <w:rPr>
                <w:rFonts w:hint="eastAsia" w:ascii="宋体" w:hAnsi="宋体" w:eastAsia="宋体" w:cs="宋体"/>
                <w:szCs w:val="21"/>
              </w:rPr>
            </w:pPr>
            <w:r>
              <w:rPr>
                <w:rFonts w:ascii="宋体" w:hAnsi="宋体" w:eastAsia="宋体" w:cs="宋体"/>
                <w:szCs w:val="21"/>
              </w:rPr>
              <w:t>2</w:t>
            </w:r>
            <w:r>
              <w:rPr>
                <w:rFonts w:hint="eastAsia" w:ascii="宋体" w:hAnsi="宋体" w:eastAsia="宋体" w:cs="宋体"/>
                <w:szCs w:val="21"/>
              </w:rPr>
              <w:t>.技术支持：</w:t>
            </w:r>
          </w:p>
          <w:p w14:paraId="02ED5642">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供应商应及时免费提供合同货物软件的升级，免费提供合同货物新功能和应用的资料。</w:t>
            </w:r>
          </w:p>
          <w:p w14:paraId="6612D4C7">
            <w:pPr>
              <w:adjustRightInd w:val="0"/>
              <w:snapToGrid w:val="0"/>
              <w:spacing w:line="288" w:lineRule="auto"/>
              <w:rPr>
                <w:rFonts w:hint="eastAsia" w:ascii="宋体" w:hAnsi="宋体" w:eastAsia="宋体" w:cs="宋体"/>
                <w:szCs w:val="21"/>
              </w:rPr>
            </w:pPr>
            <w:r>
              <w:rPr>
                <w:rFonts w:ascii="宋体" w:hAnsi="宋体" w:eastAsia="宋体" w:cs="宋体"/>
                <w:szCs w:val="21"/>
              </w:rPr>
              <w:t>3</w:t>
            </w:r>
            <w:r>
              <w:rPr>
                <w:rFonts w:hint="eastAsia" w:ascii="宋体" w:hAnsi="宋体" w:eastAsia="宋体" w:cs="宋体"/>
                <w:szCs w:val="21"/>
              </w:rPr>
              <w:t>.安装调试：</w:t>
            </w:r>
          </w:p>
          <w:p w14:paraId="7B79B5FA">
            <w:pPr>
              <w:adjustRightInd w:val="0"/>
              <w:snapToGrid w:val="0"/>
              <w:spacing w:line="288" w:lineRule="auto"/>
              <w:rPr>
                <w:rFonts w:hint="eastAsia" w:ascii="宋体" w:hAnsi="宋体" w:eastAsia="宋体" w:cs="宋体"/>
                <w:szCs w:val="21"/>
              </w:rPr>
            </w:pPr>
            <w:r>
              <w:rPr>
                <w:rFonts w:ascii="宋体" w:hAnsi="宋体" w:eastAsia="宋体" w:cs="宋体"/>
                <w:szCs w:val="21"/>
              </w:rPr>
              <w:t>3</w:t>
            </w:r>
            <w:r>
              <w:rPr>
                <w:rFonts w:hint="eastAsia" w:ascii="宋体" w:hAnsi="宋体" w:eastAsia="宋体" w:cs="宋体"/>
                <w:szCs w:val="21"/>
              </w:rPr>
              <w:t>.1安装地点：采购人指定地点；</w:t>
            </w:r>
          </w:p>
          <w:p w14:paraId="074726F1">
            <w:pPr>
              <w:adjustRightInd w:val="0"/>
              <w:snapToGrid w:val="0"/>
              <w:spacing w:line="288" w:lineRule="auto"/>
              <w:rPr>
                <w:rFonts w:hint="eastAsia" w:ascii="宋体" w:hAnsi="宋体" w:eastAsia="宋体" w:cs="宋体"/>
                <w:szCs w:val="21"/>
              </w:rPr>
            </w:pPr>
            <w:r>
              <w:rPr>
                <w:rFonts w:ascii="宋体" w:hAnsi="宋体" w:eastAsia="宋体" w:cs="宋体"/>
                <w:szCs w:val="21"/>
              </w:rPr>
              <w:t>3</w:t>
            </w:r>
            <w:r>
              <w:rPr>
                <w:rFonts w:hint="eastAsia" w:ascii="宋体" w:hAnsi="宋体" w:eastAsia="宋体" w:cs="宋体"/>
                <w:szCs w:val="21"/>
              </w:rPr>
              <w:t>.2安装完成时间：接到采购人通知后在规定时间内完成安装和调试，如在规定的时间内由于供应商的原因不能完成安装和调试，供应商应承担由此给采购人造成的损失；</w:t>
            </w:r>
          </w:p>
          <w:p w14:paraId="4FADAD6A">
            <w:pPr>
              <w:adjustRightInd w:val="0"/>
              <w:snapToGrid w:val="0"/>
              <w:spacing w:line="288" w:lineRule="auto"/>
              <w:rPr>
                <w:rFonts w:hint="eastAsia" w:ascii="宋体" w:hAnsi="宋体" w:eastAsia="宋体" w:cs="宋体"/>
                <w:szCs w:val="21"/>
              </w:rPr>
            </w:pPr>
            <w:r>
              <w:rPr>
                <w:rFonts w:ascii="宋体" w:hAnsi="宋体" w:eastAsia="宋体" w:cs="宋体"/>
                <w:szCs w:val="21"/>
              </w:rPr>
              <w:t>3</w:t>
            </w:r>
            <w:r>
              <w:rPr>
                <w:rFonts w:hint="eastAsia" w:ascii="宋体" w:hAnsi="宋体" w:eastAsia="宋体" w:cs="宋体"/>
                <w:szCs w:val="21"/>
              </w:rPr>
              <w:t>.3如供应商委托国内代理（或其他机构）负责安装或配合安装应在签约时指明，但供应商仍要对合同货物及其安装质量负全部责任；</w:t>
            </w:r>
          </w:p>
          <w:p w14:paraId="54E28862">
            <w:pPr>
              <w:adjustRightInd w:val="0"/>
              <w:snapToGrid w:val="0"/>
              <w:spacing w:line="288" w:lineRule="auto"/>
              <w:rPr>
                <w:rFonts w:hint="eastAsia" w:ascii="宋体" w:hAnsi="宋体" w:eastAsia="宋体" w:cs="宋体"/>
                <w:szCs w:val="21"/>
              </w:rPr>
            </w:pPr>
            <w:r>
              <w:rPr>
                <w:rFonts w:ascii="宋体" w:hAnsi="宋体" w:eastAsia="宋体" w:cs="宋体"/>
                <w:szCs w:val="21"/>
              </w:rPr>
              <w:t>3</w:t>
            </w:r>
            <w:r>
              <w:rPr>
                <w:rFonts w:hint="eastAsia" w:ascii="宋体" w:hAnsi="宋体" w:eastAsia="宋体" w:cs="宋体"/>
                <w:szCs w:val="21"/>
              </w:rPr>
              <w:t>.4安装标准：符合我国国家有关技术规范要求和技术标准，所有的软件和硬件必须保证同时安装到位；</w:t>
            </w:r>
          </w:p>
          <w:p w14:paraId="1196FF61">
            <w:pPr>
              <w:adjustRightInd w:val="0"/>
              <w:snapToGrid w:val="0"/>
              <w:spacing w:line="288" w:lineRule="auto"/>
              <w:rPr>
                <w:rFonts w:hint="eastAsia" w:ascii="宋体" w:hAnsi="宋体" w:eastAsia="宋体" w:cs="宋体"/>
                <w:szCs w:val="21"/>
              </w:rPr>
            </w:pPr>
            <w:r>
              <w:rPr>
                <w:rFonts w:ascii="宋体" w:hAnsi="宋体" w:eastAsia="宋体" w:cs="宋体"/>
                <w:szCs w:val="21"/>
              </w:rPr>
              <w:t>3</w:t>
            </w:r>
            <w:r>
              <w:rPr>
                <w:rFonts w:hint="eastAsia" w:ascii="宋体" w:hAnsi="宋体" w:eastAsia="宋体" w:cs="宋体"/>
                <w:szCs w:val="21"/>
              </w:rPr>
              <w:t>.5供应商免费提供合同货物的安装服务；</w:t>
            </w:r>
          </w:p>
          <w:p w14:paraId="68CFF5AA">
            <w:pPr>
              <w:adjustRightInd w:val="0"/>
              <w:snapToGrid w:val="0"/>
              <w:spacing w:line="288" w:lineRule="auto"/>
              <w:rPr>
                <w:rFonts w:hint="eastAsia" w:ascii="宋体" w:hAnsi="宋体" w:eastAsia="宋体" w:cs="宋体"/>
                <w:szCs w:val="21"/>
              </w:rPr>
            </w:pPr>
            <w:r>
              <w:rPr>
                <w:rFonts w:ascii="宋体" w:hAnsi="宋体" w:eastAsia="宋体" w:cs="宋体"/>
                <w:szCs w:val="21"/>
              </w:rPr>
              <w:t>3</w:t>
            </w:r>
            <w:r>
              <w:rPr>
                <w:rFonts w:hint="eastAsia" w:ascii="宋体" w:hAnsi="宋体" w:eastAsia="宋体" w:cs="宋体"/>
                <w:szCs w:val="21"/>
              </w:rPr>
              <w:t>.6供应商在投标文件中应提供安装调试计划、对安装场地和环境的要求。</w:t>
            </w:r>
          </w:p>
          <w:p w14:paraId="0D107B43">
            <w:pPr>
              <w:adjustRightInd w:val="0"/>
              <w:snapToGrid w:val="0"/>
              <w:spacing w:line="288" w:lineRule="auto"/>
              <w:rPr>
                <w:rFonts w:hint="eastAsia" w:ascii="宋体" w:hAnsi="宋体" w:eastAsia="宋体" w:cs="宋体"/>
                <w:szCs w:val="21"/>
              </w:rPr>
            </w:pPr>
            <w:r>
              <w:rPr>
                <w:rFonts w:ascii="宋体" w:hAnsi="宋体" w:eastAsia="宋体" w:cs="宋体"/>
                <w:szCs w:val="21"/>
              </w:rPr>
              <w:t>4</w:t>
            </w:r>
            <w:r>
              <w:rPr>
                <w:rFonts w:hint="eastAsia" w:ascii="宋体" w:hAnsi="宋体" w:eastAsia="宋体" w:cs="宋体"/>
                <w:szCs w:val="21"/>
              </w:rPr>
              <w:t>.供应商应提供质保期满后主要零部件报价单、质保期满后维护费、软件升级及其相关服务内容；</w:t>
            </w:r>
          </w:p>
          <w:p w14:paraId="4C558085">
            <w:pPr>
              <w:adjustRightInd w:val="0"/>
              <w:snapToGrid w:val="0"/>
              <w:spacing w:line="288" w:lineRule="auto"/>
              <w:rPr>
                <w:rFonts w:hint="eastAsia" w:ascii="宋体" w:hAnsi="宋体" w:eastAsia="宋体" w:cs="宋体"/>
                <w:szCs w:val="21"/>
              </w:rPr>
            </w:pPr>
            <w:r>
              <w:rPr>
                <w:rFonts w:ascii="宋体" w:hAnsi="宋体" w:eastAsia="宋体" w:cs="宋体"/>
                <w:szCs w:val="21"/>
              </w:rPr>
              <w:t>5</w:t>
            </w:r>
            <w:r>
              <w:rPr>
                <w:rFonts w:hint="eastAsia" w:ascii="宋体" w:hAnsi="宋体" w:eastAsia="宋体" w:cs="宋体"/>
                <w:szCs w:val="21"/>
              </w:rPr>
              <w:t>.供货时提供有关的全套技术文件。</w:t>
            </w:r>
          </w:p>
          <w:p w14:paraId="7B9E93E8">
            <w:pPr>
              <w:adjustRightInd w:val="0"/>
              <w:snapToGrid w:val="0"/>
              <w:spacing w:line="288" w:lineRule="auto"/>
              <w:rPr>
                <w:rFonts w:hint="eastAsia" w:ascii="宋体" w:hAnsi="宋体" w:eastAsia="宋体" w:cs="Times New Roman"/>
                <w:spacing w:val="-6"/>
                <w:szCs w:val="21"/>
              </w:rPr>
            </w:pPr>
            <w:r>
              <w:rPr>
                <w:rFonts w:hint="eastAsia" w:ascii="宋体" w:hAnsi="宋体" w:eastAsia="宋体" w:cs="宋体"/>
                <w:szCs w:val="21"/>
              </w:rPr>
              <w:t>6</w:t>
            </w:r>
            <w:r>
              <w:rPr>
                <w:rFonts w:ascii="宋体" w:hAnsi="宋体" w:eastAsia="宋体" w:cs="宋体"/>
                <w:szCs w:val="21"/>
              </w:rPr>
              <w:t>.</w:t>
            </w:r>
            <w:r>
              <w:rPr>
                <w:rFonts w:hint="eastAsia" w:ascii="宋体" w:hAnsi="宋体" w:eastAsia="宋体" w:cs="Times New Roman"/>
                <w:spacing w:val="-6"/>
                <w:szCs w:val="21"/>
              </w:rPr>
              <w:t>供应商应保证所提供的货物或其中任何一部分均不会侵犯第三方的知识产权。</w:t>
            </w:r>
          </w:p>
          <w:p w14:paraId="07305D97">
            <w:pPr>
              <w:adjustRightInd w:val="0"/>
              <w:snapToGrid w:val="0"/>
              <w:spacing w:line="288" w:lineRule="auto"/>
              <w:rPr>
                <w:rFonts w:hint="eastAsia" w:ascii="宋体" w:hAnsi="宋体" w:eastAsia="宋体" w:cs="宋体"/>
                <w:szCs w:val="21"/>
              </w:rPr>
            </w:pPr>
            <w:r>
              <w:rPr>
                <w:rFonts w:hint="eastAsia" w:ascii="宋体" w:hAnsi="宋体" w:eastAsia="宋体" w:cs="Times New Roman"/>
                <w:spacing w:val="-6"/>
                <w:szCs w:val="21"/>
              </w:rPr>
              <w:t>7.项目验收合格之日起5年内，中标人应提供一次设备免费搬迁服务。</w:t>
            </w:r>
          </w:p>
        </w:tc>
      </w:tr>
      <w:tr w14:paraId="54AE14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0850902">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3AB77E60">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供应商应对采购人的操作人员、维修人员免费进行培训；</w:t>
            </w:r>
          </w:p>
          <w:p w14:paraId="2C77EB0A">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供应商应提供相应的培训计划；</w:t>
            </w:r>
          </w:p>
          <w:p w14:paraId="0F80A106">
            <w:pPr>
              <w:adjustRightInd w:val="0"/>
              <w:snapToGrid w:val="0"/>
              <w:spacing w:line="288" w:lineRule="auto"/>
              <w:rPr>
                <w:rFonts w:hint="eastAsia" w:ascii="宋体" w:hAnsi="宋体" w:eastAsia="宋体" w:cs="宋体"/>
                <w:b/>
                <w:bCs/>
                <w:szCs w:val="21"/>
              </w:rPr>
            </w:pPr>
            <w:r>
              <w:rPr>
                <w:rFonts w:hint="eastAsia" w:ascii="宋体" w:hAnsi="宋体" w:eastAsia="宋体" w:cs="宋体"/>
                <w:szCs w:val="21"/>
              </w:rPr>
              <w:t>上述内容的实现方式、时间、地点、人数应在投标文件中详细说明。</w:t>
            </w:r>
          </w:p>
        </w:tc>
      </w:tr>
    </w:tbl>
    <w:p w14:paraId="3546411A">
      <w:pPr>
        <w:adjustRightInd w:val="0"/>
        <w:snapToGrid w:val="0"/>
        <w:spacing w:line="288" w:lineRule="auto"/>
        <w:rPr>
          <w:rFonts w:hint="eastAsia" w:ascii="宋体" w:hAnsi="宋体" w:eastAsia="宋体" w:cs="Times New Roman"/>
          <w:b/>
          <w:szCs w:val="21"/>
        </w:rPr>
      </w:pPr>
    </w:p>
    <w:p w14:paraId="633C4E7F">
      <w:pPr>
        <w:adjustRightInd w:val="0"/>
        <w:snapToGrid w:val="0"/>
        <w:spacing w:line="288" w:lineRule="auto"/>
        <w:outlineLvl w:val="1"/>
        <w:rPr>
          <w:rFonts w:hint="eastAsia" w:ascii="宋体" w:hAnsi="宋体" w:eastAsia="宋体" w:cs="Times New Roman"/>
          <w:b/>
          <w:szCs w:val="21"/>
        </w:rPr>
      </w:pPr>
      <w:r>
        <w:rPr>
          <w:rFonts w:hint="eastAsia" w:ascii="宋体" w:hAnsi="宋体" w:eastAsia="宋体" w:cs="Times New Roman"/>
          <w:b/>
          <w:szCs w:val="21"/>
        </w:rPr>
        <w:t>四、技术要求</w:t>
      </w:r>
    </w:p>
    <w:p w14:paraId="1B9C45FD">
      <w:pPr>
        <w:adjustRightInd w:val="0"/>
        <w:snapToGrid w:val="0"/>
        <w:spacing w:line="288" w:lineRule="auto"/>
        <w:rPr>
          <w:rFonts w:hint="eastAsia" w:ascii="宋体" w:hAnsi="宋体" w:eastAsia="宋体" w:cs="宋体"/>
          <w:b/>
          <w:bCs/>
          <w:szCs w:val="21"/>
        </w:rPr>
      </w:pPr>
      <w:bookmarkStart w:id="38" w:name="_Hlk92271413"/>
      <w:r>
        <w:rPr>
          <w:rFonts w:hint="eastAsia" w:ascii="宋体" w:hAnsi="宋体" w:eastAsia="宋体" w:cs="宋体"/>
          <w:b/>
          <w:bCs/>
          <w:szCs w:val="21"/>
        </w:rPr>
        <w:t>1</w:t>
      </w:r>
      <w:r>
        <w:rPr>
          <w:rFonts w:ascii="宋体" w:hAnsi="宋体" w:eastAsia="宋体" w:cs="宋体"/>
          <w:b/>
          <w:bCs/>
          <w:szCs w:val="21"/>
        </w:rPr>
        <w:t>.</w:t>
      </w:r>
      <w:r>
        <w:rPr>
          <w:rFonts w:hint="eastAsia" w:ascii="宋体" w:hAnsi="宋体" w:eastAsia="宋体" w:cs="宋体"/>
          <w:b/>
          <w:bCs/>
          <w:szCs w:val="21"/>
        </w:rPr>
        <w:t>需执行的国家相关标准、行业标准、地方标准或者其他标准、规范：</w:t>
      </w:r>
      <w:bookmarkStart w:id="39" w:name="_Hlk94018176"/>
      <w:r>
        <w:rPr>
          <w:rFonts w:hint="eastAsia" w:ascii="宋体" w:hAnsi="宋体" w:eastAsia="宋体" w:cs="宋体"/>
          <w:szCs w:val="21"/>
        </w:rPr>
        <w:t>如技术要求中未注明需执行的国家相关标准、行业标准、地方标准或者其他标准、规范的，执行最新标准、规范。</w:t>
      </w:r>
      <w:bookmarkEnd w:id="39"/>
    </w:p>
    <w:bookmarkEnd w:id="38"/>
    <w:p w14:paraId="5535CB4F">
      <w:pPr>
        <w:adjustRightInd w:val="0"/>
        <w:snapToGrid w:val="0"/>
        <w:spacing w:line="288" w:lineRule="auto"/>
        <w:rPr>
          <w:rFonts w:hint="eastAsia" w:ascii="宋体" w:hAnsi="宋体" w:eastAsia="宋体" w:cs="宋体"/>
          <w:b/>
          <w:bCs/>
          <w:szCs w:val="21"/>
        </w:rPr>
      </w:pPr>
      <w:r>
        <w:rPr>
          <w:rFonts w:ascii="宋体" w:hAnsi="宋体" w:eastAsia="宋体" w:cs="宋体"/>
          <w:b/>
          <w:bCs/>
          <w:szCs w:val="21"/>
        </w:rPr>
        <w:t>2</w:t>
      </w:r>
      <w:r>
        <w:rPr>
          <w:rFonts w:hint="eastAsia" w:ascii="宋体" w:hAnsi="宋体" w:eastAsia="宋体" w:cs="宋体"/>
          <w:b/>
          <w:bCs/>
          <w:szCs w:val="21"/>
        </w:rPr>
        <w:t>.需实现的功能或者目标：</w:t>
      </w:r>
      <w:r>
        <w:rPr>
          <w:rFonts w:hint="eastAsia" w:ascii="宋体" w:hAnsi="宋体" w:eastAsia="宋体" w:cs="宋体"/>
          <w:szCs w:val="21"/>
        </w:rPr>
        <w:t>满足山地健康土壤培育子平台相关设备的使用需求。</w:t>
      </w:r>
    </w:p>
    <w:p w14:paraId="0BC56BB8">
      <w:pPr>
        <w:adjustRightInd w:val="0"/>
        <w:snapToGrid w:val="0"/>
        <w:spacing w:line="288" w:lineRule="auto"/>
        <w:rPr>
          <w:rFonts w:hint="eastAsia" w:ascii="宋体" w:hAnsi="宋体" w:eastAsia="宋体" w:cs="Times New Roman"/>
          <w:b/>
          <w:bCs/>
          <w:spacing w:val="-4"/>
          <w:szCs w:val="21"/>
        </w:rPr>
      </w:pPr>
      <w:r>
        <w:rPr>
          <w:rFonts w:ascii="宋体" w:hAnsi="宋体" w:eastAsia="宋体" w:cs="Times New Roman"/>
          <w:b/>
          <w:bCs/>
          <w:spacing w:val="-4"/>
          <w:szCs w:val="21"/>
        </w:rPr>
        <w:t>3.</w:t>
      </w:r>
      <w:r>
        <w:rPr>
          <w:rFonts w:hint="eastAsia" w:ascii="宋体" w:hAnsi="宋体" w:eastAsia="宋体" w:cs="Times New Roman"/>
          <w:b/>
          <w:bCs/>
          <w:spacing w:val="-4"/>
          <w:szCs w:val="21"/>
        </w:rPr>
        <w:t>需满足的质量、安全、技术规格、物理特性等要求：</w:t>
      </w:r>
    </w:p>
    <w:p w14:paraId="2FC23967">
      <w:pPr>
        <w:adjustRightInd w:val="0"/>
        <w:snapToGrid w:val="0"/>
        <w:spacing w:line="288" w:lineRule="auto"/>
        <w:rPr>
          <w:rFonts w:hint="eastAsia" w:ascii="宋体" w:hAnsi="宋体" w:eastAsia="宋体" w:cs="Times New Roman"/>
          <w:b/>
          <w:bCs/>
          <w:spacing w:val="-4"/>
          <w:szCs w:val="21"/>
        </w:rPr>
      </w:pPr>
      <w:r>
        <w:rPr>
          <w:rFonts w:hint="eastAsia" w:ascii="宋体" w:hAnsi="宋体" w:eastAsia="宋体" w:cs="Times New Roman"/>
          <w:b/>
          <w:bCs/>
          <w:spacing w:val="-4"/>
          <w:szCs w:val="21"/>
        </w:rPr>
        <w:t>标项一：</w:t>
      </w:r>
    </w:p>
    <w:tbl>
      <w:tblPr>
        <w:tblStyle w:val="24"/>
        <w:tblW w:w="10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810"/>
        <w:gridCol w:w="661"/>
        <w:gridCol w:w="661"/>
        <w:gridCol w:w="6266"/>
      </w:tblGrid>
      <w:tr w14:paraId="296E8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4920E9CD">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序号</w:t>
            </w:r>
          </w:p>
        </w:tc>
        <w:tc>
          <w:tcPr>
            <w:tcW w:w="1810" w:type="dxa"/>
            <w:vAlign w:val="center"/>
          </w:tcPr>
          <w:p w14:paraId="0EB63EF5">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名称</w:t>
            </w:r>
          </w:p>
        </w:tc>
        <w:tc>
          <w:tcPr>
            <w:tcW w:w="661" w:type="dxa"/>
            <w:vAlign w:val="center"/>
          </w:tcPr>
          <w:p w14:paraId="0099FC8C">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数量</w:t>
            </w:r>
          </w:p>
        </w:tc>
        <w:tc>
          <w:tcPr>
            <w:tcW w:w="661" w:type="dxa"/>
            <w:vAlign w:val="center"/>
          </w:tcPr>
          <w:p w14:paraId="2E7A3B89">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单位</w:t>
            </w:r>
          </w:p>
        </w:tc>
        <w:tc>
          <w:tcPr>
            <w:tcW w:w="6266" w:type="dxa"/>
            <w:vAlign w:val="center"/>
          </w:tcPr>
          <w:p w14:paraId="224AC4D9">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（功能或者目标）、质量、安全、技术规格、物理特性等要求</w:t>
            </w:r>
          </w:p>
        </w:tc>
      </w:tr>
      <w:tr w14:paraId="6D5AA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0F83CEAD">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1</w:t>
            </w:r>
          </w:p>
        </w:tc>
        <w:tc>
          <w:tcPr>
            <w:tcW w:w="1810" w:type="dxa"/>
            <w:vAlign w:val="center"/>
          </w:tcPr>
          <w:p w14:paraId="4E9C7D07">
            <w:pPr>
              <w:adjustRightInd w:val="0"/>
              <w:snapToGrid w:val="0"/>
              <w:jc w:val="center"/>
              <w:rPr>
                <w:rFonts w:hint="eastAsia" w:ascii="宋体" w:hAnsi="宋体" w:eastAsia="宋体" w:cs="宋体"/>
                <w:b/>
                <w:bCs/>
                <w:szCs w:val="21"/>
              </w:rPr>
            </w:pPr>
            <w:r>
              <w:rPr>
                <w:rFonts w:hint="eastAsia" w:ascii="宋体" w:hAnsi="宋体" w:eastAsia="宋体" w:cs="宋体"/>
                <w:b/>
                <w:bCs/>
                <w:spacing w:val="-6"/>
                <w:kern w:val="0"/>
                <w:szCs w:val="21"/>
                <w:lang w:bidi="ar"/>
              </w:rPr>
              <w:t>电感耦合等离子质谱仪</w:t>
            </w:r>
          </w:p>
        </w:tc>
        <w:tc>
          <w:tcPr>
            <w:tcW w:w="661" w:type="dxa"/>
            <w:vAlign w:val="center"/>
          </w:tcPr>
          <w:p w14:paraId="6475643F">
            <w:pPr>
              <w:adjustRightInd w:val="0"/>
              <w:snapToGrid w:val="0"/>
              <w:jc w:val="center"/>
              <w:rPr>
                <w:rFonts w:hint="eastAsia" w:ascii="宋体" w:hAnsi="宋体" w:eastAsia="宋体" w:cs="宋体"/>
                <w:b/>
                <w:bCs/>
                <w:szCs w:val="21"/>
              </w:rPr>
            </w:pPr>
            <w:r>
              <w:rPr>
                <w:rFonts w:hint="eastAsia" w:ascii="宋体" w:hAnsi="宋体" w:eastAsia="宋体" w:cs="宋体"/>
                <w:b/>
                <w:bCs/>
                <w:spacing w:val="-6"/>
                <w:szCs w:val="21"/>
                <w:lang w:bidi="ar"/>
              </w:rPr>
              <w:t>1</w:t>
            </w:r>
          </w:p>
        </w:tc>
        <w:tc>
          <w:tcPr>
            <w:tcW w:w="661" w:type="dxa"/>
            <w:vAlign w:val="center"/>
          </w:tcPr>
          <w:p w14:paraId="0693C039">
            <w:pPr>
              <w:adjustRightInd w:val="0"/>
              <w:snapToGrid w:val="0"/>
              <w:jc w:val="center"/>
              <w:rPr>
                <w:rFonts w:hint="eastAsia" w:ascii="宋体" w:hAnsi="宋体" w:eastAsia="宋体" w:cs="宋体"/>
                <w:b/>
                <w:bCs/>
                <w:szCs w:val="21"/>
              </w:rPr>
            </w:pPr>
            <w:r>
              <w:rPr>
                <w:rFonts w:hint="eastAsia" w:ascii="宋体" w:hAnsi="宋体" w:eastAsia="宋体" w:cs="宋体"/>
                <w:b/>
                <w:bCs/>
                <w:spacing w:val="-6"/>
                <w:szCs w:val="21"/>
                <w:lang w:bidi="ar"/>
              </w:rPr>
              <w:t>套</w:t>
            </w:r>
          </w:p>
        </w:tc>
        <w:tc>
          <w:tcPr>
            <w:tcW w:w="6266" w:type="dxa"/>
            <w:vAlign w:val="center"/>
          </w:tcPr>
          <w:p w14:paraId="6D41FD6E">
            <w:pPr>
              <w:rPr>
                <w:rFonts w:hint="eastAsia" w:ascii="宋体" w:hAnsi="宋体" w:eastAsia="宋体" w:cs="宋体"/>
                <w:b/>
                <w:bCs/>
                <w:szCs w:val="21"/>
              </w:rPr>
            </w:pPr>
            <w:r>
              <w:rPr>
                <w:rFonts w:hint="eastAsia" w:ascii="宋体" w:hAnsi="宋体" w:eastAsia="宋体" w:cs="宋体"/>
                <w:b/>
                <w:bCs/>
                <w:szCs w:val="21"/>
                <w:lang w:bidi="ar"/>
              </w:rPr>
              <w:t>1.仪器硬件：</w:t>
            </w:r>
          </w:p>
          <w:p w14:paraId="17A4640B">
            <w:pPr>
              <w:rPr>
                <w:rFonts w:hint="eastAsia" w:ascii="宋体" w:hAnsi="宋体" w:eastAsia="宋体" w:cs="宋体"/>
                <w:szCs w:val="21"/>
              </w:rPr>
            </w:pPr>
            <w:r>
              <w:rPr>
                <w:rFonts w:hint="eastAsia" w:ascii="宋体" w:hAnsi="宋体" w:eastAsia="宋体" w:cs="宋体"/>
                <w:szCs w:val="21"/>
                <w:lang w:bidi="ar"/>
              </w:rPr>
              <w:t>★1.1 进样系统雾：高效同心雾化器，提供最佳雾化效率；石英材质雾化室，应对各类无机、有机、低挥发和高挥发样品分析，必须包裹于帕尔帖制冷装置中，低温提升去溶剂效果；</w:t>
            </w:r>
          </w:p>
          <w:p w14:paraId="189EAFDF">
            <w:pPr>
              <w:rPr>
                <w:rFonts w:hint="eastAsia" w:ascii="宋体" w:hAnsi="宋体" w:eastAsia="宋体" w:cs="宋体"/>
                <w:szCs w:val="21"/>
              </w:rPr>
            </w:pPr>
            <w:r>
              <w:rPr>
                <w:rFonts w:hint="eastAsia" w:ascii="宋体" w:hAnsi="宋体" w:eastAsia="宋体" w:cs="宋体"/>
                <w:szCs w:val="21"/>
                <w:lang w:bidi="ar"/>
              </w:rPr>
              <w:t>1.2 高盐样品进样系统：仪器配置超高盐样品进样组件或全自动在线稀释装置，无需手动稀释，可连续测定总溶解固体量（TDS）含量25%的样品溶液；稀释气体拥有5种不同稀释比，可实现4倍、8倍、25倍、50倍、100倍的稀释条件自由切换</w:t>
            </w:r>
            <w:r>
              <w:rPr>
                <w:rFonts w:hint="eastAsia" w:ascii="宋体" w:hAnsi="宋体" w:eastAsia="宋体" w:cs="宋体"/>
                <w:b/>
                <w:bCs/>
                <w:szCs w:val="21"/>
                <w:lang w:bidi="ar"/>
              </w:rPr>
              <w:t>（提供证明材料）</w:t>
            </w:r>
            <w:r>
              <w:rPr>
                <w:rFonts w:hint="eastAsia" w:ascii="宋体" w:hAnsi="宋体" w:eastAsia="宋体" w:cs="宋体"/>
                <w:szCs w:val="21"/>
                <w:lang w:bidi="ar"/>
              </w:rPr>
              <w:t>。</w:t>
            </w:r>
          </w:p>
          <w:p w14:paraId="1ACDC87E">
            <w:pPr>
              <w:rPr>
                <w:rFonts w:hint="eastAsia" w:ascii="宋体" w:hAnsi="宋体" w:eastAsia="宋体" w:cs="宋体"/>
                <w:szCs w:val="21"/>
              </w:rPr>
            </w:pPr>
            <w:r>
              <w:rPr>
                <w:rFonts w:hint="eastAsia" w:ascii="宋体" w:hAnsi="宋体" w:eastAsia="宋体" w:cs="宋体"/>
                <w:szCs w:val="21"/>
                <w:lang w:bidi="ar"/>
              </w:rPr>
              <w:t>1.3 等离子体气路控制：至少配备5个高精度气体质量流量计(MFC)，分别控制包含等离子体气、辅助气、载气、稀释气、补偿气等气体流量；</w:t>
            </w:r>
          </w:p>
          <w:p w14:paraId="63915261">
            <w:pPr>
              <w:rPr>
                <w:rFonts w:hint="eastAsia" w:ascii="宋体" w:hAnsi="宋体" w:eastAsia="宋体" w:cs="宋体"/>
                <w:szCs w:val="21"/>
              </w:rPr>
            </w:pPr>
            <w:r>
              <w:rPr>
                <w:rFonts w:hint="eastAsia" w:ascii="宋体" w:hAnsi="宋体" w:eastAsia="宋体" w:cs="宋体"/>
                <w:szCs w:val="21"/>
                <w:lang w:bidi="ar"/>
              </w:rPr>
              <w:t>★1.4 离子源：固态射频发生器，功率范围600~1600 W，频率≤27MHz；具有消除二次放电系统，若有屏蔽炬系统的需要配置屏蔽炬系统，避免意外放电打坏射频线圈；若有两路射频的需要配置5套射频线圈；</w:t>
            </w:r>
          </w:p>
          <w:p w14:paraId="59122D73">
            <w:pPr>
              <w:rPr>
                <w:rFonts w:hint="eastAsia" w:ascii="宋体" w:hAnsi="宋体" w:eastAsia="宋体" w:cs="宋体"/>
                <w:szCs w:val="21"/>
              </w:rPr>
            </w:pPr>
            <w:r>
              <w:rPr>
                <w:rFonts w:hint="eastAsia" w:ascii="宋体" w:hAnsi="宋体" w:eastAsia="宋体" w:cs="宋体"/>
                <w:szCs w:val="21"/>
                <w:lang w:bidi="ar"/>
              </w:rPr>
              <w:t>1.5 接口：采用镍制样品锥和截取锥组成的双锥接口设计，锥数量</w:t>
            </w:r>
            <w:r>
              <w:rPr>
                <w:rFonts w:hint="eastAsia" w:ascii="Times New Roman" w:hAnsi="Times New Roman" w:eastAsia="宋体" w:cs="Times New Roman"/>
                <w:szCs w:val="21"/>
              </w:rPr>
              <w:t>≤2个</w:t>
            </w:r>
            <w:r>
              <w:rPr>
                <w:rFonts w:hint="eastAsia" w:ascii="宋体" w:hAnsi="宋体" w:eastAsia="宋体" w:cs="宋体"/>
                <w:szCs w:val="21"/>
                <w:lang w:bidi="ar"/>
              </w:rPr>
              <w:t xml:space="preserve">，为防止过多基体进入后续质谱系统，在保证灵敏度和耐盐能力的前提下锥孔应尽可能小，采样锥孔径≤1.1 mm，截取锥孔径≤0.50 mm；为了保证质谱长期稳定性，采样锥与截取锥之间不得使用气体，锥上不得施加任何电压； </w:t>
            </w:r>
          </w:p>
          <w:p w14:paraId="2966894B">
            <w:pPr>
              <w:rPr>
                <w:rFonts w:hint="eastAsia" w:ascii="宋体" w:hAnsi="宋体" w:eastAsia="宋体" w:cs="宋体"/>
                <w:szCs w:val="21"/>
              </w:rPr>
            </w:pPr>
            <w:r>
              <w:rPr>
                <w:rFonts w:hint="eastAsia" w:ascii="宋体" w:hAnsi="宋体" w:eastAsia="宋体" w:cs="宋体"/>
                <w:szCs w:val="21"/>
                <w:lang w:bidi="ar"/>
              </w:rPr>
              <w:t>1.6 离子透镜：由离子提取和偏转透镜组成，配备不少于2个提取透镜，可通过电压调节来控制粒子提取效果，提升全质量范围粒子传输效率。采用正负双电压调节实现离子束双重偏转，不仅将待测离子与中性粒子及光子有效分离，同时平衡不同质量段灵敏度分布；</w:t>
            </w:r>
          </w:p>
          <w:p w14:paraId="5DADC707">
            <w:pPr>
              <w:rPr>
                <w:rFonts w:hint="eastAsia" w:ascii="宋体" w:hAnsi="宋体" w:eastAsia="宋体" w:cs="宋体"/>
                <w:szCs w:val="21"/>
              </w:rPr>
            </w:pPr>
            <w:r>
              <w:rPr>
                <w:rFonts w:hint="eastAsia" w:ascii="宋体" w:hAnsi="宋体" w:eastAsia="宋体" w:cs="宋体"/>
                <w:szCs w:val="21"/>
                <w:lang w:bidi="ar"/>
              </w:rPr>
              <w:t>1.7 碰撞/反应池：</w:t>
            </w:r>
          </w:p>
          <w:p w14:paraId="6EB94E01">
            <w:pPr>
              <w:rPr>
                <w:rFonts w:hint="eastAsia" w:ascii="宋体" w:hAnsi="宋体" w:eastAsia="宋体" w:cs="宋体"/>
                <w:szCs w:val="21"/>
              </w:rPr>
            </w:pPr>
            <w:r>
              <w:rPr>
                <w:rFonts w:hint="eastAsia" w:ascii="宋体" w:hAnsi="宋体" w:eastAsia="宋体" w:cs="宋体"/>
                <w:szCs w:val="21"/>
                <w:lang w:bidi="ar"/>
              </w:rPr>
              <w:t>★1.7.1 温控型四极杆或八极杆设计，要求温度范围55~95℃，0.1℃可调；必须拥有3种以上工作模式，除干扰以碰撞模式为优先</w:t>
            </w:r>
            <w:r>
              <w:rPr>
                <w:rFonts w:hint="eastAsia" w:ascii="宋体" w:hAnsi="宋体" w:eastAsia="宋体" w:cs="宋体"/>
                <w:b/>
                <w:bCs/>
                <w:szCs w:val="21"/>
                <w:lang w:bidi="ar"/>
              </w:rPr>
              <w:t>（提供证明材料）</w:t>
            </w:r>
            <w:r>
              <w:rPr>
                <w:rFonts w:hint="eastAsia" w:ascii="宋体" w:hAnsi="宋体" w:eastAsia="宋体" w:cs="宋体"/>
                <w:szCs w:val="21"/>
                <w:lang w:bidi="ar"/>
              </w:rPr>
              <w:t>；</w:t>
            </w:r>
          </w:p>
          <w:p w14:paraId="55F25CDF">
            <w:pPr>
              <w:rPr>
                <w:rFonts w:hint="eastAsia" w:ascii="宋体" w:hAnsi="宋体" w:eastAsia="宋体" w:cs="宋体"/>
                <w:szCs w:val="21"/>
              </w:rPr>
            </w:pPr>
            <w:r>
              <w:rPr>
                <w:rFonts w:hint="eastAsia" w:ascii="宋体" w:hAnsi="宋体" w:eastAsia="宋体" w:cs="宋体"/>
                <w:szCs w:val="21"/>
                <w:lang w:bidi="ar"/>
              </w:rPr>
              <w:t>1.7.2 氦气流速可设置≥10 mL/min，彻底消除如ArAr+、ClO+对Se、V的干扰；</w:t>
            </w:r>
          </w:p>
          <w:p w14:paraId="4DE1AF0D">
            <w:pPr>
              <w:rPr>
                <w:rFonts w:hint="eastAsia" w:ascii="宋体" w:hAnsi="宋体" w:eastAsia="宋体" w:cs="宋体"/>
                <w:szCs w:val="21"/>
              </w:rPr>
            </w:pPr>
            <w:r>
              <w:rPr>
                <w:rFonts w:hint="eastAsia" w:ascii="宋体" w:hAnsi="宋体" w:eastAsia="宋体" w:cs="宋体"/>
                <w:szCs w:val="21"/>
                <w:lang w:bidi="ar"/>
              </w:rPr>
              <w:t>1.7.3 碰撞/反应池干扰消除能力：在无须使用如CH</w:t>
            </w:r>
            <w:r>
              <w:rPr>
                <w:rFonts w:hint="eastAsia" w:ascii="宋体" w:hAnsi="宋体" w:eastAsia="宋体" w:cs="宋体"/>
                <w:szCs w:val="21"/>
                <w:vertAlign w:val="subscript"/>
                <w:lang w:bidi="ar"/>
              </w:rPr>
              <w:t>4</w:t>
            </w:r>
            <w:r>
              <w:rPr>
                <w:rFonts w:hint="eastAsia" w:ascii="宋体" w:hAnsi="宋体" w:eastAsia="宋体" w:cs="宋体"/>
                <w:szCs w:val="21"/>
                <w:lang w:bidi="ar"/>
              </w:rPr>
              <w:t>或H</w:t>
            </w:r>
            <w:r>
              <w:rPr>
                <w:rFonts w:hint="eastAsia" w:ascii="宋体" w:hAnsi="宋体" w:eastAsia="宋体" w:cs="宋体"/>
                <w:szCs w:val="21"/>
                <w:vertAlign w:val="subscript"/>
                <w:lang w:bidi="ar"/>
              </w:rPr>
              <w:t>2</w:t>
            </w:r>
            <w:r>
              <w:rPr>
                <w:rFonts w:hint="eastAsia" w:ascii="宋体" w:hAnsi="宋体" w:eastAsia="宋体" w:cs="宋体"/>
                <w:szCs w:val="21"/>
                <w:lang w:bidi="ar"/>
              </w:rPr>
              <w:t>或O</w:t>
            </w:r>
            <w:r>
              <w:rPr>
                <w:rFonts w:hint="eastAsia" w:ascii="宋体" w:hAnsi="宋体" w:eastAsia="宋体" w:cs="宋体"/>
                <w:szCs w:val="21"/>
                <w:vertAlign w:val="subscript"/>
                <w:lang w:bidi="ar"/>
              </w:rPr>
              <w:t>2</w:t>
            </w:r>
            <w:r>
              <w:rPr>
                <w:rFonts w:hint="eastAsia" w:ascii="宋体" w:hAnsi="宋体" w:eastAsia="宋体" w:cs="宋体"/>
                <w:szCs w:val="21"/>
                <w:lang w:bidi="ar"/>
              </w:rPr>
              <w:t>或NH</w:t>
            </w:r>
            <w:r>
              <w:rPr>
                <w:rFonts w:hint="eastAsia" w:ascii="宋体" w:hAnsi="宋体" w:eastAsia="宋体" w:cs="宋体"/>
                <w:szCs w:val="21"/>
                <w:vertAlign w:val="subscript"/>
                <w:lang w:bidi="ar"/>
              </w:rPr>
              <w:t>3</w:t>
            </w:r>
            <w:r>
              <w:rPr>
                <w:rFonts w:hint="eastAsia" w:ascii="宋体" w:hAnsi="宋体" w:eastAsia="宋体" w:cs="宋体"/>
                <w:szCs w:val="21"/>
                <w:lang w:bidi="ar"/>
              </w:rPr>
              <w:t>气等反应气体模式下，可通过He碰撞模式直接将干扰彻底消除，获得78Se的DL≤5.0 ppt，BEC≤5.0 ppt；碰撞/反应池在标配的一路碰撞反应气路基础上，必须额外配置两路反应气路（其中一路可以通入氨气），并且必需由单独的质子流量计分别控制流量，实现在同一方法中的在线自动切换；</w:t>
            </w:r>
          </w:p>
          <w:p w14:paraId="66056FF8">
            <w:pPr>
              <w:rPr>
                <w:rFonts w:hint="eastAsia" w:ascii="宋体" w:hAnsi="宋体" w:eastAsia="宋体" w:cs="宋体"/>
                <w:szCs w:val="21"/>
              </w:rPr>
            </w:pPr>
            <w:r>
              <w:rPr>
                <w:rFonts w:hint="eastAsia" w:ascii="宋体" w:hAnsi="宋体" w:eastAsia="宋体" w:cs="宋体"/>
                <w:szCs w:val="21"/>
                <w:lang w:bidi="ar"/>
              </w:rPr>
              <w:t>★1.8 四极杆质量分析器：惰性材质物理双曲面设计，驱动频率≥2.5 MHz；</w:t>
            </w:r>
          </w:p>
          <w:p w14:paraId="79A56CA9">
            <w:pPr>
              <w:rPr>
                <w:rFonts w:hint="eastAsia" w:ascii="宋体" w:hAnsi="宋体" w:eastAsia="宋体" w:cs="宋体"/>
                <w:szCs w:val="21"/>
              </w:rPr>
            </w:pPr>
            <w:r>
              <w:rPr>
                <w:rFonts w:hint="eastAsia" w:ascii="宋体" w:hAnsi="宋体" w:eastAsia="宋体" w:cs="宋体"/>
                <w:szCs w:val="21"/>
                <w:lang w:bidi="ar"/>
              </w:rPr>
              <w:t>1.9 检测器：正交型双模式电子倍增器，脉冲和模拟模式间可自动切换；待测离子通过质量过滤器后，经90度偏转再进入检测器，降噪同时大幅延长检测器寿命；10个数量级动态范围；</w:t>
            </w:r>
          </w:p>
          <w:p w14:paraId="5A467AFE">
            <w:pPr>
              <w:rPr>
                <w:rFonts w:hint="eastAsia" w:ascii="宋体" w:hAnsi="宋体" w:eastAsia="宋体" w:cs="宋体"/>
                <w:szCs w:val="21"/>
              </w:rPr>
            </w:pPr>
            <w:r>
              <w:rPr>
                <w:rFonts w:hint="eastAsia" w:ascii="宋体" w:hAnsi="宋体" w:eastAsia="宋体" w:cs="宋体"/>
                <w:szCs w:val="21"/>
                <w:lang w:bidi="ar"/>
              </w:rPr>
              <w:t>★1.10 检测器寿命：ICP-MS检测器在每天250个饮用水样品以上的高频使用中寿命≥10年</w:t>
            </w:r>
            <w:r>
              <w:rPr>
                <w:rFonts w:hint="eastAsia" w:ascii="Times New Roman" w:hAnsi="Times New Roman" w:eastAsia="宋体" w:cs="Times New Roman"/>
                <w:b/>
                <w:bCs/>
                <w:szCs w:val="21"/>
              </w:rPr>
              <w:t>（提供证明材料）</w:t>
            </w:r>
            <w:r>
              <w:rPr>
                <w:rFonts w:hint="eastAsia" w:ascii="宋体" w:hAnsi="宋体" w:eastAsia="宋体" w:cs="宋体"/>
                <w:szCs w:val="21"/>
                <w:lang w:bidi="ar"/>
              </w:rPr>
              <w:t>；</w:t>
            </w:r>
          </w:p>
          <w:p w14:paraId="5CE935D1">
            <w:pPr>
              <w:rPr>
                <w:rFonts w:hint="eastAsia" w:ascii="宋体" w:hAnsi="宋体" w:eastAsia="宋体" w:cs="宋体"/>
                <w:b/>
                <w:bCs/>
                <w:szCs w:val="21"/>
              </w:rPr>
            </w:pPr>
            <w:r>
              <w:rPr>
                <w:rFonts w:hint="eastAsia" w:ascii="宋体" w:hAnsi="宋体" w:eastAsia="宋体" w:cs="宋体"/>
                <w:b/>
                <w:bCs/>
                <w:szCs w:val="21"/>
                <w:lang w:bidi="ar"/>
              </w:rPr>
              <w:t>2.自动进样器：</w:t>
            </w:r>
          </w:p>
          <w:p w14:paraId="79C28111">
            <w:pPr>
              <w:rPr>
                <w:rFonts w:hint="eastAsia" w:ascii="宋体" w:hAnsi="宋体" w:eastAsia="宋体" w:cs="宋体"/>
                <w:szCs w:val="21"/>
              </w:rPr>
            </w:pPr>
            <w:r>
              <w:rPr>
                <w:rFonts w:hint="eastAsia" w:ascii="宋体" w:hAnsi="宋体" w:eastAsia="宋体" w:cs="宋体"/>
                <w:szCs w:val="21"/>
                <w:lang w:bidi="ar"/>
              </w:rPr>
              <w:t>2.1 ≥200个样品位的样品架；具有快速移动功能，样品针从左下样品位移动到右上样品位耗时≤3秒；</w:t>
            </w:r>
          </w:p>
          <w:p w14:paraId="35DE69D4">
            <w:pPr>
              <w:rPr>
                <w:rFonts w:hint="eastAsia" w:ascii="宋体" w:hAnsi="宋体" w:eastAsia="宋体" w:cs="宋体"/>
                <w:szCs w:val="21"/>
              </w:rPr>
            </w:pPr>
            <w:r>
              <w:rPr>
                <w:rFonts w:hint="eastAsia" w:ascii="宋体" w:hAnsi="宋体" w:eastAsia="宋体" w:cs="宋体"/>
                <w:szCs w:val="21"/>
                <w:lang w:bidi="ar"/>
              </w:rPr>
              <w:t>2.2 配置原厂防尘罩，以避免样品受环境污染；密闭罩须预留抽风口，以及时排走样品逸散的酸雾，避免酸雾污染实验室环境或腐蚀自动进样器</w:t>
            </w:r>
            <w:r>
              <w:rPr>
                <w:rFonts w:hint="eastAsia" w:ascii="Times New Roman" w:hAnsi="Times New Roman" w:eastAsia="宋体" w:cs="Times New Roman"/>
                <w:b/>
                <w:bCs/>
                <w:szCs w:val="21"/>
              </w:rPr>
              <w:t>（提供证明材料）</w:t>
            </w:r>
            <w:r>
              <w:rPr>
                <w:rFonts w:hint="eastAsia" w:ascii="宋体" w:hAnsi="宋体" w:eastAsia="宋体" w:cs="宋体"/>
                <w:szCs w:val="21"/>
                <w:lang w:bidi="ar"/>
              </w:rPr>
              <w:t>；</w:t>
            </w:r>
          </w:p>
          <w:p w14:paraId="308EBF36">
            <w:pPr>
              <w:rPr>
                <w:rFonts w:hint="eastAsia" w:ascii="宋体" w:hAnsi="宋体" w:eastAsia="宋体" w:cs="宋体"/>
                <w:szCs w:val="21"/>
              </w:rPr>
            </w:pPr>
            <w:r>
              <w:rPr>
                <w:rFonts w:hint="eastAsia" w:ascii="宋体" w:hAnsi="宋体" w:eastAsia="宋体" w:cs="宋体"/>
                <w:szCs w:val="21"/>
                <w:lang w:bidi="ar"/>
              </w:rPr>
              <w:t>2.3 智能快速进样系统：由ICP-MS操作软件直接控制：</w:t>
            </w:r>
          </w:p>
          <w:p w14:paraId="6F4A423F">
            <w:pPr>
              <w:rPr>
                <w:rFonts w:hint="eastAsia" w:ascii="宋体" w:hAnsi="宋体" w:eastAsia="宋体" w:cs="宋体"/>
                <w:szCs w:val="21"/>
              </w:rPr>
            </w:pPr>
            <w:r>
              <w:rPr>
                <w:rFonts w:hint="eastAsia" w:ascii="宋体" w:hAnsi="宋体" w:eastAsia="宋体" w:cs="宋体"/>
                <w:szCs w:val="21"/>
                <w:lang w:bidi="ar"/>
              </w:rPr>
              <w:t>2.3.1 包含一个六通或更高配置的切换阀，可实现定量环与不连续进样功能；可通过定量环进样把单个样品进样量控制在1 mL以下，可通过样品采集时间精计算所需进样量及定量环长度；</w:t>
            </w:r>
          </w:p>
          <w:p w14:paraId="0EDC5D9B">
            <w:pPr>
              <w:rPr>
                <w:rFonts w:hint="eastAsia" w:ascii="宋体" w:hAnsi="宋体" w:eastAsia="宋体" w:cs="宋体"/>
                <w:szCs w:val="21"/>
              </w:rPr>
            </w:pPr>
            <w:r>
              <w:rPr>
                <w:rFonts w:hint="eastAsia" w:ascii="宋体" w:hAnsi="宋体" w:eastAsia="宋体" w:cs="宋体"/>
                <w:szCs w:val="21"/>
                <w:lang w:bidi="ar"/>
              </w:rPr>
              <w:t>2.3.2 包含一个用于快速样品提升的活塞泵，实现定量环快速充样，充样时间≤15秒且作为现场验收标准，提高样品分析速度与分析效率；</w:t>
            </w:r>
          </w:p>
          <w:p w14:paraId="36FFBA62">
            <w:pPr>
              <w:rPr>
                <w:rFonts w:hint="eastAsia" w:ascii="宋体" w:hAnsi="宋体" w:eastAsia="宋体" w:cs="宋体"/>
                <w:szCs w:val="21"/>
              </w:rPr>
            </w:pPr>
            <w:r>
              <w:rPr>
                <w:rFonts w:hint="eastAsia" w:ascii="宋体" w:hAnsi="宋体" w:eastAsia="宋体" w:cs="宋体"/>
                <w:szCs w:val="21"/>
                <w:lang w:bidi="ar"/>
              </w:rPr>
              <w:t>★2.3.3 智能快速进样系统测试连续校准验证（CCV）质控样品回收率90%-100%内</w:t>
            </w:r>
            <w:r>
              <w:rPr>
                <w:rFonts w:hint="eastAsia" w:ascii="宋体" w:hAnsi="宋体" w:eastAsia="宋体" w:cs="宋体"/>
                <w:b/>
                <w:bCs/>
                <w:szCs w:val="21"/>
                <w:lang w:bidi="ar"/>
              </w:rPr>
              <w:t>（提供证明材料）</w:t>
            </w:r>
            <w:r>
              <w:rPr>
                <w:rFonts w:hint="eastAsia" w:ascii="宋体" w:hAnsi="宋体" w:eastAsia="宋体" w:cs="宋体"/>
                <w:szCs w:val="21"/>
                <w:lang w:bidi="ar"/>
              </w:rPr>
              <w:t>；</w:t>
            </w:r>
          </w:p>
          <w:p w14:paraId="0B9E087D">
            <w:pPr>
              <w:rPr>
                <w:rFonts w:hint="eastAsia" w:ascii="宋体" w:hAnsi="宋体" w:eastAsia="宋体" w:cs="宋体"/>
                <w:szCs w:val="21"/>
              </w:rPr>
            </w:pPr>
            <w:r>
              <w:rPr>
                <w:rFonts w:hint="eastAsia" w:ascii="宋体" w:hAnsi="宋体" w:eastAsia="宋体" w:cs="宋体"/>
                <w:szCs w:val="21"/>
                <w:lang w:bidi="ar"/>
              </w:rPr>
              <w:t>2.4 自动稀释系统：由ICP-MS软件统一控制：</w:t>
            </w:r>
          </w:p>
          <w:p w14:paraId="48B85071">
            <w:pPr>
              <w:rPr>
                <w:rFonts w:hint="eastAsia" w:ascii="宋体" w:hAnsi="宋体" w:eastAsia="宋体" w:cs="宋体"/>
                <w:szCs w:val="21"/>
              </w:rPr>
            </w:pPr>
            <w:r>
              <w:rPr>
                <w:rFonts w:hint="eastAsia" w:ascii="宋体" w:hAnsi="宋体" w:eastAsia="宋体" w:cs="宋体"/>
                <w:szCs w:val="21"/>
                <w:lang w:bidi="ar"/>
              </w:rPr>
              <w:t>2.4.1 自动配置工作曲线：在ICP-MS软件中输入母液浓度和目标梯度即可自动配置完整的工作曲线；</w:t>
            </w:r>
          </w:p>
          <w:p w14:paraId="61F2DF42">
            <w:pPr>
              <w:rPr>
                <w:rFonts w:hint="eastAsia" w:ascii="宋体" w:hAnsi="宋体" w:eastAsia="宋体" w:cs="宋体"/>
                <w:szCs w:val="21"/>
              </w:rPr>
            </w:pPr>
            <w:r>
              <w:rPr>
                <w:rFonts w:hint="eastAsia" w:ascii="宋体" w:hAnsi="宋体" w:eastAsia="宋体" w:cs="宋体"/>
                <w:szCs w:val="21"/>
                <w:lang w:bidi="ar"/>
              </w:rPr>
              <w:t>2.4.2 自动稀释超过工作曲线线性范围的样品：由ICP-MS软件自动判定样品是否需要稀释，无需人工介入，自动给出稀释倍数并在最终结果中乘回稀释倍数；</w:t>
            </w:r>
          </w:p>
          <w:p w14:paraId="3D6BC982">
            <w:pPr>
              <w:rPr>
                <w:rFonts w:hint="eastAsia" w:ascii="宋体" w:hAnsi="宋体" w:eastAsia="宋体" w:cs="宋体"/>
                <w:szCs w:val="21"/>
              </w:rPr>
            </w:pPr>
            <w:r>
              <w:rPr>
                <w:rFonts w:hint="eastAsia" w:ascii="宋体" w:hAnsi="宋体" w:eastAsia="宋体" w:cs="宋体"/>
                <w:szCs w:val="21"/>
                <w:lang w:bidi="ar"/>
              </w:rPr>
              <w:t>2.4.3 自动定向稀释样品：对批量样品进行特定倍数的预稀释，替代人工稀释，减少分析人员工作量，避免人工稀释过程的偶然污染；</w:t>
            </w:r>
          </w:p>
          <w:p w14:paraId="6B1E5498">
            <w:pPr>
              <w:rPr>
                <w:rFonts w:hint="eastAsia" w:ascii="宋体" w:hAnsi="宋体" w:eastAsia="宋体" w:cs="宋体"/>
                <w:b/>
                <w:bCs/>
                <w:szCs w:val="21"/>
              </w:rPr>
            </w:pPr>
            <w:r>
              <w:rPr>
                <w:rFonts w:hint="eastAsia" w:ascii="宋体" w:hAnsi="宋体" w:eastAsia="宋体" w:cs="宋体"/>
                <w:b/>
                <w:bCs/>
                <w:szCs w:val="21"/>
                <w:lang w:bidi="ar"/>
              </w:rPr>
              <w:t>3.液相色谱技术及性能要求：</w:t>
            </w:r>
          </w:p>
          <w:p w14:paraId="05A0394B">
            <w:pPr>
              <w:rPr>
                <w:rFonts w:hint="eastAsia" w:ascii="宋体" w:hAnsi="宋体" w:eastAsia="宋体" w:cs="宋体"/>
                <w:szCs w:val="21"/>
              </w:rPr>
            </w:pPr>
            <w:r>
              <w:rPr>
                <w:rFonts w:hint="eastAsia" w:ascii="宋体" w:hAnsi="宋体" w:eastAsia="宋体" w:cs="宋体"/>
                <w:szCs w:val="21"/>
                <w:lang w:bidi="ar"/>
              </w:rPr>
              <w:t>3.1 四元泵输液泵：</w:t>
            </w:r>
          </w:p>
          <w:p w14:paraId="6EC29F47">
            <w:pPr>
              <w:rPr>
                <w:rFonts w:hint="eastAsia" w:ascii="宋体" w:hAnsi="宋体" w:eastAsia="宋体" w:cs="宋体"/>
                <w:szCs w:val="21"/>
              </w:rPr>
            </w:pPr>
            <w:r>
              <w:rPr>
                <w:rFonts w:hint="eastAsia" w:ascii="宋体" w:hAnsi="宋体" w:eastAsia="宋体" w:cs="宋体"/>
                <w:szCs w:val="21"/>
                <w:lang w:bidi="ar"/>
              </w:rPr>
              <w:t>3.1.1 输液系统：≥400 bar，双活塞串联泵，低压四元混合/梯度，浮动活塞设计，传动装置采用齿轮和滚珠螺杆；</w:t>
            </w:r>
          </w:p>
          <w:p w14:paraId="3B654700">
            <w:pPr>
              <w:rPr>
                <w:rFonts w:hint="eastAsia" w:ascii="宋体" w:hAnsi="宋体" w:eastAsia="宋体" w:cs="宋体"/>
                <w:szCs w:val="21"/>
                <w:lang w:bidi="ar"/>
              </w:rPr>
            </w:pPr>
            <w:r>
              <w:rPr>
                <w:rFonts w:hint="eastAsia" w:ascii="宋体" w:hAnsi="宋体" w:eastAsia="宋体" w:cs="宋体"/>
                <w:szCs w:val="21"/>
                <w:lang w:bidi="ar"/>
              </w:rPr>
              <w:t>★3.1.2</w:t>
            </w:r>
            <w:r>
              <w:rPr>
                <w:rFonts w:hint="eastAsia" w:ascii="Times New Roman" w:hAnsi="Times New Roman" w:eastAsia="宋体" w:cs="Times New Roman"/>
                <w:szCs w:val="21"/>
              </w:rPr>
              <w:t>具有20-100μL连续可变冲程驱动范围</w:t>
            </w:r>
            <w:r>
              <w:rPr>
                <w:rFonts w:hint="eastAsia" w:ascii="Times New Roman" w:hAnsi="Times New Roman" w:eastAsia="宋体" w:cs="Times New Roman"/>
                <w:b/>
                <w:bCs/>
                <w:szCs w:val="21"/>
              </w:rPr>
              <w:t>（提供证明材料）</w:t>
            </w:r>
            <w:r>
              <w:rPr>
                <w:rFonts w:hint="eastAsia" w:ascii="Times New Roman" w:hAnsi="Times New Roman" w:eastAsia="宋体" w:cs="Times New Roman"/>
                <w:szCs w:val="21"/>
              </w:rPr>
              <w:t>；</w:t>
            </w:r>
          </w:p>
          <w:p w14:paraId="3761AD88">
            <w:pPr>
              <w:rPr>
                <w:rFonts w:hint="eastAsia" w:ascii="宋体" w:hAnsi="宋体" w:eastAsia="宋体" w:cs="宋体"/>
                <w:szCs w:val="21"/>
              </w:rPr>
            </w:pPr>
            <w:r>
              <w:rPr>
                <w:rFonts w:hint="eastAsia" w:ascii="宋体" w:hAnsi="宋体" w:eastAsia="宋体" w:cs="宋体"/>
                <w:szCs w:val="21"/>
                <w:lang w:bidi="ar"/>
              </w:rPr>
              <w:t>3.1.3 流速范围：0.001-10.000 mL/min，增量为0.001 mL/min；</w:t>
            </w:r>
          </w:p>
          <w:p w14:paraId="394B0EC7">
            <w:pPr>
              <w:rPr>
                <w:rFonts w:hint="eastAsia" w:ascii="宋体" w:hAnsi="宋体" w:eastAsia="宋体" w:cs="宋体"/>
                <w:szCs w:val="21"/>
              </w:rPr>
            </w:pPr>
            <w:r>
              <w:rPr>
                <w:rFonts w:hint="eastAsia" w:ascii="宋体" w:hAnsi="宋体" w:eastAsia="宋体" w:cs="宋体"/>
                <w:szCs w:val="21"/>
                <w:lang w:bidi="ar"/>
              </w:rPr>
              <w:t>3.2 柱温箱：</w:t>
            </w:r>
          </w:p>
          <w:p w14:paraId="0F82B001">
            <w:pPr>
              <w:rPr>
                <w:rFonts w:hint="eastAsia" w:ascii="宋体" w:hAnsi="宋体" w:eastAsia="宋体" w:cs="宋体"/>
                <w:szCs w:val="21"/>
              </w:rPr>
            </w:pPr>
            <w:r>
              <w:rPr>
                <w:rFonts w:hint="eastAsia" w:ascii="宋体" w:hAnsi="宋体" w:eastAsia="宋体" w:cs="宋体"/>
                <w:szCs w:val="21"/>
                <w:lang w:bidi="ar"/>
              </w:rPr>
              <w:t>3.2.1 温度控制范围：室温+5~80℃，0.1℃设置，稳定性±0.1℃；</w:t>
            </w:r>
          </w:p>
          <w:p w14:paraId="23A6C353">
            <w:pPr>
              <w:rPr>
                <w:rFonts w:hint="eastAsia" w:ascii="宋体" w:hAnsi="宋体" w:eastAsia="宋体" w:cs="宋体"/>
                <w:szCs w:val="21"/>
              </w:rPr>
            </w:pPr>
            <w:r>
              <w:rPr>
                <w:rFonts w:hint="eastAsia" w:ascii="宋体" w:hAnsi="宋体" w:eastAsia="宋体" w:cs="宋体"/>
                <w:szCs w:val="21"/>
                <w:lang w:bidi="ar"/>
              </w:rPr>
              <w:t>3.2.2 内部可容纳2根300 mm的色谱柱；</w:t>
            </w:r>
          </w:p>
          <w:p w14:paraId="4F9FFA07">
            <w:pPr>
              <w:rPr>
                <w:rFonts w:hint="eastAsia" w:ascii="宋体" w:hAnsi="宋体" w:eastAsia="宋体" w:cs="宋体"/>
                <w:szCs w:val="21"/>
              </w:rPr>
            </w:pPr>
            <w:r>
              <w:rPr>
                <w:rFonts w:hint="eastAsia" w:ascii="宋体" w:hAnsi="宋体" w:eastAsia="宋体" w:cs="宋体"/>
                <w:szCs w:val="21"/>
                <w:lang w:bidi="ar"/>
              </w:rPr>
              <w:t>3.3 自动进样器：</w:t>
            </w:r>
          </w:p>
          <w:p w14:paraId="4747C532">
            <w:pPr>
              <w:rPr>
                <w:rFonts w:hint="eastAsia" w:ascii="宋体" w:hAnsi="宋体" w:eastAsia="宋体" w:cs="宋体"/>
                <w:szCs w:val="21"/>
              </w:rPr>
            </w:pPr>
            <w:r>
              <w:rPr>
                <w:rFonts w:hint="eastAsia" w:ascii="宋体" w:hAnsi="宋体" w:eastAsia="宋体" w:cs="宋体"/>
                <w:szCs w:val="21"/>
                <w:lang w:bidi="ar"/>
              </w:rPr>
              <w:t>3.3.1 设置压力范围和进样范围：0-600 bar， 0.1-100μL，增量为0.1μL；</w:t>
            </w:r>
          </w:p>
          <w:p w14:paraId="2764E329">
            <w:pPr>
              <w:rPr>
                <w:rFonts w:hint="eastAsia" w:ascii="宋体" w:hAnsi="宋体" w:eastAsia="宋体" w:cs="宋体"/>
                <w:szCs w:val="21"/>
              </w:rPr>
            </w:pPr>
            <w:r>
              <w:rPr>
                <w:rFonts w:hint="eastAsia" w:ascii="宋体" w:hAnsi="宋体" w:eastAsia="宋体" w:cs="宋体"/>
                <w:szCs w:val="21"/>
                <w:lang w:bidi="ar"/>
              </w:rPr>
              <w:t>3.3.2 样品瓶位数：≥130位2 mL样品瓶；</w:t>
            </w:r>
          </w:p>
          <w:p w14:paraId="646B671F">
            <w:pPr>
              <w:rPr>
                <w:rFonts w:hint="eastAsia" w:ascii="宋体" w:hAnsi="宋体" w:eastAsia="宋体" w:cs="宋体"/>
                <w:szCs w:val="21"/>
              </w:rPr>
            </w:pPr>
            <w:r>
              <w:rPr>
                <w:rFonts w:hint="eastAsia" w:ascii="宋体" w:hAnsi="宋体" w:eastAsia="宋体" w:cs="宋体"/>
                <w:szCs w:val="21"/>
                <w:lang w:bidi="ar"/>
              </w:rPr>
              <w:t>3.3.3 样品残留：＜0.005%；</w:t>
            </w:r>
          </w:p>
          <w:p w14:paraId="075FF831">
            <w:pPr>
              <w:rPr>
                <w:rFonts w:hint="eastAsia" w:ascii="宋体" w:hAnsi="宋体" w:eastAsia="宋体" w:cs="宋体"/>
                <w:szCs w:val="21"/>
              </w:rPr>
            </w:pPr>
            <w:r>
              <w:rPr>
                <w:rFonts w:hint="eastAsia" w:ascii="宋体" w:hAnsi="宋体" w:eastAsia="宋体" w:cs="宋体"/>
                <w:szCs w:val="21"/>
                <w:lang w:bidi="ar"/>
              </w:rPr>
              <w:t>3.4 二极管阵列检测器：</w:t>
            </w:r>
          </w:p>
          <w:p w14:paraId="07C120CF">
            <w:pPr>
              <w:rPr>
                <w:rFonts w:hint="eastAsia" w:ascii="宋体" w:hAnsi="宋体" w:eastAsia="宋体" w:cs="宋体"/>
                <w:szCs w:val="21"/>
              </w:rPr>
            </w:pPr>
            <w:r>
              <w:rPr>
                <w:rFonts w:hint="eastAsia" w:ascii="宋体" w:hAnsi="宋体" w:eastAsia="宋体" w:cs="宋体"/>
                <w:szCs w:val="21"/>
                <w:lang w:bidi="ar"/>
              </w:rPr>
              <w:t>3.4.1 二极管对数：≥1024对；</w:t>
            </w:r>
          </w:p>
          <w:p w14:paraId="171450BC">
            <w:pPr>
              <w:rPr>
                <w:rFonts w:hint="eastAsia" w:ascii="宋体" w:hAnsi="宋体" w:eastAsia="宋体" w:cs="宋体"/>
                <w:szCs w:val="21"/>
              </w:rPr>
            </w:pPr>
            <w:r>
              <w:rPr>
                <w:rFonts w:hint="eastAsia" w:ascii="宋体" w:hAnsi="宋体" w:eastAsia="宋体" w:cs="宋体"/>
                <w:szCs w:val="21"/>
                <w:lang w:bidi="ar"/>
              </w:rPr>
              <w:t>3.4.2 波长范围：≥190~950nm；</w:t>
            </w:r>
          </w:p>
          <w:p w14:paraId="016A043B">
            <w:pPr>
              <w:rPr>
                <w:rFonts w:hint="eastAsia" w:ascii="宋体" w:hAnsi="宋体" w:eastAsia="宋体" w:cs="宋体"/>
                <w:szCs w:val="21"/>
              </w:rPr>
            </w:pPr>
            <w:r>
              <w:rPr>
                <w:rFonts w:hint="eastAsia" w:ascii="宋体" w:hAnsi="宋体" w:eastAsia="宋体" w:cs="宋体"/>
                <w:szCs w:val="21"/>
                <w:lang w:bidi="ar"/>
              </w:rPr>
              <w:t>3.4.3 狭缝宽度可编程：1,2,4,8,16nm；</w:t>
            </w:r>
          </w:p>
          <w:p w14:paraId="5B310D4B">
            <w:pPr>
              <w:rPr>
                <w:rFonts w:hint="eastAsia" w:ascii="宋体" w:hAnsi="宋体" w:eastAsia="宋体" w:cs="宋体"/>
                <w:szCs w:val="21"/>
              </w:rPr>
            </w:pPr>
            <w:r>
              <w:rPr>
                <w:rFonts w:hint="eastAsia" w:ascii="宋体" w:hAnsi="宋体" w:eastAsia="宋体" w:cs="宋体"/>
                <w:szCs w:val="21"/>
                <w:lang w:bidi="ar"/>
              </w:rPr>
              <w:t>★3.4.4 最大采集速率：≥120 Hz</w:t>
            </w:r>
            <w:r>
              <w:rPr>
                <w:rFonts w:hint="eastAsia" w:ascii="宋体" w:hAnsi="宋体" w:eastAsia="宋体" w:cs="宋体"/>
                <w:b/>
                <w:bCs/>
                <w:szCs w:val="21"/>
                <w:lang w:bidi="ar"/>
              </w:rPr>
              <w:t>（提供证明材料）</w:t>
            </w:r>
            <w:r>
              <w:rPr>
                <w:rFonts w:hint="eastAsia" w:ascii="宋体" w:hAnsi="宋体" w:eastAsia="宋体" w:cs="宋体"/>
                <w:szCs w:val="21"/>
                <w:lang w:bidi="ar"/>
              </w:rPr>
              <w:t>；</w:t>
            </w:r>
          </w:p>
          <w:p w14:paraId="03D7E97E">
            <w:pPr>
              <w:rPr>
                <w:rFonts w:hint="eastAsia" w:ascii="宋体" w:hAnsi="宋体" w:eastAsia="宋体" w:cs="宋体"/>
                <w:szCs w:val="21"/>
              </w:rPr>
            </w:pPr>
            <w:r>
              <w:rPr>
                <w:rFonts w:hint="eastAsia" w:ascii="宋体" w:hAnsi="宋体" w:eastAsia="宋体" w:cs="宋体"/>
                <w:b/>
                <w:bCs/>
                <w:szCs w:val="21"/>
                <w:lang w:bidi="ar"/>
              </w:rPr>
              <w:t>4.分析工作站：</w:t>
            </w:r>
            <w:r>
              <w:rPr>
                <w:rFonts w:hint="eastAsia" w:ascii="宋体" w:hAnsi="宋体" w:eastAsia="宋体" w:cs="宋体"/>
                <w:szCs w:val="21"/>
                <w:lang w:bidi="ar"/>
              </w:rPr>
              <w:t>仪器控制原装色谱工作站软件，有独立软件控制，可以独立作为液相系统使用；</w:t>
            </w:r>
          </w:p>
          <w:p w14:paraId="0D252D4A">
            <w:pPr>
              <w:rPr>
                <w:rFonts w:hint="eastAsia" w:ascii="宋体" w:hAnsi="宋体" w:eastAsia="宋体" w:cs="宋体"/>
                <w:szCs w:val="21"/>
              </w:rPr>
            </w:pPr>
            <w:r>
              <w:rPr>
                <w:rFonts w:hint="eastAsia" w:ascii="宋体" w:hAnsi="宋体" w:eastAsia="宋体" w:cs="宋体"/>
                <w:b/>
                <w:bCs/>
                <w:szCs w:val="21"/>
                <w:lang w:bidi="ar"/>
              </w:rPr>
              <w:t>5.仪器软件</w:t>
            </w:r>
            <w:r>
              <w:rPr>
                <w:rFonts w:hint="eastAsia" w:ascii="宋体" w:hAnsi="宋体" w:eastAsia="宋体" w:cs="宋体"/>
                <w:szCs w:val="21"/>
                <w:lang w:bidi="ar"/>
              </w:rPr>
              <w:t>：</w:t>
            </w:r>
          </w:p>
          <w:p w14:paraId="6647314B">
            <w:pPr>
              <w:rPr>
                <w:rFonts w:hint="eastAsia" w:ascii="宋体" w:hAnsi="宋体" w:eastAsia="宋体" w:cs="宋体"/>
                <w:szCs w:val="21"/>
              </w:rPr>
            </w:pPr>
            <w:r>
              <w:rPr>
                <w:rFonts w:hint="eastAsia" w:ascii="宋体" w:hAnsi="宋体" w:eastAsia="宋体" w:cs="宋体"/>
                <w:szCs w:val="21"/>
                <w:lang w:bidi="ar"/>
              </w:rPr>
              <w:t>5.1 工作站和操作系统：原厂配置工作站系统，Windows 10操作系统；</w:t>
            </w:r>
          </w:p>
          <w:p w14:paraId="543AFA0A">
            <w:pPr>
              <w:rPr>
                <w:rFonts w:hint="eastAsia" w:ascii="宋体" w:hAnsi="宋体" w:eastAsia="宋体" w:cs="宋体"/>
                <w:szCs w:val="21"/>
              </w:rPr>
            </w:pPr>
            <w:r>
              <w:rPr>
                <w:rFonts w:hint="eastAsia" w:ascii="宋体" w:hAnsi="宋体" w:eastAsia="宋体" w:cs="宋体"/>
                <w:szCs w:val="21"/>
                <w:lang w:bidi="ar"/>
              </w:rPr>
              <w:t>5.2 仪器质谱软件：中文版软件，具有实时信号监测功能（</w:t>
            </w:r>
            <w:r>
              <w:rPr>
                <w:rFonts w:hint="eastAsia" w:ascii="宋体" w:hAnsi="宋体" w:eastAsia="宋体" w:cs="宋体"/>
                <w:b/>
                <w:bCs/>
                <w:szCs w:val="21"/>
                <w:lang w:bidi="ar"/>
              </w:rPr>
              <w:t>提供证明材料</w:t>
            </w:r>
            <w:r>
              <w:rPr>
                <w:rFonts w:hint="eastAsia" w:ascii="宋体" w:hAnsi="宋体" w:eastAsia="宋体" w:cs="宋体"/>
                <w:szCs w:val="21"/>
                <w:lang w:bidi="ar"/>
              </w:rPr>
              <w:t>）；实时数据显示和实时报告显示；样品分析数据可以使用ICP-MS软件进行离线数据处理，并生成报告；</w:t>
            </w:r>
          </w:p>
          <w:p w14:paraId="75972BC5">
            <w:pPr>
              <w:rPr>
                <w:rFonts w:hint="eastAsia" w:ascii="宋体" w:hAnsi="宋体" w:eastAsia="宋体" w:cs="宋体"/>
                <w:szCs w:val="21"/>
              </w:rPr>
            </w:pPr>
            <w:r>
              <w:rPr>
                <w:rFonts w:hint="eastAsia" w:ascii="宋体" w:hAnsi="宋体" w:eastAsia="宋体" w:cs="宋体"/>
                <w:szCs w:val="21"/>
                <w:lang w:bidi="ar"/>
              </w:rPr>
              <w:t>5.3 同一台电脑同一界面统一的控制、统一的数据处理，液相部分的自动进样器、柱温箱和四元泵的参数内置于ICP-MS软件中，无需HPLC色谱操作软件，只需1套ICP-MS软件即可直接反控液相的操作，完成联机数据采集和分析；</w:t>
            </w:r>
          </w:p>
          <w:p w14:paraId="4377121D">
            <w:pPr>
              <w:rPr>
                <w:rFonts w:hint="eastAsia" w:ascii="宋体" w:hAnsi="宋体" w:eastAsia="宋体" w:cs="宋体"/>
                <w:szCs w:val="21"/>
                <w:lang w:bidi="ar"/>
              </w:rPr>
            </w:pPr>
            <w:r>
              <w:rPr>
                <w:rFonts w:hint="eastAsia" w:ascii="宋体" w:hAnsi="宋体" w:eastAsia="宋体" w:cs="宋体"/>
                <w:szCs w:val="21"/>
                <w:lang w:bidi="ar"/>
              </w:rPr>
              <w:t>5.4 As元素形态分析能力：可实现5分钟内对亚砷酸根（As3+），砷胆碱，一甲基砷酸，二甲基砷酸，砷酸根（As5+），共5种As形态进行快速分离</w:t>
            </w:r>
            <w:r>
              <w:rPr>
                <w:rFonts w:hint="eastAsia" w:ascii="宋体" w:hAnsi="宋体" w:eastAsia="宋体" w:cs="宋体"/>
                <w:b/>
                <w:bCs/>
                <w:szCs w:val="21"/>
                <w:lang w:bidi="ar"/>
              </w:rPr>
              <w:t>（提供证明材料）</w:t>
            </w:r>
            <w:r>
              <w:rPr>
                <w:rFonts w:hint="eastAsia" w:ascii="宋体" w:hAnsi="宋体" w:eastAsia="宋体" w:cs="宋体"/>
                <w:szCs w:val="21"/>
                <w:lang w:bidi="ar"/>
              </w:rPr>
              <w:t>；</w:t>
            </w:r>
          </w:p>
          <w:p w14:paraId="49FEAB97">
            <w:pPr>
              <w:rPr>
                <w:rFonts w:hint="eastAsia" w:ascii="宋体" w:hAnsi="宋体" w:eastAsia="宋体" w:cs="宋体"/>
                <w:szCs w:val="21"/>
              </w:rPr>
            </w:pPr>
            <w:r>
              <w:rPr>
                <w:rFonts w:hint="eastAsia" w:ascii="宋体" w:hAnsi="宋体" w:eastAsia="宋体" w:cs="宋体"/>
                <w:szCs w:val="21"/>
                <w:lang w:bidi="ar"/>
              </w:rPr>
              <w:t>5.5 Hg元素形态分析能力：可实现3分钟内对二价汞，甲基汞，乙基汞，苯基汞，共4种Hg形态进行快速分离；</w:t>
            </w:r>
          </w:p>
          <w:p w14:paraId="4A099D84">
            <w:pPr>
              <w:rPr>
                <w:rFonts w:hint="eastAsia" w:ascii="宋体" w:hAnsi="宋体" w:eastAsia="宋体" w:cs="宋体"/>
                <w:szCs w:val="21"/>
              </w:rPr>
            </w:pPr>
            <w:r>
              <w:rPr>
                <w:rFonts w:hint="eastAsia" w:ascii="宋体" w:hAnsi="宋体" w:eastAsia="宋体" w:cs="宋体"/>
                <w:szCs w:val="21"/>
                <w:lang w:bidi="ar"/>
              </w:rPr>
              <w:t>6.性能指标：</w:t>
            </w:r>
          </w:p>
          <w:p w14:paraId="6DECACBD">
            <w:pPr>
              <w:rPr>
                <w:rFonts w:hint="eastAsia" w:ascii="宋体" w:hAnsi="宋体" w:eastAsia="宋体" w:cs="宋体"/>
                <w:szCs w:val="21"/>
              </w:rPr>
            </w:pPr>
            <w:r>
              <w:rPr>
                <w:rFonts w:hint="eastAsia" w:ascii="宋体" w:hAnsi="宋体" w:eastAsia="宋体" w:cs="宋体"/>
                <w:szCs w:val="21"/>
                <w:lang w:bidi="ar"/>
              </w:rPr>
              <w:t>6.1 丰度灵敏度：低质量段≤5×10</w:t>
            </w:r>
            <w:r>
              <w:rPr>
                <w:rFonts w:hint="eastAsia" w:ascii="宋体" w:hAnsi="宋体" w:eastAsia="宋体" w:cs="宋体"/>
                <w:szCs w:val="21"/>
                <w:vertAlign w:val="superscript"/>
                <w:lang w:bidi="ar"/>
              </w:rPr>
              <w:t>-7</w:t>
            </w:r>
            <w:r>
              <w:rPr>
                <w:rFonts w:hint="eastAsia" w:ascii="宋体" w:hAnsi="宋体" w:eastAsia="宋体" w:cs="宋体"/>
                <w:szCs w:val="21"/>
                <w:lang w:bidi="ar"/>
              </w:rPr>
              <w:t>；高质量段≤1×10</w:t>
            </w:r>
            <w:r>
              <w:rPr>
                <w:rFonts w:hint="eastAsia" w:ascii="宋体" w:hAnsi="宋体" w:eastAsia="宋体" w:cs="宋体"/>
                <w:szCs w:val="21"/>
                <w:vertAlign w:val="superscript"/>
                <w:lang w:bidi="ar"/>
              </w:rPr>
              <w:t>-7</w:t>
            </w:r>
            <w:r>
              <w:rPr>
                <w:rFonts w:hint="eastAsia" w:ascii="宋体" w:hAnsi="宋体" w:eastAsia="宋体" w:cs="宋体"/>
                <w:szCs w:val="21"/>
                <w:lang w:bidi="ar"/>
              </w:rPr>
              <w:t>；</w:t>
            </w:r>
          </w:p>
          <w:p w14:paraId="2BABBC0F">
            <w:pPr>
              <w:rPr>
                <w:rFonts w:hint="eastAsia" w:ascii="宋体" w:hAnsi="宋体" w:eastAsia="宋体" w:cs="宋体"/>
                <w:szCs w:val="21"/>
              </w:rPr>
            </w:pPr>
            <w:r>
              <w:rPr>
                <w:rFonts w:hint="eastAsia" w:ascii="宋体" w:hAnsi="宋体" w:eastAsia="宋体" w:cs="宋体"/>
                <w:szCs w:val="21"/>
                <w:lang w:bidi="ar"/>
              </w:rPr>
              <w:t>6.2 仪器灵敏度（Mcps/ppm）：在氧化物产率(CeO+/Ce+)≤1.8%的前提下，低质量数：Li(7)≥50；中质量数：In(115)≥300；高质量数：Tl(205)≥200；</w:t>
            </w:r>
          </w:p>
          <w:p w14:paraId="765A466A">
            <w:pPr>
              <w:rPr>
                <w:rFonts w:hint="eastAsia" w:ascii="宋体" w:hAnsi="宋体" w:eastAsia="宋体" w:cs="宋体"/>
                <w:szCs w:val="21"/>
              </w:rPr>
            </w:pPr>
            <w:r>
              <w:rPr>
                <w:rFonts w:hint="eastAsia" w:ascii="宋体" w:hAnsi="宋体" w:eastAsia="宋体" w:cs="宋体"/>
                <w:szCs w:val="21"/>
                <w:lang w:bidi="ar"/>
              </w:rPr>
              <w:t>6.3 仪器检测限：低质量数：9Be≤0.5ppt；中质量数：115In≤0.1ppt；高质量数：209Bi≤0.1ppt；</w:t>
            </w:r>
          </w:p>
          <w:p w14:paraId="004C4ED7">
            <w:pPr>
              <w:rPr>
                <w:rFonts w:hint="eastAsia" w:ascii="宋体" w:hAnsi="宋体" w:eastAsia="宋体" w:cs="宋体"/>
                <w:szCs w:val="21"/>
              </w:rPr>
            </w:pPr>
            <w:r>
              <w:rPr>
                <w:rFonts w:hint="eastAsia" w:ascii="宋体" w:hAnsi="宋体" w:eastAsia="宋体" w:cs="宋体"/>
                <w:szCs w:val="21"/>
                <w:lang w:bidi="ar"/>
              </w:rPr>
              <w:t>6.4 仪器背景：≤1cps；</w:t>
            </w:r>
          </w:p>
          <w:p w14:paraId="0A794B2D">
            <w:pPr>
              <w:rPr>
                <w:rFonts w:hint="eastAsia" w:ascii="宋体" w:hAnsi="宋体" w:eastAsia="宋体" w:cs="宋体"/>
                <w:szCs w:val="21"/>
              </w:rPr>
            </w:pPr>
            <w:r>
              <w:rPr>
                <w:rFonts w:hint="eastAsia" w:ascii="宋体" w:hAnsi="宋体" w:eastAsia="宋体" w:cs="宋体"/>
                <w:szCs w:val="21"/>
                <w:lang w:bidi="ar"/>
              </w:rPr>
              <w:t>6.5 氧化物产率和双电荷产率：（CeO/Ce）≤1.5%；（Ce2+/Ce+）≤3%；</w:t>
            </w:r>
          </w:p>
          <w:p w14:paraId="6A45B23F">
            <w:pPr>
              <w:rPr>
                <w:rFonts w:hint="eastAsia" w:ascii="宋体" w:hAnsi="宋体" w:eastAsia="宋体" w:cs="宋体"/>
                <w:szCs w:val="21"/>
                <w:lang w:bidi="ar"/>
              </w:rPr>
            </w:pPr>
            <w:r>
              <w:rPr>
                <w:rFonts w:hint="eastAsia" w:ascii="宋体" w:hAnsi="宋体" w:eastAsia="宋体" w:cs="宋体"/>
                <w:szCs w:val="21"/>
                <w:lang w:bidi="ar"/>
              </w:rPr>
              <w:t>6.6 仪器短期稳定性（RSD）≤2%（20min），长期稳定性（RSD）≤3%（2h）（须在1ppb标准溶液中测定）。</w:t>
            </w:r>
          </w:p>
          <w:p w14:paraId="0ED40C3F">
            <w:pPr>
              <w:rPr>
                <w:rFonts w:hint="eastAsia" w:ascii="宋体" w:hAnsi="宋体" w:eastAsia="宋体" w:cs="宋体"/>
                <w:szCs w:val="21"/>
                <w:lang w:bidi="ar"/>
              </w:rPr>
            </w:pPr>
            <w:r>
              <w:rPr>
                <w:rFonts w:hint="eastAsia" w:ascii="宋体" w:hAnsi="宋体" w:eastAsia="宋体" w:cs="宋体"/>
                <w:szCs w:val="21"/>
                <w:lang w:bidi="ar"/>
              </w:rPr>
              <w:t>7.配置要求：</w:t>
            </w:r>
          </w:p>
          <w:p w14:paraId="77E6909E">
            <w:pPr>
              <w:rPr>
                <w:rFonts w:hint="eastAsia" w:ascii="宋体" w:hAnsi="宋体" w:eastAsia="宋体" w:cs="宋体"/>
                <w:szCs w:val="21"/>
              </w:rPr>
            </w:pPr>
            <w:r>
              <w:rPr>
                <w:rFonts w:hint="eastAsia" w:ascii="宋体" w:hAnsi="宋体" w:eastAsia="宋体" w:cs="宋体"/>
                <w:szCs w:val="21"/>
              </w:rPr>
              <w:t>7.1 ICP-MS主机1套；</w:t>
            </w:r>
          </w:p>
          <w:p w14:paraId="63470564">
            <w:pPr>
              <w:rPr>
                <w:rFonts w:hint="eastAsia" w:ascii="宋体" w:hAnsi="宋体" w:eastAsia="宋体" w:cs="宋体"/>
                <w:szCs w:val="21"/>
              </w:rPr>
            </w:pPr>
            <w:r>
              <w:rPr>
                <w:rFonts w:hint="eastAsia" w:ascii="宋体" w:hAnsi="宋体" w:eastAsia="宋体" w:cs="宋体"/>
                <w:szCs w:val="21"/>
              </w:rPr>
              <w:t>7.2 高盐进样系统或样品自动稀释系统1套；</w:t>
            </w:r>
          </w:p>
          <w:p w14:paraId="36A6C13E">
            <w:pPr>
              <w:rPr>
                <w:rFonts w:hint="eastAsia" w:ascii="宋体" w:hAnsi="宋体" w:eastAsia="宋体" w:cs="宋体"/>
                <w:szCs w:val="21"/>
              </w:rPr>
            </w:pPr>
            <w:r>
              <w:rPr>
                <w:rFonts w:hint="eastAsia" w:ascii="宋体" w:hAnsi="宋体" w:eastAsia="宋体" w:cs="宋体"/>
                <w:szCs w:val="21"/>
              </w:rPr>
              <w:t>7.3 半导体控温系统1套；</w:t>
            </w:r>
          </w:p>
          <w:p w14:paraId="3650414A">
            <w:pPr>
              <w:rPr>
                <w:rFonts w:hint="eastAsia" w:ascii="宋体" w:hAnsi="宋体" w:eastAsia="宋体" w:cs="宋体"/>
                <w:szCs w:val="21"/>
              </w:rPr>
            </w:pPr>
            <w:r>
              <w:rPr>
                <w:rFonts w:hint="eastAsia" w:ascii="宋体" w:hAnsi="宋体" w:eastAsia="宋体" w:cs="宋体"/>
                <w:szCs w:val="21"/>
              </w:rPr>
              <w:t>7.4 数据处理系统1套；</w:t>
            </w:r>
          </w:p>
          <w:p w14:paraId="3FE57E96">
            <w:pPr>
              <w:rPr>
                <w:rFonts w:hint="eastAsia" w:ascii="宋体" w:hAnsi="宋体" w:eastAsia="宋体" w:cs="宋体"/>
                <w:szCs w:val="21"/>
              </w:rPr>
            </w:pPr>
            <w:r>
              <w:rPr>
                <w:rFonts w:hint="eastAsia" w:ascii="宋体" w:hAnsi="宋体" w:eastAsia="宋体" w:cs="宋体"/>
                <w:szCs w:val="21"/>
              </w:rPr>
              <w:t>7.5 ICP-MS调谐母液、内标溶液各2套；</w:t>
            </w:r>
          </w:p>
          <w:p w14:paraId="62361E00">
            <w:pPr>
              <w:rPr>
                <w:rFonts w:hint="eastAsia" w:ascii="宋体" w:hAnsi="宋体" w:eastAsia="宋体" w:cs="宋体"/>
                <w:szCs w:val="21"/>
              </w:rPr>
            </w:pPr>
            <w:r>
              <w:rPr>
                <w:rFonts w:hint="eastAsia" w:ascii="宋体" w:hAnsi="宋体" w:eastAsia="宋体" w:cs="宋体"/>
                <w:szCs w:val="21"/>
              </w:rPr>
              <w:t>7.6 自动进样器1套；</w:t>
            </w:r>
          </w:p>
          <w:p w14:paraId="5129DA37">
            <w:pPr>
              <w:rPr>
                <w:rFonts w:hint="eastAsia" w:ascii="宋体" w:hAnsi="宋体" w:eastAsia="宋体" w:cs="宋体"/>
                <w:szCs w:val="21"/>
              </w:rPr>
            </w:pPr>
            <w:r>
              <w:rPr>
                <w:rFonts w:hint="eastAsia" w:ascii="宋体" w:hAnsi="宋体" w:eastAsia="宋体" w:cs="宋体"/>
                <w:szCs w:val="21"/>
              </w:rPr>
              <w:t>7.7 自动进样器防尘罩1套；</w:t>
            </w:r>
          </w:p>
          <w:p w14:paraId="4DA53F41">
            <w:pPr>
              <w:rPr>
                <w:rFonts w:hint="eastAsia" w:ascii="宋体" w:hAnsi="宋体" w:eastAsia="宋体" w:cs="宋体"/>
                <w:szCs w:val="21"/>
              </w:rPr>
            </w:pPr>
            <w:r>
              <w:rPr>
                <w:rFonts w:hint="eastAsia" w:ascii="宋体" w:hAnsi="宋体" w:eastAsia="宋体" w:cs="宋体"/>
                <w:szCs w:val="21"/>
              </w:rPr>
              <w:t>7.8 快速进样系统1套；</w:t>
            </w:r>
          </w:p>
          <w:p w14:paraId="57788132">
            <w:pPr>
              <w:rPr>
                <w:rFonts w:hint="eastAsia" w:ascii="宋体" w:hAnsi="宋体" w:eastAsia="宋体" w:cs="宋体"/>
                <w:szCs w:val="21"/>
              </w:rPr>
            </w:pPr>
            <w:r>
              <w:rPr>
                <w:rFonts w:hint="eastAsia" w:ascii="宋体" w:hAnsi="宋体" w:eastAsia="宋体" w:cs="宋体"/>
                <w:szCs w:val="21"/>
              </w:rPr>
              <w:t>7.9 自动稀释系统1套；</w:t>
            </w:r>
          </w:p>
          <w:p w14:paraId="45013A2C">
            <w:pPr>
              <w:rPr>
                <w:rFonts w:hint="eastAsia" w:ascii="宋体" w:hAnsi="宋体" w:eastAsia="宋体" w:cs="宋体"/>
                <w:szCs w:val="21"/>
              </w:rPr>
            </w:pPr>
            <w:r>
              <w:rPr>
                <w:rFonts w:hint="eastAsia" w:ascii="宋体" w:hAnsi="宋体" w:eastAsia="宋体" w:cs="宋体"/>
                <w:szCs w:val="21"/>
              </w:rPr>
              <w:t>7.10 冷却循环水机（非风冷）1套；</w:t>
            </w:r>
          </w:p>
          <w:p w14:paraId="5B21901C">
            <w:pPr>
              <w:rPr>
                <w:rFonts w:hint="eastAsia" w:ascii="宋体" w:hAnsi="宋体" w:eastAsia="宋体" w:cs="宋体"/>
                <w:szCs w:val="21"/>
              </w:rPr>
            </w:pPr>
            <w:r>
              <w:rPr>
                <w:rFonts w:hint="eastAsia" w:ascii="宋体" w:hAnsi="宋体" w:eastAsia="宋体" w:cs="宋体"/>
                <w:szCs w:val="21"/>
              </w:rPr>
              <w:t>7.11 延时1小时，10KVA不间断电源1套；</w:t>
            </w:r>
          </w:p>
          <w:p w14:paraId="31A2721E">
            <w:pPr>
              <w:rPr>
                <w:rFonts w:hint="eastAsia" w:ascii="宋体" w:hAnsi="宋体" w:eastAsia="宋体" w:cs="宋体"/>
                <w:szCs w:val="21"/>
              </w:rPr>
            </w:pPr>
            <w:r>
              <w:rPr>
                <w:rFonts w:hint="eastAsia" w:ascii="宋体" w:hAnsi="宋体" w:eastAsia="宋体" w:cs="宋体"/>
                <w:szCs w:val="21"/>
              </w:rPr>
              <w:t>7.12 液相色谱仪及配套软件1套；</w:t>
            </w:r>
          </w:p>
          <w:p w14:paraId="4000AA9C">
            <w:pPr>
              <w:rPr>
                <w:rFonts w:hint="eastAsia" w:ascii="宋体" w:hAnsi="宋体" w:eastAsia="宋体" w:cs="宋体"/>
                <w:szCs w:val="21"/>
              </w:rPr>
            </w:pPr>
            <w:r>
              <w:rPr>
                <w:rFonts w:hint="eastAsia" w:ascii="宋体" w:hAnsi="宋体" w:eastAsia="宋体" w:cs="宋体"/>
                <w:szCs w:val="21"/>
              </w:rPr>
              <w:t>7.13 液相色谱仪控制软件1套；</w:t>
            </w:r>
          </w:p>
          <w:p w14:paraId="749E07F9">
            <w:pPr>
              <w:rPr>
                <w:rFonts w:hint="eastAsia" w:ascii="宋体" w:hAnsi="宋体" w:eastAsia="宋体" w:cs="宋体"/>
                <w:szCs w:val="21"/>
              </w:rPr>
            </w:pPr>
            <w:r>
              <w:rPr>
                <w:rFonts w:hint="eastAsia" w:ascii="宋体" w:hAnsi="宋体" w:eastAsia="宋体" w:cs="宋体"/>
                <w:szCs w:val="21"/>
              </w:rPr>
              <w:t>7.14 ICP-MS控制软件1套；</w:t>
            </w:r>
          </w:p>
          <w:p w14:paraId="6DA4CB79">
            <w:pPr>
              <w:rPr>
                <w:rFonts w:hint="eastAsia" w:ascii="宋体" w:hAnsi="宋体" w:eastAsia="宋体" w:cs="宋体"/>
                <w:szCs w:val="21"/>
              </w:rPr>
            </w:pPr>
            <w:r>
              <w:rPr>
                <w:rFonts w:hint="eastAsia" w:ascii="宋体" w:hAnsi="宋体" w:eastAsia="宋体" w:cs="宋体"/>
                <w:szCs w:val="21"/>
              </w:rPr>
              <w:t>7.15 色谱联机及数据处理软件1套；</w:t>
            </w:r>
          </w:p>
          <w:p w14:paraId="661ED013">
            <w:pPr>
              <w:rPr>
                <w:rFonts w:hint="eastAsia" w:ascii="宋体" w:hAnsi="宋体" w:eastAsia="宋体" w:cs="宋体"/>
                <w:szCs w:val="21"/>
              </w:rPr>
            </w:pPr>
            <w:r>
              <w:rPr>
                <w:rFonts w:hint="eastAsia" w:ascii="宋体" w:hAnsi="宋体" w:eastAsia="宋体" w:cs="宋体"/>
                <w:szCs w:val="21"/>
              </w:rPr>
              <w:t>7.16 镍采样锥2套；</w:t>
            </w:r>
          </w:p>
          <w:p w14:paraId="47215121">
            <w:pPr>
              <w:rPr>
                <w:rFonts w:hint="eastAsia" w:ascii="宋体" w:hAnsi="宋体" w:eastAsia="宋体" w:cs="宋体"/>
                <w:szCs w:val="21"/>
              </w:rPr>
            </w:pPr>
            <w:r>
              <w:rPr>
                <w:rFonts w:hint="eastAsia" w:ascii="宋体" w:hAnsi="宋体" w:eastAsia="宋体" w:cs="宋体"/>
                <w:szCs w:val="21"/>
              </w:rPr>
              <w:t>7.17 镍截取锥2套；</w:t>
            </w:r>
          </w:p>
          <w:p w14:paraId="64322BDD">
            <w:pPr>
              <w:rPr>
                <w:rFonts w:hint="eastAsia" w:ascii="宋体" w:hAnsi="宋体" w:eastAsia="宋体" w:cs="宋体"/>
                <w:szCs w:val="21"/>
              </w:rPr>
            </w:pPr>
            <w:r>
              <w:rPr>
                <w:rFonts w:hint="eastAsia" w:ascii="宋体" w:hAnsi="宋体" w:eastAsia="宋体" w:cs="宋体"/>
                <w:szCs w:val="21"/>
              </w:rPr>
              <w:t>7.18 石英炬管3套；</w:t>
            </w:r>
          </w:p>
          <w:p w14:paraId="73C9A50F">
            <w:pPr>
              <w:rPr>
                <w:rFonts w:hint="eastAsia" w:ascii="宋体" w:hAnsi="宋体" w:eastAsia="宋体" w:cs="宋体"/>
                <w:szCs w:val="21"/>
              </w:rPr>
            </w:pPr>
            <w:r>
              <w:rPr>
                <w:rFonts w:hint="eastAsia" w:ascii="宋体" w:hAnsi="宋体" w:eastAsia="宋体" w:cs="宋体"/>
                <w:szCs w:val="21"/>
              </w:rPr>
              <w:t>7.19 蠕动泵进样管60根；</w:t>
            </w:r>
          </w:p>
          <w:p w14:paraId="19CE203F">
            <w:pPr>
              <w:rPr>
                <w:rFonts w:hint="eastAsia" w:ascii="宋体" w:hAnsi="宋体" w:eastAsia="宋体" w:cs="宋体"/>
                <w:szCs w:val="21"/>
              </w:rPr>
            </w:pPr>
            <w:r>
              <w:rPr>
                <w:rFonts w:hint="eastAsia" w:ascii="宋体" w:hAnsi="宋体" w:eastAsia="宋体" w:cs="宋体"/>
                <w:szCs w:val="21"/>
              </w:rPr>
              <w:t>7.20 蠕动泵废液管60根；</w:t>
            </w:r>
          </w:p>
          <w:p w14:paraId="13B7C4AA">
            <w:pPr>
              <w:rPr>
                <w:rFonts w:hint="eastAsia" w:ascii="宋体" w:hAnsi="宋体" w:eastAsia="宋体" w:cs="宋体"/>
                <w:szCs w:val="21"/>
              </w:rPr>
            </w:pPr>
            <w:r>
              <w:rPr>
                <w:rFonts w:hint="eastAsia" w:ascii="宋体" w:hAnsi="宋体" w:eastAsia="宋体" w:cs="宋体"/>
                <w:szCs w:val="21"/>
              </w:rPr>
              <w:t>7.21 蠕动泵内标管60根；</w:t>
            </w:r>
          </w:p>
          <w:p w14:paraId="0C0074F1">
            <w:pPr>
              <w:rPr>
                <w:rFonts w:hint="eastAsia" w:ascii="宋体" w:hAnsi="宋体" w:eastAsia="宋体" w:cs="宋体"/>
                <w:szCs w:val="21"/>
              </w:rPr>
            </w:pPr>
            <w:r>
              <w:rPr>
                <w:rFonts w:hint="eastAsia" w:ascii="宋体" w:hAnsi="宋体" w:eastAsia="宋体" w:cs="宋体"/>
                <w:szCs w:val="21"/>
              </w:rPr>
              <w:t>7.22 采样锥O圈9个；</w:t>
            </w:r>
          </w:p>
          <w:p w14:paraId="08930A76">
            <w:pPr>
              <w:rPr>
                <w:rFonts w:hint="eastAsia" w:ascii="宋体" w:hAnsi="宋体" w:eastAsia="宋体" w:cs="宋体"/>
                <w:szCs w:val="21"/>
              </w:rPr>
            </w:pPr>
            <w:r>
              <w:rPr>
                <w:rFonts w:hint="eastAsia" w:ascii="宋体" w:hAnsi="宋体" w:eastAsia="宋体" w:cs="宋体"/>
                <w:szCs w:val="21"/>
              </w:rPr>
              <w:t>7.23 PFA进样管15米；</w:t>
            </w:r>
          </w:p>
          <w:p w14:paraId="0C04FA3B">
            <w:pPr>
              <w:rPr>
                <w:rFonts w:hint="eastAsia" w:ascii="宋体" w:hAnsi="宋体" w:eastAsia="宋体" w:cs="宋体"/>
                <w:szCs w:val="21"/>
              </w:rPr>
            </w:pPr>
            <w:r>
              <w:rPr>
                <w:rFonts w:hint="eastAsia" w:ascii="宋体" w:hAnsi="宋体" w:eastAsia="宋体" w:cs="宋体"/>
                <w:szCs w:val="21"/>
              </w:rPr>
              <w:t>7.24 超纯机械泵油8升；</w:t>
            </w:r>
          </w:p>
          <w:p w14:paraId="3600671A">
            <w:pPr>
              <w:rPr>
                <w:rFonts w:hint="eastAsia" w:ascii="宋体" w:hAnsi="宋体" w:eastAsia="宋体" w:cs="宋体"/>
                <w:szCs w:val="21"/>
              </w:rPr>
            </w:pPr>
            <w:r>
              <w:rPr>
                <w:rFonts w:hint="eastAsia" w:ascii="宋体" w:hAnsi="宋体" w:eastAsia="宋体" w:cs="宋体"/>
                <w:szCs w:val="21"/>
              </w:rPr>
              <w:t>7.25 雾化器1套；</w:t>
            </w:r>
          </w:p>
          <w:p w14:paraId="488016BA">
            <w:pPr>
              <w:rPr>
                <w:rFonts w:hint="eastAsia" w:ascii="宋体" w:hAnsi="宋体" w:eastAsia="宋体" w:cs="宋体"/>
                <w:szCs w:val="21"/>
              </w:rPr>
            </w:pPr>
            <w:r>
              <w:rPr>
                <w:rFonts w:hint="eastAsia" w:ascii="宋体" w:hAnsi="宋体" w:eastAsia="宋体" w:cs="宋体"/>
                <w:szCs w:val="21"/>
              </w:rPr>
              <w:t>7.26 C18色谱柱2根；</w:t>
            </w:r>
          </w:p>
          <w:p w14:paraId="74F4C5F1">
            <w:pPr>
              <w:rPr>
                <w:rFonts w:hint="eastAsia" w:ascii="宋体" w:hAnsi="宋体" w:eastAsia="宋体" w:cs="宋体"/>
                <w:szCs w:val="21"/>
              </w:rPr>
            </w:pPr>
            <w:r>
              <w:rPr>
                <w:rFonts w:hint="eastAsia" w:ascii="宋体" w:hAnsi="宋体" w:eastAsia="宋体" w:cs="宋体"/>
                <w:szCs w:val="21"/>
              </w:rPr>
              <w:t>7.27 形态分析柱1根。</w:t>
            </w:r>
          </w:p>
        </w:tc>
      </w:tr>
    </w:tbl>
    <w:p w14:paraId="4B14521B">
      <w:pPr>
        <w:adjustRightInd w:val="0"/>
        <w:snapToGrid w:val="0"/>
        <w:spacing w:line="288" w:lineRule="auto"/>
        <w:rPr>
          <w:rFonts w:hint="eastAsia" w:ascii="宋体" w:hAnsi="宋体" w:eastAsia="宋体" w:cs="Times New Roman"/>
          <w:b/>
          <w:bCs/>
          <w:spacing w:val="-4"/>
          <w:szCs w:val="21"/>
        </w:rPr>
      </w:pPr>
    </w:p>
    <w:p w14:paraId="659EA010">
      <w:pPr>
        <w:adjustRightInd w:val="0"/>
        <w:snapToGrid w:val="0"/>
        <w:spacing w:line="288" w:lineRule="auto"/>
        <w:rPr>
          <w:rFonts w:hint="eastAsia" w:ascii="宋体" w:hAnsi="宋体" w:eastAsia="宋体" w:cs="Times New Roman"/>
          <w:b/>
          <w:bCs/>
          <w:spacing w:val="-4"/>
          <w:szCs w:val="21"/>
        </w:rPr>
      </w:pPr>
      <w:r>
        <w:rPr>
          <w:rFonts w:hint="eastAsia" w:ascii="宋体" w:hAnsi="宋体" w:eastAsia="宋体" w:cs="Times New Roman"/>
          <w:b/>
          <w:bCs/>
          <w:spacing w:val="-4"/>
          <w:szCs w:val="21"/>
        </w:rPr>
        <w:t>标项二：</w:t>
      </w:r>
    </w:p>
    <w:tbl>
      <w:tblPr>
        <w:tblStyle w:val="24"/>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810"/>
        <w:gridCol w:w="661"/>
        <w:gridCol w:w="661"/>
        <w:gridCol w:w="6269"/>
      </w:tblGrid>
      <w:tr w14:paraId="0F6AE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116F5FE1">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序号</w:t>
            </w:r>
          </w:p>
        </w:tc>
        <w:tc>
          <w:tcPr>
            <w:tcW w:w="1810" w:type="dxa"/>
            <w:vAlign w:val="center"/>
          </w:tcPr>
          <w:p w14:paraId="78BDFAF3">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名称</w:t>
            </w:r>
          </w:p>
        </w:tc>
        <w:tc>
          <w:tcPr>
            <w:tcW w:w="661" w:type="dxa"/>
            <w:vAlign w:val="center"/>
          </w:tcPr>
          <w:p w14:paraId="2B512FAB">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数量</w:t>
            </w:r>
          </w:p>
        </w:tc>
        <w:tc>
          <w:tcPr>
            <w:tcW w:w="661" w:type="dxa"/>
            <w:vAlign w:val="center"/>
          </w:tcPr>
          <w:p w14:paraId="649E8278">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单位</w:t>
            </w:r>
          </w:p>
        </w:tc>
        <w:tc>
          <w:tcPr>
            <w:tcW w:w="6269" w:type="dxa"/>
            <w:vAlign w:val="center"/>
          </w:tcPr>
          <w:p w14:paraId="30001D25">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（功能或者目标）、质量、安全、技术规格、物理特性等要求</w:t>
            </w:r>
          </w:p>
        </w:tc>
      </w:tr>
      <w:tr w14:paraId="12EC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18AFAAE2">
            <w:pPr>
              <w:adjustRightInd w:val="0"/>
              <w:snapToGrid w:val="0"/>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1</w:t>
            </w:r>
          </w:p>
        </w:tc>
        <w:tc>
          <w:tcPr>
            <w:tcW w:w="1810" w:type="dxa"/>
            <w:vAlign w:val="center"/>
          </w:tcPr>
          <w:p w14:paraId="4BE8731C">
            <w:pPr>
              <w:jc w:val="center"/>
              <w:rPr>
                <w:rFonts w:hint="eastAsia" w:ascii="宋体" w:hAnsi="宋体" w:eastAsia="宋体" w:cs="宋体"/>
                <w:b/>
                <w:bCs/>
                <w:szCs w:val="21"/>
              </w:rPr>
            </w:pPr>
            <w:r>
              <w:rPr>
                <w:rFonts w:hint="eastAsia" w:ascii="宋体" w:hAnsi="宋体" w:eastAsia="宋体" w:cs="宋体"/>
                <w:b/>
                <w:bCs/>
                <w:color w:val="000000"/>
                <w:kern w:val="0"/>
                <w:szCs w:val="21"/>
                <w:lang w:bidi="ar"/>
              </w:rPr>
              <w:t>蜂巢矩阵叶绿素荧光成像系统</w:t>
            </w:r>
          </w:p>
        </w:tc>
        <w:tc>
          <w:tcPr>
            <w:tcW w:w="661" w:type="dxa"/>
            <w:vAlign w:val="center"/>
          </w:tcPr>
          <w:p w14:paraId="2F94E6CB">
            <w:pPr>
              <w:jc w:val="center"/>
              <w:rPr>
                <w:rFonts w:hint="eastAsia" w:ascii="宋体" w:hAnsi="宋体" w:eastAsia="宋体" w:cs="宋体"/>
                <w:b/>
                <w:bCs/>
                <w:szCs w:val="21"/>
              </w:rPr>
            </w:pPr>
            <w:r>
              <w:rPr>
                <w:rFonts w:hint="eastAsia" w:ascii="宋体" w:hAnsi="宋体" w:eastAsia="宋体" w:cs="宋体"/>
                <w:b/>
                <w:bCs/>
                <w:spacing w:val="-6"/>
                <w:szCs w:val="21"/>
                <w:lang w:bidi="ar"/>
              </w:rPr>
              <w:t>1</w:t>
            </w:r>
          </w:p>
        </w:tc>
        <w:tc>
          <w:tcPr>
            <w:tcW w:w="661" w:type="dxa"/>
            <w:vAlign w:val="center"/>
          </w:tcPr>
          <w:p w14:paraId="7E66C99E">
            <w:pPr>
              <w:jc w:val="center"/>
              <w:rPr>
                <w:rFonts w:hint="eastAsia" w:ascii="宋体" w:hAnsi="宋体" w:eastAsia="宋体" w:cs="宋体"/>
                <w:b/>
                <w:bCs/>
                <w:szCs w:val="21"/>
              </w:rPr>
            </w:pPr>
            <w:r>
              <w:rPr>
                <w:rFonts w:hint="eastAsia" w:ascii="宋体" w:hAnsi="宋体" w:eastAsia="宋体" w:cs="宋体"/>
                <w:b/>
                <w:bCs/>
                <w:spacing w:val="-6"/>
                <w:szCs w:val="21"/>
                <w:lang w:bidi="ar"/>
              </w:rPr>
              <w:t>套</w:t>
            </w:r>
          </w:p>
        </w:tc>
        <w:tc>
          <w:tcPr>
            <w:tcW w:w="6269" w:type="dxa"/>
            <w:vAlign w:val="center"/>
          </w:tcPr>
          <w:p w14:paraId="4851A45D">
            <w:pPr>
              <w:widowControl/>
              <w:adjustRightInd w:val="0"/>
              <w:snapToGrid w:val="0"/>
              <w:jc w:val="left"/>
              <w:rPr>
                <w:rFonts w:hint="eastAsia" w:ascii="宋体" w:hAnsi="宋体" w:eastAsia="宋体" w:cs="宋体"/>
                <w:b/>
                <w:bCs/>
                <w:kern w:val="0"/>
                <w:szCs w:val="21"/>
              </w:rPr>
            </w:pPr>
            <w:r>
              <w:rPr>
                <w:rFonts w:hint="eastAsia" w:ascii="宋体" w:hAnsi="宋体" w:eastAsia="宋体" w:cs="宋体"/>
                <w:b/>
                <w:bCs/>
                <w:kern w:val="0"/>
                <w:szCs w:val="21"/>
                <w:lang w:bidi="ar"/>
              </w:rPr>
              <w:t>一、技术指标：</w:t>
            </w:r>
          </w:p>
          <w:p w14:paraId="7F1B6843">
            <w:pPr>
              <w:widowControl/>
              <w:adjustRightInd w:val="0"/>
              <w:snapToGrid w:val="0"/>
              <w:jc w:val="left"/>
              <w:rPr>
                <w:rFonts w:hint="eastAsia" w:ascii="宋体" w:hAnsi="宋体" w:eastAsia="宋体" w:cs="宋体"/>
                <w:kern w:val="0"/>
                <w:szCs w:val="21"/>
              </w:rPr>
            </w:pPr>
            <w:r>
              <w:rPr>
                <w:rFonts w:hint="eastAsia" w:ascii="宋体" w:hAnsi="宋体" w:eastAsia="宋体" w:cs="宋体"/>
                <w:kern w:val="0"/>
                <w:szCs w:val="21"/>
                <w:lang w:bidi="ar"/>
              </w:rPr>
              <w:t>1.带成像光源和探头的套机，光源阵列48V电源套件；</w:t>
            </w:r>
          </w:p>
          <w:p w14:paraId="597BC26E">
            <w:pPr>
              <w:widowControl/>
              <w:adjustRightInd w:val="0"/>
              <w:snapToGrid w:val="0"/>
              <w:jc w:val="left"/>
              <w:rPr>
                <w:rFonts w:hint="eastAsia" w:ascii="宋体" w:hAnsi="宋体" w:eastAsia="宋体" w:cs="宋体"/>
                <w:kern w:val="0"/>
                <w:szCs w:val="21"/>
              </w:rPr>
            </w:pPr>
            <w:r>
              <w:rPr>
                <w:rFonts w:hint="eastAsia" w:ascii="宋体" w:hAnsi="宋体" w:eastAsia="宋体" w:cs="宋体"/>
                <w:kern w:val="0"/>
                <w:szCs w:val="21"/>
                <w:lang w:bidi="ar"/>
              </w:rPr>
              <w:t>2.荧光测量光源：蓝色451 nm LED，1-8 Hz可调；</w:t>
            </w:r>
          </w:p>
          <w:p w14:paraId="7BDEEBF8">
            <w:pPr>
              <w:widowControl/>
              <w:adjustRightInd w:val="0"/>
              <w:snapToGrid w:val="0"/>
              <w:jc w:val="left"/>
              <w:rPr>
                <w:rFonts w:hint="eastAsia" w:ascii="宋体" w:hAnsi="宋体" w:eastAsia="宋体" w:cs="宋体"/>
                <w:kern w:val="0"/>
                <w:szCs w:val="21"/>
              </w:rPr>
            </w:pPr>
            <w:r>
              <w:rPr>
                <w:rFonts w:hint="eastAsia" w:ascii="宋体" w:hAnsi="宋体" w:eastAsia="宋体" w:cs="宋体"/>
                <w:kern w:val="0"/>
                <w:szCs w:val="21"/>
                <w:lang w:bidi="ar"/>
              </w:rPr>
              <w:t>★3.光化光光源：蓝色451 nm LED，最大光化光强度2100 μmol m-2 s-1PAR（距离光源20厘米处测量）；</w:t>
            </w:r>
          </w:p>
          <w:p w14:paraId="320F8C85">
            <w:pPr>
              <w:widowControl/>
              <w:adjustRightInd w:val="0"/>
              <w:snapToGrid w:val="0"/>
              <w:jc w:val="left"/>
              <w:rPr>
                <w:rFonts w:hint="eastAsia" w:ascii="宋体" w:hAnsi="宋体" w:eastAsia="宋体" w:cs="宋体"/>
                <w:kern w:val="0"/>
                <w:szCs w:val="21"/>
              </w:rPr>
            </w:pPr>
            <w:r>
              <w:rPr>
                <w:rFonts w:hint="eastAsia" w:ascii="宋体" w:hAnsi="宋体" w:eastAsia="宋体" w:cs="宋体"/>
                <w:kern w:val="0"/>
                <w:szCs w:val="21"/>
                <w:lang w:bidi="ar"/>
              </w:rPr>
              <w:t>4.饱和脉冲光源：蓝色451 nm LED，最大饱和脉冲光强度4100 μmol m-2 s-1PAR（距离光源20厘米处测量）；</w:t>
            </w:r>
          </w:p>
          <w:p w14:paraId="198E94DF">
            <w:pPr>
              <w:widowControl/>
              <w:adjustRightInd w:val="0"/>
              <w:snapToGrid w:val="0"/>
              <w:jc w:val="left"/>
              <w:rPr>
                <w:rFonts w:hint="eastAsia" w:ascii="宋体" w:hAnsi="宋体" w:eastAsia="宋体" w:cs="宋体"/>
                <w:kern w:val="0"/>
                <w:szCs w:val="21"/>
              </w:rPr>
            </w:pPr>
            <w:r>
              <w:rPr>
                <w:rFonts w:hint="eastAsia" w:ascii="宋体" w:hAnsi="宋体" w:eastAsia="宋体" w:cs="宋体"/>
                <w:kern w:val="0"/>
                <w:szCs w:val="21"/>
                <w:lang w:bidi="ar"/>
              </w:rPr>
              <w:t>5.远红光光源：730 nm LED；</w:t>
            </w:r>
          </w:p>
          <w:p w14:paraId="0DF1FE97">
            <w:pPr>
              <w:widowControl/>
              <w:adjustRightInd w:val="0"/>
              <w:snapToGrid w:val="0"/>
              <w:jc w:val="left"/>
              <w:rPr>
                <w:rFonts w:hint="eastAsia" w:ascii="宋体" w:hAnsi="宋体" w:eastAsia="宋体" w:cs="宋体"/>
                <w:kern w:val="0"/>
                <w:szCs w:val="21"/>
              </w:rPr>
            </w:pPr>
            <w:r>
              <w:rPr>
                <w:rFonts w:hint="eastAsia" w:ascii="宋体" w:hAnsi="宋体" w:eastAsia="宋体" w:cs="宋体"/>
                <w:kern w:val="0"/>
                <w:szCs w:val="21"/>
                <w:lang w:bidi="ar"/>
              </w:rPr>
              <w:t>★6.成像面积：距离光源20厘米处成像面积为24×20cm；距离光源50厘米处成像面积为50×50cm；</w:t>
            </w:r>
          </w:p>
          <w:p w14:paraId="17C09696">
            <w:pPr>
              <w:widowControl/>
              <w:adjustRightInd w:val="0"/>
              <w:snapToGrid w:val="0"/>
              <w:jc w:val="left"/>
              <w:rPr>
                <w:rFonts w:hint="eastAsia" w:ascii="宋体" w:hAnsi="宋体" w:eastAsia="宋体" w:cs="宋体"/>
                <w:kern w:val="0"/>
                <w:szCs w:val="21"/>
              </w:rPr>
            </w:pPr>
            <w:r>
              <w:rPr>
                <w:rFonts w:hint="eastAsia" w:ascii="宋体" w:hAnsi="宋体" w:eastAsia="宋体" w:cs="宋体"/>
                <w:kern w:val="0"/>
                <w:szCs w:val="21"/>
                <w:lang w:bidi="ar"/>
              </w:rPr>
              <w:t>★7.成像传感器：2400×2000像素（480万像素），利用2×2像素-binning技术使得成像图片为1200×1000像素，通过千兆以太网（GigE)与电脑数据通讯；</w:t>
            </w:r>
          </w:p>
          <w:p w14:paraId="525DC704">
            <w:pPr>
              <w:widowControl/>
              <w:adjustRightInd w:val="0"/>
              <w:snapToGrid w:val="0"/>
              <w:jc w:val="left"/>
              <w:rPr>
                <w:rFonts w:hint="eastAsia" w:ascii="宋体" w:hAnsi="宋体" w:eastAsia="宋体" w:cs="宋体"/>
                <w:kern w:val="0"/>
                <w:szCs w:val="21"/>
              </w:rPr>
            </w:pPr>
            <w:r>
              <w:rPr>
                <w:rFonts w:hint="eastAsia" w:ascii="宋体" w:hAnsi="宋体" w:eastAsia="宋体" w:cs="宋体"/>
                <w:kern w:val="0"/>
                <w:szCs w:val="21"/>
                <w:lang w:bidi="ar"/>
              </w:rPr>
              <w:t>8.镜头：F1.4/8 mm 2 MP 定焦镜头，光圈范围：1.4–16，PSII荧光滤镜组；</w:t>
            </w:r>
          </w:p>
          <w:p w14:paraId="72A8CC14">
            <w:pPr>
              <w:widowControl/>
              <w:adjustRightInd w:val="0"/>
              <w:snapToGrid w:val="0"/>
              <w:jc w:val="left"/>
              <w:rPr>
                <w:rFonts w:hint="eastAsia" w:ascii="宋体" w:hAnsi="宋体" w:eastAsia="宋体" w:cs="宋体"/>
                <w:kern w:val="0"/>
                <w:szCs w:val="21"/>
              </w:rPr>
            </w:pPr>
            <w:r>
              <w:rPr>
                <w:rFonts w:hint="eastAsia" w:ascii="宋体" w:hAnsi="宋体" w:eastAsia="宋体" w:cs="宋体"/>
                <w:kern w:val="0"/>
                <w:szCs w:val="21"/>
                <w:lang w:bidi="ar"/>
              </w:rPr>
              <w:t>9.测量参数：Ft、Fo、Fm、Fv/Fm、F、Fm’、Fo’、Y(II)、Y(NO)、Y(NPQ)、NPQ、qN、qP、qL、PS/50=ETR、Inh.等；</w:t>
            </w:r>
          </w:p>
          <w:p w14:paraId="50A9FD1F">
            <w:pPr>
              <w:widowControl/>
              <w:adjustRightInd w:val="0"/>
              <w:snapToGrid w:val="0"/>
              <w:jc w:val="left"/>
              <w:rPr>
                <w:rFonts w:hint="eastAsia" w:ascii="宋体" w:hAnsi="宋体" w:eastAsia="宋体" w:cs="宋体"/>
                <w:kern w:val="0"/>
                <w:szCs w:val="21"/>
              </w:rPr>
            </w:pPr>
            <w:r>
              <w:rPr>
                <w:rFonts w:hint="eastAsia" w:ascii="宋体" w:hAnsi="宋体" w:eastAsia="宋体" w:cs="宋体"/>
                <w:kern w:val="0"/>
                <w:szCs w:val="21"/>
                <w:lang w:bidi="ar"/>
              </w:rPr>
              <w:t>10.诱导曲线测量功能：手动和自动两种模式。手动和自动模式下均可随时更改诱导曲线的光化光强度，自动程序可测量荧光诱导曲线、诱导曲线+暗弛豫。测量过程中能自动分析和记录所有荧光参数的变化趋势；</w:t>
            </w:r>
          </w:p>
          <w:p w14:paraId="246070CB">
            <w:pPr>
              <w:widowControl/>
              <w:adjustRightInd w:val="0"/>
              <w:snapToGrid w:val="0"/>
              <w:jc w:val="left"/>
              <w:rPr>
                <w:rFonts w:hint="eastAsia" w:ascii="宋体" w:hAnsi="宋体" w:eastAsia="宋体" w:cs="宋体"/>
                <w:kern w:val="0"/>
                <w:szCs w:val="21"/>
              </w:rPr>
            </w:pPr>
            <w:r>
              <w:rPr>
                <w:rFonts w:hint="eastAsia" w:ascii="宋体" w:hAnsi="宋体" w:eastAsia="宋体" w:cs="宋体"/>
                <w:kern w:val="0"/>
                <w:szCs w:val="21"/>
                <w:lang w:bidi="ar"/>
              </w:rPr>
              <w:t>11.光曲线测量功能：光梯度个数≥20个，可随意设置光曲线步数，可测量滞后光曲线；</w:t>
            </w:r>
          </w:p>
          <w:p w14:paraId="22D3F01E">
            <w:pPr>
              <w:widowControl/>
              <w:adjustRightInd w:val="0"/>
              <w:snapToGrid w:val="0"/>
              <w:jc w:val="left"/>
              <w:rPr>
                <w:rFonts w:hint="eastAsia" w:ascii="宋体" w:hAnsi="宋体" w:eastAsia="宋体" w:cs="宋体"/>
                <w:kern w:val="0"/>
                <w:szCs w:val="21"/>
              </w:rPr>
            </w:pPr>
            <w:r>
              <w:rPr>
                <w:rFonts w:hint="eastAsia" w:ascii="宋体" w:hAnsi="宋体" w:eastAsia="宋体" w:cs="宋体"/>
                <w:kern w:val="0"/>
                <w:szCs w:val="21"/>
                <w:lang w:bidi="ar"/>
              </w:rPr>
              <w:t>12.数据格式：原始数据格式，包含曲线，数值，图像，设置；曲线和数值导出格式：.csv；图像导出格式.jpg,.png,.tif；</w:t>
            </w:r>
          </w:p>
          <w:p w14:paraId="37AF769B">
            <w:pPr>
              <w:widowControl/>
              <w:adjustRightInd w:val="0"/>
              <w:snapToGrid w:val="0"/>
              <w:jc w:val="left"/>
              <w:rPr>
                <w:rFonts w:hint="eastAsia" w:ascii="宋体" w:hAnsi="宋体" w:eastAsia="宋体" w:cs="宋体"/>
                <w:kern w:val="0"/>
                <w:szCs w:val="21"/>
              </w:rPr>
            </w:pPr>
            <w:r>
              <w:rPr>
                <w:rFonts w:hint="eastAsia" w:ascii="宋体" w:hAnsi="宋体" w:eastAsia="宋体" w:cs="宋体"/>
                <w:kern w:val="0"/>
                <w:szCs w:val="21"/>
                <w:lang w:bidi="ar"/>
              </w:rPr>
              <w:t>13.AOI功能：增加，删除，编辑，显示/隐藏，填充，重置。可在测量前或测量后任意选择感兴趣的区域（AOI），程序将自动对选择的AOI的数据进行变化趋势分析，并在报告文件中显示相关AOI的数据。所有报告文件中显示的数据都可导出到EXCEL文件中；</w:t>
            </w:r>
          </w:p>
          <w:p w14:paraId="6165EBA1">
            <w:pPr>
              <w:widowControl/>
              <w:adjustRightInd w:val="0"/>
              <w:snapToGrid w:val="0"/>
              <w:jc w:val="left"/>
              <w:rPr>
                <w:rFonts w:hint="eastAsia" w:ascii="宋体" w:hAnsi="宋体" w:eastAsia="宋体" w:cs="宋体"/>
                <w:kern w:val="0"/>
                <w:szCs w:val="21"/>
              </w:rPr>
            </w:pPr>
            <w:r>
              <w:rPr>
                <w:rFonts w:hint="eastAsia" w:ascii="宋体" w:hAnsi="宋体" w:eastAsia="宋体" w:cs="宋体"/>
                <w:kern w:val="0"/>
                <w:szCs w:val="21"/>
                <w:lang w:bidi="ar"/>
              </w:rPr>
              <w:t>14.成像数据范围分析功能：对任意参数任意时间的成像，可分析任意两个荧光数值之间有多少个像素点，多少面积（cm</w:t>
            </w:r>
            <w:r>
              <w:rPr>
                <w:rFonts w:hint="eastAsia" w:ascii="宋体" w:hAnsi="宋体" w:eastAsia="宋体" w:cs="宋体"/>
                <w:kern w:val="0"/>
                <w:szCs w:val="21"/>
                <w:vertAlign w:val="superscript"/>
                <w:lang w:bidi="ar"/>
              </w:rPr>
              <w:t>2</w:t>
            </w:r>
            <w:r>
              <w:rPr>
                <w:rFonts w:hint="eastAsia" w:ascii="宋体" w:hAnsi="宋体" w:eastAsia="宋体" w:cs="宋体"/>
                <w:kern w:val="0"/>
                <w:szCs w:val="21"/>
                <w:lang w:bidi="ar"/>
              </w:rPr>
              <w:t>）；</w:t>
            </w:r>
          </w:p>
          <w:p w14:paraId="1E0D58BB">
            <w:pPr>
              <w:widowControl/>
              <w:adjustRightInd w:val="0"/>
              <w:snapToGrid w:val="0"/>
              <w:jc w:val="left"/>
              <w:rPr>
                <w:rFonts w:hint="eastAsia" w:ascii="宋体" w:hAnsi="宋体" w:eastAsia="宋体" w:cs="宋体"/>
                <w:kern w:val="0"/>
                <w:szCs w:val="21"/>
              </w:rPr>
            </w:pPr>
            <w:r>
              <w:rPr>
                <w:rFonts w:hint="eastAsia" w:ascii="宋体" w:hAnsi="宋体" w:eastAsia="宋体" w:cs="宋体"/>
                <w:kern w:val="0"/>
                <w:szCs w:val="21"/>
                <w:lang w:bidi="ar"/>
              </w:rPr>
              <w:t>15.数据标签功能：可对单条数据进行标注，可对单个脉冲进行标注；</w:t>
            </w:r>
          </w:p>
          <w:p w14:paraId="0111BE3A">
            <w:pPr>
              <w:widowControl/>
              <w:adjustRightInd w:val="0"/>
              <w:snapToGrid w:val="0"/>
              <w:jc w:val="left"/>
              <w:rPr>
                <w:rFonts w:hint="eastAsia" w:ascii="宋体" w:hAnsi="宋体" w:eastAsia="宋体" w:cs="宋体"/>
                <w:kern w:val="0"/>
                <w:szCs w:val="21"/>
              </w:rPr>
            </w:pPr>
            <w:r>
              <w:rPr>
                <w:rFonts w:hint="eastAsia" w:ascii="宋体" w:hAnsi="宋体" w:eastAsia="宋体" w:cs="宋体"/>
                <w:kern w:val="0"/>
                <w:szCs w:val="21"/>
                <w:lang w:bidi="ar"/>
              </w:rPr>
              <w:t>16.输出数据格式：.xpim(完整的原始数据)，.csv(Report中Data)，.JPG图像，gif图像（Raw Image）。</w:t>
            </w:r>
          </w:p>
          <w:p w14:paraId="20BB64B4">
            <w:pPr>
              <w:widowControl/>
              <w:adjustRightInd w:val="0"/>
              <w:snapToGrid w:val="0"/>
              <w:jc w:val="left"/>
              <w:rPr>
                <w:rFonts w:hint="eastAsia" w:ascii="宋体" w:hAnsi="宋体" w:eastAsia="宋体" w:cs="宋体"/>
                <w:b/>
                <w:bCs/>
                <w:kern w:val="0"/>
                <w:szCs w:val="21"/>
              </w:rPr>
            </w:pPr>
            <w:r>
              <w:rPr>
                <w:rFonts w:hint="eastAsia" w:ascii="宋体" w:hAnsi="宋体" w:eastAsia="宋体" w:cs="宋体"/>
                <w:b/>
                <w:bCs/>
                <w:kern w:val="0"/>
                <w:szCs w:val="21"/>
                <w:lang w:bidi="ar"/>
              </w:rPr>
              <w:t>二、配置要求：</w:t>
            </w:r>
          </w:p>
          <w:p w14:paraId="5013189F">
            <w:pPr>
              <w:widowControl/>
              <w:adjustRightInd w:val="0"/>
              <w:snapToGrid w:val="0"/>
              <w:jc w:val="left"/>
              <w:rPr>
                <w:rFonts w:hint="eastAsia" w:ascii="宋体" w:hAnsi="宋体" w:eastAsia="宋体" w:cs="宋体"/>
                <w:kern w:val="0"/>
                <w:szCs w:val="21"/>
              </w:rPr>
            </w:pPr>
            <w:r>
              <w:rPr>
                <w:rFonts w:hint="eastAsia" w:ascii="宋体" w:hAnsi="宋体" w:eastAsia="宋体" w:cs="宋体"/>
                <w:kern w:val="0"/>
                <w:szCs w:val="21"/>
                <w:lang w:bidi="ar"/>
              </w:rPr>
              <w:t>3.1 调制叶绿素荧光成像系统1套；</w:t>
            </w:r>
          </w:p>
          <w:p w14:paraId="07A458D4">
            <w:pPr>
              <w:widowControl/>
              <w:adjustRightInd w:val="0"/>
              <w:snapToGrid w:val="0"/>
              <w:jc w:val="left"/>
              <w:rPr>
                <w:rFonts w:hint="eastAsia" w:ascii="宋体" w:hAnsi="宋体" w:eastAsia="宋体" w:cs="宋体"/>
                <w:kern w:val="0"/>
                <w:szCs w:val="21"/>
              </w:rPr>
            </w:pPr>
            <w:r>
              <w:rPr>
                <w:rFonts w:hint="eastAsia" w:ascii="宋体" w:hAnsi="宋体" w:eastAsia="宋体" w:cs="宋体"/>
                <w:kern w:val="0"/>
                <w:szCs w:val="21"/>
                <w:lang w:bidi="ar"/>
              </w:rPr>
              <w:t>3.2 控制主机1套；</w:t>
            </w:r>
          </w:p>
          <w:p w14:paraId="46F07CB4">
            <w:pPr>
              <w:jc w:val="left"/>
              <w:rPr>
                <w:rFonts w:hint="eastAsia" w:ascii="宋体" w:hAnsi="宋体" w:eastAsia="宋体" w:cs="宋体"/>
                <w:szCs w:val="21"/>
              </w:rPr>
            </w:pPr>
            <w:r>
              <w:rPr>
                <w:rFonts w:hint="eastAsia" w:ascii="宋体" w:hAnsi="宋体" w:eastAsia="宋体" w:cs="宋体"/>
                <w:kern w:val="0"/>
                <w:szCs w:val="21"/>
                <w:lang w:bidi="ar"/>
              </w:rPr>
              <w:t>3.3 光源阵列电源套件1套。</w:t>
            </w:r>
          </w:p>
        </w:tc>
      </w:tr>
      <w:tr w14:paraId="6121F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268151FC">
            <w:pPr>
              <w:adjustRightInd w:val="0"/>
              <w:snapToGrid w:val="0"/>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2</w:t>
            </w:r>
          </w:p>
        </w:tc>
        <w:tc>
          <w:tcPr>
            <w:tcW w:w="1810" w:type="dxa"/>
            <w:vAlign w:val="center"/>
          </w:tcPr>
          <w:p w14:paraId="7B2C0984">
            <w:pPr>
              <w:jc w:val="center"/>
              <w:rPr>
                <w:rFonts w:hint="eastAsia" w:ascii="宋体" w:hAnsi="宋体" w:eastAsia="宋体" w:cs="宋体"/>
                <w:b/>
                <w:bCs/>
                <w:szCs w:val="21"/>
                <w:lang w:bidi="ar"/>
              </w:rPr>
            </w:pPr>
            <w:r>
              <w:rPr>
                <w:rFonts w:hint="eastAsia" w:ascii="宋体" w:hAnsi="宋体" w:eastAsia="宋体" w:cs="宋体"/>
                <w:b/>
                <w:bCs/>
                <w:szCs w:val="21"/>
                <w:lang w:bidi="ar"/>
              </w:rPr>
              <w:t>实时荧光定量PCR仪</w:t>
            </w:r>
          </w:p>
          <w:p w14:paraId="4A32EF1D">
            <w:pPr>
              <w:jc w:val="center"/>
              <w:rPr>
                <w:rFonts w:hint="eastAsia" w:ascii="宋体" w:hAnsi="宋体" w:eastAsia="宋体" w:cs="宋体"/>
                <w:b/>
                <w:bCs/>
                <w:szCs w:val="21"/>
              </w:rPr>
            </w:pPr>
            <w:r>
              <w:rPr>
                <w:rFonts w:hint="eastAsia" w:ascii="宋体" w:hAnsi="宋体" w:eastAsia="宋体" w:cs="宋体"/>
                <w:b/>
                <w:bCs/>
                <w:color w:val="000000"/>
                <w:kern w:val="0"/>
                <w:szCs w:val="21"/>
                <w:lang w:bidi="ar"/>
              </w:rPr>
              <w:t>（核心产品）</w:t>
            </w:r>
          </w:p>
        </w:tc>
        <w:tc>
          <w:tcPr>
            <w:tcW w:w="661" w:type="dxa"/>
            <w:vAlign w:val="center"/>
          </w:tcPr>
          <w:p w14:paraId="1F0BF8B7">
            <w:pPr>
              <w:jc w:val="center"/>
              <w:rPr>
                <w:rFonts w:hint="eastAsia" w:ascii="宋体" w:hAnsi="宋体" w:eastAsia="宋体" w:cs="宋体"/>
                <w:b/>
                <w:bCs/>
                <w:szCs w:val="21"/>
              </w:rPr>
            </w:pPr>
            <w:r>
              <w:rPr>
                <w:rFonts w:hint="eastAsia" w:ascii="宋体" w:hAnsi="宋体" w:eastAsia="宋体" w:cs="宋体"/>
                <w:b/>
                <w:bCs/>
                <w:spacing w:val="-6"/>
                <w:szCs w:val="21"/>
                <w:lang w:bidi="ar"/>
              </w:rPr>
              <w:t>1</w:t>
            </w:r>
          </w:p>
        </w:tc>
        <w:tc>
          <w:tcPr>
            <w:tcW w:w="661" w:type="dxa"/>
            <w:vAlign w:val="center"/>
          </w:tcPr>
          <w:p w14:paraId="29513B68">
            <w:pPr>
              <w:jc w:val="center"/>
              <w:rPr>
                <w:rFonts w:hint="eastAsia" w:ascii="宋体" w:hAnsi="宋体" w:eastAsia="宋体" w:cs="宋体"/>
                <w:b/>
                <w:bCs/>
                <w:szCs w:val="21"/>
              </w:rPr>
            </w:pPr>
            <w:r>
              <w:rPr>
                <w:rFonts w:hint="eastAsia" w:ascii="宋体" w:hAnsi="宋体" w:eastAsia="宋体" w:cs="宋体"/>
                <w:b/>
                <w:bCs/>
                <w:spacing w:val="-6"/>
                <w:szCs w:val="21"/>
                <w:lang w:bidi="ar"/>
              </w:rPr>
              <w:t>套</w:t>
            </w:r>
          </w:p>
        </w:tc>
        <w:tc>
          <w:tcPr>
            <w:tcW w:w="6269" w:type="dxa"/>
            <w:vAlign w:val="center"/>
          </w:tcPr>
          <w:p w14:paraId="4B2024B6">
            <w:pPr>
              <w:jc w:val="left"/>
              <w:rPr>
                <w:rFonts w:hint="eastAsia" w:ascii="宋体" w:hAnsi="宋体" w:eastAsia="宋体" w:cs="宋体"/>
                <w:b/>
                <w:bCs/>
                <w:szCs w:val="21"/>
                <w:lang w:bidi="ar"/>
              </w:rPr>
            </w:pPr>
            <w:r>
              <w:rPr>
                <w:rFonts w:hint="eastAsia" w:ascii="宋体" w:hAnsi="宋体" w:eastAsia="宋体" w:cs="宋体"/>
                <w:b/>
                <w:bCs/>
                <w:szCs w:val="21"/>
                <w:lang w:bidi="ar"/>
              </w:rPr>
              <w:t>1.主要技术指标：</w:t>
            </w:r>
          </w:p>
          <w:p w14:paraId="2B2D43B1">
            <w:pPr>
              <w:jc w:val="left"/>
              <w:rPr>
                <w:rFonts w:hint="eastAsia" w:ascii="宋体" w:hAnsi="宋体" w:eastAsia="宋体" w:cs="宋体"/>
                <w:szCs w:val="21"/>
                <w:lang w:bidi="ar"/>
              </w:rPr>
            </w:pPr>
            <w:r>
              <w:rPr>
                <w:rFonts w:hint="eastAsia" w:ascii="宋体" w:hAnsi="宋体" w:eastAsia="宋体" w:cs="宋体"/>
                <w:szCs w:val="21"/>
                <w:lang w:bidi="ar"/>
              </w:rPr>
              <w:t>1.1 准确性：成功区分起始模板为1000和2000个拷贝的2倍浓度差，置信度≥99.8%；</w:t>
            </w:r>
          </w:p>
          <w:p w14:paraId="028AB485">
            <w:pPr>
              <w:jc w:val="left"/>
              <w:rPr>
                <w:rFonts w:hint="eastAsia" w:ascii="宋体" w:hAnsi="宋体" w:eastAsia="宋体" w:cs="宋体"/>
                <w:szCs w:val="21"/>
                <w:lang w:bidi="ar"/>
              </w:rPr>
            </w:pPr>
            <w:r>
              <w:rPr>
                <w:rFonts w:hint="eastAsia" w:ascii="宋体" w:hAnsi="宋体" w:eastAsia="宋体" w:cs="宋体"/>
                <w:szCs w:val="21"/>
                <w:lang w:bidi="ar"/>
              </w:rPr>
              <w:t>★1.2 样品通量：配置96孔样品模块，后期可自行选配并更换至384孔模块，无需工程师或其他辅助工具，无需校准</w:t>
            </w:r>
            <w:r>
              <w:rPr>
                <w:rFonts w:hint="eastAsia" w:ascii="宋体" w:hAnsi="宋体" w:eastAsia="宋体" w:cs="宋体"/>
                <w:b/>
                <w:bCs/>
                <w:szCs w:val="21"/>
                <w:lang w:bidi="ar"/>
              </w:rPr>
              <w:t>（提供证明材料）</w:t>
            </w:r>
            <w:r>
              <w:rPr>
                <w:rFonts w:hint="eastAsia" w:ascii="宋体" w:hAnsi="宋体" w:eastAsia="宋体" w:cs="宋体"/>
                <w:szCs w:val="21"/>
                <w:lang w:bidi="ar"/>
              </w:rPr>
              <w:t xml:space="preserve">； </w:t>
            </w:r>
          </w:p>
          <w:p w14:paraId="1E3C1647">
            <w:pPr>
              <w:jc w:val="left"/>
              <w:rPr>
                <w:rFonts w:hint="eastAsia" w:ascii="宋体" w:hAnsi="宋体" w:eastAsia="宋体" w:cs="宋体"/>
                <w:szCs w:val="21"/>
                <w:lang w:bidi="ar"/>
              </w:rPr>
            </w:pPr>
            <w:r>
              <w:rPr>
                <w:rFonts w:hint="eastAsia" w:ascii="宋体" w:hAnsi="宋体" w:eastAsia="宋体" w:cs="宋体"/>
                <w:szCs w:val="21"/>
                <w:lang w:bidi="ar"/>
              </w:rPr>
              <w:t>★1.3 加热模块：银质模块，保证温度均一性：任意时间点≤±0.15℃；</w:t>
            </w:r>
          </w:p>
          <w:p w14:paraId="022F71F9">
            <w:pPr>
              <w:jc w:val="left"/>
              <w:rPr>
                <w:rFonts w:hint="eastAsia" w:ascii="宋体" w:hAnsi="宋体" w:eastAsia="宋体" w:cs="宋体"/>
                <w:szCs w:val="21"/>
                <w:lang w:bidi="ar"/>
              </w:rPr>
            </w:pPr>
            <w:r>
              <w:rPr>
                <w:rFonts w:hint="eastAsia" w:ascii="宋体" w:hAnsi="宋体" w:eastAsia="宋体" w:cs="宋体"/>
                <w:szCs w:val="21"/>
                <w:lang w:bidi="ar"/>
              </w:rPr>
              <w:t>1.4 样品管规格：支持0.1mL的单孔管、八联管及96孔板；</w:t>
            </w:r>
          </w:p>
          <w:p w14:paraId="71340F35">
            <w:pPr>
              <w:jc w:val="left"/>
              <w:rPr>
                <w:rFonts w:hint="eastAsia" w:ascii="宋体" w:hAnsi="宋体" w:eastAsia="宋体" w:cs="宋体"/>
                <w:szCs w:val="21"/>
                <w:lang w:bidi="ar"/>
              </w:rPr>
            </w:pPr>
            <w:r>
              <w:rPr>
                <w:rFonts w:hint="eastAsia" w:ascii="宋体" w:hAnsi="宋体" w:eastAsia="宋体" w:cs="宋体"/>
                <w:szCs w:val="21"/>
                <w:lang w:bidi="ar"/>
              </w:rPr>
              <w:t>1.5 试剂耗材：开放；</w:t>
            </w:r>
          </w:p>
          <w:p w14:paraId="75385578">
            <w:pPr>
              <w:jc w:val="left"/>
              <w:rPr>
                <w:rFonts w:hint="eastAsia" w:ascii="宋体" w:hAnsi="宋体" w:eastAsia="宋体" w:cs="宋体"/>
                <w:szCs w:val="21"/>
                <w:lang w:bidi="ar"/>
              </w:rPr>
            </w:pPr>
            <w:r>
              <w:rPr>
                <w:rFonts w:hint="eastAsia" w:ascii="宋体" w:hAnsi="宋体" w:eastAsia="宋体" w:cs="宋体"/>
                <w:szCs w:val="21"/>
                <w:lang w:bidi="ar"/>
              </w:rPr>
              <w:t>1.6 反应体积：3-20 μl（384孔模块），10-100 μl（96孔模块）；</w:t>
            </w:r>
          </w:p>
          <w:p w14:paraId="0D33DF0C">
            <w:pPr>
              <w:jc w:val="left"/>
              <w:rPr>
                <w:rFonts w:hint="eastAsia" w:ascii="宋体" w:hAnsi="宋体" w:eastAsia="宋体" w:cs="宋体"/>
                <w:szCs w:val="21"/>
                <w:lang w:bidi="ar"/>
              </w:rPr>
            </w:pPr>
            <w:r>
              <w:rPr>
                <w:rFonts w:hint="eastAsia" w:ascii="宋体" w:hAnsi="宋体" w:eastAsia="宋体" w:cs="宋体"/>
                <w:szCs w:val="21"/>
                <w:lang w:bidi="ar"/>
              </w:rPr>
              <w:t>▲1.7 荧光检测系统：冷CCD检测系统，一体化设计无移动检测部件，保证能所有样本同时激发并检测数据，孔间无时间差，无需ROX进行校正；</w:t>
            </w:r>
          </w:p>
          <w:p w14:paraId="1A008BFB">
            <w:pPr>
              <w:jc w:val="left"/>
              <w:rPr>
                <w:rFonts w:hint="eastAsia" w:ascii="宋体" w:hAnsi="宋体" w:eastAsia="宋体" w:cs="宋体"/>
                <w:szCs w:val="21"/>
                <w:lang w:bidi="ar"/>
              </w:rPr>
            </w:pPr>
            <w:r>
              <w:rPr>
                <w:rFonts w:hint="eastAsia" w:ascii="宋体" w:hAnsi="宋体" w:eastAsia="宋体" w:cs="宋体"/>
                <w:szCs w:val="21"/>
                <w:lang w:bidi="ar"/>
              </w:rPr>
              <w:t>1.8 温度准确度≤±0.1℃，保证每个样品反应条件一致性；</w:t>
            </w:r>
          </w:p>
          <w:p w14:paraId="2206CDA3">
            <w:pPr>
              <w:jc w:val="left"/>
              <w:rPr>
                <w:rFonts w:hint="eastAsia" w:ascii="宋体" w:hAnsi="宋体" w:eastAsia="宋体" w:cs="宋体"/>
                <w:szCs w:val="21"/>
                <w:lang w:bidi="ar"/>
              </w:rPr>
            </w:pPr>
            <w:r>
              <w:rPr>
                <w:rFonts w:hint="eastAsia" w:ascii="宋体" w:hAnsi="宋体" w:eastAsia="宋体" w:cs="宋体"/>
                <w:szCs w:val="21"/>
                <w:lang w:bidi="ar"/>
              </w:rPr>
              <w:t>1.9 溶解曲线分辨率≤0.01℃；；</w:t>
            </w:r>
          </w:p>
          <w:p w14:paraId="7A0BBB8E">
            <w:pPr>
              <w:jc w:val="left"/>
              <w:rPr>
                <w:rFonts w:hint="eastAsia" w:ascii="宋体" w:hAnsi="宋体" w:eastAsia="宋体" w:cs="宋体"/>
                <w:szCs w:val="21"/>
                <w:lang w:bidi="ar"/>
              </w:rPr>
            </w:pPr>
            <w:r>
              <w:rPr>
                <w:rFonts w:hint="eastAsia" w:ascii="宋体" w:hAnsi="宋体" w:eastAsia="宋体" w:cs="宋体"/>
                <w:szCs w:val="21"/>
                <w:lang w:bidi="ar"/>
              </w:rPr>
              <w:t>★1.10 样本最大升温速度：≥3.5℃/s，模块最大升温速度≥6.8℃/s；</w:t>
            </w:r>
          </w:p>
          <w:p w14:paraId="2F273285">
            <w:pPr>
              <w:jc w:val="left"/>
              <w:rPr>
                <w:rFonts w:hint="eastAsia" w:ascii="宋体" w:hAnsi="宋体" w:eastAsia="宋体" w:cs="宋体"/>
                <w:szCs w:val="21"/>
                <w:lang w:bidi="ar"/>
              </w:rPr>
            </w:pPr>
            <w:r>
              <w:rPr>
                <w:rFonts w:hint="eastAsia" w:ascii="宋体" w:hAnsi="宋体" w:eastAsia="宋体" w:cs="宋体"/>
                <w:szCs w:val="21"/>
                <w:lang w:bidi="ar"/>
              </w:rPr>
              <w:t>1.11 反应时间：≤ 40分钟（40个循环）（无需特殊试剂特殊耗材情况下）；</w:t>
            </w:r>
          </w:p>
          <w:p w14:paraId="0DC9DC94">
            <w:pPr>
              <w:jc w:val="left"/>
              <w:rPr>
                <w:rFonts w:hint="eastAsia" w:ascii="宋体" w:hAnsi="宋体" w:eastAsia="宋体" w:cs="宋体"/>
                <w:szCs w:val="21"/>
                <w:lang w:bidi="ar"/>
              </w:rPr>
            </w:pPr>
            <w:r>
              <w:rPr>
                <w:rFonts w:hint="eastAsia" w:ascii="宋体" w:hAnsi="宋体" w:eastAsia="宋体" w:cs="宋体"/>
                <w:szCs w:val="21"/>
                <w:lang w:bidi="ar"/>
              </w:rPr>
              <w:t>★1.12 动力学线性范围：≥10个数量级；</w:t>
            </w:r>
          </w:p>
          <w:p w14:paraId="141FDF74">
            <w:pPr>
              <w:jc w:val="left"/>
              <w:rPr>
                <w:rFonts w:hint="eastAsia" w:ascii="宋体" w:hAnsi="宋体" w:eastAsia="宋体" w:cs="宋体"/>
                <w:szCs w:val="21"/>
                <w:lang w:bidi="ar"/>
              </w:rPr>
            </w:pPr>
            <w:r>
              <w:rPr>
                <w:rFonts w:hint="eastAsia" w:ascii="宋体" w:hAnsi="宋体" w:eastAsia="宋体" w:cs="宋体"/>
                <w:szCs w:val="21"/>
                <w:lang w:bidi="ar"/>
              </w:rPr>
              <w:t>▲1.13 荧光检测通道：≥5个检测通道；</w:t>
            </w:r>
          </w:p>
          <w:p w14:paraId="25CC15C5">
            <w:pPr>
              <w:jc w:val="left"/>
              <w:rPr>
                <w:rFonts w:hint="eastAsia" w:ascii="宋体" w:hAnsi="宋体" w:eastAsia="宋体" w:cs="宋体"/>
                <w:szCs w:val="21"/>
                <w:lang w:bidi="ar"/>
              </w:rPr>
            </w:pPr>
            <w:r>
              <w:rPr>
                <w:rFonts w:hint="eastAsia" w:ascii="宋体" w:hAnsi="宋体" w:eastAsia="宋体" w:cs="宋体"/>
                <w:szCs w:val="21"/>
                <w:lang w:bidi="ar"/>
              </w:rPr>
              <w:t>1.14 高分辨率熔解曲线功能：提供高分辨率熔解曲线的检测功能与数据分析能力：分析软件能够根据熔解曲线峰形直接分析样品基因型，可以从事SNP预筛查，甲基化分析，DNA遗传作图等，适用于FRET技术，可实现更多重PCR检测应用；</w:t>
            </w:r>
          </w:p>
          <w:p w14:paraId="216BFBFD">
            <w:pPr>
              <w:jc w:val="left"/>
              <w:rPr>
                <w:rFonts w:hint="eastAsia" w:ascii="宋体" w:hAnsi="宋体" w:eastAsia="宋体" w:cs="宋体"/>
                <w:szCs w:val="21"/>
                <w:lang w:bidi="ar"/>
              </w:rPr>
            </w:pPr>
            <w:r>
              <w:rPr>
                <w:rFonts w:hint="eastAsia" w:ascii="宋体" w:hAnsi="宋体" w:eastAsia="宋体" w:cs="宋体"/>
                <w:szCs w:val="21"/>
                <w:lang w:bidi="ar"/>
              </w:rPr>
              <w:t>★1.15 高分辨率熔解曲线反应时间：＜10分钟（65-95℃，整板每℃采集25次数据时），熔解曲线反应时间：＜5分钟（65-95℃，整板每℃采集25次数据时）</w:t>
            </w:r>
            <w:r>
              <w:rPr>
                <w:rFonts w:hint="eastAsia" w:ascii="宋体" w:hAnsi="宋体" w:eastAsia="宋体" w:cs="宋体"/>
                <w:b/>
                <w:bCs/>
                <w:szCs w:val="21"/>
                <w:lang w:bidi="ar"/>
              </w:rPr>
              <w:t>（提供证明材料）</w:t>
            </w:r>
            <w:r>
              <w:rPr>
                <w:rFonts w:hint="eastAsia" w:ascii="宋体" w:hAnsi="宋体" w:eastAsia="宋体" w:cs="宋体"/>
                <w:szCs w:val="21"/>
                <w:lang w:bidi="ar"/>
              </w:rPr>
              <w:t xml:space="preserve">； </w:t>
            </w:r>
          </w:p>
          <w:p w14:paraId="46AECF15">
            <w:pPr>
              <w:jc w:val="left"/>
              <w:rPr>
                <w:rFonts w:hint="eastAsia" w:ascii="宋体" w:hAnsi="宋体" w:eastAsia="宋体" w:cs="宋体"/>
                <w:szCs w:val="21"/>
                <w:lang w:bidi="ar"/>
              </w:rPr>
            </w:pPr>
            <w:r>
              <w:rPr>
                <w:rFonts w:hint="eastAsia" w:ascii="宋体" w:hAnsi="宋体" w:eastAsia="宋体" w:cs="宋体"/>
                <w:szCs w:val="21"/>
                <w:lang w:bidi="ar"/>
              </w:rPr>
              <w:t>1.16 仪器分析功能：仪器分析功能：绝对定量、相对定量、高分辨率熔解曲线分析（HRM）、多重定量、熔解曲线分析、基因型分析方法（Taqman与SimpleProbe简单探针）等功能；</w:t>
            </w:r>
          </w:p>
          <w:p w14:paraId="3B4B3EFB">
            <w:pPr>
              <w:jc w:val="left"/>
              <w:rPr>
                <w:rFonts w:hint="eastAsia" w:ascii="宋体" w:hAnsi="宋体" w:eastAsia="宋体" w:cs="宋体"/>
                <w:szCs w:val="21"/>
                <w:lang w:bidi="ar"/>
              </w:rPr>
            </w:pPr>
            <w:r>
              <w:rPr>
                <w:rFonts w:hint="eastAsia" w:ascii="宋体" w:hAnsi="宋体" w:eastAsia="宋体" w:cs="宋体"/>
                <w:szCs w:val="21"/>
                <w:lang w:bidi="ar"/>
              </w:rPr>
              <w:t>1.17 软件应用要求：具有定性定量（绝对定量、相对定量）、熔解曲线分析、基因分分析、高分辨率熔解曲线、阴阳性判读等功能，实时动态监测运行，扩增和检测同时进行。配置HRM、多板分析、探针设计等软件功能；</w:t>
            </w:r>
          </w:p>
          <w:p w14:paraId="1DC349CF">
            <w:pPr>
              <w:jc w:val="left"/>
              <w:rPr>
                <w:rFonts w:hint="eastAsia" w:ascii="宋体" w:hAnsi="宋体" w:eastAsia="宋体" w:cs="宋体"/>
                <w:szCs w:val="21"/>
                <w:lang w:bidi="ar"/>
              </w:rPr>
            </w:pPr>
            <w:r>
              <w:rPr>
                <w:rFonts w:hint="eastAsia" w:ascii="宋体" w:hAnsi="宋体" w:eastAsia="宋体" w:cs="宋体"/>
                <w:szCs w:val="21"/>
                <w:lang w:bidi="ar"/>
              </w:rPr>
              <w:t>1.18 自动化系统接口：具备</w:t>
            </w:r>
            <w:bookmarkStart w:id="40" w:name="OLE_LINK2"/>
            <w:r>
              <w:rPr>
                <w:rFonts w:hint="eastAsia" w:ascii="宋体" w:hAnsi="宋体" w:eastAsia="宋体" w:cs="宋体"/>
                <w:szCs w:val="21"/>
                <w:lang w:bidi="ar"/>
              </w:rPr>
              <w:t>LIMS接口</w:t>
            </w:r>
            <w:bookmarkEnd w:id="40"/>
            <w:r>
              <w:rPr>
                <w:rFonts w:hint="eastAsia" w:ascii="宋体" w:hAnsi="宋体" w:eastAsia="宋体" w:cs="宋体"/>
                <w:szCs w:val="21"/>
                <w:lang w:bidi="ar"/>
              </w:rPr>
              <w:t>，可连接至LIMS系统。</w:t>
            </w:r>
          </w:p>
          <w:p w14:paraId="67F34949">
            <w:pPr>
              <w:jc w:val="left"/>
              <w:rPr>
                <w:rFonts w:hint="eastAsia" w:ascii="宋体" w:hAnsi="宋体" w:eastAsia="宋体" w:cs="宋体"/>
                <w:b/>
                <w:bCs/>
                <w:szCs w:val="21"/>
                <w:lang w:bidi="ar"/>
              </w:rPr>
            </w:pPr>
            <w:r>
              <w:rPr>
                <w:rFonts w:hint="eastAsia" w:ascii="宋体" w:hAnsi="宋体" w:eastAsia="宋体" w:cs="宋体"/>
                <w:b/>
                <w:bCs/>
                <w:szCs w:val="21"/>
                <w:lang w:bidi="ar"/>
              </w:rPr>
              <w:t>2.配置要求：</w:t>
            </w:r>
          </w:p>
          <w:p w14:paraId="7B4F7378">
            <w:pPr>
              <w:jc w:val="left"/>
              <w:rPr>
                <w:rFonts w:hint="eastAsia" w:ascii="宋体" w:hAnsi="宋体" w:eastAsia="宋体" w:cs="宋体"/>
                <w:szCs w:val="21"/>
                <w:lang w:bidi="ar"/>
              </w:rPr>
            </w:pPr>
            <w:r>
              <w:rPr>
                <w:rFonts w:hint="eastAsia" w:ascii="宋体" w:hAnsi="宋体" w:eastAsia="宋体" w:cs="宋体"/>
                <w:szCs w:val="21"/>
                <w:lang w:bidi="ar"/>
              </w:rPr>
              <w:t>2.1 全自动荧光定量PCR系统主机1台；</w:t>
            </w:r>
          </w:p>
          <w:p w14:paraId="320DCFC3">
            <w:pPr>
              <w:jc w:val="left"/>
              <w:rPr>
                <w:rFonts w:hint="eastAsia" w:ascii="宋体" w:hAnsi="宋体" w:eastAsia="宋体" w:cs="宋体"/>
                <w:szCs w:val="21"/>
                <w:lang w:bidi="ar"/>
              </w:rPr>
            </w:pPr>
            <w:r>
              <w:rPr>
                <w:rFonts w:hint="eastAsia" w:ascii="宋体" w:hAnsi="宋体" w:eastAsia="宋体" w:cs="宋体"/>
                <w:szCs w:val="21"/>
                <w:lang w:bidi="ar"/>
              </w:rPr>
              <w:t>2.2 96孔银质模块1个；</w:t>
            </w:r>
          </w:p>
          <w:p w14:paraId="56E82768">
            <w:pPr>
              <w:jc w:val="left"/>
              <w:rPr>
                <w:rFonts w:hint="eastAsia" w:ascii="宋体" w:hAnsi="宋体" w:eastAsia="宋体" w:cs="宋体"/>
                <w:szCs w:val="21"/>
                <w:lang w:bidi="ar"/>
              </w:rPr>
            </w:pPr>
            <w:r>
              <w:rPr>
                <w:rFonts w:hint="eastAsia" w:ascii="宋体" w:hAnsi="宋体" w:eastAsia="宋体" w:cs="宋体"/>
                <w:szCs w:val="21"/>
                <w:lang w:bidi="ar"/>
              </w:rPr>
              <w:t>2.3 基础操作软件（含绝对定量、相对定量、基因表达）1套；</w:t>
            </w:r>
          </w:p>
          <w:p w14:paraId="233CAA22">
            <w:pPr>
              <w:jc w:val="left"/>
              <w:rPr>
                <w:rFonts w:hint="eastAsia" w:ascii="宋体" w:hAnsi="宋体" w:eastAsia="宋体" w:cs="宋体"/>
                <w:szCs w:val="21"/>
                <w:lang w:bidi="ar"/>
              </w:rPr>
            </w:pPr>
            <w:r>
              <w:rPr>
                <w:rFonts w:hint="eastAsia" w:ascii="宋体" w:hAnsi="宋体" w:eastAsia="宋体" w:cs="宋体"/>
                <w:szCs w:val="21"/>
                <w:lang w:bidi="ar"/>
              </w:rPr>
              <w:t>2.4计算机控制单元1套；</w:t>
            </w:r>
          </w:p>
          <w:p w14:paraId="69579CA9">
            <w:pPr>
              <w:jc w:val="left"/>
              <w:rPr>
                <w:rFonts w:hint="eastAsia" w:ascii="宋体" w:hAnsi="宋体" w:eastAsia="宋体" w:cs="宋体"/>
                <w:szCs w:val="21"/>
              </w:rPr>
            </w:pPr>
            <w:r>
              <w:rPr>
                <w:rFonts w:hint="eastAsia" w:ascii="宋体" w:hAnsi="宋体" w:eastAsia="宋体" w:cs="宋体"/>
                <w:szCs w:val="21"/>
                <w:lang w:bidi="ar"/>
              </w:rPr>
              <w:t>2.5 技术资料：操作说明书、维护说明书、质量合格证书。</w:t>
            </w:r>
          </w:p>
        </w:tc>
      </w:tr>
      <w:tr w14:paraId="56EA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6EEA52AD">
            <w:pPr>
              <w:adjustRightInd w:val="0"/>
              <w:snapToGrid w:val="0"/>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3</w:t>
            </w:r>
          </w:p>
        </w:tc>
        <w:tc>
          <w:tcPr>
            <w:tcW w:w="1810" w:type="dxa"/>
            <w:vAlign w:val="center"/>
          </w:tcPr>
          <w:p w14:paraId="2E72A8E4">
            <w:pPr>
              <w:jc w:val="center"/>
              <w:rPr>
                <w:rFonts w:hint="eastAsia" w:ascii="宋体" w:hAnsi="宋体" w:eastAsia="宋体" w:cs="宋体"/>
                <w:b/>
                <w:bCs/>
                <w:szCs w:val="21"/>
              </w:rPr>
            </w:pPr>
            <w:r>
              <w:rPr>
                <w:rFonts w:hint="eastAsia" w:ascii="宋体" w:hAnsi="宋体" w:eastAsia="宋体" w:cs="宋体"/>
                <w:b/>
                <w:bCs/>
                <w:szCs w:val="21"/>
                <w:lang w:bidi="ar"/>
              </w:rPr>
              <w:t>全自动间断化学</w:t>
            </w:r>
          </w:p>
          <w:p w14:paraId="7FC5F7FC">
            <w:pPr>
              <w:adjustRightInd w:val="0"/>
              <w:snapToGrid w:val="0"/>
              <w:jc w:val="center"/>
              <w:rPr>
                <w:rFonts w:hint="eastAsia" w:ascii="宋体" w:hAnsi="宋体" w:eastAsia="宋体" w:cs="宋体"/>
                <w:b/>
                <w:bCs/>
                <w:szCs w:val="21"/>
              </w:rPr>
            </w:pPr>
            <w:r>
              <w:rPr>
                <w:rFonts w:hint="eastAsia" w:ascii="宋体" w:hAnsi="宋体" w:eastAsia="宋体" w:cs="宋体"/>
                <w:b/>
                <w:bCs/>
                <w:szCs w:val="21"/>
                <w:lang w:bidi="ar"/>
              </w:rPr>
              <w:t>（土壤）分析仪</w:t>
            </w:r>
          </w:p>
        </w:tc>
        <w:tc>
          <w:tcPr>
            <w:tcW w:w="661" w:type="dxa"/>
            <w:vAlign w:val="center"/>
          </w:tcPr>
          <w:p w14:paraId="68C7717C">
            <w:pPr>
              <w:jc w:val="center"/>
              <w:rPr>
                <w:rFonts w:hint="eastAsia" w:ascii="宋体" w:hAnsi="宋体" w:eastAsia="宋体" w:cs="宋体"/>
                <w:b/>
                <w:bCs/>
                <w:szCs w:val="21"/>
              </w:rPr>
            </w:pPr>
            <w:r>
              <w:rPr>
                <w:rFonts w:hint="eastAsia" w:ascii="宋体" w:hAnsi="宋体" w:eastAsia="宋体" w:cs="宋体"/>
                <w:b/>
                <w:bCs/>
                <w:spacing w:val="-6"/>
                <w:szCs w:val="21"/>
                <w:lang w:bidi="ar"/>
              </w:rPr>
              <w:t>1</w:t>
            </w:r>
          </w:p>
        </w:tc>
        <w:tc>
          <w:tcPr>
            <w:tcW w:w="661" w:type="dxa"/>
            <w:vAlign w:val="center"/>
          </w:tcPr>
          <w:p w14:paraId="46599476">
            <w:pPr>
              <w:jc w:val="center"/>
              <w:rPr>
                <w:rFonts w:hint="eastAsia" w:ascii="宋体" w:hAnsi="宋体" w:eastAsia="宋体" w:cs="宋体"/>
                <w:b/>
                <w:bCs/>
                <w:szCs w:val="21"/>
              </w:rPr>
            </w:pPr>
            <w:r>
              <w:rPr>
                <w:rFonts w:hint="eastAsia" w:ascii="宋体" w:hAnsi="宋体" w:eastAsia="宋体" w:cs="宋体"/>
                <w:b/>
                <w:bCs/>
                <w:spacing w:val="-6"/>
                <w:szCs w:val="21"/>
                <w:lang w:bidi="ar"/>
              </w:rPr>
              <w:t>套</w:t>
            </w:r>
          </w:p>
        </w:tc>
        <w:tc>
          <w:tcPr>
            <w:tcW w:w="6269" w:type="dxa"/>
            <w:vAlign w:val="center"/>
          </w:tcPr>
          <w:p w14:paraId="75A15AB7">
            <w:pPr>
              <w:autoSpaceDE w:val="0"/>
              <w:jc w:val="left"/>
              <w:rPr>
                <w:rFonts w:hint="eastAsia" w:ascii="宋体" w:hAnsi="宋体" w:eastAsia="宋体" w:cs="宋体"/>
                <w:szCs w:val="21"/>
              </w:rPr>
            </w:pPr>
            <w:r>
              <w:rPr>
                <w:rFonts w:hint="eastAsia" w:ascii="宋体" w:hAnsi="宋体" w:eastAsia="宋体" w:cs="宋体"/>
                <w:szCs w:val="21"/>
                <w:lang w:bidi="ar"/>
              </w:rPr>
              <w:t>★1.样品位：≥100个，具有4个及以上内置可移动独立样品架，可连续载入样品、标样和对照样品，可任意时间添加紧急样品、标样和对照样品，执行紧急样品分析；样品管容量不小于5ml，同时可配备抗挥发性样品盖；</w:t>
            </w:r>
          </w:p>
          <w:p w14:paraId="4A22153E">
            <w:pPr>
              <w:autoSpaceDE w:val="0"/>
              <w:jc w:val="left"/>
              <w:rPr>
                <w:rFonts w:hint="eastAsia" w:ascii="宋体" w:hAnsi="宋体" w:eastAsia="宋体" w:cs="宋体"/>
                <w:szCs w:val="21"/>
              </w:rPr>
            </w:pPr>
            <w:r>
              <w:rPr>
                <w:rFonts w:hint="eastAsia" w:ascii="宋体" w:hAnsi="宋体" w:eastAsia="宋体" w:cs="宋体"/>
                <w:szCs w:val="21"/>
                <w:lang w:bidi="ar"/>
              </w:rPr>
              <w:t>★2.试剂位：≥60个以上，具4个及以上可移动试剂架，每架最多可放置16个试剂；4个固定试剂架，试剂盒规格可根据分析选择，具有5ml，25ml和50ml多种规格可选择；</w:t>
            </w:r>
          </w:p>
          <w:p w14:paraId="1895C19E">
            <w:pPr>
              <w:autoSpaceDE w:val="0"/>
              <w:jc w:val="left"/>
              <w:rPr>
                <w:rFonts w:hint="eastAsia" w:ascii="宋体" w:hAnsi="宋体" w:eastAsia="宋体" w:cs="宋体"/>
                <w:szCs w:val="21"/>
              </w:rPr>
            </w:pPr>
            <w:r>
              <w:rPr>
                <w:rFonts w:hint="eastAsia" w:ascii="宋体" w:hAnsi="宋体" w:eastAsia="宋体" w:cs="宋体"/>
                <w:szCs w:val="21"/>
                <w:lang w:bidi="ar"/>
              </w:rPr>
              <w:t>★3.试剂盘：要求试剂盘与样品盘完全分离，不同属于一个仓盖下，避免多参数测试过程试剂的挥发对于样品的污染；具有电制冷功能，测试过程及测试结束后试剂无需取出即可冷藏保存；</w:t>
            </w:r>
          </w:p>
          <w:p w14:paraId="443198EC">
            <w:pPr>
              <w:autoSpaceDE w:val="0"/>
              <w:jc w:val="left"/>
              <w:rPr>
                <w:rFonts w:hint="eastAsia" w:ascii="宋体" w:hAnsi="宋体" w:eastAsia="宋体" w:cs="宋体"/>
                <w:szCs w:val="21"/>
              </w:rPr>
            </w:pPr>
            <w:r>
              <w:rPr>
                <w:rFonts w:hint="eastAsia" w:ascii="宋体" w:hAnsi="宋体" w:eastAsia="宋体" w:cs="宋体"/>
                <w:szCs w:val="21"/>
                <w:lang w:bidi="ar"/>
              </w:rPr>
              <w:t>4.无限载样功能：针对大批量样品测量，可以在不暂停主机条件下，取出已测完的样品架，添加样品并再次载入，整个过程不可影响正在进行的其他样品测量；</w:t>
            </w:r>
          </w:p>
          <w:p w14:paraId="3DC47D5C">
            <w:pPr>
              <w:autoSpaceDE w:val="0"/>
              <w:jc w:val="left"/>
              <w:rPr>
                <w:rFonts w:hint="eastAsia" w:ascii="宋体" w:hAnsi="宋体" w:eastAsia="宋体" w:cs="宋体"/>
                <w:szCs w:val="21"/>
              </w:rPr>
            </w:pPr>
            <w:r>
              <w:rPr>
                <w:rFonts w:hint="eastAsia" w:ascii="宋体" w:hAnsi="宋体" w:eastAsia="宋体" w:cs="宋体"/>
                <w:szCs w:val="21"/>
                <w:lang w:bidi="ar"/>
              </w:rPr>
              <w:t>5.高精度微量移液臂：具有1个高精度微量移液臂，进样针部分具有电容振荡传感器；能让进样针保持只在液面2mm同步下降取样和取试剂，保护样品针不易被堵塞，同时可实现样品和试剂的剩余量及可测试次数的监控管理，当不足时候会提示报警；</w:t>
            </w:r>
          </w:p>
          <w:p w14:paraId="360A1447">
            <w:pPr>
              <w:autoSpaceDE w:val="0"/>
              <w:jc w:val="left"/>
              <w:rPr>
                <w:rFonts w:hint="eastAsia" w:ascii="宋体" w:hAnsi="宋体" w:eastAsia="宋体" w:cs="宋体"/>
                <w:szCs w:val="21"/>
              </w:rPr>
            </w:pPr>
            <w:r>
              <w:rPr>
                <w:rFonts w:hint="eastAsia" w:ascii="宋体" w:hAnsi="宋体" w:eastAsia="宋体" w:cs="宋体"/>
                <w:szCs w:val="21"/>
                <w:lang w:bidi="ar"/>
              </w:rPr>
              <w:t>6.标样制备及样品自动稀释：须具备自动配置标准曲线功能，具有预稀释样品功能，也可以对溢出范围样品进行自动稀释及低浓度样品进行浓缩测试功能；</w:t>
            </w:r>
          </w:p>
          <w:p w14:paraId="3BB8CA2D">
            <w:pPr>
              <w:autoSpaceDE w:val="0"/>
              <w:jc w:val="left"/>
              <w:rPr>
                <w:rFonts w:hint="eastAsia" w:ascii="宋体" w:hAnsi="宋体" w:eastAsia="宋体" w:cs="宋体"/>
                <w:szCs w:val="21"/>
              </w:rPr>
            </w:pPr>
            <w:r>
              <w:rPr>
                <w:rFonts w:hint="eastAsia" w:ascii="宋体" w:hAnsi="宋体" w:eastAsia="宋体" w:cs="宋体"/>
                <w:szCs w:val="21"/>
                <w:lang w:bidi="ar"/>
              </w:rPr>
              <w:t>★7.分析速度：最快可达420个样品/小时；</w:t>
            </w:r>
          </w:p>
          <w:p w14:paraId="3B30E6C8">
            <w:pPr>
              <w:autoSpaceDE w:val="0"/>
              <w:jc w:val="left"/>
              <w:rPr>
                <w:rFonts w:hint="eastAsia" w:ascii="宋体" w:hAnsi="宋体" w:eastAsia="宋体" w:cs="宋体"/>
                <w:szCs w:val="21"/>
              </w:rPr>
            </w:pPr>
            <w:r>
              <w:rPr>
                <w:rFonts w:hint="eastAsia" w:ascii="宋体" w:hAnsi="宋体" w:eastAsia="宋体" w:cs="宋体"/>
                <w:szCs w:val="21"/>
                <w:lang w:bidi="ar"/>
              </w:rPr>
              <w:t>★8.比色皿转盘：可容纳70个及以上光程的高分子材质比色皿，光程10mm；要求配备比色皿自动清洗工作站，可重复使用，做到测试过程比色皿无限容量，拒绝一次性比色皿的配置；</w:t>
            </w:r>
          </w:p>
          <w:p w14:paraId="5E12569A">
            <w:pPr>
              <w:autoSpaceDE w:val="0"/>
              <w:jc w:val="left"/>
              <w:rPr>
                <w:rFonts w:hint="eastAsia" w:ascii="宋体" w:hAnsi="宋体" w:eastAsia="宋体" w:cs="宋体"/>
                <w:szCs w:val="21"/>
              </w:rPr>
            </w:pPr>
            <w:r>
              <w:rPr>
                <w:rFonts w:hint="eastAsia" w:ascii="宋体" w:hAnsi="宋体" w:eastAsia="宋体" w:cs="宋体"/>
                <w:szCs w:val="21"/>
                <w:lang w:bidi="ar"/>
              </w:rPr>
              <w:t>9.高效比色皿自动清洗工作站：清洗工作站采用套针清洗，外针淋洗，内针吸液，保证清洗的质量和效率，减少清洗液使用和废液产生。须具有光学自检功能，每次使用前，自动测试比色皿，保证光学纯度，测试失败的比色皿可以进行第二次清洗，再进行第二次测试。所有操作均有软件控制无需人为干预；</w:t>
            </w:r>
          </w:p>
          <w:p w14:paraId="00914AE2">
            <w:pPr>
              <w:autoSpaceDE w:val="0"/>
              <w:jc w:val="left"/>
              <w:rPr>
                <w:rFonts w:hint="eastAsia" w:ascii="宋体" w:hAnsi="宋体" w:eastAsia="宋体" w:cs="宋体"/>
                <w:szCs w:val="21"/>
              </w:rPr>
            </w:pPr>
            <w:r>
              <w:rPr>
                <w:rFonts w:hint="eastAsia" w:ascii="宋体" w:hAnsi="宋体" w:eastAsia="宋体" w:cs="宋体"/>
                <w:szCs w:val="21"/>
                <w:lang w:bidi="ar"/>
              </w:rPr>
              <w:t>10.高精度检测器：采用高精度数字检测器，具备9个滤光片系统，3个备用波长滤光片系统；</w:t>
            </w:r>
          </w:p>
          <w:p w14:paraId="60F27A05">
            <w:pPr>
              <w:autoSpaceDE w:val="0"/>
              <w:jc w:val="left"/>
              <w:rPr>
                <w:rFonts w:hint="eastAsia" w:ascii="宋体" w:hAnsi="宋体" w:eastAsia="宋体" w:cs="宋体"/>
                <w:szCs w:val="21"/>
              </w:rPr>
            </w:pPr>
            <w:r>
              <w:rPr>
                <w:rFonts w:hint="eastAsia" w:ascii="宋体" w:hAnsi="宋体" w:eastAsia="宋体" w:cs="宋体"/>
                <w:szCs w:val="21"/>
                <w:lang w:bidi="ar"/>
              </w:rPr>
              <w:t>★11.吸光度范围及分辨率：0.0001—4.50000 Abs；分辨率：0.00001Abs；</w:t>
            </w:r>
          </w:p>
          <w:p w14:paraId="513FFB51">
            <w:pPr>
              <w:autoSpaceDE w:val="0"/>
              <w:jc w:val="left"/>
              <w:rPr>
                <w:rFonts w:hint="eastAsia" w:ascii="宋体" w:hAnsi="宋体" w:eastAsia="宋体" w:cs="宋体"/>
                <w:szCs w:val="21"/>
              </w:rPr>
            </w:pPr>
            <w:r>
              <w:rPr>
                <w:rFonts w:hint="eastAsia" w:ascii="宋体" w:hAnsi="宋体" w:eastAsia="宋体" w:cs="宋体"/>
                <w:szCs w:val="21"/>
                <w:lang w:bidi="ar"/>
              </w:rPr>
              <w:t>12.分析软件：一键启动运行，全过程实现无人操作；方法间实现完全自动转换；自动配制标样，可选择手工配制或仪器自动配制标准曲线；超标样品自动稀释再分析；可多量程同时分析；可在测量过程中继续加样，可以自动输出标准曲线及计算公式，直接调出以前的原始测试数据，可输出excel，txt等格式数据；</w:t>
            </w:r>
          </w:p>
          <w:p w14:paraId="1E992E24">
            <w:pPr>
              <w:autoSpaceDE w:val="0"/>
              <w:jc w:val="left"/>
              <w:rPr>
                <w:rFonts w:hint="eastAsia" w:ascii="宋体" w:hAnsi="宋体" w:eastAsia="宋体" w:cs="宋体"/>
                <w:szCs w:val="21"/>
              </w:rPr>
            </w:pPr>
            <w:r>
              <w:rPr>
                <w:rFonts w:hint="eastAsia" w:ascii="宋体" w:hAnsi="宋体" w:eastAsia="宋体" w:cs="宋体"/>
                <w:szCs w:val="21"/>
                <w:lang w:bidi="ar"/>
              </w:rPr>
              <w:t>★13无人值守：仪器可以自动启动及开关机运行测试，提高日常工作效率和降低人为所需的设备维护，具有无人值守功能；</w:t>
            </w:r>
          </w:p>
          <w:p w14:paraId="758BDB24">
            <w:pPr>
              <w:autoSpaceDE w:val="0"/>
              <w:jc w:val="left"/>
              <w:rPr>
                <w:rFonts w:hint="eastAsia" w:ascii="宋体" w:hAnsi="宋体" w:eastAsia="宋体" w:cs="宋体"/>
                <w:szCs w:val="21"/>
              </w:rPr>
            </w:pPr>
            <w:r>
              <w:rPr>
                <w:rFonts w:hint="eastAsia" w:ascii="宋体" w:hAnsi="宋体" w:eastAsia="宋体" w:cs="宋体"/>
                <w:szCs w:val="21"/>
                <w:lang w:bidi="ar"/>
              </w:rPr>
              <w:t>14 全自动镉柱还原模块：必须配置内置的全自动镉柱还原模块，镉柱模块需配置两个独立蠕动泵实现全自动分析、清洗与再生，镉柱清洗、再生完全由软件控制，无需操作人员接触镉柱；</w:t>
            </w:r>
          </w:p>
          <w:p w14:paraId="1162D989">
            <w:pPr>
              <w:autoSpaceDE w:val="0"/>
              <w:jc w:val="left"/>
              <w:rPr>
                <w:rFonts w:hint="eastAsia" w:ascii="宋体" w:hAnsi="宋体" w:eastAsia="宋体" w:cs="宋体"/>
                <w:szCs w:val="21"/>
                <w:lang w:bidi="ar"/>
              </w:rPr>
            </w:pPr>
            <w:r>
              <w:rPr>
                <w:rFonts w:hint="eastAsia" w:ascii="宋体" w:hAnsi="宋体" w:eastAsia="宋体" w:cs="宋体"/>
                <w:szCs w:val="21"/>
                <w:lang w:bidi="ar"/>
              </w:rPr>
              <w:t>15.分析项目：</w:t>
            </w:r>
          </w:p>
          <w:p w14:paraId="18400E26">
            <w:pPr>
              <w:autoSpaceDE w:val="0"/>
              <w:jc w:val="left"/>
              <w:rPr>
                <w:rFonts w:hint="eastAsia" w:ascii="宋体" w:hAnsi="宋体" w:eastAsia="宋体" w:cs="宋体"/>
                <w:szCs w:val="21"/>
              </w:rPr>
            </w:pPr>
            <w:r>
              <w:rPr>
                <w:rFonts w:hint="eastAsia" w:ascii="宋体" w:hAnsi="宋体" w:eastAsia="宋体" w:cs="宋体"/>
                <w:szCs w:val="21"/>
                <w:lang w:bidi="ar"/>
              </w:rPr>
              <w:t>15.1 分析项目：氨氮：</w:t>
            </w:r>
          </w:p>
          <w:p w14:paraId="6C6B962D">
            <w:pPr>
              <w:autoSpaceDE w:val="0"/>
              <w:jc w:val="left"/>
              <w:rPr>
                <w:rFonts w:hint="eastAsia" w:ascii="宋体" w:hAnsi="宋体" w:eastAsia="宋体" w:cs="宋体"/>
                <w:szCs w:val="21"/>
              </w:rPr>
            </w:pPr>
            <w:r>
              <w:rPr>
                <w:rFonts w:hint="eastAsia" w:ascii="宋体" w:hAnsi="宋体" w:eastAsia="宋体" w:cs="宋体"/>
                <w:szCs w:val="21"/>
                <w:lang w:bidi="ar"/>
              </w:rPr>
              <w:t>15.1.1 量程范围：0-2 mg/L（以N计）；</w:t>
            </w:r>
          </w:p>
          <w:p w14:paraId="766D3C66">
            <w:pPr>
              <w:autoSpaceDE w:val="0"/>
              <w:jc w:val="left"/>
              <w:rPr>
                <w:rFonts w:hint="eastAsia" w:ascii="宋体" w:hAnsi="宋体" w:eastAsia="宋体" w:cs="宋体"/>
                <w:szCs w:val="21"/>
              </w:rPr>
            </w:pPr>
            <w:r>
              <w:rPr>
                <w:rFonts w:hint="eastAsia" w:ascii="宋体" w:hAnsi="宋体" w:eastAsia="宋体" w:cs="宋体"/>
                <w:szCs w:val="21"/>
                <w:lang w:bidi="ar"/>
              </w:rPr>
              <w:t>15.1.2 方法检测限：≤0.005 mg/L（以N计）；</w:t>
            </w:r>
          </w:p>
          <w:p w14:paraId="57B2FF3A">
            <w:pPr>
              <w:autoSpaceDE w:val="0"/>
              <w:jc w:val="left"/>
              <w:rPr>
                <w:rFonts w:hint="eastAsia" w:ascii="宋体" w:hAnsi="宋体" w:eastAsia="宋体" w:cs="宋体"/>
                <w:szCs w:val="21"/>
              </w:rPr>
            </w:pPr>
            <w:r>
              <w:rPr>
                <w:rFonts w:hint="eastAsia" w:ascii="宋体" w:hAnsi="宋体" w:eastAsia="宋体" w:cs="宋体"/>
                <w:szCs w:val="21"/>
                <w:lang w:bidi="ar"/>
              </w:rPr>
              <w:t>15.1.3 检测重复性：≤2%（1 mg/L标样重复10次进样）；</w:t>
            </w:r>
          </w:p>
          <w:p w14:paraId="08F63CC0">
            <w:pPr>
              <w:autoSpaceDE w:val="0"/>
              <w:jc w:val="left"/>
              <w:rPr>
                <w:rFonts w:hint="eastAsia" w:ascii="宋体" w:hAnsi="宋体" w:eastAsia="宋体" w:cs="宋体"/>
                <w:szCs w:val="21"/>
              </w:rPr>
            </w:pPr>
            <w:r>
              <w:rPr>
                <w:rFonts w:hint="eastAsia" w:ascii="宋体" w:hAnsi="宋体" w:eastAsia="宋体" w:cs="宋体"/>
                <w:szCs w:val="21"/>
                <w:lang w:bidi="ar"/>
              </w:rPr>
              <w:t>15.2 分析项目：总凯氏氮：</w:t>
            </w:r>
          </w:p>
          <w:p w14:paraId="69853BB5">
            <w:pPr>
              <w:autoSpaceDE w:val="0"/>
              <w:jc w:val="left"/>
              <w:rPr>
                <w:rFonts w:hint="eastAsia" w:ascii="宋体" w:hAnsi="宋体" w:eastAsia="宋体" w:cs="宋体"/>
                <w:szCs w:val="21"/>
              </w:rPr>
            </w:pPr>
            <w:r>
              <w:rPr>
                <w:rFonts w:hint="eastAsia" w:ascii="宋体" w:hAnsi="宋体" w:eastAsia="宋体" w:cs="宋体"/>
                <w:szCs w:val="21"/>
                <w:lang w:bidi="ar"/>
              </w:rPr>
              <w:t>15.2.1 量程范围：0-10 mg/L（以N计）；</w:t>
            </w:r>
          </w:p>
          <w:p w14:paraId="3750842B">
            <w:pPr>
              <w:autoSpaceDE w:val="0"/>
              <w:jc w:val="left"/>
              <w:rPr>
                <w:rFonts w:hint="eastAsia" w:ascii="宋体" w:hAnsi="宋体" w:eastAsia="宋体" w:cs="宋体"/>
                <w:szCs w:val="21"/>
              </w:rPr>
            </w:pPr>
            <w:r>
              <w:rPr>
                <w:rFonts w:hint="eastAsia" w:ascii="宋体" w:hAnsi="宋体" w:eastAsia="宋体" w:cs="宋体"/>
                <w:szCs w:val="21"/>
                <w:lang w:bidi="ar"/>
              </w:rPr>
              <w:t>15.2.2 方法检测限：≤0.02 mg/L（以N计）；</w:t>
            </w:r>
          </w:p>
          <w:p w14:paraId="26EB314D">
            <w:pPr>
              <w:autoSpaceDE w:val="0"/>
              <w:jc w:val="left"/>
              <w:rPr>
                <w:rFonts w:hint="eastAsia" w:ascii="宋体" w:hAnsi="宋体" w:eastAsia="宋体" w:cs="宋体"/>
                <w:szCs w:val="21"/>
              </w:rPr>
            </w:pPr>
            <w:r>
              <w:rPr>
                <w:rFonts w:hint="eastAsia" w:ascii="宋体" w:hAnsi="宋体" w:eastAsia="宋体" w:cs="宋体"/>
                <w:szCs w:val="21"/>
                <w:lang w:bidi="ar"/>
              </w:rPr>
              <w:t>15.2.3 检测重复性：≤2%（5 mg/L标样重复10次进样）；</w:t>
            </w:r>
          </w:p>
          <w:p w14:paraId="27CF1BFC">
            <w:pPr>
              <w:autoSpaceDE w:val="0"/>
              <w:jc w:val="left"/>
              <w:rPr>
                <w:rFonts w:hint="eastAsia" w:ascii="宋体" w:hAnsi="宋体" w:eastAsia="宋体" w:cs="宋体"/>
                <w:szCs w:val="21"/>
              </w:rPr>
            </w:pPr>
            <w:r>
              <w:rPr>
                <w:rFonts w:hint="eastAsia" w:ascii="宋体" w:hAnsi="宋体" w:eastAsia="宋体" w:cs="宋体"/>
                <w:szCs w:val="21"/>
                <w:lang w:bidi="ar"/>
              </w:rPr>
              <w:t>15.3 分析项目：亚硝酸盐：</w:t>
            </w:r>
          </w:p>
          <w:p w14:paraId="4F715130">
            <w:pPr>
              <w:autoSpaceDE w:val="0"/>
              <w:jc w:val="left"/>
              <w:rPr>
                <w:rFonts w:hint="eastAsia" w:ascii="宋体" w:hAnsi="宋体" w:eastAsia="宋体" w:cs="宋体"/>
                <w:szCs w:val="21"/>
              </w:rPr>
            </w:pPr>
            <w:r>
              <w:rPr>
                <w:rFonts w:hint="eastAsia" w:ascii="宋体" w:hAnsi="宋体" w:eastAsia="宋体" w:cs="宋体"/>
                <w:szCs w:val="21"/>
                <w:lang w:bidi="ar"/>
              </w:rPr>
              <w:t>15.3.1 量程范围：0.02-2.0 mg/L（以NO</w:t>
            </w:r>
            <w:r>
              <w:rPr>
                <w:rFonts w:hint="eastAsia" w:ascii="宋体" w:hAnsi="宋体" w:eastAsia="宋体" w:cs="宋体"/>
                <w:szCs w:val="21"/>
                <w:vertAlign w:val="subscript"/>
                <w:lang w:bidi="ar"/>
              </w:rPr>
              <w:t>2</w:t>
            </w:r>
            <w:r>
              <w:rPr>
                <w:rFonts w:hint="eastAsia" w:ascii="宋体" w:hAnsi="宋体" w:eastAsia="宋体" w:cs="宋体"/>
                <w:szCs w:val="21"/>
                <w:lang w:bidi="ar"/>
              </w:rPr>
              <w:t>-N计）；</w:t>
            </w:r>
          </w:p>
          <w:p w14:paraId="49447295">
            <w:pPr>
              <w:autoSpaceDE w:val="0"/>
              <w:jc w:val="left"/>
              <w:rPr>
                <w:rFonts w:hint="eastAsia" w:ascii="宋体" w:hAnsi="宋体" w:eastAsia="宋体" w:cs="宋体"/>
                <w:szCs w:val="21"/>
              </w:rPr>
            </w:pPr>
            <w:r>
              <w:rPr>
                <w:rFonts w:hint="eastAsia" w:ascii="宋体" w:hAnsi="宋体" w:eastAsia="宋体" w:cs="宋体"/>
                <w:szCs w:val="21"/>
                <w:lang w:bidi="ar"/>
              </w:rPr>
              <w:t>15.3.2 方法检测限：0.002 mg/L（以NO</w:t>
            </w:r>
            <w:r>
              <w:rPr>
                <w:rFonts w:hint="eastAsia" w:ascii="宋体" w:hAnsi="宋体" w:eastAsia="宋体" w:cs="宋体"/>
                <w:szCs w:val="21"/>
                <w:vertAlign w:val="subscript"/>
                <w:lang w:bidi="ar"/>
              </w:rPr>
              <w:t>2</w:t>
            </w:r>
            <w:r>
              <w:rPr>
                <w:rFonts w:hint="eastAsia" w:ascii="宋体" w:hAnsi="宋体" w:eastAsia="宋体" w:cs="宋体"/>
                <w:szCs w:val="21"/>
                <w:lang w:bidi="ar"/>
              </w:rPr>
              <w:t>-N计）；</w:t>
            </w:r>
          </w:p>
          <w:p w14:paraId="61EC974B">
            <w:pPr>
              <w:autoSpaceDE w:val="0"/>
              <w:jc w:val="left"/>
              <w:rPr>
                <w:rFonts w:hint="eastAsia" w:ascii="宋体" w:hAnsi="宋体" w:eastAsia="宋体" w:cs="宋体"/>
                <w:szCs w:val="21"/>
              </w:rPr>
            </w:pPr>
            <w:r>
              <w:rPr>
                <w:rFonts w:hint="eastAsia" w:ascii="宋体" w:hAnsi="宋体" w:eastAsia="宋体" w:cs="宋体"/>
                <w:szCs w:val="21"/>
                <w:lang w:bidi="ar"/>
              </w:rPr>
              <w:t>15.3.3 检测重复性：≤2%（1.0 mg/L NO</w:t>
            </w:r>
            <w:r>
              <w:rPr>
                <w:rFonts w:hint="eastAsia" w:ascii="宋体" w:hAnsi="宋体" w:eastAsia="宋体" w:cs="宋体"/>
                <w:szCs w:val="21"/>
                <w:vertAlign w:val="subscript"/>
                <w:lang w:bidi="ar"/>
              </w:rPr>
              <w:t>2</w:t>
            </w:r>
            <w:r>
              <w:rPr>
                <w:rFonts w:hint="eastAsia" w:ascii="宋体" w:hAnsi="宋体" w:eastAsia="宋体" w:cs="宋体"/>
                <w:szCs w:val="21"/>
                <w:lang w:bidi="ar"/>
              </w:rPr>
              <w:t>-N标样重复10次进样）；</w:t>
            </w:r>
          </w:p>
          <w:p w14:paraId="4C74F7EE">
            <w:pPr>
              <w:autoSpaceDE w:val="0"/>
              <w:jc w:val="left"/>
              <w:rPr>
                <w:rFonts w:hint="eastAsia" w:ascii="宋体" w:hAnsi="宋体" w:eastAsia="宋体" w:cs="宋体"/>
                <w:szCs w:val="21"/>
              </w:rPr>
            </w:pPr>
            <w:r>
              <w:rPr>
                <w:rFonts w:hint="eastAsia" w:ascii="宋体" w:hAnsi="宋体" w:eastAsia="宋体" w:cs="宋体"/>
                <w:szCs w:val="21"/>
                <w:lang w:bidi="ar"/>
              </w:rPr>
              <w:t>15.4 分析项目：硝酸盐：</w:t>
            </w:r>
          </w:p>
          <w:p w14:paraId="3E583D94">
            <w:pPr>
              <w:autoSpaceDE w:val="0"/>
              <w:jc w:val="left"/>
              <w:rPr>
                <w:rFonts w:hint="eastAsia" w:ascii="宋体" w:hAnsi="宋体" w:eastAsia="宋体" w:cs="宋体"/>
                <w:szCs w:val="21"/>
              </w:rPr>
            </w:pPr>
            <w:r>
              <w:rPr>
                <w:rFonts w:hint="eastAsia" w:ascii="宋体" w:hAnsi="宋体" w:eastAsia="宋体" w:cs="宋体"/>
                <w:szCs w:val="21"/>
                <w:lang w:bidi="ar"/>
              </w:rPr>
              <w:t>15.4.1 量程范围：0.01-5 mg/L（以NO</w:t>
            </w:r>
            <w:r>
              <w:rPr>
                <w:rFonts w:hint="eastAsia" w:ascii="宋体" w:hAnsi="宋体" w:eastAsia="宋体" w:cs="宋体"/>
                <w:szCs w:val="21"/>
                <w:vertAlign w:val="subscript"/>
                <w:lang w:bidi="ar"/>
              </w:rPr>
              <w:t>3</w:t>
            </w:r>
            <w:r>
              <w:rPr>
                <w:rFonts w:hint="eastAsia" w:ascii="宋体" w:hAnsi="宋体" w:eastAsia="宋体" w:cs="宋体"/>
                <w:szCs w:val="21"/>
                <w:lang w:bidi="ar"/>
              </w:rPr>
              <w:t>-N计）；</w:t>
            </w:r>
          </w:p>
          <w:p w14:paraId="5A3F219E">
            <w:pPr>
              <w:autoSpaceDE w:val="0"/>
              <w:jc w:val="left"/>
              <w:rPr>
                <w:rFonts w:hint="eastAsia" w:ascii="宋体" w:hAnsi="宋体" w:eastAsia="宋体" w:cs="宋体"/>
                <w:szCs w:val="21"/>
              </w:rPr>
            </w:pPr>
            <w:r>
              <w:rPr>
                <w:rFonts w:hint="eastAsia" w:ascii="宋体" w:hAnsi="宋体" w:eastAsia="宋体" w:cs="宋体"/>
                <w:szCs w:val="21"/>
                <w:lang w:bidi="ar"/>
              </w:rPr>
              <w:t>15.4.2 方法检测限：0.01 mg/L（以NO</w:t>
            </w:r>
            <w:r>
              <w:rPr>
                <w:rFonts w:hint="eastAsia" w:ascii="宋体" w:hAnsi="宋体" w:eastAsia="宋体" w:cs="宋体"/>
                <w:szCs w:val="21"/>
                <w:vertAlign w:val="subscript"/>
                <w:lang w:bidi="ar"/>
              </w:rPr>
              <w:t>3</w:t>
            </w:r>
            <w:r>
              <w:rPr>
                <w:rFonts w:hint="eastAsia" w:ascii="宋体" w:hAnsi="宋体" w:eastAsia="宋体" w:cs="宋体"/>
                <w:szCs w:val="21"/>
                <w:lang w:bidi="ar"/>
              </w:rPr>
              <w:t>-N计）；</w:t>
            </w:r>
          </w:p>
          <w:p w14:paraId="42F995D9">
            <w:pPr>
              <w:autoSpaceDE w:val="0"/>
              <w:jc w:val="left"/>
              <w:rPr>
                <w:rFonts w:hint="eastAsia" w:ascii="宋体" w:hAnsi="宋体" w:eastAsia="宋体" w:cs="宋体"/>
                <w:szCs w:val="21"/>
              </w:rPr>
            </w:pPr>
            <w:r>
              <w:rPr>
                <w:rFonts w:hint="eastAsia" w:ascii="宋体" w:hAnsi="宋体" w:eastAsia="宋体" w:cs="宋体"/>
                <w:szCs w:val="21"/>
                <w:lang w:bidi="ar"/>
              </w:rPr>
              <w:t>15.4.3 检测重复性：≤2.0%（2 mg/L NO</w:t>
            </w:r>
            <w:r>
              <w:rPr>
                <w:rFonts w:hint="eastAsia" w:ascii="宋体" w:hAnsi="宋体" w:eastAsia="宋体" w:cs="宋体"/>
                <w:szCs w:val="21"/>
                <w:vertAlign w:val="subscript"/>
                <w:lang w:bidi="ar"/>
              </w:rPr>
              <w:t>3</w:t>
            </w:r>
            <w:r>
              <w:rPr>
                <w:rFonts w:hint="eastAsia" w:ascii="宋体" w:hAnsi="宋体" w:eastAsia="宋体" w:cs="宋体"/>
                <w:szCs w:val="21"/>
                <w:lang w:bidi="ar"/>
              </w:rPr>
              <w:t>-N标样重复10次进样）；</w:t>
            </w:r>
          </w:p>
          <w:p w14:paraId="7BF66B70">
            <w:pPr>
              <w:autoSpaceDE w:val="0"/>
              <w:jc w:val="left"/>
              <w:rPr>
                <w:rFonts w:hint="eastAsia" w:ascii="宋体" w:hAnsi="宋体" w:eastAsia="宋体" w:cs="宋体"/>
                <w:szCs w:val="21"/>
              </w:rPr>
            </w:pPr>
            <w:r>
              <w:rPr>
                <w:rFonts w:hint="eastAsia" w:ascii="宋体" w:hAnsi="宋体" w:eastAsia="宋体" w:cs="宋体"/>
                <w:szCs w:val="21"/>
                <w:lang w:bidi="ar"/>
              </w:rPr>
              <w:t>15.5 分析项目： 总氮-硝酸盐：</w:t>
            </w:r>
          </w:p>
          <w:p w14:paraId="37849E13">
            <w:pPr>
              <w:autoSpaceDE w:val="0"/>
              <w:jc w:val="left"/>
              <w:rPr>
                <w:rFonts w:hint="eastAsia" w:ascii="宋体" w:hAnsi="宋体" w:eastAsia="宋体" w:cs="宋体"/>
                <w:szCs w:val="21"/>
              </w:rPr>
            </w:pPr>
            <w:r>
              <w:rPr>
                <w:rFonts w:hint="eastAsia" w:ascii="宋体" w:hAnsi="宋体" w:eastAsia="宋体" w:cs="宋体"/>
                <w:szCs w:val="21"/>
                <w:lang w:bidi="ar"/>
              </w:rPr>
              <w:t>15.5.1 量程范围：0.01-10 mg/L（以NO</w:t>
            </w:r>
            <w:r>
              <w:rPr>
                <w:rFonts w:hint="eastAsia" w:ascii="宋体" w:hAnsi="宋体" w:eastAsia="宋体" w:cs="宋体"/>
                <w:szCs w:val="21"/>
                <w:vertAlign w:val="subscript"/>
                <w:lang w:bidi="ar"/>
              </w:rPr>
              <w:t>3</w:t>
            </w:r>
            <w:r>
              <w:rPr>
                <w:rFonts w:hint="eastAsia" w:ascii="宋体" w:hAnsi="宋体" w:eastAsia="宋体" w:cs="宋体"/>
                <w:szCs w:val="21"/>
                <w:lang w:bidi="ar"/>
              </w:rPr>
              <w:t>-N计）；</w:t>
            </w:r>
          </w:p>
          <w:p w14:paraId="75B11870">
            <w:pPr>
              <w:autoSpaceDE w:val="0"/>
              <w:jc w:val="left"/>
              <w:rPr>
                <w:rFonts w:hint="eastAsia" w:ascii="宋体" w:hAnsi="宋体" w:eastAsia="宋体" w:cs="宋体"/>
                <w:szCs w:val="21"/>
              </w:rPr>
            </w:pPr>
            <w:r>
              <w:rPr>
                <w:rFonts w:hint="eastAsia" w:ascii="宋体" w:hAnsi="宋体" w:eastAsia="宋体" w:cs="宋体"/>
                <w:szCs w:val="21"/>
                <w:lang w:bidi="ar"/>
              </w:rPr>
              <w:t>15.5.2 方法检测限：0.02 mg/L（以NO</w:t>
            </w:r>
            <w:r>
              <w:rPr>
                <w:rFonts w:hint="eastAsia" w:ascii="宋体" w:hAnsi="宋体" w:eastAsia="宋体" w:cs="宋体"/>
                <w:szCs w:val="21"/>
                <w:vertAlign w:val="subscript"/>
                <w:lang w:bidi="ar"/>
              </w:rPr>
              <w:t>3</w:t>
            </w:r>
            <w:r>
              <w:rPr>
                <w:rFonts w:hint="eastAsia" w:ascii="宋体" w:hAnsi="宋体" w:eastAsia="宋体" w:cs="宋体"/>
                <w:szCs w:val="21"/>
                <w:lang w:bidi="ar"/>
              </w:rPr>
              <w:t>-N计）；</w:t>
            </w:r>
          </w:p>
          <w:p w14:paraId="26038337">
            <w:pPr>
              <w:autoSpaceDE w:val="0"/>
              <w:jc w:val="left"/>
              <w:rPr>
                <w:rFonts w:hint="eastAsia" w:ascii="宋体" w:hAnsi="宋体" w:eastAsia="宋体" w:cs="宋体"/>
                <w:szCs w:val="21"/>
              </w:rPr>
            </w:pPr>
            <w:r>
              <w:rPr>
                <w:rFonts w:hint="eastAsia" w:ascii="宋体" w:hAnsi="宋体" w:eastAsia="宋体" w:cs="宋体"/>
                <w:szCs w:val="21"/>
                <w:lang w:bidi="ar"/>
              </w:rPr>
              <w:t>15.5.3 检测重复性：≤2.0%（5 mg/L NO</w:t>
            </w:r>
            <w:r>
              <w:rPr>
                <w:rFonts w:hint="eastAsia" w:ascii="宋体" w:hAnsi="宋体" w:eastAsia="宋体" w:cs="宋体"/>
                <w:szCs w:val="21"/>
                <w:vertAlign w:val="subscript"/>
                <w:lang w:bidi="ar"/>
              </w:rPr>
              <w:t>3</w:t>
            </w:r>
            <w:r>
              <w:rPr>
                <w:rFonts w:hint="eastAsia" w:ascii="宋体" w:hAnsi="宋体" w:eastAsia="宋体" w:cs="宋体"/>
                <w:szCs w:val="21"/>
                <w:lang w:bidi="ar"/>
              </w:rPr>
              <w:t>-N标样重复10次进样）；</w:t>
            </w:r>
          </w:p>
          <w:p w14:paraId="6FCD98A3">
            <w:pPr>
              <w:autoSpaceDE w:val="0"/>
              <w:jc w:val="left"/>
              <w:rPr>
                <w:rFonts w:hint="eastAsia" w:ascii="宋体" w:hAnsi="宋体" w:eastAsia="宋体" w:cs="宋体"/>
                <w:szCs w:val="21"/>
              </w:rPr>
            </w:pPr>
            <w:r>
              <w:rPr>
                <w:rFonts w:hint="eastAsia" w:ascii="宋体" w:hAnsi="宋体" w:eastAsia="宋体" w:cs="宋体"/>
                <w:szCs w:val="21"/>
                <w:lang w:bidi="ar"/>
              </w:rPr>
              <w:t>15.6 分析项目：磷酸盐：</w:t>
            </w:r>
          </w:p>
          <w:p w14:paraId="3D65A63E">
            <w:pPr>
              <w:autoSpaceDE w:val="0"/>
              <w:jc w:val="left"/>
              <w:rPr>
                <w:rFonts w:hint="eastAsia" w:ascii="宋体" w:hAnsi="宋体" w:eastAsia="宋体" w:cs="宋体"/>
                <w:szCs w:val="21"/>
              </w:rPr>
            </w:pPr>
            <w:r>
              <w:rPr>
                <w:rFonts w:hint="eastAsia" w:ascii="宋体" w:hAnsi="宋体" w:eastAsia="宋体" w:cs="宋体"/>
                <w:szCs w:val="21"/>
                <w:lang w:bidi="ar"/>
              </w:rPr>
              <w:t>15.6.1 量程范围：0.01-1mg/L；</w:t>
            </w:r>
          </w:p>
          <w:p w14:paraId="7FA76A44">
            <w:pPr>
              <w:autoSpaceDE w:val="0"/>
              <w:jc w:val="left"/>
              <w:rPr>
                <w:rFonts w:hint="eastAsia" w:ascii="宋体" w:hAnsi="宋体" w:eastAsia="宋体" w:cs="宋体"/>
                <w:szCs w:val="21"/>
              </w:rPr>
            </w:pPr>
            <w:r>
              <w:rPr>
                <w:rFonts w:hint="eastAsia" w:ascii="宋体" w:hAnsi="宋体" w:eastAsia="宋体" w:cs="宋体"/>
                <w:szCs w:val="21"/>
                <w:lang w:bidi="ar"/>
              </w:rPr>
              <w:t>15.6.2 方法检测限：≤0.002mg/L（以P计）；</w:t>
            </w:r>
          </w:p>
          <w:p w14:paraId="54A4B96C">
            <w:pPr>
              <w:autoSpaceDE w:val="0"/>
              <w:jc w:val="left"/>
              <w:rPr>
                <w:rFonts w:hint="eastAsia" w:ascii="宋体" w:hAnsi="宋体" w:eastAsia="宋体" w:cs="宋体"/>
                <w:szCs w:val="21"/>
              </w:rPr>
            </w:pPr>
            <w:r>
              <w:rPr>
                <w:rFonts w:hint="eastAsia" w:ascii="宋体" w:hAnsi="宋体" w:eastAsia="宋体" w:cs="宋体"/>
                <w:szCs w:val="21"/>
                <w:lang w:bidi="ar"/>
              </w:rPr>
              <w:t>15.6.3 检测重复性：≤2.0%（0.5mg/l P标样重复10次进样）；</w:t>
            </w:r>
          </w:p>
          <w:p w14:paraId="4E6A54DA">
            <w:pPr>
              <w:autoSpaceDE w:val="0"/>
              <w:jc w:val="left"/>
              <w:rPr>
                <w:rFonts w:hint="eastAsia" w:ascii="宋体" w:hAnsi="宋体" w:eastAsia="宋体" w:cs="宋体"/>
                <w:szCs w:val="21"/>
              </w:rPr>
            </w:pPr>
            <w:r>
              <w:rPr>
                <w:rFonts w:hint="eastAsia" w:ascii="宋体" w:hAnsi="宋体" w:eastAsia="宋体" w:cs="宋体"/>
                <w:szCs w:val="21"/>
                <w:lang w:bidi="ar"/>
              </w:rPr>
              <w:t>15.7 分析项目：总磷：</w:t>
            </w:r>
          </w:p>
          <w:p w14:paraId="60460942">
            <w:pPr>
              <w:autoSpaceDE w:val="0"/>
              <w:jc w:val="left"/>
              <w:rPr>
                <w:rFonts w:hint="eastAsia" w:ascii="宋体" w:hAnsi="宋体" w:eastAsia="宋体" w:cs="宋体"/>
                <w:szCs w:val="21"/>
              </w:rPr>
            </w:pPr>
            <w:r>
              <w:rPr>
                <w:rFonts w:hint="eastAsia" w:ascii="宋体" w:hAnsi="宋体" w:eastAsia="宋体" w:cs="宋体"/>
                <w:szCs w:val="21"/>
                <w:lang w:bidi="ar"/>
              </w:rPr>
              <w:t>15.7.1 量程范围：0.01-10mg/L；</w:t>
            </w:r>
          </w:p>
          <w:p w14:paraId="79DE0F8D">
            <w:pPr>
              <w:autoSpaceDE w:val="0"/>
              <w:jc w:val="left"/>
              <w:rPr>
                <w:rFonts w:hint="eastAsia" w:ascii="宋体" w:hAnsi="宋体" w:eastAsia="宋体" w:cs="宋体"/>
                <w:szCs w:val="21"/>
              </w:rPr>
            </w:pPr>
            <w:r>
              <w:rPr>
                <w:rFonts w:hint="eastAsia" w:ascii="宋体" w:hAnsi="宋体" w:eastAsia="宋体" w:cs="宋体"/>
                <w:szCs w:val="21"/>
                <w:lang w:bidi="ar"/>
              </w:rPr>
              <w:t>15.7.2 方法检测限：≤0.02mg/L（以P计）；</w:t>
            </w:r>
          </w:p>
          <w:p w14:paraId="5707879C">
            <w:pPr>
              <w:autoSpaceDE w:val="0"/>
              <w:jc w:val="left"/>
              <w:rPr>
                <w:rFonts w:hint="eastAsia" w:ascii="宋体" w:hAnsi="宋体" w:eastAsia="宋体" w:cs="宋体"/>
                <w:szCs w:val="21"/>
              </w:rPr>
            </w:pPr>
            <w:r>
              <w:rPr>
                <w:rFonts w:hint="eastAsia" w:ascii="宋体" w:hAnsi="宋体" w:eastAsia="宋体" w:cs="宋体"/>
                <w:szCs w:val="21"/>
                <w:lang w:bidi="ar"/>
              </w:rPr>
              <w:t>15.7.3 检测重复性：≤ 2.0%（5mg/l P标样重复10次进样）。</w:t>
            </w:r>
          </w:p>
        </w:tc>
      </w:tr>
    </w:tbl>
    <w:p w14:paraId="78A6D426">
      <w:pPr>
        <w:widowControl/>
        <w:adjustRightInd w:val="0"/>
        <w:snapToGrid w:val="0"/>
        <w:spacing w:line="288" w:lineRule="auto"/>
        <w:jc w:val="left"/>
        <w:rPr>
          <w:rFonts w:hint="eastAsia" w:ascii="宋体" w:hAnsi="宋体" w:eastAsia="宋体" w:cs="Times New Roman"/>
          <w:szCs w:val="21"/>
        </w:rPr>
      </w:pPr>
      <w:r>
        <w:rPr>
          <w:rFonts w:ascii="宋体" w:hAnsi="宋体" w:eastAsia="宋体" w:cs="Times New Roman"/>
          <w:szCs w:val="21"/>
        </w:rPr>
        <w:br w:type="page"/>
      </w:r>
    </w:p>
    <w:p w14:paraId="3325B70F">
      <w:pPr>
        <w:adjustRightInd w:val="0"/>
        <w:snapToGrid w:val="0"/>
        <w:spacing w:line="288" w:lineRule="auto"/>
        <w:jc w:val="center"/>
        <w:outlineLvl w:val="0"/>
        <w:rPr>
          <w:rFonts w:hint="eastAsia" w:ascii="宋体" w:hAnsi="宋体" w:eastAsia="宋体" w:cs="Times New Roman"/>
          <w:sz w:val="32"/>
          <w:szCs w:val="32"/>
        </w:rPr>
      </w:pPr>
      <w:r>
        <w:rPr>
          <w:rFonts w:hint="eastAsia" w:ascii="宋体" w:hAnsi="宋体" w:eastAsia="宋体" w:cs="Times New Roman"/>
          <w:b/>
          <w:sz w:val="32"/>
          <w:szCs w:val="32"/>
        </w:rPr>
        <w:t>第三章  投标人须知</w:t>
      </w:r>
    </w:p>
    <w:p w14:paraId="48EC7AAA">
      <w:pPr>
        <w:adjustRightInd w:val="0"/>
        <w:snapToGrid w:val="0"/>
        <w:spacing w:line="288" w:lineRule="auto"/>
        <w:ind w:left="238"/>
        <w:jc w:val="center"/>
        <w:outlineLvl w:val="1"/>
        <w:rPr>
          <w:rFonts w:hint="eastAsia"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C836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32A98C9">
            <w:pPr>
              <w:adjustRightInd w:val="0"/>
              <w:snapToGrid w:val="0"/>
              <w:spacing w:line="288" w:lineRule="auto"/>
              <w:jc w:val="center"/>
              <w:rPr>
                <w:rFonts w:hint="eastAsia" w:ascii="宋体" w:hAnsi="宋体" w:eastAsia="宋体"/>
                <w:b/>
                <w:bCs/>
                <w:szCs w:val="21"/>
              </w:rPr>
            </w:pPr>
            <w:r>
              <w:rPr>
                <w:rFonts w:hint="eastAsia" w:ascii="宋体" w:hAnsi="宋体" w:eastAsia="宋体"/>
                <w:b/>
                <w:bCs/>
                <w:szCs w:val="21"/>
              </w:rPr>
              <w:t>条款号</w:t>
            </w:r>
          </w:p>
        </w:tc>
        <w:tc>
          <w:tcPr>
            <w:tcW w:w="1701" w:type="dxa"/>
            <w:vAlign w:val="center"/>
          </w:tcPr>
          <w:p w14:paraId="0434265F">
            <w:pPr>
              <w:adjustRightInd w:val="0"/>
              <w:snapToGrid w:val="0"/>
              <w:spacing w:line="288" w:lineRule="auto"/>
              <w:jc w:val="center"/>
              <w:rPr>
                <w:rFonts w:hint="eastAsia" w:ascii="宋体" w:hAnsi="宋体" w:eastAsia="宋体"/>
                <w:b/>
                <w:bCs/>
                <w:szCs w:val="21"/>
              </w:rPr>
            </w:pPr>
            <w:r>
              <w:rPr>
                <w:rFonts w:hint="eastAsia" w:ascii="宋体" w:hAnsi="宋体" w:eastAsia="宋体"/>
                <w:b/>
                <w:bCs/>
                <w:szCs w:val="21"/>
              </w:rPr>
              <w:t>内容</w:t>
            </w:r>
          </w:p>
        </w:tc>
        <w:tc>
          <w:tcPr>
            <w:tcW w:w="6663" w:type="dxa"/>
            <w:vAlign w:val="center"/>
          </w:tcPr>
          <w:p w14:paraId="5FB0CBB3">
            <w:pPr>
              <w:adjustRightInd w:val="0"/>
              <w:snapToGrid w:val="0"/>
              <w:spacing w:line="288" w:lineRule="auto"/>
              <w:jc w:val="center"/>
              <w:rPr>
                <w:rFonts w:hint="eastAsia" w:ascii="宋体" w:hAnsi="宋体" w:eastAsia="宋体"/>
                <w:b/>
                <w:bCs/>
                <w:szCs w:val="21"/>
              </w:rPr>
            </w:pPr>
            <w:r>
              <w:rPr>
                <w:rFonts w:hint="eastAsia" w:ascii="宋体" w:hAnsi="宋体" w:eastAsia="宋体"/>
                <w:b/>
                <w:bCs/>
                <w:szCs w:val="21"/>
              </w:rPr>
              <w:t>说明与要求</w:t>
            </w:r>
          </w:p>
        </w:tc>
      </w:tr>
      <w:tr w14:paraId="5F94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8F63382">
            <w:pPr>
              <w:adjustRightInd w:val="0"/>
              <w:snapToGrid w:val="0"/>
              <w:spacing w:line="288" w:lineRule="auto"/>
              <w:jc w:val="center"/>
              <w:rPr>
                <w:rFonts w:hint="eastAsia" w:ascii="宋体" w:hAnsi="宋体" w:eastAsia="宋体"/>
                <w:szCs w:val="21"/>
              </w:rPr>
            </w:pPr>
            <w:r>
              <w:rPr>
                <w:rFonts w:hint="eastAsia" w:ascii="宋体" w:hAnsi="宋体" w:eastAsia="宋体"/>
                <w:szCs w:val="21"/>
              </w:rPr>
              <w:t>（一）</w:t>
            </w:r>
          </w:p>
        </w:tc>
        <w:tc>
          <w:tcPr>
            <w:tcW w:w="1701" w:type="dxa"/>
            <w:vAlign w:val="center"/>
          </w:tcPr>
          <w:p w14:paraId="1822EEA7">
            <w:pPr>
              <w:adjustRightInd w:val="0"/>
              <w:snapToGrid w:val="0"/>
              <w:spacing w:line="288" w:lineRule="auto"/>
              <w:jc w:val="center"/>
              <w:rPr>
                <w:rFonts w:hint="eastAsia" w:ascii="宋体" w:hAnsi="宋体" w:eastAsia="宋体"/>
                <w:szCs w:val="21"/>
              </w:rPr>
            </w:pPr>
            <w:r>
              <w:rPr>
                <w:rFonts w:hint="eastAsia" w:ascii="宋体" w:hAnsi="宋体" w:eastAsia="宋体"/>
                <w:szCs w:val="21"/>
              </w:rPr>
              <w:t>适用范围</w:t>
            </w:r>
          </w:p>
        </w:tc>
        <w:tc>
          <w:tcPr>
            <w:tcW w:w="6663" w:type="dxa"/>
            <w:vAlign w:val="center"/>
          </w:tcPr>
          <w:p w14:paraId="0F2A29DA">
            <w:pPr>
              <w:adjustRightInd w:val="0"/>
              <w:snapToGrid w:val="0"/>
              <w:spacing w:line="288" w:lineRule="auto"/>
              <w:rPr>
                <w:rFonts w:hint="eastAsia" w:ascii="宋体" w:hAnsi="宋体" w:eastAsia="宋体"/>
                <w:szCs w:val="21"/>
              </w:rPr>
            </w:pPr>
            <w:r>
              <w:rPr>
                <w:rFonts w:hint="eastAsia" w:ascii="宋体" w:hAnsi="宋体" w:eastAsia="宋体"/>
                <w:szCs w:val="21"/>
              </w:rPr>
              <w:t>本招标文件适用于浙江农林大学山地健康土壤培育子平台的招标、评标、定标、验收、合同履约、付款等（法律、法规另有规定的，从其规定）。</w:t>
            </w:r>
          </w:p>
        </w:tc>
      </w:tr>
      <w:tr w14:paraId="3F5DB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8FFEC1C">
            <w:pPr>
              <w:adjustRightInd w:val="0"/>
              <w:snapToGrid w:val="0"/>
              <w:spacing w:line="288" w:lineRule="auto"/>
              <w:jc w:val="center"/>
              <w:rPr>
                <w:rFonts w:hint="eastAsia" w:ascii="宋体" w:hAnsi="宋体" w:eastAsia="宋体"/>
                <w:szCs w:val="21"/>
              </w:rPr>
            </w:pPr>
            <w:r>
              <w:rPr>
                <w:rFonts w:hint="eastAsia" w:ascii="宋体" w:hAnsi="宋体" w:eastAsia="宋体"/>
                <w:szCs w:val="21"/>
              </w:rPr>
              <w:t>（二）</w:t>
            </w:r>
          </w:p>
        </w:tc>
        <w:tc>
          <w:tcPr>
            <w:tcW w:w="1701" w:type="dxa"/>
            <w:vAlign w:val="center"/>
          </w:tcPr>
          <w:p w14:paraId="6D11C34A">
            <w:pPr>
              <w:adjustRightInd w:val="0"/>
              <w:snapToGrid w:val="0"/>
              <w:spacing w:line="288" w:lineRule="auto"/>
              <w:jc w:val="center"/>
              <w:rPr>
                <w:rFonts w:hint="eastAsia" w:ascii="宋体" w:hAnsi="宋体" w:eastAsia="宋体"/>
                <w:szCs w:val="21"/>
              </w:rPr>
            </w:pPr>
            <w:r>
              <w:rPr>
                <w:rFonts w:hint="eastAsia" w:ascii="宋体" w:hAnsi="宋体" w:eastAsia="宋体"/>
                <w:szCs w:val="21"/>
              </w:rPr>
              <w:t>招标方式</w:t>
            </w:r>
          </w:p>
        </w:tc>
        <w:tc>
          <w:tcPr>
            <w:tcW w:w="6663" w:type="dxa"/>
            <w:vAlign w:val="center"/>
          </w:tcPr>
          <w:p w14:paraId="5D7DD4E8">
            <w:pPr>
              <w:adjustRightInd w:val="0"/>
              <w:snapToGrid w:val="0"/>
              <w:spacing w:line="288" w:lineRule="auto"/>
              <w:rPr>
                <w:rFonts w:hint="eastAsia" w:ascii="宋体" w:hAnsi="宋体" w:eastAsia="宋体"/>
                <w:szCs w:val="21"/>
              </w:rPr>
            </w:pPr>
            <w:r>
              <w:rPr>
                <w:rFonts w:hint="eastAsia" w:ascii="宋体" w:hAnsi="宋体" w:eastAsia="宋体"/>
                <w:szCs w:val="21"/>
              </w:rPr>
              <w:t>本次招标采用公开招标（线上电子招投标）方式进行。</w:t>
            </w:r>
          </w:p>
        </w:tc>
      </w:tr>
      <w:tr w14:paraId="693F4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7C9EC2">
            <w:pPr>
              <w:adjustRightInd w:val="0"/>
              <w:snapToGrid w:val="0"/>
              <w:spacing w:line="288" w:lineRule="auto"/>
              <w:jc w:val="center"/>
              <w:rPr>
                <w:rFonts w:hint="eastAsia" w:ascii="宋体" w:hAnsi="宋体" w:eastAsia="宋体"/>
                <w:szCs w:val="21"/>
              </w:rPr>
            </w:pPr>
            <w:r>
              <w:rPr>
                <w:rFonts w:hint="eastAsia" w:ascii="宋体" w:hAnsi="宋体" w:eastAsia="宋体"/>
                <w:szCs w:val="21"/>
              </w:rPr>
              <w:t>（三）</w:t>
            </w:r>
          </w:p>
        </w:tc>
        <w:tc>
          <w:tcPr>
            <w:tcW w:w="1701" w:type="dxa"/>
            <w:vAlign w:val="center"/>
          </w:tcPr>
          <w:p w14:paraId="69E337CA">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投标委托</w:t>
            </w:r>
          </w:p>
        </w:tc>
        <w:tc>
          <w:tcPr>
            <w:tcW w:w="6663" w:type="dxa"/>
            <w:vAlign w:val="center"/>
          </w:tcPr>
          <w:p w14:paraId="4CE02CE1">
            <w:pPr>
              <w:adjustRightInd w:val="0"/>
              <w:snapToGrid w:val="0"/>
              <w:spacing w:line="288" w:lineRule="auto"/>
              <w:rPr>
                <w:rFonts w:hint="eastAsia"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14:paraId="4F268E2D">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（单位负责人、自然人本人）的</w:t>
            </w:r>
            <w:r>
              <w:rPr>
                <w:rFonts w:ascii="宋体" w:hAnsi="宋体" w:eastAsia="宋体"/>
                <w:szCs w:val="21"/>
              </w:rPr>
              <w:t>，须提供</w:t>
            </w:r>
            <w:r>
              <w:rPr>
                <w:rFonts w:ascii="宋体" w:hAnsi="宋体" w:eastAsia="宋体"/>
                <w:bCs/>
                <w:szCs w:val="21"/>
              </w:rPr>
              <w:t>授权</w:t>
            </w:r>
            <w:r>
              <w:rPr>
                <w:rFonts w:hint="eastAsia" w:ascii="宋体" w:hAnsi="宋体" w:eastAsia="宋体"/>
                <w:bCs/>
                <w:szCs w:val="21"/>
              </w:rPr>
              <w:t>委托</w:t>
            </w:r>
            <w:r>
              <w:rPr>
                <w:rFonts w:ascii="宋体" w:hAnsi="宋体" w:eastAsia="宋体"/>
                <w:bCs/>
                <w:szCs w:val="21"/>
              </w:rPr>
              <w:t>书</w:t>
            </w:r>
            <w:r>
              <w:rPr>
                <w:rFonts w:hint="eastAsia" w:ascii="宋体" w:hAnsi="宋体" w:eastAsia="宋体"/>
                <w:szCs w:val="21"/>
              </w:rPr>
              <w:t>（格式详见招标文件第六章）和授权代表社保缴纳证明（2024年1月（含）</w:t>
            </w:r>
            <w:r>
              <w:rPr>
                <w:rFonts w:ascii="宋体" w:hAnsi="宋体" w:eastAsia="宋体"/>
                <w:szCs w:val="21"/>
              </w:rPr>
              <w:t>以后任意一月）</w:t>
            </w:r>
            <w:r>
              <w:rPr>
                <w:rFonts w:hint="eastAsia" w:ascii="宋体" w:hAnsi="宋体" w:eastAsia="宋体"/>
                <w:szCs w:val="21"/>
              </w:rPr>
              <w:t>；</w:t>
            </w:r>
          </w:p>
          <w:p w14:paraId="15293768">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投标人委派不在本单位缴纳社保的人员作为授权代表的，应当在投标文件中，说明具体原因、授权代表缴纳社保的单位，并附列该授权代表缴纳社保清单。</w:t>
            </w:r>
          </w:p>
        </w:tc>
      </w:tr>
      <w:tr w14:paraId="0EEB8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BE8211D">
            <w:pPr>
              <w:adjustRightInd w:val="0"/>
              <w:snapToGrid w:val="0"/>
              <w:spacing w:line="288" w:lineRule="auto"/>
              <w:jc w:val="center"/>
              <w:rPr>
                <w:rFonts w:hint="eastAsia" w:ascii="宋体" w:hAnsi="宋体" w:eastAsia="宋体"/>
                <w:szCs w:val="21"/>
              </w:rPr>
            </w:pPr>
            <w:r>
              <w:rPr>
                <w:rFonts w:hint="eastAsia" w:ascii="宋体" w:hAnsi="宋体" w:eastAsia="宋体"/>
                <w:szCs w:val="21"/>
              </w:rPr>
              <w:t>（四）</w:t>
            </w:r>
          </w:p>
        </w:tc>
        <w:tc>
          <w:tcPr>
            <w:tcW w:w="1701" w:type="dxa"/>
            <w:vAlign w:val="center"/>
          </w:tcPr>
          <w:p w14:paraId="534B2B7A">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投标费用</w:t>
            </w:r>
          </w:p>
        </w:tc>
        <w:tc>
          <w:tcPr>
            <w:tcW w:w="6663" w:type="dxa"/>
            <w:vAlign w:val="center"/>
          </w:tcPr>
          <w:p w14:paraId="05CFCE47">
            <w:pPr>
              <w:adjustRightInd w:val="0"/>
              <w:snapToGrid w:val="0"/>
              <w:spacing w:line="288" w:lineRule="auto"/>
              <w:rPr>
                <w:rFonts w:hint="eastAsia" w:ascii="宋体" w:hAnsi="宋体" w:eastAsia="宋体"/>
                <w:szCs w:val="21"/>
              </w:rPr>
            </w:pPr>
            <w:r>
              <w:rPr>
                <w:rFonts w:hint="eastAsia" w:ascii="宋体" w:hAnsi="宋体" w:eastAsia="宋体"/>
                <w:szCs w:val="21"/>
              </w:rPr>
              <w:t>1.不论投标结果如何，投标人均应自行承担所有与投标有关的全部费用；</w:t>
            </w:r>
          </w:p>
          <w:p w14:paraId="10291CF0">
            <w:pPr>
              <w:adjustRightInd w:val="0"/>
              <w:snapToGrid w:val="0"/>
              <w:spacing w:line="288" w:lineRule="auto"/>
              <w:rPr>
                <w:rFonts w:hint="eastAsia" w:ascii="宋体" w:hAnsi="宋体" w:eastAsia="宋体"/>
                <w:szCs w:val="21"/>
              </w:rPr>
            </w:pPr>
            <w:r>
              <w:rPr>
                <w:rFonts w:hint="eastAsia" w:ascii="宋体" w:hAnsi="宋体" w:eastAsia="宋体"/>
                <w:szCs w:val="21"/>
              </w:rPr>
              <w:t>2.中标人在中标通知书发出之日起七个工作日内，向采购代理机构交纳代理服务费；</w:t>
            </w:r>
          </w:p>
          <w:p w14:paraId="1447DDEF">
            <w:pPr>
              <w:adjustRightInd w:val="0"/>
              <w:snapToGrid w:val="0"/>
              <w:spacing w:line="288" w:lineRule="auto"/>
              <w:rPr>
                <w:rFonts w:hint="eastAsia"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2419DCE3">
            <w:pPr>
              <w:adjustRightInd w:val="0"/>
              <w:snapToGrid w:val="0"/>
              <w:spacing w:line="288" w:lineRule="auto"/>
              <w:rPr>
                <w:rFonts w:hint="eastAsia"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收费标准（差额累进）：</w:t>
            </w:r>
          </w:p>
          <w:tbl>
            <w:tblPr>
              <w:tblStyle w:val="24"/>
              <w:tblW w:w="562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235"/>
              <w:gridCol w:w="3386"/>
            </w:tblGrid>
            <w:tr w14:paraId="338A90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235" w:type="dxa"/>
                  <w:tcMar>
                    <w:top w:w="0" w:type="dxa"/>
                    <w:left w:w="108" w:type="dxa"/>
                    <w:bottom w:w="0" w:type="dxa"/>
                    <w:right w:w="108" w:type="dxa"/>
                  </w:tcMar>
                  <w:vAlign w:val="center"/>
                </w:tcPr>
                <w:p w14:paraId="0F3BB9BF">
                  <w:pPr>
                    <w:adjustRightInd w:val="0"/>
                    <w:snapToGrid w:val="0"/>
                    <w:spacing w:line="288" w:lineRule="auto"/>
                    <w:jc w:val="center"/>
                    <w:rPr>
                      <w:rFonts w:hint="eastAsia" w:ascii="宋体" w:hAnsi="宋体" w:eastAsia="宋体"/>
                      <w:szCs w:val="21"/>
                    </w:rPr>
                  </w:pPr>
                  <w:r>
                    <w:rPr>
                      <w:rFonts w:hint="eastAsia" w:ascii="宋体" w:hAnsi="宋体" w:eastAsia="宋体"/>
                      <w:szCs w:val="21"/>
                    </w:rPr>
                    <w:t>中标金额（万元）</w:t>
                  </w:r>
                </w:p>
              </w:tc>
              <w:tc>
                <w:tcPr>
                  <w:tcW w:w="3386" w:type="dxa"/>
                  <w:tcMar>
                    <w:top w:w="0" w:type="dxa"/>
                    <w:left w:w="108" w:type="dxa"/>
                    <w:bottom w:w="0" w:type="dxa"/>
                    <w:right w:w="108" w:type="dxa"/>
                  </w:tcMar>
                  <w:vAlign w:val="center"/>
                </w:tcPr>
                <w:p w14:paraId="0151A098">
                  <w:pPr>
                    <w:adjustRightInd w:val="0"/>
                    <w:snapToGrid w:val="0"/>
                    <w:spacing w:line="288" w:lineRule="auto"/>
                    <w:jc w:val="center"/>
                    <w:rPr>
                      <w:rFonts w:hint="eastAsia" w:ascii="宋体" w:hAnsi="宋体" w:eastAsia="宋体"/>
                      <w:szCs w:val="21"/>
                    </w:rPr>
                  </w:pPr>
                  <w:r>
                    <w:rPr>
                      <w:rFonts w:hint="eastAsia" w:ascii="宋体" w:hAnsi="宋体" w:eastAsia="宋体"/>
                      <w:szCs w:val="21"/>
                    </w:rPr>
                    <w:t>收费标准（费率，%）</w:t>
                  </w:r>
                </w:p>
              </w:tc>
            </w:tr>
            <w:tr w14:paraId="30BD01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235" w:type="dxa"/>
                  <w:tcMar>
                    <w:top w:w="0" w:type="dxa"/>
                    <w:left w:w="108" w:type="dxa"/>
                    <w:bottom w:w="0" w:type="dxa"/>
                    <w:right w:w="108" w:type="dxa"/>
                  </w:tcMar>
                  <w:vAlign w:val="center"/>
                </w:tcPr>
                <w:p w14:paraId="65CDE250">
                  <w:pPr>
                    <w:adjustRightInd w:val="0"/>
                    <w:snapToGrid w:val="0"/>
                    <w:spacing w:line="288" w:lineRule="auto"/>
                    <w:jc w:val="center"/>
                    <w:rPr>
                      <w:rFonts w:hint="eastAsia" w:ascii="宋体" w:hAnsi="宋体" w:eastAsia="宋体"/>
                      <w:szCs w:val="21"/>
                    </w:rPr>
                  </w:pPr>
                  <w:r>
                    <w:rPr>
                      <w:rFonts w:hint="eastAsia" w:ascii="宋体" w:hAnsi="宋体" w:eastAsia="宋体"/>
                      <w:szCs w:val="21"/>
                    </w:rPr>
                    <w:t>100以下</w:t>
                  </w:r>
                </w:p>
              </w:tc>
              <w:tc>
                <w:tcPr>
                  <w:tcW w:w="3386" w:type="dxa"/>
                  <w:tcMar>
                    <w:top w:w="0" w:type="dxa"/>
                    <w:left w:w="108" w:type="dxa"/>
                    <w:bottom w:w="0" w:type="dxa"/>
                    <w:right w:w="108" w:type="dxa"/>
                  </w:tcMar>
                  <w:vAlign w:val="center"/>
                </w:tcPr>
                <w:p w14:paraId="266FF955">
                  <w:pPr>
                    <w:adjustRightInd w:val="0"/>
                    <w:snapToGrid w:val="0"/>
                    <w:spacing w:line="288" w:lineRule="auto"/>
                    <w:jc w:val="center"/>
                    <w:rPr>
                      <w:rFonts w:hint="eastAsia" w:ascii="宋体" w:hAnsi="宋体" w:eastAsia="宋体"/>
                      <w:szCs w:val="21"/>
                    </w:rPr>
                  </w:pPr>
                  <w:r>
                    <w:rPr>
                      <w:rFonts w:hint="eastAsia" w:ascii="宋体" w:hAnsi="宋体" w:eastAsia="宋体"/>
                      <w:szCs w:val="21"/>
                    </w:rPr>
                    <w:t>1.05（不足3000元的按3000元计）</w:t>
                  </w:r>
                </w:p>
              </w:tc>
            </w:tr>
            <w:tr w14:paraId="6C0D69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235" w:type="dxa"/>
                  <w:tcMar>
                    <w:top w:w="0" w:type="dxa"/>
                    <w:left w:w="108" w:type="dxa"/>
                    <w:bottom w:w="0" w:type="dxa"/>
                    <w:right w:w="108" w:type="dxa"/>
                  </w:tcMar>
                  <w:vAlign w:val="center"/>
                </w:tcPr>
                <w:p w14:paraId="5DDC5602">
                  <w:pPr>
                    <w:adjustRightInd w:val="0"/>
                    <w:snapToGrid w:val="0"/>
                    <w:spacing w:line="288" w:lineRule="auto"/>
                    <w:jc w:val="center"/>
                    <w:rPr>
                      <w:rFonts w:hint="eastAsia" w:ascii="宋体" w:hAnsi="宋体" w:eastAsia="宋体"/>
                      <w:szCs w:val="21"/>
                    </w:rPr>
                  </w:pPr>
                  <w:r>
                    <w:rPr>
                      <w:rFonts w:hint="eastAsia" w:ascii="宋体" w:hAnsi="宋体" w:eastAsia="宋体"/>
                      <w:szCs w:val="21"/>
                    </w:rPr>
                    <w:t>100-500</w:t>
                  </w:r>
                </w:p>
              </w:tc>
              <w:tc>
                <w:tcPr>
                  <w:tcW w:w="3386" w:type="dxa"/>
                  <w:tcMar>
                    <w:top w:w="0" w:type="dxa"/>
                    <w:left w:w="108" w:type="dxa"/>
                    <w:bottom w:w="0" w:type="dxa"/>
                    <w:right w:w="108" w:type="dxa"/>
                  </w:tcMar>
                  <w:vAlign w:val="center"/>
                </w:tcPr>
                <w:p w14:paraId="68DC71FA">
                  <w:pPr>
                    <w:adjustRightInd w:val="0"/>
                    <w:snapToGrid w:val="0"/>
                    <w:spacing w:line="288" w:lineRule="auto"/>
                    <w:jc w:val="center"/>
                    <w:rPr>
                      <w:rFonts w:hint="eastAsia" w:ascii="宋体" w:hAnsi="宋体" w:eastAsia="宋体"/>
                      <w:szCs w:val="21"/>
                    </w:rPr>
                  </w:pPr>
                  <w:r>
                    <w:rPr>
                      <w:rFonts w:hint="eastAsia" w:ascii="宋体" w:hAnsi="宋体" w:eastAsia="宋体"/>
                      <w:szCs w:val="21"/>
                    </w:rPr>
                    <w:t>0.77</w:t>
                  </w:r>
                </w:p>
              </w:tc>
            </w:tr>
          </w:tbl>
          <w:p w14:paraId="59899A26">
            <w:pPr>
              <w:adjustRightInd w:val="0"/>
              <w:snapToGrid w:val="0"/>
              <w:spacing w:line="288" w:lineRule="auto"/>
              <w:rPr>
                <w:rFonts w:hint="eastAsia" w:ascii="宋体" w:hAnsi="宋体" w:eastAsia="宋体"/>
                <w:szCs w:val="21"/>
              </w:rPr>
            </w:pPr>
          </w:p>
        </w:tc>
      </w:tr>
      <w:tr w14:paraId="7485F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DCF5720">
            <w:pPr>
              <w:adjustRightInd w:val="0"/>
              <w:snapToGrid w:val="0"/>
              <w:spacing w:line="288" w:lineRule="auto"/>
              <w:jc w:val="center"/>
              <w:rPr>
                <w:rFonts w:hint="eastAsia" w:ascii="宋体" w:hAnsi="宋体" w:eastAsia="宋体"/>
                <w:szCs w:val="21"/>
              </w:rPr>
            </w:pPr>
            <w:r>
              <w:rPr>
                <w:rFonts w:hint="eastAsia" w:ascii="宋体" w:hAnsi="宋体" w:eastAsia="宋体"/>
                <w:szCs w:val="21"/>
              </w:rPr>
              <w:t>（五）</w:t>
            </w:r>
          </w:p>
        </w:tc>
        <w:tc>
          <w:tcPr>
            <w:tcW w:w="1701" w:type="dxa"/>
            <w:vAlign w:val="center"/>
          </w:tcPr>
          <w:p w14:paraId="164E5380">
            <w:pPr>
              <w:adjustRightInd w:val="0"/>
              <w:snapToGrid w:val="0"/>
              <w:spacing w:line="288" w:lineRule="auto"/>
              <w:ind w:right="-105" w:rightChars="-50"/>
              <w:jc w:val="center"/>
              <w:rPr>
                <w:rFonts w:hint="eastAsia"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14:paraId="55E60621">
            <w:pPr>
              <w:adjustRightInd w:val="0"/>
              <w:snapToGrid w:val="0"/>
              <w:spacing w:line="288" w:lineRule="auto"/>
              <w:rPr>
                <w:rFonts w:hint="eastAsia" w:ascii="宋体" w:hAnsi="宋体" w:eastAsia="宋体"/>
                <w:szCs w:val="21"/>
              </w:rPr>
            </w:pPr>
            <w:r>
              <w:rPr>
                <w:rFonts w:hint="eastAsia" w:ascii="宋体" w:hAnsi="宋体" w:eastAsia="宋体" w:cs="Times New Roman"/>
                <w:spacing w:val="-6"/>
                <w:szCs w:val="21"/>
              </w:rPr>
              <w:t>无。</w:t>
            </w:r>
          </w:p>
        </w:tc>
      </w:tr>
      <w:tr w14:paraId="14EE5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2247351">
            <w:pPr>
              <w:adjustRightInd w:val="0"/>
              <w:snapToGrid w:val="0"/>
              <w:spacing w:line="288" w:lineRule="auto"/>
              <w:jc w:val="center"/>
              <w:rPr>
                <w:rFonts w:hint="eastAsia" w:ascii="宋体" w:hAnsi="宋体" w:eastAsia="宋体"/>
                <w:szCs w:val="21"/>
              </w:rPr>
            </w:pPr>
            <w:r>
              <w:rPr>
                <w:rFonts w:hint="eastAsia" w:ascii="宋体" w:hAnsi="宋体" w:eastAsia="宋体"/>
                <w:szCs w:val="21"/>
              </w:rPr>
              <w:t>（六）</w:t>
            </w:r>
          </w:p>
        </w:tc>
        <w:tc>
          <w:tcPr>
            <w:tcW w:w="1701" w:type="dxa"/>
            <w:vAlign w:val="center"/>
          </w:tcPr>
          <w:p w14:paraId="5B68D0DA">
            <w:pPr>
              <w:adjustRightInd w:val="0"/>
              <w:snapToGrid w:val="0"/>
              <w:spacing w:line="288" w:lineRule="auto"/>
              <w:jc w:val="center"/>
              <w:rPr>
                <w:rFonts w:hint="eastAsia" w:ascii="宋体" w:hAnsi="宋体" w:eastAsia="宋体"/>
                <w:szCs w:val="21"/>
              </w:rPr>
            </w:pPr>
            <w:r>
              <w:rPr>
                <w:rFonts w:hint="eastAsia" w:ascii="宋体" w:hAnsi="宋体" w:eastAsia="宋体"/>
                <w:szCs w:val="21"/>
              </w:rPr>
              <w:t>联合体投标</w:t>
            </w:r>
          </w:p>
        </w:tc>
        <w:tc>
          <w:tcPr>
            <w:tcW w:w="6663" w:type="dxa"/>
            <w:vAlign w:val="center"/>
          </w:tcPr>
          <w:p w14:paraId="5F2120A6">
            <w:pPr>
              <w:adjustRightInd w:val="0"/>
              <w:snapToGrid w:val="0"/>
              <w:spacing w:line="288" w:lineRule="auto"/>
              <w:rPr>
                <w:rFonts w:hint="eastAsia" w:ascii="宋体" w:hAnsi="宋体" w:eastAsia="宋体"/>
                <w:szCs w:val="21"/>
              </w:rPr>
            </w:pPr>
            <w:r>
              <w:rPr>
                <w:rFonts w:hint="eastAsia" w:ascii="宋体" w:hAnsi="宋体" w:eastAsia="宋体"/>
                <w:szCs w:val="21"/>
              </w:rPr>
              <w:t>本项目（是）接受联合体投标。</w:t>
            </w:r>
          </w:p>
        </w:tc>
      </w:tr>
      <w:tr w14:paraId="45226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6AED2FF">
            <w:pPr>
              <w:adjustRightInd w:val="0"/>
              <w:snapToGrid w:val="0"/>
              <w:spacing w:line="288" w:lineRule="auto"/>
              <w:jc w:val="center"/>
              <w:rPr>
                <w:rFonts w:hint="eastAsia" w:ascii="宋体" w:hAnsi="宋体" w:eastAsia="宋体"/>
                <w:szCs w:val="21"/>
              </w:rPr>
            </w:pPr>
            <w:r>
              <w:rPr>
                <w:rFonts w:hint="eastAsia" w:ascii="宋体" w:hAnsi="宋体" w:eastAsia="宋体"/>
                <w:szCs w:val="21"/>
              </w:rPr>
              <w:t>（七）</w:t>
            </w:r>
          </w:p>
        </w:tc>
        <w:tc>
          <w:tcPr>
            <w:tcW w:w="1701" w:type="dxa"/>
            <w:vAlign w:val="center"/>
          </w:tcPr>
          <w:p w14:paraId="4BE13C34">
            <w:pPr>
              <w:adjustRightInd w:val="0"/>
              <w:snapToGrid w:val="0"/>
              <w:spacing w:line="288" w:lineRule="auto"/>
              <w:jc w:val="center"/>
              <w:rPr>
                <w:rFonts w:hint="eastAsia" w:ascii="宋体" w:hAnsi="宋体" w:eastAsia="宋体"/>
                <w:szCs w:val="21"/>
              </w:rPr>
            </w:pPr>
            <w:r>
              <w:rPr>
                <w:rFonts w:hint="eastAsia" w:ascii="宋体" w:hAnsi="宋体" w:eastAsia="宋体"/>
                <w:szCs w:val="21"/>
              </w:rPr>
              <w:t>转包与分包</w:t>
            </w:r>
          </w:p>
        </w:tc>
        <w:tc>
          <w:tcPr>
            <w:tcW w:w="6663" w:type="dxa"/>
            <w:vAlign w:val="center"/>
          </w:tcPr>
          <w:p w14:paraId="1ACF803E">
            <w:pPr>
              <w:adjustRightInd w:val="0"/>
              <w:snapToGrid w:val="0"/>
              <w:spacing w:line="288" w:lineRule="auto"/>
              <w:rPr>
                <w:rFonts w:hint="eastAsia"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14:paraId="25778CD6">
            <w:pPr>
              <w:adjustRightInd w:val="0"/>
              <w:snapToGrid w:val="0"/>
              <w:spacing w:line="288" w:lineRule="auto"/>
              <w:rPr>
                <w:rFonts w:hint="eastAsia" w:ascii="宋体" w:hAnsi="宋体" w:eastAsia="宋体"/>
                <w:szCs w:val="21"/>
              </w:rPr>
            </w:pPr>
            <w:r>
              <w:rPr>
                <w:rFonts w:ascii="宋体" w:hAnsi="宋体" w:eastAsia="宋体"/>
                <w:szCs w:val="21"/>
              </w:rPr>
              <w:t>2.</w:t>
            </w:r>
            <w:r>
              <w:rPr>
                <w:rFonts w:hint="eastAsia" w:ascii="宋体" w:hAnsi="宋体" w:eastAsia="宋体"/>
                <w:szCs w:val="21"/>
              </w:rPr>
              <w:t>本项目</w:t>
            </w:r>
            <w:r>
              <w:rPr>
                <w:rFonts w:hint="eastAsia" w:ascii="宋体" w:hAnsi="宋体" w:eastAsia="宋体"/>
                <w:b/>
                <w:bCs/>
                <w:szCs w:val="21"/>
                <w:u w:val="single"/>
              </w:rPr>
              <w:t>允许</w:t>
            </w:r>
            <w:r>
              <w:rPr>
                <w:rFonts w:hint="eastAsia" w:ascii="宋体" w:hAnsi="宋体" w:eastAsia="宋体"/>
                <w:szCs w:val="21"/>
              </w:rPr>
              <w:t>分包，</w:t>
            </w:r>
            <w:r>
              <w:rPr>
                <w:rFonts w:ascii="宋体" w:hAnsi="宋体" w:eastAsia="宋体"/>
                <w:szCs w:val="21"/>
              </w:rPr>
              <w:t>可以分包履行的（非主体、非关键性的工作）具体内容、金额或者比例：</w:t>
            </w:r>
            <w:r>
              <w:rPr>
                <w:rFonts w:hint="eastAsia" w:ascii="宋体" w:hAnsi="宋体" w:eastAsia="宋体"/>
                <w:szCs w:val="21"/>
                <w:u w:val="single"/>
              </w:rPr>
              <w:t>货物运输</w:t>
            </w:r>
            <w:r>
              <w:rPr>
                <w:rFonts w:ascii="宋体" w:hAnsi="宋体" w:eastAsia="宋体"/>
                <w:szCs w:val="21"/>
                <w:u w:val="single"/>
              </w:rPr>
              <w:t>。</w:t>
            </w:r>
          </w:p>
          <w:p w14:paraId="7662BE10">
            <w:pPr>
              <w:adjustRightInd w:val="0"/>
              <w:snapToGrid w:val="0"/>
              <w:spacing w:line="288" w:lineRule="auto"/>
              <w:rPr>
                <w:rFonts w:hint="eastAsia" w:ascii="宋体" w:hAnsi="宋体" w:eastAsia="宋体" w:cs="Times New Roman"/>
                <w:spacing w:val="-6"/>
                <w:szCs w:val="21"/>
              </w:rPr>
            </w:pPr>
            <w:r>
              <w:rPr>
                <w:rFonts w:hint="eastAsia" w:ascii="宋体" w:hAnsi="宋体" w:eastAsia="宋体"/>
                <w:szCs w:val="21"/>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0D5BC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2F8B9D2">
            <w:pPr>
              <w:adjustRightInd w:val="0"/>
              <w:snapToGrid w:val="0"/>
              <w:spacing w:line="288" w:lineRule="auto"/>
              <w:jc w:val="center"/>
              <w:rPr>
                <w:rFonts w:hint="eastAsia" w:ascii="宋体" w:hAnsi="宋体" w:eastAsia="宋体"/>
                <w:szCs w:val="21"/>
              </w:rPr>
            </w:pPr>
            <w:r>
              <w:rPr>
                <w:rFonts w:hint="eastAsia" w:ascii="宋体" w:hAnsi="宋体" w:eastAsia="宋体"/>
                <w:szCs w:val="21"/>
              </w:rPr>
              <w:t>（八）</w:t>
            </w:r>
          </w:p>
        </w:tc>
        <w:tc>
          <w:tcPr>
            <w:tcW w:w="1701" w:type="dxa"/>
            <w:vAlign w:val="center"/>
          </w:tcPr>
          <w:p w14:paraId="2AFD9FA2">
            <w:pPr>
              <w:adjustRightInd w:val="0"/>
              <w:snapToGrid w:val="0"/>
              <w:spacing w:line="288" w:lineRule="auto"/>
              <w:jc w:val="center"/>
              <w:rPr>
                <w:rFonts w:hint="eastAsia" w:ascii="宋体" w:hAnsi="宋体" w:eastAsia="宋体"/>
                <w:szCs w:val="21"/>
              </w:rPr>
            </w:pPr>
            <w:r>
              <w:rPr>
                <w:rFonts w:hint="eastAsia" w:ascii="宋体" w:hAnsi="宋体" w:eastAsia="宋体"/>
                <w:b/>
                <w:bCs/>
                <w:szCs w:val="21"/>
              </w:rPr>
              <w:t>信用记录</w:t>
            </w:r>
          </w:p>
        </w:tc>
        <w:tc>
          <w:tcPr>
            <w:tcW w:w="6663" w:type="dxa"/>
            <w:vAlign w:val="center"/>
          </w:tcPr>
          <w:p w14:paraId="5EE1C45E">
            <w:pPr>
              <w:adjustRightInd w:val="0"/>
              <w:snapToGrid w:val="0"/>
              <w:spacing w:line="288" w:lineRule="auto"/>
              <w:rPr>
                <w:rFonts w:hint="eastAsia"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14:paraId="16374509">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14:paraId="6160198C">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14:paraId="3EC1014D">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14:paraId="2F36B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4067CFB">
            <w:pPr>
              <w:adjustRightInd w:val="0"/>
              <w:snapToGrid w:val="0"/>
              <w:spacing w:line="288" w:lineRule="auto"/>
              <w:jc w:val="center"/>
              <w:rPr>
                <w:rFonts w:hint="eastAsia" w:ascii="宋体" w:hAnsi="宋体" w:eastAsia="宋体"/>
                <w:szCs w:val="21"/>
              </w:rPr>
            </w:pPr>
            <w:r>
              <w:rPr>
                <w:rFonts w:hint="eastAsia" w:ascii="宋体" w:hAnsi="宋体" w:eastAsia="宋体"/>
                <w:szCs w:val="21"/>
              </w:rPr>
              <w:t>（九）</w:t>
            </w:r>
          </w:p>
        </w:tc>
        <w:tc>
          <w:tcPr>
            <w:tcW w:w="1701" w:type="dxa"/>
            <w:vAlign w:val="center"/>
          </w:tcPr>
          <w:p w14:paraId="57F553F7">
            <w:pPr>
              <w:adjustRightInd w:val="0"/>
              <w:snapToGrid w:val="0"/>
              <w:spacing w:line="288" w:lineRule="auto"/>
              <w:jc w:val="center"/>
              <w:rPr>
                <w:rFonts w:hint="eastAsia" w:ascii="宋体" w:hAnsi="宋体" w:eastAsia="宋体"/>
                <w:szCs w:val="21"/>
              </w:rPr>
            </w:pPr>
            <w:r>
              <w:rPr>
                <w:rFonts w:hint="eastAsia" w:ascii="宋体" w:hAnsi="宋体" w:eastAsia="宋体"/>
                <w:szCs w:val="21"/>
              </w:rPr>
              <w:t>资格审查要求的资格证明材料</w:t>
            </w:r>
          </w:p>
        </w:tc>
        <w:tc>
          <w:tcPr>
            <w:tcW w:w="6663" w:type="dxa"/>
            <w:vAlign w:val="center"/>
          </w:tcPr>
          <w:p w14:paraId="79A32011">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资格审查要求的资格证明材料（均需加盖公章）</w:t>
            </w:r>
          </w:p>
          <w:p w14:paraId="02121741">
            <w:pPr>
              <w:adjustRightInd w:val="0"/>
              <w:snapToGrid w:val="0"/>
              <w:spacing w:line="288" w:lineRule="auto"/>
              <w:rPr>
                <w:rFonts w:hint="eastAsia"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14:paraId="0B12BB75">
            <w:pPr>
              <w:adjustRightInd w:val="0"/>
              <w:snapToGrid w:val="0"/>
              <w:spacing w:line="288" w:lineRule="auto"/>
              <w:rPr>
                <w:rFonts w:hint="eastAsia" w:ascii="宋体" w:hAnsi="宋体" w:eastAsia="宋体"/>
                <w:bCs/>
                <w:szCs w:val="21"/>
              </w:rPr>
            </w:pPr>
            <w:r>
              <w:rPr>
                <w:rFonts w:hint="eastAsia" w:ascii="宋体" w:hAnsi="宋体" w:eastAsia="宋体"/>
                <w:szCs w:val="21"/>
              </w:rPr>
              <w:t>（</w:t>
            </w:r>
            <w:r>
              <w:rPr>
                <w:rFonts w:hint="eastAsia" w:ascii="宋体" w:hAnsi="宋体" w:eastAsia="宋体"/>
                <w:bCs/>
                <w:szCs w:val="21"/>
              </w:rPr>
              <w:t>2）符合参加政府采购活动应当具备的一般条件的承诺函</w:t>
            </w:r>
          </w:p>
          <w:p w14:paraId="68AE3CBD">
            <w:pPr>
              <w:adjustRightInd w:val="0"/>
              <w:snapToGrid w:val="0"/>
              <w:spacing w:line="288" w:lineRule="auto"/>
              <w:rPr>
                <w:rFonts w:hint="eastAsia" w:ascii="宋体" w:hAnsi="宋体" w:eastAsia="宋体"/>
                <w:bCs/>
                <w:szCs w:val="21"/>
              </w:rPr>
            </w:pPr>
            <w:r>
              <w:rPr>
                <w:rFonts w:hint="eastAsia" w:ascii="宋体" w:hAnsi="宋体" w:eastAsia="宋体"/>
                <w:bCs/>
                <w:szCs w:val="21"/>
              </w:rPr>
              <w:t>（</w:t>
            </w:r>
            <w:r>
              <w:rPr>
                <w:rFonts w:ascii="宋体" w:hAnsi="宋体" w:eastAsia="宋体"/>
                <w:bCs/>
                <w:szCs w:val="21"/>
              </w:rPr>
              <w:t>3</w:t>
            </w:r>
            <w:r>
              <w:rPr>
                <w:rFonts w:hint="eastAsia" w:ascii="宋体" w:hAnsi="宋体" w:eastAsia="宋体"/>
                <w:bCs/>
                <w:szCs w:val="21"/>
              </w:rPr>
              <w:t>）</w:t>
            </w:r>
            <w:r>
              <w:rPr>
                <w:rFonts w:ascii="宋体" w:hAnsi="宋体" w:eastAsia="宋体"/>
                <w:bCs/>
                <w:szCs w:val="21"/>
              </w:rPr>
              <w:t>落实政府采购政策需满足的资格要求：</w:t>
            </w:r>
            <w:r>
              <w:rPr>
                <w:rFonts w:hint="eastAsia" w:ascii="宋体" w:hAnsi="宋体" w:eastAsia="宋体"/>
                <w:bCs/>
                <w:szCs w:val="21"/>
              </w:rPr>
              <w:t>无</w:t>
            </w:r>
          </w:p>
          <w:p w14:paraId="7F5D0932">
            <w:pPr>
              <w:adjustRightInd w:val="0"/>
              <w:snapToGrid w:val="0"/>
              <w:spacing w:line="288" w:lineRule="auto"/>
              <w:rPr>
                <w:rFonts w:hint="eastAsia" w:ascii="宋体" w:hAnsi="宋体" w:eastAsia="宋体"/>
                <w:bCs/>
                <w:szCs w:val="21"/>
              </w:rPr>
            </w:pPr>
            <w:r>
              <w:rPr>
                <w:rFonts w:hint="eastAsia" w:ascii="宋体" w:hAnsi="宋体" w:eastAsia="宋体"/>
                <w:szCs w:val="21"/>
              </w:rPr>
              <w:t>（</w:t>
            </w:r>
            <w:r>
              <w:rPr>
                <w:rFonts w:ascii="宋体" w:hAnsi="宋体" w:eastAsia="宋体"/>
                <w:szCs w:val="21"/>
              </w:rPr>
              <w:t>4）</w:t>
            </w:r>
            <w:r>
              <w:rPr>
                <w:rFonts w:hint="eastAsia" w:ascii="宋体" w:hAnsi="宋体" w:eastAsia="宋体"/>
                <w:szCs w:val="21"/>
              </w:rPr>
              <w:t>本项目的特定资格要求</w:t>
            </w:r>
            <w:r>
              <w:rPr>
                <w:rFonts w:ascii="宋体" w:hAnsi="宋体" w:eastAsia="宋体"/>
                <w:szCs w:val="21"/>
              </w:rPr>
              <w:t>证明材料</w:t>
            </w:r>
            <w:r>
              <w:rPr>
                <w:rFonts w:ascii="宋体" w:hAnsi="宋体" w:eastAsia="宋体"/>
                <w:bCs/>
                <w:szCs w:val="21"/>
              </w:rPr>
              <w:t>：</w:t>
            </w:r>
            <w:r>
              <w:rPr>
                <w:rFonts w:hint="eastAsia" w:ascii="宋体" w:hAnsi="宋体" w:eastAsia="宋体"/>
                <w:bCs/>
                <w:szCs w:val="21"/>
              </w:rPr>
              <w:t>无</w:t>
            </w:r>
          </w:p>
        </w:tc>
      </w:tr>
      <w:tr w14:paraId="00C43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25685E1">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w:t>
            </w:r>
          </w:p>
        </w:tc>
        <w:tc>
          <w:tcPr>
            <w:tcW w:w="1701" w:type="dxa"/>
            <w:vAlign w:val="center"/>
          </w:tcPr>
          <w:p w14:paraId="2C5AE174">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投标文件份数</w:t>
            </w:r>
          </w:p>
        </w:tc>
        <w:tc>
          <w:tcPr>
            <w:tcW w:w="6663" w:type="dxa"/>
            <w:vAlign w:val="center"/>
          </w:tcPr>
          <w:p w14:paraId="3587FB61">
            <w:pPr>
              <w:adjustRightInd w:val="0"/>
              <w:snapToGrid w:val="0"/>
              <w:spacing w:line="288" w:lineRule="auto"/>
              <w:jc w:val="left"/>
              <w:rPr>
                <w:rFonts w:hint="eastAsia" w:ascii="宋体" w:hAnsi="宋体" w:eastAsia="宋体"/>
                <w:bCs/>
                <w:spacing w:val="-6"/>
                <w:szCs w:val="21"/>
              </w:rPr>
            </w:pPr>
            <w:r>
              <w:rPr>
                <w:rFonts w:hint="eastAsia" w:ascii="宋体" w:hAnsi="宋体" w:eastAsia="宋体"/>
                <w:bCs/>
                <w:spacing w:val="-6"/>
                <w:szCs w:val="21"/>
              </w:rPr>
              <w:t>电子加密投标文件：政府采购云平台在线上传一份；</w:t>
            </w:r>
          </w:p>
          <w:p w14:paraId="3CC382B8">
            <w:pPr>
              <w:adjustRightInd w:val="0"/>
              <w:snapToGrid w:val="0"/>
              <w:spacing w:line="288" w:lineRule="auto"/>
              <w:jc w:val="left"/>
              <w:rPr>
                <w:rFonts w:hint="eastAsia" w:ascii="宋体" w:hAnsi="宋体" w:eastAsia="宋体" w:cs="宋体"/>
                <w:bCs/>
                <w:szCs w:val="21"/>
              </w:rPr>
            </w:pPr>
            <w:r>
              <w:rPr>
                <w:rFonts w:hint="eastAsia" w:ascii="宋体" w:hAnsi="宋体" w:eastAsia="宋体"/>
                <w:bCs/>
                <w:spacing w:val="-6"/>
                <w:szCs w:val="21"/>
              </w:rPr>
              <w:t>备份投标文件：密封包装后EMS或顺丰邮寄形式递交一份（邮寄地址：</w:t>
            </w:r>
            <w:r>
              <w:rPr>
                <w:rFonts w:hint="eastAsia" w:ascii="宋体" w:hAnsi="宋体" w:eastAsia="宋体" w:cs="宋体"/>
                <w:bCs/>
                <w:szCs w:val="21"/>
              </w:rPr>
              <w:t>杭州市西湖区玉古路173号中田大厦21楼H室，浙江求是招标代理有限公司（陈应俭、俞炳）收，电话：0571-87670302，寄出后将（快递单号、项目名称、公司名称、联系方式等相关信息）发至：zb02@qszb.net，以便查收）。</w:t>
            </w:r>
          </w:p>
          <w:p w14:paraId="337A9573">
            <w:pPr>
              <w:adjustRightInd w:val="0"/>
              <w:snapToGrid w:val="0"/>
              <w:spacing w:line="288" w:lineRule="auto"/>
              <w:jc w:val="left"/>
              <w:rPr>
                <w:rFonts w:hint="eastAsia" w:ascii="宋体" w:hAnsi="宋体" w:eastAsia="宋体"/>
                <w:bCs/>
                <w:spacing w:val="-6"/>
                <w:szCs w:val="21"/>
              </w:rPr>
            </w:pPr>
            <w:r>
              <w:rPr>
                <w:rFonts w:hint="eastAsia" w:ascii="宋体" w:hAnsi="宋体" w:eastAsia="宋体" w:cs="宋体"/>
                <w:b/>
                <w:szCs w:val="21"/>
              </w:rPr>
              <w:t>特别说明：双休日和法定节假日不收件，投标人自行承担邮寄风险。</w:t>
            </w:r>
          </w:p>
        </w:tc>
      </w:tr>
      <w:tr w14:paraId="4BB8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27E7C6D">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（十一）</w:t>
            </w:r>
          </w:p>
        </w:tc>
        <w:tc>
          <w:tcPr>
            <w:tcW w:w="1701" w:type="dxa"/>
            <w:vAlign w:val="center"/>
          </w:tcPr>
          <w:p w14:paraId="49782662">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投标报价</w:t>
            </w:r>
          </w:p>
        </w:tc>
        <w:tc>
          <w:tcPr>
            <w:tcW w:w="6663" w:type="dxa"/>
            <w:vAlign w:val="center"/>
          </w:tcPr>
          <w:p w14:paraId="21655934">
            <w:pPr>
              <w:adjustRightInd w:val="0"/>
              <w:snapToGrid w:val="0"/>
              <w:spacing w:line="288" w:lineRule="auto"/>
              <w:rPr>
                <w:rFonts w:hint="eastAsia" w:ascii="宋体" w:hAnsi="宋体" w:eastAsia="宋体"/>
                <w:szCs w:val="21"/>
              </w:rPr>
            </w:pPr>
            <w:r>
              <w:rPr>
                <w:rFonts w:hint="eastAsia" w:ascii="宋体" w:hAnsi="宋体" w:eastAsia="宋体"/>
                <w:szCs w:val="21"/>
              </w:rPr>
              <w:t>1.报价应按招标文件要求的格式编制、填写报价内容（可自行增行），未按招标文件要求编制、填写的投标文件可能被拒绝；</w:t>
            </w:r>
          </w:p>
          <w:p w14:paraId="481BD1B8">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2.国产设备采用人民币报价，报价须包含设备（包括主机、标准附件、备品备件、专用工具）价、设备运杂费、保险费、利润、税金等；</w:t>
            </w:r>
          </w:p>
          <w:p w14:paraId="6E4951AA">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3.如进口设备的价格采用免税的人民币报价，报价须包含设备（包括主机、标准附件、备品备件、专用工具）价、国际运费、国际运输保险费、国内运输保险费、因贸易战等产生的加征关税（如对原产于美国的进口设备加征的关税费等）、外贸代理费等。同时提供美元报价，交货方式为CIP浙江农林大学，由中标人委托相关外贸公司办理免税事宜（外贸公司由采购人认定），采购人予以协助，所需费用由中标人承担；对于根据国家相关规定不能享受进口免税政策的设备，投标报价也以人民币报价，投标报价应包含“不能免税的部分”的税金，对于不能免税的部分投标人应在投标文件中予以明示，若未明示，其不能免税的税金由中标人自行承担；</w:t>
            </w:r>
          </w:p>
          <w:p w14:paraId="0DCECE16">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4.投标报价是履行合同的最终价格，有关本项目实施所涉及的一切费用均计入报价；</w:t>
            </w:r>
          </w:p>
          <w:p w14:paraId="51C4E80D">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5.投标文件只允许有一个报价，有选择的报价将不予接受；</w:t>
            </w:r>
          </w:p>
          <w:p w14:paraId="0A070E32">
            <w:pPr>
              <w:pStyle w:val="14"/>
              <w:adjustRightInd w:val="0"/>
              <w:snapToGrid w:val="0"/>
              <w:spacing w:before="0" w:beforeLines="0" w:after="0" w:afterLines="0" w:line="288" w:lineRule="auto"/>
              <w:jc w:val="left"/>
              <w:rPr>
                <w:rFonts w:hint="eastAsia" w:hAnsi="宋体" w:eastAsia="宋体" w:cs="宋体"/>
                <w:sz w:val="21"/>
                <w:szCs w:val="21"/>
              </w:rPr>
            </w:pPr>
            <w:r>
              <w:rPr>
                <w:rFonts w:hint="eastAsia" w:hAnsi="宋体" w:eastAsia="宋体" w:cs="宋体"/>
                <w:sz w:val="21"/>
                <w:szCs w:val="21"/>
              </w:rPr>
              <w:t>▲6</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Ansi="宋体" w:eastAsia="宋体" w:cs="宋体"/>
                <w:sz w:val="21"/>
                <w:szCs w:val="21"/>
              </w:rPr>
              <w:t>。</w:t>
            </w:r>
          </w:p>
        </w:tc>
      </w:tr>
      <w:tr w14:paraId="58F26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9A0D93A">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（十二）</w:t>
            </w:r>
          </w:p>
        </w:tc>
        <w:tc>
          <w:tcPr>
            <w:tcW w:w="1701" w:type="dxa"/>
            <w:vAlign w:val="center"/>
          </w:tcPr>
          <w:p w14:paraId="2ABA812E">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投标有效期</w:t>
            </w:r>
          </w:p>
        </w:tc>
        <w:tc>
          <w:tcPr>
            <w:tcW w:w="6663" w:type="dxa"/>
            <w:vAlign w:val="center"/>
          </w:tcPr>
          <w:p w14:paraId="4FFA85F8">
            <w:pPr>
              <w:adjustRightInd w:val="0"/>
              <w:snapToGrid w:val="0"/>
              <w:spacing w:line="288" w:lineRule="auto"/>
              <w:rPr>
                <w:rFonts w:hint="eastAsia"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14:paraId="06643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66BA711">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（十三）</w:t>
            </w:r>
          </w:p>
        </w:tc>
        <w:tc>
          <w:tcPr>
            <w:tcW w:w="1701" w:type="dxa"/>
            <w:vAlign w:val="center"/>
          </w:tcPr>
          <w:p w14:paraId="4AF532F5">
            <w:pPr>
              <w:adjustRightInd w:val="0"/>
              <w:snapToGrid w:val="0"/>
              <w:spacing w:line="288" w:lineRule="auto"/>
              <w:jc w:val="center"/>
              <w:rPr>
                <w:rFonts w:hint="eastAsia" w:ascii="宋体" w:hAnsi="宋体" w:eastAsia="宋体"/>
                <w:szCs w:val="21"/>
              </w:rPr>
            </w:pPr>
            <w:r>
              <w:rPr>
                <w:rFonts w:hint="eastAsia" w:ascii="宋体" w:hAnsi="宋体" w:eastAsia="宋体"/>
                <w:szCs w:val="21"/>
              </w:rPr>
              <w:t>评标方法和评标标准</w:t>
            </w:r>
          </w:p>
        </w:tc>
        <w:tc>
          <w:tcPr>
            <w:tcW w:w="6663" w:type="dxa"/>
            <w:vAlign w:val="center"/>
          </w:tcPr>
          <w:p w14:paraId="3BB0BD8A">
            <w:pPr>
              <w:adjustRightInd w:val="0"/>
              <w:snapToGrid w:val="0"/>
              <w:spacing w:line="288" w:lineRule="auto"/>
              <w:rPr>
                <w:rFonts w:hint="eastAsia"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14:paraId="6E60F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E979C88">
            <w:pPr>
              <w:adjustRightInd w:val="0"/>
              <w:snapToGrid w:val="0"/>
              <w:spacing w:line="288" w:lineRule="auto"/>
              <w:jc w:val="center"/>
              <w:rPr>
                <w:rFonts w:hint="eastAsia"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14:paraId="295CE91F">
            <w:pPr>
              <w:adjustRightInd w:val="0"/>
              <w:snapToGrid w:val="0"/>
              <w:spacing w:line="288" w:lineRule="auto"/>
              <w:jc w:val="center"/>
              <w:rPr>
                <w:rFonts w:hint="eastAsia" w:ascii="宋体" w:hAnsi="宋体" w:eastAsia="宋体"/>
                <w:szCs w:val="21"/>
              </w:rPr>
            </w:pPr>
            <w:r>
              <w:rPr>
                <w:rFonts w:hint="eastAsia" w:ascii="宋体" w:hAnsi="宋体" w:eastAsia="宋体"/>
                <w:szCs w:val="21"/>
              </w:rPr>
              <w:t>评标结果公示</w:t>
            </w:r>
          </w:p>
        </w:tc>
        <w:tc>
          <w:tcPr>
            <w:tcW w:w="6663" w:type="dxa"/>
            <w:vAlign w:val="center"/>
          </w:tcPr>
          <w:p w14:paraId="6C680A53">
            <w:pPr>
              <w:adjustRightInd w:val="0"/>
              <w:snapToGrid w:val="0"/>
              <w:spacing w:line="288" w:lineRule="auto"/>
              <w:rPr>
                <w:rFonts w:hint="eastAsia" w:ascii="宋体" w:hAnsi="宋体" w:eastAsia="宋体"/>
                <w:szCs w:val="21"/>
              </w:rPr>
            </w:pPr>
            <w:r>
              <w:rPr>
                <w:rFonts w:hint="eastAsia" w:ascii="宋体" w:hAnsi="宋体" w:eastAsia="宋体"/>
                <w:szCs w:val="21"/>
              </w:rPr>
              <w:t>评标结果公示媒体：浙江政府采购网（http://zfcg.czt.zj.gov.cn）。</w:t>
            </w:r>
          </w:p>
        </w:tc>
      </w:tr>
      <w:tr w14:paraId="03699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907CD0D">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（十五）</w:t>
            </w:r>
          </w:p>
        </w:tc>
        <w:tc>
          <w:tcPr>
            <w:tcW w:w="1701" w:type="dxa"/>
            <w:vAlign w:val="center"/>
          </w:tcPr>
          <w:p w14:paraId="5B523A2C">
            <w:pPr>
              <w:adjustRightInd w:val="0"/>
              <w:snapToGrid w:val="0"/>
              <w:spacing w:line="288" w:lineRule="auto"/>
              <w:jc w:val="center"/>
              <w:rPr>
                <w:rFonts w:hint="eastAsia" w:ascii="宋体" w:hAnsi="宋体" w:eastAsia="宋体"/>
                <w:szCs w:val="21"/>
              </w:rPr>
            </w:pPr>
            <w:r>
              <w:rPr>
                <w:rFonts w:hint="eastAsia" w:ascii="宋体" w:hAnsi="宋体" w:eastAsia="宋体"/>
                <w:szCs w:val="21"/>
              </w:rPr>
              <w:t>签订合同</w:t>
            </w:r>
          </w:p>
        </w:tc>
        <w:tc>
          <w:tcPr>
            <w:tcW w:w="6663" w:type="dxa"/>
            <w:vAlign w:val="center"/>
          </w:tcPr>
          <w:p w14:paraId="7C8E8AA3">
            <w:pPr>
              <w:adjustRightInd w:val="0"/>
              <w:snapToGrid w:val="0"/>
              <w:spacing w:line="288" w:lineRule="auto"/>
              <w:rPr>
                <w:rFonts w:hint="eastAsia" w:ascii="宋体" w:hAnsi="宋体" w:eastAsia="宋体"/>
                <w:szCs w:val="21"/>
              </w:rPr>
            </w:pPr>
            <w:r>
              <w:rPr>
                <w:rFonts w:hint="eastAsia" w:ascii="宋体" w:hAnsi="宋体" w:eastAsia="宋体"/>
                <w:szCs w:val="21"/>
              </w:rPr>
              <w:t>中标通知书发出之日起30日内。</w:t>
            </w:r>
          </w:p>
        </w:tc>
      </w:tr>
      <w:tr w14:paraId="08797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58178AC">
            <w:pPr>
              <w:adjustRightInd w:val="0"/>
              <w:snapToGrid w:val="0"/>
              <w:spacing w:line="288" w:lineRule="auto"/>
              <w:jc w:val="center"/>
              <w:rPr>
                <w:rFonts w:hint="eastAsia" w:ascii="宋体" w:hAnsi="宋体" w:eastAsia="宋体"/>
                <w:szCs w:val="21"/>
              </w:rPr>
            </w:pPr>
            <w:r>
              <w:rPr>
                <w:rFonts w:hint="eastAsia" w:ascii="宋体" w:hAnsi="宋体" w:eastAsia="宋体" w:cs="宋体"/>
                <w:szCs w:val="21"/>
                <w:lang w:bidi="ar"/>
              </w:rPr>
              <w:t>（十六）</w:t>
            </w:r>
          </w:p>
        </w:tc>
        <w:tc>
          <w:tcPr>
            <w:tcW w:w="1701" w:type="dxa"/>
            <w:vAlign w:val="center"/>
          </w:tcPr>
          <w:p w14:paraId="52FF090B">
            <w:pPr>
              <w:adjustRightInd w:val="0"/>
              <w:snapToGrid w:val="0"/>
              <w:spacing w:line="288" w:lineRule="auto"/>
              <w:jc w:val="center"/>
              <w:rPr>
                <w:rFonts w:hint="eastAsia" w:ascii="宋体" w:hAnsi="宋体" w:eastAsia="宋体"/>
                <w:szCs w:val="21"/>
              </w:rPr>
            </w:pPr>
            <w:r>
              <w:rPr>
                <w:rFonts w:hint="eastAsia" w:ascii="宋体" w:hAnsi="宋体" w:eastAsia="宋体" w:cs="宋体"/>
                <w:szCs w:val="21"/>
                <w:lang w:bidi="ar"/>
              </w:rPr>
              <w:t>其他说明</w:t>
            </w:r>
          </w:p>
        </w:tc>
        <w:tc>
          <w:tcPr>
            <w:tcW w:w="6663" w:type="dxa"/>
            <w:vAlign w:val="center"/>
          </w:tcPr>
          <w:p w14:paraId="1D0ACB6E">
            <w:pPr>
              <w:adjustRightInd w:val="0"/>
              <w:snapToGrid w:val="0"/>
              <w:spacing w:line="288" w:lineRule="auto"/>
              <w:rPr>
                <w:rFonts w:hint="eastAsia" w:ascii="宋体" w:hAnsi="宋体" w:eastAsia="宋体" w:cs="Times New Roman"/>
                <w:szCs w:val="21"/>
              </w:rPr>
            </w:pPr>
            <w:r>
              <w:rPr>
                <w:rFonts w:hint="eastAsia" w:ascii="宋体" w:hAnsi="宋体" w:eastAsia="宋体" w:cs="宋体"/>
                <w:szCs w:val="21"/>
                <w:lang w:bidi="ar"/>
              </w:rPr>
              <w:t>1.本项目涉及标的内容较多，交付时间较短，为保证项目的顺利进行，该项目采取分标项采购。</w:t>
            </w:r>
          </w:p>
          <w:p w14:paraId="422B0C09">
            <w:pPr>
              <w:adjustRightInd w:val="0"/>
              <w:snapToGrid w:val="0"/>
              <w:spacing w:line="288" w:lineRule="auto"/>
              <w:rPr>
                <w:rFonts w:hint="eastAsia" w:ascii="宋体" w:hAnsi="宋体" w:eastAsia="宋体"/>
                <w:szCs w:val="21"/>
              </w:rPr>
            </w:pPr>
            <w:r>
              <w:rPr>
                <w:rFonts w:hint="eastAsia" w:ascii="宋体" w:hAnsi="宋体" w:eastAsia="宋体" w:cs="宋体"/>
                <w:szCs w:val="21"/>
                <w:lang w:bidi="ar"/>
              </w:rPr>
              <w:t>2.为保证项目的有效竞争，本项目不同标项允许投标人兼中。</w:t>
            </w:r>
          </w:p>
        </w:tc>
      </w:tr>
    </w:tbl>
    <w:p w14:paraId="37C7D5A0">
      <w:pPr>
        <w:adjustRightInd w:val="0"/>
        <w:snapToGrid w:val="0"/>
        <w:spacing w:line="288" w:lineRule="auto"/>
        <w:rPr>
          <w:rFonts w:hint="eastAsia" w:ascii="宋体" w:hAnsi="宋体" w:eastAsia="宋体"/>
          <w:szCs w:val="21"/>
        </w:rPr>
      </w:pPr>
    </w:p>
    <w:p w14:paraId="085B23E2">
      <w:pPr>
        <w:adjustRightInd w:val="0"/>
        <w:snapToGrid w:val="0"/>
        <w:spacing w:line="288" w:lineRule="auto"/>
        <w:rPr>
          <w:rFonts w:hint="eastAsia" w:ascii="宋体" w:hAnsi="宋体" w:eastAsia="宋体"/>
          <w:szCs w:val="21"/>
        </w:rPr>
      </w:pPr>
      <w:r>
        <w:rPr>
          <w:rFonts w:ascii="宋体" w:hAnsi="宋体" w:eastAsia="宋体"/>
          <w:szCs w:val="21"/>
        </w:rPr>
        <w:br w:type="page"/>
      </w:r>
    </w:p>
    <w:p w14:paraId="2B7C56E4">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5C1E2EBC">
      <w:pPr>
        <w:adjustRightInd w:val="0"/>
        <w:snapToGrid w:val="0"/>
        <w:spacing w:line="288" w:lineRule="auto"/>
        <w:ind w:firstLine="396" w:firstLineChars="200"/>
        <w:jc w:val="left"/>
        <w:rPr>
          <w:rFonts w:hint="eastAsia" w:ascii="宋体" w:hAnsi="宋体" w:eastAsia="宋体" w:cs="Times New Roman"/>
          <w:spacing w:val="-6"/>
          <w:szCs w:val="21"/>
        </w:rPr>
      </w:pPr>
      <w:bookmarkStart w:id="41"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41"/>
    <w:p w14:paraId="0CF3CE32">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003A1D39">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本招标文件适用于浙江农林大学山地健康土壤培育子平台的招标、评标、定标、验收、合同履约、付款等（法律、法规另有规定的，从其规定）。</w:t>
      </w:r>
    </w:p>
    <w:p w14:paraId="507FCB01">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（二）定义</w:t>
      </w:r>
    </w:p>
    <w:p w14:paraId="519BC127">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”系指浙江农林大学；</w:t>
      </w:r>
    </w:p>
    <w:p w14:paraId="5F4DCA96">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4661B907">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2E0427E5">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707B5AAC">
      <w:pPr>
        <w:adjustRightInd w:val="0"/>
        <w:snapToGrid w:val="0"/>
        <w:spacing w:line="288" w:lineRule="auto"/>
        <w:ind w:firstLine="396" w:firstLineChars="200"/>
        <w:jc w:val="left"/>
        <w:rPr>
          <w:rFonts w:hint="eastAsia"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2"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47527A8F">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42"/>
    <w:p w14:paraId="4234A660">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78DF9653">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（三）招标方式</w:t>
      </w:r>
    </w:p>
    <w:p w14:paraId="3496EC1C">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14:paraId="1CECAEB0">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（四）投标费用</w:t>
      </w:r>
    </w:p>
    <w:p w14:paraId="3EF65879">
      <w:pPr>
        <w:adjustRightInd w:val="0"/>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1.不论投标结果如何，投标人均应自行承担所有与投标有关的全部费用；</w:t>
      </w:r>
    </w:p>
    <w:p w14:paraId="0BACFF30">
      <w:pPr>
        <w:adjustRightInd w:val="0"/>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14:paraId="06C69721">
      <w:pPr>
        <w:adjustRightInd w:val="0"/>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BA0736E">
      <w:pPr>
        <w:adjustRightInd w:val="0"/>
        <w:snapToGrid w:val="0"/>
        <w:spacing w:line="288" w:lineRule="auto"/>
        <w:ind w:firstLine="424" w:firstLineChars="202"/>
        <w:jc w:val="left"/>
        <w:rPr>
          <w:rFonts w:hint="eastAsia"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收费标准（差额累进）：</w:t>
      </w:r>
    </w:p>
    <w:tbl>
      <w:tblPr>
        <w:tblStyle w:val="24"/>
        <w:tblW w:w="562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235"/>
        <w:gridCol w:w="3386"/>
      </w:tblGrid>
      <w:tr w14:paraId="2CE332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235" w:type="dxa"/>
            <w:tcMar>
              <w:top w:w="0" w:type="dxa"/>
              <w:left w:w="108" w:type="dxa"/>
              <w:bottom w:w="0" w:type="dxa"/>
              <w:right w:w="108" w:type="dxa"/>
            </w:tcMar>
            <w:vAlign w:val="center"/>
          </w:tcPr>
          <w:p w14:paraId="2578FD68">
            <w:pPr>
              <w:adjustRightInd w:val="0"/>
              <w:snapToGrid w:val="0"/>
              <w:spacing w:line="288" w:lineRule="auto"/>
              <w:jc w:val="center"/>
              <w:rPr>
                <w:rFonts w:hint="eastAsia" w:ascii="宋体" w:hAnsi="宋体" w:eastAsia="宋体"/>
                <w:szCs w:val="21"/>
              </w:rPr>
            </w:pPr>
            <w:r>
              <w:rPr>
                <w:rFonts w:hint="eastAsia" w:ascii="宋体" w:hAnsi="宋体" w:eastAsia="宋体"/>
                <w:szCs w:val="21"/>
              </w:rPr>
              <w:t>中标金额（万元）</w:t>
            </w:r>
          </w:p>
        </w:tc>
        <w:tc>
          <w:tcPr>
            <w:tcW w:w="3386" w:type="dxa"/>
            <w:tcMar>
              <w:top w:w="0" w:type="dxa"/>
              <w:left w:w="108" w:type="dxa"/>
              <w:bottom w:w="0" w:type="dxa"/>
              <w:right w:w="108" w:type="dxa"/>
            </w:tcMar>
            <w:vAlign w:val="center"/>
          </w:tcPr>
          <w:p w14:paraId="2D9E4C55">
            <w:pPr>
              <w:adjustRightInd w:val="0"/>
              <w:snapToGrid w:val="0"/>
              <w:spacing w:line="288" w:lineRule="auto"/>
              <w:jc w:val="center"/>
              <w:rPr>
                <w:rFonts w:hint="eastAsia" w:ascii="宋体" w:hAnsi="宋体" w:eastAsia="宋体"/>
                <w:szCs w:val="21"/>
              </w:rPr>
            </w:pPr>
            <w:r>
              <w:rPr>
                <w:rFonts w:hint="eastAsia" w:ascii="宋体" w:hAnsi="宋体" w:eastAsia="宋体"/>
                <w:szCs w:val="21"/>
              </w:rPr>
              <w:t>收费标准（费率，%）</w:t>
            </w:r>
          </w:p>
        </w:tc>
      </w:tr>
      <w:tr w14:paraId="2098A8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235" w:type="dxa"/>
            <w:tcMar>
              <w:top w:w="0" w:type="dxa"/>
              <w:left w:w="108" w:type="dxa"/>
              <w:bottom w:w="0" w:type="dxa"/>
              <w:right w:w="108" w:type="dxa"/>
            </w:tcMar>
            <w:vAlign w:val="center"/>
          </w:tcPr>
          <w:p w14:paraId="231AAEA6">
            <w:pPr>
              <w:adjustRightInd w:val="0"/>
              <w:snapToGrid w:val="0"/>
              <w:spacing w:line="288" w:lineRule="auto"/>
              <w:jc w:val="center"/>
              <w:rPr>
                <w:rFonts w:hint="eastAsia" w:ascii="宋体" w:hAnsi="宋体" w:eastAsia="宋体"/>
                <w:szCs w:val="21"/>
              </w:rPr>
            </w:pPr>
            <w:r>
              <w:rPr>
                <w:rFonts w:hint="eastAsia" w:ascii="宋体" w:hAnsi="宋体" w:eastAsia="宋体"/>
                <w:szCs w:val="21"/>
              </w:rPr>
              <w:t>100以下</w:t>
            </w:r>
          </w:p>
        </w:tc>
        <w:tc>
          <w:tcPr>
            <w:tcW w:w="3386" w:type="dxa"/>
            <w:tcMar>
              <w:top w:w="0" w:type="dxa"/>
              <w:left w:w="108" w:type="dxa"/>
              <w:bottom w:w="0" w:type="dxa"/>
              <w:right w:w="108" w:type="dxa"/>
            </w:tcMar>
            <w:vAlign w:val="center"/>
          </w:tcPr>
          <w:p w14:paraId="51AACD73">
            <w:pPr>
              <w:adjustRightInd w:val="0"/>
              <w:snapToGrid w:val="0"/>
              <w:spacing w:line="288" w:lineRule="auto"/>
              <w:jc w:val="center"/>
              <w:rPr>
                <w:rFonts w:hint="eastAsia" w:ascii="宋体" w:hAnsi="宋体" w:eastAsia="宋体"/>
                <w:szCs w:val="21"/>
              </w:rPr>
            </w:pPr>
            <w:r>
              <w:rPr>
                <w:rFonts w:hint="eastAsia" w:ascii="宋体" w:hAnsi="宋体" w:eastAsia="宋体"/>
                <w:szCs w:val="21"/>
              </w:rPr>
              <w:t>1.05（不足3000元的按3000元计）</w:t>
            </w:r>
          </w:p>
        </w:tc>
      </w:tr>
      <w:tr w14:paraId="25BBBC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235" w:type="dxa"/>
            <w:tcMar>
              <w:top w:w="0" w:type="dxa"/>
              <w:left w:w="108" w:type="dxa"/>
              <w:bottom w:w="0" w:type="dxa"/>
              <w:right w:w="108" w:type="dxa"/>
            </w:tcMar>
            <w:vAlign w:val="center"/>
          </w:tcPr>
          <w:p w14:paraId="1B97E78D">
            <w:pPr>
              <w:adjustRightInd w:val="0"/>
              <w:snapToGrid w:val="0"/>
              <w:spacing w:line="288" w:lineRule="auto"/>
              <w:jc w:val="center"/>
              <w:rPr>
                <w:rFonts w:hint="eastAsia" w:ascii="宋体" w:hAnsi="宋体" w:eastAsia="宋体"/>
                <w:szCs w:val="21"/>
              </w:rPr>
            </w:pPr>
            <w:r>
              <w:rPr>
                <w:rFonts w:hint="eastAsia" w:ascii="宋体" w:hAnsi="宋体" w:eastAsia="宋体"/>
                <w:szCs w:val="21"/>
              </w:rPr>
              <w:t>100-500</w:t>
            </w:r>
          </w:p>
        </w:tc>
        <w:tc>
          <w:tcPr>
            <w:tcW w:w="3386" w:type="dxa"/>
            <w:tcMar>
              <w:top w:w="0" w:type="dxa"/>
              <w:left w:w="108" w:type="dxa"/>
              <w:bottom w:w="0" w:type="dxa"/>
              <w:right w:w="108" w:type="dxa"/>
            </w:tcMar>
            <w:vAlign w:val="center"/>
          </w:tcPr>
          <w:p w14:paraId="2D9AC672">
            <w:pPr>
              <w:adjustRightInd w:val="0"/>
              <w:snapToGrid w:val="0"/>
              <w:spacing w:line="288" w:lineRule="auto"/>
              <w:jc w:val="center"/>
              <w:rPr>
                <w:rFonts w:hint="eastAsia" w:ascii="宋体" w:hAnsi="宋体" w:eastAsia="宋体"/>
                <w:szCs w:val="21"/>
              </w:rPr>
            </w:pPr>
            <w:r>
              <w:rPr>
                <w:rFonts w:hint="eastAsia" w:ascii="宋体" w:hAnsi="宋体" w:eastAsia="宋体"/>
                <w:szCs w:val="21"/>
              </w:rPr>
              <w:t>0.77</w:t>
            </w:r>
          </w:p>
        </w:tc>
      </w:tr>
    </w:tbl>
    <w:p w14:paraId="2E2A7194">
      <w:pPr>
        <w:adjustRightInd w:val="0"/>
        <w:snapToGrid w:val="0"/>
        <w:spacing w:line="288" w:lineRule="auto"/>
        <w:ind w:firstLine="399" w:firstLineChars="202"/>
        <w:jc w:val="left"/>
        <w:rPr>
          <w:rFonts w:hint="eastAsia"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14:paraId="2D540459">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（五）投标委托</w:t>
      </w:r>
    </w:p>
    <w:p w14:paraId="0B378C0C">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14:paraId="6D04674C">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rPr>
        <w:t>2024年1月（含）</w:t>
      </w:r>
      <w:r>
        <w:rPr>
          <w:rFonts w:ascii="宋体" w:hAnsi="宋体" w:eastAsia="宋体" w:cs="Times New Roman"/>
          <w:spacing w:val="-6"/>
          <w:szCs w:val="21"/>
        </w:rPr>
        <w:t>以后任意一月）；</w:t>
      </w:r>
    </w:p>
    <w:p w14:paraId="5CFBBEA0">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3.投标人委派不在本单位缴纳社保的人员作为授权代表的，应当在投标文件中，说明具体原因、授权代表缴纳社保的单位，并附列该授权代表缴纳社保清单。</w:t>
      </w:r>
    </w:p>
    <w:p w14:paraId="40CCEF3E">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（六）联合体投标</w:t>
      </w:r>
    </w:p>
    <w:p w14:paraId="110305AD">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本项目</w:t>
      </w:r>
      <w:r>
        <w:rPr>
          <w:rFonts w:hint="eastAsia" w:ascii="宋体" w:hAnsi="宋体" w:eastAsia="宋体"/>
          <w:szCs w:val="21"/>
        </w:rPr>
        <w:t>（是）</w:t>
      </w:r>
      <w:r>
        <w:rPr>
          <w:rFonts w:hint="eastAsia" w:ascii="宋体" w:hAnsi="宋体" w:eastAsia="宋体" w:cs="宋体"/>
          <w:szCs w:val="21"/>
        </w:rPr>
        <w:t>接受联合体投标。</w:t>
      </w:r>
    </w:p>
    <w:p w14:paraId="3BFD83C2">
      <w:pPr>
        <w:spacing w:line="288" w:lineRule="auto"/>
        <w:ind w:firstLine="420" w:firstLineChars="200"/>
        <w:rPr>
          <w:rFonts w:hint="eastAsia" w:ascii="宋体" w:hAnsi="宋体" w:eastAsia="宋体" w:cs="Times New Roman"/>
        </w:rPr>
      </w:pPr>
      <w:r>
        <w:rPr>
          <w:rFonts w:hint="eastAsia" w:ascii="宋体" w:hAnsi="宋体" w:eastAsia="宋体" w:cs="Times New Roman"/>
        </w:rPr>
        <w:t>两个以上的自然人、法人或者其他组织可以组成一个联合体，以一个供应商的身份共同参加政府采购。</w:t>
      </w:r>
    </w:p>
    <w:p w14:paraId="07B46F04">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Times New Roma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30138F25">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（七）转包与分包</w:t>
      </w:r>
    </w:p>
    <w:p w14:paraId="79675C19">
      <w:pPr>
        <w:adjustRightInd w:val="0"/>
        <w:snapToGrid w:val="0"/>
        <w:spacing w:line="288" w:lineRule="auto"/>
        <w:ind w:firstLine="424" w:firstLineChars="202"/>
        <w:jc w:val="left"/>
        <w:rPr>
          <w:rFonts w:hint="eastAsia"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14:paraId="0D452D3C">
      <w:pPr>
        <w:adjustRightInd w:val="0"/>
        <w:snapToGrid w:val="0"/>
        <w:spacing w:line="288" w:lineRule="auto"/>
        <w:ind w:firstLine="424" w:firstLineChars="202"/>
        <w:jc w:val="left"/>
        <w:rPr>
          <w:rFonts w:hint="eastAsia" w:ascii="宋体" w:hAnsi="宋体" w:eastAsia="宋体"/>
          <w:szCs w:val="21"/>
        </w:rPr>
      </w:pPr>
      <w:r>
        <w:rPr>
          <w:rFonts w:ascii="宋体" w:hAnsi="宋体" w:eastAsia="宋体"/>
          <w:szCs w:val="21"/>
        </w:rPr>
        <w:t>2.</w:t>
      </w:r>
      <w:r>
        <w:rPr>
          <w:rFonts w:hint="eastAsia" w:ascii="宋体" w:hAnsi="宋体" w:eastAsia="宋体"/>
          <w:szCs w:val="21"/>
        </w:rPr>
        <w:t>本项目</w:t>
      </w:r>
      <w:r>
        <w:rPr>
          <w:rFonts w:hint="eastAsia" w:ascii="宋体" w:hAnsi="宋体" w:eastAsia="宋体"/>
          <w:b/>
          <w:bCs/>
          <w:szCs w:val="21"/>
          <w:u w:val="single"/>
        </w:rPr>
        <w:t>允许</w:t>
      </w:r>
      <w:r>
        <w:rPr>
          <w:rFonts w:hint="eastAsia" w:ascii="宋体" w:hAnsi="宋体" w:eastAsia="宋体"/>
          <w:szCs w:val="21"/>
        </w:rPr>
        <w:t>分包，</w:t>
      </w:r>
      <w:r>
        <w:rPr>
          <w:rFonts w:ascii="宋体" w:hAnsi="宋体" w:eastAsia="宋体"/>
          <w:szCs w:val="21"/>
        </w:rPr>
        <w:t>可以分包履行的（非主体、非关键性的工作）具体内容、金额或者比例：</w:t>
      </w:r>
      <w:r>
        <w:rPr>
          <w:rFonts w:hint="eastAsia" w:ascii="宋体" w:hAnsi="宋体" w:eastAsia="宋体"/>
          <w:szCs w:val="21"/>
          <w:u w:val="single"/>
        </w:rPr>
        <w:t>货物运输</w:t>
      </w:r>
      <w:r>
        <w:rPr>
          <w:rFonts w:ascii="宋体" w:hAnsi="宋体" w:eastAsia="宋体"/>
          <w:szCs w:val="21"/>
          <w:u w:val="single"/>
        </w:rPr>
        <w:t>。</w:t>
      </w:r>
    </w:p>
    <w:p w14:paraId="31E51DE8">
      <w:pPr>
        <w:adjustRightInd w:val="0"/>
        <w:snapToGrid w:val="0"/>
        <w:spacing w:line="288" w:lineRule="auto"/>
        <w:ind w:firstLine="424" w:firstLineChars="202"/>
        <w:jc w:val="left"/>
        <w:rPr>
          <w:rFonts w:hint="eastAsia" w:ascii="宋体" w:hAnsi="宋体" w:eastAsia="宋体"/>
          <w:szCs w:val="21"/>
        </w:rPr>
      </w:pPr>
      <w:r>
        <w:rPr>
          <w:rFonts w:hint="eastAsia" w:ascii="宋体" w:hAnsi="宋体" w:eastAsia="宋体"/>
          <w:szCs w:val="21"/>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3DB90F38">
      <w:pPr>
        <w:adjustRightInd w:val="0"/>
        <w:snapToGrid w:val="0"/>
        <w:spacing w:line="288" w:lineRule="auto"/>
        <w:ind w:firstLine="402" w:firstLineChars="202"/>
        <w:jc w:val="left"/>
        <w:rPr>
          <w:rFonts w:hint="eastAsia" w:ascii="宋体" w:hAnsi="宋体" w:eastAsia="宋体" w:cs="Times New Roman"/>
          <w:b/>
          <w:spacing w:val="-6"/>
          <w:szCs w:val="21"/>
        </w:rPr>
      </w:pPr>
      <w:r>
        <w:rPr>
          <w:rFonts w:hint="eastAsia" w:ascii="宋体" w:hAnsi="宋体" w:eastAsia="宋体" w:cs="Times New Roman"/>
          <w:b/>
          <w:spacing w:val="-6"/>
          <w:szCs w:val="21"/>
        </w:rPr>
        <w:t>（八）质疑和投诉</w:t>
      </w:r>
    </w:p>
    <w:p w14:paraId="7F89AB2F">
      <w:pPr>
        <w:adjustRightInd w:val="0"/>
        <w:snapToGrid w:val="0"/>
        <w:spacing w:line="288" w:lineRule="auto"/>
        <w:ind w:firstLine="396" w:firstLineChars="200"/>
        <w:jc w:val="left"/>
        <w:rPr>
          <w:rFonts w:hint="eastAsia" w:ascii="宋体" w:hAnsi="宋体" w:eastAsia="宋体" w:cs="Times New Roman"/>
          <w:spacing w:val="-6"/>
          <w:szCs w:val="21"/>
        </w:rPr>
      </w:pPr>
      <w:bookmarkStart w:id="43"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43"/>
    <w:p w14:paraId="5F793417">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14:paraId="47D046AC">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14:paraId="1C34190A">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（2）质疑项目的名称、编号；</w:t>
      </w:r>
    </w:p>
    <w:p w14:paraId="15B16555">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14:paraId="51893968">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（4）事实依据；</w:t>
      </w:r>
    </w:p>
    <w:p w14:paraId="186C2838">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（5）必要的法律依据；</w:t>
      </w:r>
    </w:p>
    <w:p w14:paraId="084FB33B">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（6）提出质疑的日期。</w:t>
      </w:r>
    </w:p>
    <w:p w14:paraId="749B8B76">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14:paraId="0E423471">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14:paraId="1CE28F38">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14:paraId="3A9D2BB7">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14:paraId="3AA2D330">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（1）捏造事实；</w:t>
      </w:r>
    </w:p>
    <w:p w14:paraId="138CABC3">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（2）提供虚假材料；</w:t>
      </w:r>
    </w:p>
    <w:p w14:paraId="16A60AB8">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14:paraId="7AF5F521">
      <w:pPr>
        <w:adjustRightInd w:val="0"/>
        <w:snapToGrid w:val="0"/>
        <w:spacing w:line="288" w:lineRule="auto"/>
        <w:outlineLvl w:val="2"/>
        <w:rPr>
          <w:rFonts w:hint="eastAsia" w:ascii="宋体" w:hAnsi="宋体" w:eastAsia="宋体" w:cs="宋体"/>
          <w:b/>
          <w:spacing w:val="-6"/>
          <w:kern w:val="0"/>
          <w:szCs w:val="21"/>
        </w:rPr>
      </w:pPr>
      <w:bookmarkStart w:id="44" w:name="_Hlk92273111"/>
      <w:bookmarkStart w:id="45"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p w14:paraId="48C9ED59">
      <w:pPr>
        <w:adjustRightInd w:val="0"/>
        <w:snapToGrid w:val="0"/>
        <w:spacing w:line="288" w:lineRule="auto"/>
        <w:ind w:firstLine="398" w:firstLineChars="200"/>
        <w:jc w:val="left"/>
        <w:rPr>
          <w:rFonts w:hint="eastAsia" w:ascii="宋体" w:hAnsi="宋体" w:eastAsia="宋体" w:cs="Times New Roman"/>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ascii="宋体" w:hAnsi="宋体" w:eastAsia="宋体" w:cs="Times New Roman"/>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Times New Roman"/>
          <w:spacing w:val="-6"/>
          <w:szCs w:val="21"/>
        </w:rPr>
        <w:t>采购代理机构</w:t>
      </w:r>
      <w:r>
        <w:rPr>
          <w:rFonts w:ascii="宋体" w:hAnsi="宋体" w:eastAsia="宋体" w:cs="Times New Roman"/>
          <w:spacing w:val="-6"/>
          <w:szCs w:val="21"/>
        </w:rPr>
        <w:t>不会对其加以限制，仍将按照公平竞争原则实施采购）。</w:t>
      </w:r>
    </w:p>
    <w:p w14:paraId="05A33AA4">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ascii="宋体" w:hAnsi="宋体" w:eastAsia="宋体" w:cs="Times New Roman"/>
          <w:b/>
          <w:bCs/>
          <w:spacing w:val="-6"/>
          <w:szCs w:val="21"/>
        </w:rPr>
        <w:t>2.支持绿色发展</w:t>
      </w:r>
    </w:p>
    <w:p w14:paraId="620D47BE">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32863DA2">
      <w:pPr>
        <w:adjustRightInd w:val="0"/>
        <w:snapToGrid w:val="0"/>
        <w:spacing w:line="288" w:lineRule="auto"/>
        <w:ind w:firstLine="396" w:firstLineChars="200"/>
        <w:jc w:val="left"/>
        <w:rPr>
          <w:rFonts w:hint="eastAsia" w:ascii="宋体" w:hAnsi="宋体" w:eastAsia="宋体" w:cs="Times New Roman"/>
          <w:spacing w:val="-6"/>
          <w:szCs w:val="21"/>
          <w:u w:val="single"/>
        </w:rPr>
      </w:pPr>
      <w:r>
        <w:rPr>
          <w:rFonts w:ascii="宋体" w:hAnsi="宋体" w:eastAsia="宋体" w:cs="Times New Roman"/>
          <w:spacing w:val="-6"/>
          <w:szCs w:val="21"/>
          <w:u w:val="single"/>
        </w:rPr>
        <w:t>▲采购人拟采购的产品属于政府强制采购的节能产品品目清单范围的，投标人未按招标文件要求提供国家确定的认证机构出具的、有效的节能产品认证证书的，投标无效。</w:t>
      </w:r>
    </w:p>
    <w:p w14:paraId="62F7421F">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修缮、装修类项目采购建材的，采购人应将绿色建筑和绿色建材性能、指标等作为实质性条件纳入招标文件和合同。</w:t>
      </w:r>
    </w:p>
    <w:p w14:paraId="42B08A09">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9AC4EE5">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ascii="宋体" w:hAnsi="宋体" w:eastAsia="宋体" w:cs="Times New Roman"/>
          <w:b/>
          <w:bCs/>
          <w:spacing w:val="-6"/>
          <w:szCs w:val="21"/>
        </w:rPr>
        <w:t>3.</w:t>
      </w:r>
      <w:r>
        <w:rPr>
          <w:rFonts w:hint="eastAsia" w:ascii="宋体" w:hAnsi="宋体" w:eastAsia="宋体" w:cs="Times New Roman"/>
          <w:b/>
          <w:bCs/>
          <w:spacing w:val="-6"/>
          <w:szCs w:val="21"/>
        </w:rPr>
        <w:t>支持科技创新</w:t>
      </w:r>
    </w:p>
    <w:p w14:paraId="325B4F94">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优先推荐专精特新中小企业、创新产品参加政府采购活动。对省级以上主管部门认定的首台套产品，自纳入《省推广应用指导目录》起三年内参加政府采购活动，视同已具备相应销售业绩，业绩分为满分。</w:t>
      </w:r>
      <w:bookmarkStart w:id="46" w:name="_Hlk106875293"/>
    </w:p>
    <w:bookmarkEnd w:id="46"/>
    <w:p w14:paraId="7408B6EE">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ascii="宋体" w:hAnsi="宋体" w:eastAsia="宋体" w:cs="Times New Roman"/>
          <w:b/>
          <w:bCs/>
          <w:spacing w:val="-6"/>
          <w:szCs w:val="21"/>
        </w:rPr>
        <w:t>4.支持中小企业发展</w:t>
      </w:r>
    </w:p>
    <w:p w14:paraId="0D5EC452">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79E3B02">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符合中小企业划分标准的个体工商户，在政府采购活动中视同中小企业。</w:t>
      </w:r>
    </w:p>
    <w:p w14:paraId="5C4A7E90">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在政府采购活动中，投标人提供的货物、工程或者服务符合下列情形的，享受中小企业扶持政策：</w:t>
      </w:r>
    </w:p>
    <w:p w14:paraId="30E6350D">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0A8E0C4B">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在货物采购项目中，投标人提供的货物既有中小企业制造货物，也有大型企业制造货物的，不享受中小企业扶持政策。</w:t>
      </w:r>
    </w:p>
    <w:p w14:paraId="067A4130">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以联合体形式参加政府采购活动，联合体各方均为中小企业的，联合体视同中小企业。其中，联合体各方均为小微企业的，联合体视同小微企业。</w:t>
      </w:r>
    </w:p>
    <w:p w14:paraId="1B237ACC">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Times New Roman"/>
          <w:spacing w:val="-6"/>
          <w:szCs w:val="21"/>
        </w:rPr>
        <w:t>10%</w:t>
      </w:r>
      <w:r>
        <w:rPr>
          <w:rFonts w:ascii="宋体" w:hAnsi="宋体" w:eastAsia="宋体" w:cs="Times New Roman"/>
          <w:spacing w:val="-6"/>
          <w:szCs w:val="21"/>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Times New Roman"/>
          <w:spacing w:val="-6"/>
          <w:szCs w:val="21"/>
        </w:rPr>
        <w:t>4%</w:t>
      </w:r>
      <w:r>
        <w:rPr>
          <w:rFonts w:ascii="宋体" w:hAnsi="宋体" w:eastAsia="宋体" w:cs="Times New Roman"/>
          <w:spacing w:val="-6"/>
          <w:szCs w:val="21"/>
        </w:rPr>
        <w:t>的扣除，用扣除后的价格参加评审。组成联合体或者接受分包的小微企业与联合体内其他企业、分包企业之间存在直接控</w:t>
      </w:r>
      <w:r>
        <w:rPr>
          <w:rFonts w:hint="eastAsia" w:ascii="宋体" w:hAnsi="宋体" w:eastAsia="宋体" w:cs="Times New Roman"/>
          <w:spacing w:val="-6"/>
          <w:szCs w:val="21"/>
        </w:rPr>
        <w:t>股、管理关系的，不享受价格扣除优惠政策。</w:t>
      </w:r>
    </w:p>
    <w:p w14:paraId="3B2AABF7">
      <w:pPr>
        <w:adjustRightInd w:val="0"/>
        <w:snapToGrid w:val="0"/>
        <w:spacing w:line="288" w:lineRule="auto"/>
        <w:ind w:firstLine="396" w:firstLineChars="200"/>
        <w:jc w:val="left"/>
        <w:rPr>
          <w:rFonts w:hint="eastAsia" w:ascii="宋体" w:hAnsi="宋体" w:eastAsia="宋体" w:cs="Times New Roman"/>
          <w:spacing w:val="-6"/>
          <w:szCs w:val="21"/>
          <w:u w:val="single"/>
        </w:rPr>
      </w:pPr>
      <w:r>
        <w:rPr>
          <w:rFonts w:ascii="宋体" w:hAnsi="宋体" w:eastAsia="宋体" w:cs="Times New Roman"/>
          <w:spacing w:val="-6"/>
          <w:szCs w:val="21"/>
          <w:u w:val="single"/>
        </w:rPr>
        <w:t>符合《关于促进残疾人就业政府采购政策的通知》（财库〔2017〕141号）规定的条件并提供《残疾人福利性单位声明函》的残疾人福利性单位视同小型、微型企业；</w:t>
      </w:r>
    </w:p>
    <w:p w14:paraId="6F1403FC">
      <w:pPr>
        <w:adjustRightInd w:val="0"/>
        <w:snapToGrid w:val="0"/>
        <w:spacing w:line="288" w:lineRule="auto"/>
        <w:ind w:firstLine="396" w:firstLineChars="200"/>
        <w:jc w:val="left"/>
        <w:rPr>
          <w:rFonts w:hint="eastAsia" w:ascii="宋体" w:hAnsi="宋体" w:eastAsia="宋体" w:cs="Times New Roman"/>
          <w:spacing w:val="-6"/>
          <w:szCs w:val="21"/>
          <w:u w:val="single"/>
        </w:rPr>
      </w:pPr>
      <w:r>
        <w:rPr>
          <w:rFonts w:ascii="宋体" w:hAnsi="宋体" w:eastAsia="宋体" w:cs="Times New Roman"/>
          <w:spacing w:val="-6"/>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DE9D1E8">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E2698C2">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中小企业享受扶持政策获得政府采购合同的，小微企业不得将合同分包给大中型企业，中型企业不得将合同分包给大型企业。</w:t>
      </w:r>
      <w:bookmarkEnd w:id="44"/>
    </w:p>
    <w:p w14:paraId="69BF1E78">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除财库</w:t>
      </w:r>
      <w:r>
        <w:rPr>
          <w:rFonts w:ascii="宋体" w:hAnsi="宋体" w:eastAsia="宋体" w:cs="Times New Roman"/>
          <w:spacing w:val="-6"/>
          <w:szCs w:val="21"/>
        </w:rPr>
        <w:t>《政府采购促进中小企业发展管理办法》</w:t>
      </w:r>
      <w:r>
        <w:rPr>
          <w:rFonts w:hint="eastAsia" w:ascii="宋体" w:hAnsi="宋体" w:eastAsia="宋体" w:cs="Times New Roman"/>
          <w:spacing w:val="-6"/>
          <w:szCs w:val="21"/>
        </w:rPr>
        <w:t>（财库〔</w:t>
      </w:r>
      <w:r>
        <w:rPr>
          <w:rFonts w:ascii="宋体" w:hAnsi="宋体" w:eastAsia="宋体" w:cs="Times New Roman"/>
          <w:spacing w:val="-6"/>
          <w:szCs w:val="21"/>
        </w:rPr>
        <w:t>2020〕46号</w:t>
      </w:r>
      <w:r>
        <w:rPr>
          <w:rFonts w:hint="eastAsia" w:ascii="宋体" w:hAnsi="宋体" w:eastAsia="宋体" w:cs="Times New Roman"/>
          <w:spacing w:val="-6"/>
          <w:szCs w:val="21"/>
        </w:rPr>
        <w:t>）、</w:t>
      </w:r>
      <w:r>
        <w:rPr>
          <w:rFonts w:ascii="宋体" w:hAnsi="宋体" w:eastAsia="宋体" w:cs="Times New Roman"/>
          <w:spacing w:val="-6"/>
          <w:szCs w:val="21"/>
        </w:rPr>
        <w:t>《关于促进残疾人就业政府采购政策的通知》（财库〔2017〕141号）</w:t>
      </w:r>
      <w:r>
        <w:rPr>
          <w:rFonts w:hint="eastAsia" w:ascii="宋体" w:hAnsi="宋体" w:eastAsia="宋体" w:cs="Times New Roman"/>
          <w:spacing w:val="-6"/>
          <w:szCs w:val="21"/>
        </w:rPr>
        <w:t>、</w:t>
      </w:r>
      <w:r>
        <w:rPr>
          <w:rFonts w:ascii="宋体" w:hAnsi="宋体" w:eastAsia="宋体" w:cs="Times New Roman"/>
          <w:spacing w:val="-6"/>
          <w:szCs w:val="21"/>
        </w:rPr>
        <w:t>《关于政府采购支持监狱企业发展有关问题的通知》（财库[2014]68号）规定企业类型以外的供应商不享受中小企业扶持政策</w:t>
      </w:r>
      <w:r>
        <w:rPr>
          <w:rFonts w:hint="eastAsia" w:ascii="宋体" w:hAnsi="宋体" w:eastAsia="宋体" w:cs="Times New Roman"/>
          <w:spacing w:val="-6"/>
          <w:szCs w:val="21"/>
        </w:rPr>
        <w:t>。</w:t>
      </w:r>
    </w:p>
    <w:bookmarkEnd w:id="45"/>
    <w:p w14:paraId="6400D32F">
      <w:pPr>
        <w:adjustRightInd w:val="0"/>
        <w:snapToGrid w:val="0"/>
        <w:spacing w:line="288" w:lineRule="auto"/>
        <w:ind w:firstLine="398" w:firstLineChars="200"/>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0EB29A01">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74CAC95D">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（一）招标文件的构成</w:t>
      </w:r>
    </w:p>
    <w:p w14:paraId="229BED0C">
      <w:pPr>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52E1AD5D">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1.投标邀请</w:t>
      </w:r>
    </w:p>
    <w:p w14:paraId="36C4B7FB">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2.采购需求</w:t>
      </w:r>
    </w:p>
    <w:p w14:paraId="33D2E0F1">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3.投标人须知</w:t>
      </w:r>
    </w:p>
    <w:p w14:paraId="3C0C3F57">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4.评标方法和评标标准</w:t>
      </w:r>
    </w:p>
    <w:p w14:paraId="3CE6B284">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5.拟签订的合同文本</w:t>
      </w:r>
    </w:p>
    <w:p w14:paraId="795B377C">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6.投标文件格式</w:t>
      </w:r>
    </w:p>
    <w:p w14:paraId="3B6C7F77">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4C62D5F7">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06B7477D">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403E4952">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308FB07F">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1372CC95">
      <w:pPr>
        <w:adjustRightInd w:val="0"/>
        <w:snapToGrid w:val="0"/>
        <w:spacing w:line="288" w:lineRule="auto"/>
        <w:jc w:val="center"/>
        <w:outlineLvl w:val="1"/>
        <w:rPr>
          <w:rFonts w:hint="eastAsia"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361F3ECE">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（一）投标文件的组成</w:t>
      </w:r>
    </w:p>
    <w:p w14:paraId="67B93408">
      <w:pPr>
        <w:adjustRightInd w:val="0"/>
        <w:snapToGrid w:val="0"/>
        <w:spacing w:line="288" w:lineRule="auto"/>
        <w:ind w:firstLine="396" w:firstLineChars="200"/>
        <w:jc w:val="left"/>
        <w:rPr>
          <w:rFonts w:hint="eastAsia" w:ascii="宋体" w:hAnsi="宋体" w:eastAsia="宋体" w:cs="Times New Roman"/>
          <w:spacing w:val="-6"/>
          <w:szCs w:val="21"/>
        </w:rPr>
      </w:pPr>
      <w:bookmarkStart w:id="47"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14:paraId="470E16E2">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投标文件组成：详见“第六章</w:t>
      </w:r>
      <w:r>
        <w:rPr>
          <w:rFonts w:ascii="宋体" w:hAnsi="宋体" w:eastAsia="宋体" w:cs="Times New Roman"/>
          <w:spacing w:val="-6"/>
          <w:szCs w:val="21"/>
        </w:rPr>
        <w:t xml:space="preserve">  投标文件格式</w:t>
      </w:r>
      <w:r>
        <w:rPr>
          <w:rFonts w:hint="eastAsia" w:ascii="宋体" w:hAnsi="宋体" w:eastAsia="宋体" w:cs="Times New Roman"/>
          <w:spacing w:val="-6"/>
          <w:szCs w:val="21"/>
        </w:rPr>
        <w:t>”目录</w:t>
      </w:r>
    </w:p>
    <w:p w14:paraId="0290BF3C">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如供应商提供的产品技术支持材料与采购需求偏离表响应不一致，以产品技术支持材料为准。</w:t>
      </w:r>
    </w:p>
    <w:bookmarkEnd w:id="47"/>
    <w:p w14:paraId="06052031">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（二）投标文件的签署和份数</w:t>
      </w:r>
    </w:p>
    <w:p w14:paraId="0DB09E8B">
      <w:pPr>
        <w:adjustRightInd w:val="0"/>
        <w:snapToGrid w:val="0"/>
        <w:spacing w:line="288" w:lineRule="auto"/>
        <w:ind w:firstLine="396" w:firstLineChars="200"/>
        <w:jc w:val="left"/>
        <w:rPr>
          <w:rFonts w:hint="eastAsia"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14:paraId="4BBF0172">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2.投标文件须由投标人在规定位置</w:t>
      </w:r>
      <w:bookmarkStart w:id="48" w:name="_Hlk96329183"/>
      <w:r>
        <w:rPr>
          <w:rFonts w:hint="eastAsia" w:ascii="宋体" w:hAnsi="宋体" w:eastAsia="宋体"/>
          <w:spacing w:val="-6"/>
          <w:szCs w:val="21"/>
        </w:rPr>
        <w:t>加盖公章</w:t>
      </w:r>
      <w:bookmarkEnd w:id="48"/>
      <w:r>
        <w:rPr>
          <w:rFonts w:hint="eastAsia" w:ascii="宋体" w:hAnsi="宋体" w:eastAsia="宋体"/>
          <w:spacing w:val="-6"/>
          <w:szCs w:val="21"/>
        </w:rPr>
        <w:t>，投标人应写全称。</w:t>
      </w:r>
    </w:p>
    <w:p w14:paraId="79A73D87">
      <w:pPr>
        <w:adjustRightInd w:val="0"/>
        <w:snapToGrid w:val="0"/>
        <w:spacing w:line="288" w:lineRule="auto"/>
        <w:ind w:firstLine="396" w:firstLineChars="200"/>
        <w:jc w:val="left"/>
        <w:rPr>
          <w:rFonts w:hint="eastAsia" w:ascii="宋体" w:hAnsi="宋体" w:eastAsia="宋体"/>
          <w:spacing w:val="-6"/>
          <w:szCs w:val="21"/>
        </w:rPr>
      </w:pPr>
      <w:r>
        <w:rPr>
          <w:rFonts w:ascii="宋体" w:hAnsi="宋体" w:eastAsia="宋体"/>
          <w:spacing w:val="-6"/>
          <w:szCs w:val="21"/>
        </w:rPr>
        <w:t>3.投标文件不得涂改，若有修改错漏处，须由投标人加盖公章，或者由投标人代表签名。投标文件因字迹潦草或表达不清所引起的后果由投标人负责。</w:t>
      </w:r>
    </w:p>
    <w:p w14:paraId="1FF054BD">
      <w:pPr>
        <w:adjustRightInd w:val="0"/>
        <w:snapToGrid w:val="0"/>
        <w:spacing w:line="288" w:lineRule="auto"/>
        <w:ind w:firstLine="398" w:firstLineChars="200"/>
        <w:jc w:val="left"/>
        <w:rPr>
          <w:rFonts w:hint="eastAsia" w:ascii="宋体" w:hAnsi="宋体" w:eastAsia="宋体"/>
          <w:b/>
          <w:bCs/>
          <w:spacing w:val="-6"/>
          <w:szCs w:val="21"/>
        </w:rPr>
      </w:pPr>
      <w:r>
        <w:rPr>
          <w:rFonts w:hint="eastAsia" w:ascii="宋体" w:hAnsi="宋体" w:eastAsia="宋体"/>
          <w:b/>
          <w:bCs/>
          <w:spacing w:val="-6"/>
          <w:szCs w:val="21"/>
        </w:rPr>
        <w:t>4.投标文件份数：</w:t>
      </w:r>
    </w:p>
    <w:p w14:paraId="61EF9154">
      <w:pPr>
        <w:adjustRightInd w:val="0"/>
        <w:snapToGrid w:val="0"/>
        <w:spacing w:line="288" w:lineRule="auto"/>
        <w:ind w:firstLine="398" w:firstLineChars="200"/>
        <w:jc w:val="left"/>
        <w:rPr>
          <w:rFonts w:hint="eastAsia" w:ascii="宋体" w:hAnsi="宋体" w:eastAsia="宋体"/>
          <w:b/>
          <w:bCs/>
          <w:spacing w:val="-6"/>
          <w:szCs w:val="21"/>
        </w:rPr>
      </w:pPr>
      <w:r>
        <w:rPr>
          <w:rFonts w:hint="eastAsia" w:ascii="宋体" w:hAnsi="宋体" w:eastAsia="宋体"/>
          <w:b/>
          <w:bCs/>
          <w:spacing w:val="-6"/>
          <w:szCs w:val="21"/>
        </w:rPr>
        <w:t>电子加密投标文件：政府采购云平台在线上传一份；</w:t>
      </w:r>
    </w:p>
    <w:p w14:paraId="3EA725F9">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hint="eastAsia" w:ascii="宋体" w:hAnsi="宋体" w:eastAsia="宋体"/>
          <w:b/>
          <w:bCs/>
          <w:spacing w:val="-6"/>
          <w:szCs w:val="21"/>
        </w:rPr>
        <w:t>备份投标文件：密封包装后EMS或顺丰邮寄形式递交一份（邮寄地址：</w:t>
      </w:r>
      <w:r>
        <w:rPr>
          <w:rFonts w:hint="eastAsia" w:ascii="宋体" w:hAnsi="宋体" w:eastAsia="宋体" w:cs="宋体"/>
          <w:b/>
          <w:bCs/>
          <w:szCs w:val="21"/>
        </w:rPr>
        <w:t>杭州市西湖区玉古路173号中田大厦21楼H室，浙江求是招标代理有限公司（陈应俭、俞炳）收，电话：0571-87670302，寄出后将（快递单号、项目名称、公司名称、联系方式等相关信息）发至：zb02@qszb.net，以便查收）。</w:t>
      </w:r>
    </w:p>
    <w:p w14:paraId="2D688EDC">
      <w:pPr>
        <w:adjustRightInd w:val="0"/>
        <w:snapToGrid w:val="0"/>
        <w:spacing w:line="288" w:lineRule="auto"/>
        <w:ind w:firstLine="422" w:firstLineChars="200"/>
        <w:jc w:val="left"/>
        <w:rPr>
          <w:rFonts w:hint="eastAsia" w:ascii="宋体" w:hAnsi="宋体" w:eastAsia="宋体" w:cs="Times New Roman"/>
          <w:b/>
          <w:bCs/>
          <w:spacing w:val="-6"/>
          <w:szCs w:val="21"/>
        </w:rPr>
      </w:pPr>
      <w:r>
        <w:rPr>
          <w:rFonts w:hint="eastAsia" w:ascii="宋体" w:hAnsi="宋体" w:eastAsia="宋体" w:cs="宋体"/>
          <w:b/>
          <w:szCs w:val="21"/>
        </w:rPr>
        <w:t>特别说明：双休日和法定节假日不收件，投标人自行承担邮寄风险。</w:t>
      </w:r>
    </w:p>
    <w:p w14:paraId="1F3D59C0">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（三）投标文件的上传、递交、修改和撤回</w:t>
      </w:r>
    </w:p>
    <w:p w14:paraId="0FA8EDB3">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1.投标文件的上传、递交：</w:t>
      </w:r>
    </w:p>
    <w:p w14:paraId="5EB3A26C">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（1）电子加密投标文件的上传：</w:t>
      </w:r>
    </w:p>
    <w:p w14:paraId="2C6B047E">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14:paraId="209827E6">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14:paraId="083F5908">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（2）备份投标文件的密封包装、递交：</w:t>
      </w:r>
    </w:p>
    <w:p w14:paraId="01473D69">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14:paraId="250B8CC9">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14:paraId="4724B1DE">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14:paraId="65C8757D">
      <w:pPr>
        <w:adjustRightInd w:val="0"/>
        <w:snapToGrid w:val="0"/>
        <w:spacing w:line="288" w:lineRule="auto"/>
        <w:ind w:firstLine="396" w:firstLineChars="200"/>
        <w:jc w:val="left"/>
        <w:rPr>
          <w:rFonts w:hint="eastAsia" w:ascii="宋体" w:hAnsi="宋体" w:eastAsia="宋体"/>
          <w:spacing w:val="-6"/>
          <w:szCs w:val="21"/>
        </w:rPr>
      </w:pPr>
      <w:bookmarkStart w:id="49" w:name="_Hlk94018616"/>
      <w:r>
        <w:rPr>
          <w:rFonts w:hint="eastAsia" w:ascii="宋体" w:hAnsi="宋体" w:eastAsia="宋体"/>
          <w:spacing w:val="-6"/>
          <w:szCs w:val="21"/>
        </w:rPr>
        <w:t>▲d.投标人仅递交备份投标文件而未将电子加密投标文件成功上传至政府采购云平台的，投标无效。</w:t>
      </w:r>
    </w:p>
    <w:bookmarkEnd w:id="49"/>
    <w:p w14:paraId="56502ADA">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5C88E35B">
      <w:pPr>
        <w:adjustRightInd w:val="0"/>
        <w:snapToGrid w:val="0"/>
        <w:spacing w:line="288" w:lineRule="auto"/>
        <w:ind w:firstLine="396" w:firstLineChars="200"/>
        <w:jc w:val="left"/>
        <w:rPr>
          <w:rFonts w:hint="eastAsia"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0A87050F">
      <w:pPr>
        <w:adjustRightInd w:val="0"/>
        <w:snapToGrid w:val="0"/>
        <w:spacing w:line="288" w:lineRule="auto"/>
        <w:ind w:firstLine="396" w:firstLineChars="200"/>
        <w:jc w:val="left"/>
        <w:rPr>
          <w:rFonts w:hint="eastAsia"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78D9D29C">
      <w:pPr>
        <w:adjustRightInd w:val="0"/>
        <w:snapToGrid w:val="0"/>
        <w:spacing w:line="288" w:lineRule="auto"/>
        <w:ind w:firstLine="422" w:firstLineChars="200"/>
        <w:jc w:val="left"/>
        <w:rPr>
          <w:rFonts w:hint="eastAsia"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1"/>
          <w:rFonts w:hint="eastAsia" w:ascii="宋体" w:hAnsi="宋体" w:eastAsia="宋体"/>
          <w:b/>
          <w:bCs/>
          <w:color w:val="auto"/>
          <w:szCs w:val="21"/>
        </w:rPr>
        <w:t>https://edu.zcygov.cn/luban/e-biding</w:t>
      </w:r>
      <w:r>
        <w:rPr>
          <w:rStyle w:val="31"/>
          <w:rFonts w:hint="eastAsia" w:ascii="宋体" w:hAnsi="宋体" w:eastAsia="宋体"/>
          <w:b/>
          <w:bCs/>
          <w:color w:val="auto"/>
          <w:szCs w:val="21"/>
        </w:rPr>
        <w:fldChar w:fldCharType="end"/>
      </w:r>
      <w:r>
        <w:rPr>
          <w:rFonts w:hint="eastAsia" w:ascii="宋体" w:hAnsi="宋体" w:eastAsia="宋体"/>
          <w:b/>
          <w:bCs/>
          <w:szCs w:val="21"/>
        </w:rPr>
        <w:t>）。</w:t>
      </w:r>
    </w:p>
    <w:p w14:paraId="5771936C">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（四）投标文件的语言及计量</w:t>
      </w:r>
    </w:p>
    <w:p w14:paraId="3B316DAD">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72495EB6">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（五）投标报价</w:t>
      </w:r>
    </w:p>
    <w:p w14:paraId="03C3564B">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1.报价应按招标文件要求的格式编制、填写报价内容（可自行增行），未按招标文件要求编制、填写的投标文件可能被拒绝；</w:t>
      </w:r>
    </w:p>
    <w:p w14:paraId="77D23D8E">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2.国产设备采用人民币报价，报价须包含设备（包括主机、标准附件、备品备件、专用工具）价、设备运杂费、保险费、利润、税金等；</w:t>
      </w:r>
    </w:p>
    <w:p w14:paraId="57906745">
      <w:pPr>
        <w:tabs>
          <w:tab w:val="left" w:pos="0"/>
        </w:tabs>
        <w:spacing w:line="288" w:lineRule="auto"/>
        <w:ind w:firstLine="348" w:firstLineChars="176"/>
        <w:rPr>
          <w:rFonts w:hint="eastAsia" w:ascii="宋体" w:hAnsi="宋体" w:eastAsia="宋体" w:cs="Times New Roman"/>
          <w:spacing w:val="-6"/>
          <w:szCs w:val="21"/>
        </w:rPr>
      </w:pPr>
      <w:r>
        <w:rPr>
          <w:rFonts w:hint="eastAsia" w:ascii="宋体" w:hAnsi="宋体" w:eastAsia="宋体" w:cs="Times New Roman"/>
          <w:spacing w:val="-6"/>
          <w:szCs w:val="21"/>
        </w:rPr>
        <w:t>3.如进口设备的价格采用免税的人民币报价，</w:t>
      </w:r>
      <w:r>
        <w:rPr>
          <w:rFonts w:hint="eastAsia" w:ascii="等线" w:hAnsi="宋体" w:eastAsia="宋体" w:cs="Times New Roman"/>
          <w:spacing w:val="-6"/>
          <w:szCs w:val="21"/>
        </w:rPr>
        <w:t>报价</w:t>
      </w:r>
      <w:r>
        <w:rPr>
          <w:rFonts w:hint="eastAsia" w:ascii="宋体" w:hAnsi="宋体" w:eastAsia="宋体" w:cs="Times New Roman"/>
          <w:spacing w:val="-6"/>
          <w:szCs w:val="21"/>
        </w:rPr>
        <w:t>须包含设备（包括主机、标准附件、备品备件、专用工具）价、国际运费、国际运输保险费、国内运输保险费、因贸易战等产生的加征关税（如对原产于美国的进口设备加征的关税费等）、外贸代理费等</w:t>
      </w:r>
      <w:r>
        <w:rPr>
          <w:rFonts w:hint="eastAsia" w:ascii="等线" w:hAnsi="宋体" w:eastAsia="宋体" w:cs="Times New Roman"/>
          <w:spacing w:val="-6"/>
          <w:szCs w:val="21"/>
        </w:rPr>
        <w:t>。</w:t>
      </w:r>
      <w:r>
        <w:rPr>
          <w:rFonts w:hint="eastAsia" w:ascii="宋体" w:hAnsi="宋体" w:eastAsia="宋体" w:cs="Times New Roman"/>
          <w:spacing w:val="-6"/>
          <w:szCs w:val="21"/>
        </w:rPr>
        <w:t>同时提供美元报价，交货方式为CIP</w:t>
      </w:r>
      <w:r>
        <w:rPr>
          <w:rFonts w:hint="eastAsia" w:ascii="等线" w:hAnsi="宋体" w:eastAsia="宋体" w:cs="Times New Roman"/>
          <w:spacing w:val="-6"/>
          <w:szCs w:val="21"/>
        </w:rPr>
        <w:t>浙江农林大学</w:t>
      </w:r>
      <w:r>
        <w:rPr>
          <w:rFonts w:hint="eastAsia" w:ascii="宋体" w:hAnsi="宋体" w:eastAsia="宋体" w:cs="Times New Roman"/>
          <w:spacing w:val="-6"/>
          <w:szCs w:val="21"/>
        </w:rPr>
        <w:t>，由中标人委托相关外贸公司办理免税事宜（外贸公司由采购人认定），采购人予以协助，所需费用由中标人承担；对于根据国家相关规定不能享受进口免税政策的设备，投标报价也以人民币报价，投标报价应包含“不能免税的部分”的税金，对于不能免税的部分投标人应在投标文件中予以明示，若未明示，其不能免税的税金由中标人自行承担；</w:t>
      </w:r>
    </w:p>
    <w:p w14:paraId="59D6B77A">
      <w:pPr>
        <w:tabs>
          <w:tab w:val="left" w:pos="0"/>
        </w:tabs>
        <w:spacing w:line="288" w:lineRule="auto"/>
        <w:ind w:firstLine="350" w:firstLineChars="176"/>
        <w:rPr>
          <w:rFonts w:hint="eastAsia" w:ascii="宋体" w:hAnsi="宋体" w:eastAsia="宋体" w:cs="Times New Roman"/>
          <w:b/>
          <w:bCs/>
          <w:spacing w:val="-6"/>
          <w:szCs w:val="21"/>
        </w:rPr>
      </w:pPr>
      <w:r>
        <w:rPr>
          <w:rFonts w:hint="eastAsia" w:ascii="宋体" w:hAnsi="宋体" w:eastAsia="宋体" w:cs="Times New Roman"/>
          <w:b/>
          <w:bCs/>
          <w:spacing w:val="-6"/>
          <w:szCs w:val="21"/>
        </w:rPr>
        <w:t>注：</w:t>
      </w:r>
    </w:p>
    <w:p w14:paraId="1D49B55D">
      <w:pPr>
        <w:tabs>
          <w:tab w:val="left" w:pos="0"/>
        </w:tabs>
        <w:spacing w:line="288" w:lineRule="auto"/>
        <w:ind w:firstLine="348" w:firstLineChars="176"/>
        <w:rPr>
          <w:rFonts w:hint="eastAsia" w:ascii="宋体" w:hAnsi="宋体" w:eastAsia="宋体" w:cs="Times New Roman"/>
          <w:spacing w:val="-6"/>
          <w:szCs w:val="21"/>
        </w:rPr>
      </w:pPr>
      <w:r>
        <w:rPr>
          <w:rFonts w:hint="eastAsia" w:ascii="宋体" w:hAnsi="宋体" w:eastAsia="宋体" w:cs="Times New Roman"/>
          <w:spacing w:val="-6"/>
          <w:szCs w:val="21"/>
        </w:rPr>
        <w:t>（1）根据《财政部 海关总署 国家税务总局关于公布进口科学研究、科技开发和教学用品免税清单的通知》（财关税〔2016〕72号）文件的规定，采购人进口该文件附件“进口科学研究、科技开发和教学用品免税清单”所列产品均可予免征进口关税和进口环节增值税、消费税，投标人的投标报价为CIP价，即投标报价不包含进口关税及进口环节增值税、消费税。</w:t>
      </w:r>
    </w:p>
    <w:p w14:paraId="2FBF75CC">
      <w:pPr>
        <w:tabs>
          <w:tab w:val="left" w:pos="0"/>
        </w:tabs>
        <w:spacing w:line="288" w:lineRule="auto"/>
        <w:ind w:firstLine="348" w:firstLineChars="176"/>
        <w:rPr>
          <w:rFonts w:hint="eastAsia" w:ascii="宋体" w:hAnsi="宋体" w:eastAsia="宋体" w:cs="Times New Roman"/>
          <w:spacing w:val="-6"/>
          <w:szCs w:val="21"/>
        </w:rPr>
      </w:pPr>
      <w:r>
        <w:rPr>
          <w:rFonts w:hint="eastAsia" w:ascii="宋体" w:hAnsi="宋体" w:eastAsia="宋体" w:cs="Times New Roman"/>
          <w:spacing w:val="-6"/>
          <w:szCs w:val="21"/>
        </w:rPr>
        <w:t>（2）合同履行过程中的汇率风险由中标人自行承担，由外贸公司与中标人结算。</w:t>
      </w:r>
    </w:p>
    <w:p w14:paraId="5F16D1BF">
      <w:pPr>
        <w:tabs>
          <w:tab w:val="left" w:pos="0"/>
        </w:tabs>
        <w:spacing w:line="288" w:lineRule="auto"/>
        <w:ind w:firstLine="348" w:firstLineChars="176"/>
        <w:rPr>
          <w:rFonts w:hint="eastAsia" w:ascii="宋体" w:hAnsi="宋体" w:eastAsia="宋体" w:cs="Times New Roman"/>
          <w:spacing w:val="-6"/>
          <w:szCs w:val="21"/>
        </w:rPr>
      </w:pPr>
      <w:r>
        <w:rPr>
          <w:rFonts w:hint="eastAsia" w:ascii="宋体" w:hAnsi="宋体" w:eastAsia="宋体" w:cs="Times New Roman"/>
          <w:spacing w:val="-6"/>
          <w:szCs w:val="21"/>
        </w:rPr>
        <w:t>（3）自本项目采购公告发布之日至供货实施完成期间若发生加征关税的情况，加征的关税由中标人承担，额外费用应包含在投标总价中。</w:t>
      </w:r>
    </w:p>
    <w:p w14:paraId="097986E6">
      <w:pPr>
        <w:tabs>
          <w:tab w:val="left" w:pos="0"/>
        </w:tabs>
        <w:spacing w:line="288" w:lineRule="auto"/>
        <w:ind w:firstLine="348" w:firstLineChars="176"/>
        <w:rPr>
          <w:rFonts w:hint="eastAsia" w:ascii="宋体" w:hAnsi="宋体" w:eastAsia="宋体" w:cs="Times New Roman"/>
          <w:spacing w:val="-6"/>
          <w:szCs w:val="21"/>
        </w:rPr>
      </w:pPr>
      <w:r>
        <w:rPr>
          <w:rFonts w:hint="eastAsia" w:ascii="宋体" w:hAnsi="宋体" w:eastAsia="宋体" w:cs="Times New Roman"/>
          <w:spacing w:val="-6"/>
          <w:szCs w:val="21"/>
        </w:rPr>
        <w:t>（4）进口产品原则上要求从国外直接发货，在中国境内保税区发货的，若产生额外报关等费用由中标人承担，额外费用应包含在投标总价中。</w:t>
      </w:r>
    </w:p>
    <w:p w14:paraId="1638D85C">
      <w:pPr>
        <w:tabs>
          <w:tab w:val="left" w:pos="0"/>
        </w:tabs>
        <w:spacing w:line="288" w:lineRule="auto"/>
        <w:ind w:firstLine="348" w:firstLineChars="176"/>
        <w:rPr>
          <w:rFonts w:hint="eastAsia" w:ascii="宋体" w:hAnsi="宋体" w:eastAsia="宋体" w:cs="Times New Roman"/>
          <w:spacing w:val="-6"/>
          <w:szCs w:val="21"/>
        </w:rPr>
      </w:pPr>
      <w:r>
        <w:rPr>
          <w:rFonts w:hint="eastAsia" w:ascii="宋体" w:hAnsi="宋体" w:eastAsia="宋体" w:cs="Times New Roman"/>
          <w:spacing w:val="-6"/>
          <w:szCs w:val="21"/>
        </w:rPr>
        <w:t>（5）采购人指定的外贸公司的外贸代理费，其收费标准详见下表：</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4"/>
        <w:gridCol w:w="5824"/>
      </w:tblGrid>
      <w:tr w14:paraId="52C0E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04" w:type="dxa"/>
            <w:vAlign w:val="center"/>
          </w:tcPr>
          <w:p w14:paraId="1DD0FABF">
            <w:pPr>
              <w:tabs>
                <w:tab w:val="left" w:pos="0"/>
              </w:tabs>
              <w:spacing w:line="288" w:lineRule="auto"/>
              <w:jc w:val="center"/>
              <w:rPr>
                <w:rFonts w:hint="eastAsia" w:ascii="宋体" w:hAnsi="宋体" w:eastAsia="宋体" w:cs="Times New Roman"/>
                <w:b/>
                <w:bCs/>
                <w:spacing w:val="-6"/>
                <w:szCs w:val="21"/>
              </w:rPr>
            </w:pPr>
            <w:r>
              <w:rPr>
                <w:rFonts w:hint="eastAsia" w:ascii="宋体" w:hAnsi="宋体" w:eastAsia="宋体" w:cs="Times New Roman"/>
                <w:b/>
                <w:bCs/>
                <w:spacing w:val="-6"/>
                <w:szCs w:val="21"/>
              </w:rPr>
              <w:t>收费标准</w:t>
            </w:r>
          </w:p>
        </w:tc>
        <w:tc>
          <w:tcPr>
            <w:tcW w:w="5824" w:type="dxa"/>
            <w:vAlign w:val="center"/>
          </w:tcPr>
          <w:p w14:paraId="75302323">
            <w:pPr>
              <w:tabs>
                <w:tab w:val="left" w:pos="0"/>
              </w:tabs>
              <w:spacing w:line="288" w:lineRule="auto"/>
              <w:jc w:val="center"/>
              <w:rPr>
                <w:rFonts w:hint="eastAsia" w:ascii="宋体" w:hAnsi="宋体" w:eastAsia="宋体" w:cs="Times New Roman"/>
                <w:b/>
                <w:bCs/>
                <w:spacing w:val="-6"/>
                <w:szCs w:val="21"/>
              </w:rPr>
            </w:pPr>
            <w:r>
              <w:rPr>
                <w:rFonts w:hint="eastAsia" w:ascii="宋体" w:hAnsi="宋体" w:eastAsia="宋体" w:cs="Times New Roman"/>
                <w:b/>
                <w:bCs/>
                <w:spacing w:val="-6"/>
                <w:szCs w:val="21"/>
              </w:rPr>
              <w:t>说明</w:t>
            </w:r>
          </w:p>
        </w:tc>
      </w:tr>
      <w:tr w14:paraId="760EC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04" w:type="dxa"/>
            <w:vAlign w:val="center"/>
          </w:tcPr>
          <w:p w14:paraId="4D6823FC">
            <w:pPr>
              <w:spacing w:line="288" w:lineRule="auto"/>
              <w:rPr>
                <w:rFonts w:hint="eastAsia" w:ascii="宋体" w:hAnsi="宋体" w:eastAsia="宋体" w:cs="Times New Roman"/>
                <w:spacing w:val="-6"/>
                <w:szCs w:val="21"/>
                <w:lang w:bidi="ar"/>
              </w:rPr>
            </w:pPr>
            <w:r>
              <w:rPr>
                <w:rFonts w:hint="eastAsia" w:ascii="宋体" w:hAnsi="宋体" w:eastAsia="宋体" w:cs="Times New Roman"/>
                <w:spacing w:val="-6"/>
                <w:szCs w:val="21"/>
                <w:lang w:bidi="ar"/>
              </w:rPr>
              <w:t>美元8万元（含）以下：0.16个点；</w:t>
            </w:r>
          </w:p>
          <w:p w14:paraId="2F394720">
            <w:pPr>
              <w:spacing w:line="288" w:lineRule="auto"/>
              <w:rPr>
                <w:rFonts w:hint="eastAsia" w:ascii="宋体" w:hAnsi="宋体" w:eastAsia="宋体" w:cs="Times New Roman"/>
                <w:spacing w:val="-6"/>
                <w:szCs w:val="21"/>
                <w:lang w:bidi="ar"/>
              </w:rPr>
            </w:pPr>
            <w:r>
              <w:rPr>
                <w:rFonts w:hint="eastAsia" w:ascii="宋体" w:hAnsi="宋体" w:eastAsia="宋体" w:cs="Times New Roman"/>
                <w:spacing w:val="-6"/>
                <w:szCs w:val="21"/>
                <w:lang w:bidi="ar"/>
              </w:rPr>
              <w:t>美元8-15万元（含）：0.15个点；</w:t>
            </w:r>
          </w:p>
          <w:p w14:paraId="436A6287">
            <w:pPr>
              <w:spacing w:line="288" w:lineRule="auto"/>
              <w:rPr>
                <w:rFonts w:hint="eastAsia" w:ascii="宋体" w:hAnsi="宋体" w:eastAsia="宋体" w:cs="Times New Roman"/>
                <w:spacing w:val="-6"/>
                <w:szCs w:val="21"/>
                <w:lang w:bidi="ar"/>
              </w:rPr>
            </w:pPr>
            <w:r>
              <w:rPr>
                <w:rFonts w:ascii="宋体" w:hAnsi="宋体" w:eastAsia="宋体" w:cs="Times New Roman"/>
                <w:spacing w:val="-6"/>
                <w:szCs w:val="21"/>
                <w:lang w:bidi="ar"/>
              </w:rPr>
              <w:t>美元15万元以上</w:t>
            </w:r>
            <w:r>
              <w:rPr>
                <w:rFonts w:hint="eastAsia" w:ascii="宋体" w:hAnsi="宋体" w:eastAsia="宋体" w:cs="Times New Roman"/>
                <w:spacing w:val="-6"/>
                <w:szCs w:val="21"/>
                <w:lang w:bidi="ar"/>
              </w:rPr>
              <w:t>：0.12个点。</w:t>
            </w:r>
          </w:p>
        </w:tc>
        <w:tc>
          <w:tcPr>
            <w:tcW w:w="5824" w:type="dxa"/>
            <w:vAlign w:val="center"/>
          </w:tcPr>
          <w:p w14:paraId="6352AEF5">
            <w:pPr>
              <w:spacing w:line="288" w:lineRule="auto"/>
              <w:rPr>
                <w:rFonts w:hint="eastAsia" w:ascii="宋体" w:hAnsi="宋体" w:eastAsia="宋体" w:cs="Times New Roman"/>
                <w:spacing w:val="-6"/>
                <w:szCs w:val="21"/>
              </w:rPr>
            </w:pPr>
            <w:r>
              <w:rPr>
                <w:rFonts w:hint="eastAsia" w:ascii="宋体" w:hAnsi="宋体" w:eastAsia="宋体" w:cs="Times New Roman"/>
                <w:spacing w:val="-6"/>
                <w:szCs w:val="21"/>
                <w:lang w:bidi="ar"/>
              </w:rPr>
              <w:t>进口代理手续费原则上按与货物项目开标时间最接近时间点的中国银行总行发布的人民币兑美元的现汇卖出价，加X个点进行结算。结算共分为三档：美元8万元（含）以下；美元8-15万元（含）；美元15万元以上（以上均指合同总价）。举例：与货物项目开标时间最接近时间点的中国银行总行发布的人民币兑美元的现汇卖出价为6.5，如外贸代理费报价为美元8万元（含）以下0.2，美元8-15万元（含）0.15，美元15万元以上0.1，则进口设备金额80000美元，合同以80000*（6.5+0.2）；进口设备金额150000美元，合同以150000*（6.5+0.15）；进口设备金额160000美元，合同以160000*（6.5+0.1）。</w:t>
            </w:r>
          </w:p>
        </w:tc>
      </w:tr>
      <w:tr w14:paraId="6DE4E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28" w:type="dxa"/>
            <w:gridSpan w:val="2"/>
            <w:vAlign w:val="center"/>
          </w:tcPr>
          <w:p w14:paraId="2FC12036">
            <w:pPr>
              <w:tabs>
                <w:tab w:val="left" w:pos="0"/>
              </w:tabs>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1.该外贸代理费包含：外贸公司的服务费、银行手续费用、报关费（制单费、录入费、卫生检疫费、保险费、法定商检费、滞报金、换单费等）、海关监管费、仓储费、运输费及进口所需发生的其他必须或可能发生的费用。</w:t>
            </w:r>
          </w:p>
          <w:p w14:paraId="1EFD865F">
            <w:pPr>
              <w:tabs>
                <w:tab w:val="left" w:pos="0"/>
              </w:tabs>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2.外贸代理费不包含进口产品可能涉及的能效标识检测费用、特种设备检测费用等，需由中标人按实际承担。</w:t>
            </w:r>
          </w:p>
          <w:p w14:paraId="7F189A50">
            <w:pPr>
              <w:tabs>
                <w:tab w:val="left" w:pos="0"/>
              </w:tabs>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3.外贸公司由采购人认定。</w:t>
            </w:r>
          </w:p>
        </w:tc>
      </w:tr>
    </w:tbl>
    <w:p w14:paraId="02151CF4">
      <w:pPr>
        <w:adjustRightInd w:val="0"/>
        <w:snapToGrid w:val="0"/>
        <w:spacing w:line="288"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4.投标报价是履行合同的最终价格，有关本项目实施所涉及的一切费用均计入报价；</w:t>
      </w:r>
    </w:p>
    <w:p w14:paraId="7F047F8C">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宋体"/>
          <w:kern w:val="0"/>
          <w:szCs w:val="21"/>
        </w:rPr>
        <w:t>5.投标文件只允许有一个报价，有选择的报价将不予接受；</w:t>
      </w:r>
    </w:p>
    <w:p w14:paraId="6A9E25EE">
      <w:pPr>
        <w:adjustRightInd w:val="0"/>
        <w:snapToGrid w:val="0"/>
        <w:spacing w:line="288" w:lineRule="auto"/>
        <w:ind w:firstLine="420" w:firstLineChars="200"/>
        <w:jc w:val="left"/>
        <w:rPr>
          <w:rFonts w:hint="eastAsia" w:hAnsi="宋体" w:eastAsia="宋体" w:cs="宋体"/>
          <w:szCs w:val="21"/>
        </w:rPr>
      </w:pPr>
      <w:r>
        <w:rPr>
          <w:rFonts w:hint="eastAsia" w:hAnsi="宋体" w:eastAsia="宋体" w:cs="宋体"/>
          <w:szCs w:val="21"/>
        </w:rPr>
        <w:t>▲</w:t>
      </w:r>
      <w:r>
        <w:rPr>
          <w:rFonts w:hint="eastAsia" w:ascii="宋体" w:hAnsi="宋体" w:eastAsia="宋体" w:cs="宋体"/>
          <w:szCs w:val="21"/>
        </w:rPr>
        <w:t>6.</w:t>
      </w:r>
      <w:r>
        <w:rPr>
          <w:rFonts w:hint="eastAsia" w:hAnsi="宋体" w:eastAsia="宋体" w:cs="宋体"/>
          <w:szCs w:val="21"/>
        </w:rPr>
        <w:t>采购人将以合同形式有偿取得货物或服务，不接受投标人给予的赠品、回扣或者与采购无关的其他商品、服务</w:t>
      </w:r>
      <w:r>
        <w:rPr>
          <w:rFonts w:hAnsi="宋体" w:eastAsia="宋体" w:cs="宋体"/>
          <w:szCs w:val="21"/>
        </w:rPr>
        <w:t>。</w:t>
      </w:r>
    </w:p>
    <w:p w14:paraId="502206FB">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（六）投标有效期</w:t>
      </w:r>
    </w:p>
    <w:p w14:paraId="4472BE20">
      <w:pPr>
        <w:pStyle w:val="14"/>
        <w:adjustRightInd w:val="0"/>
        <w:snapToGrid w:val="0"/>
        <w:spacing w:before="0" w:beforeLines="0" w:after="0" w:afterLines="0" w:line="288" w:lineRule="auto"/>
        <w:ind w:firstLine="396" w:firstLineChars="200"/>
        <w:jc w:val="left"/>
        <w:rPr>
          <w:rFonts w:hint="eastAsia"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14:paraId="00F49D88">
      <w:pPr>
        <w:widowControl/>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434C1DF5">
      <w:pPr>
        <w:adjustRightInd w:val="0"/>
        <w:snapToGrid w:val="0"/>
        <w:spacing w:line="288" w:lineRule="auto"/>
        <w:jc w:val="center"/>
        <w:outlineLvl w:val="1"/>
        <w:rPr>
          <w:rFonts w:hint="eastAsia"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5A2618A5">
      <w:pPr>
        <w:adjustRightInd w:val="0"/>
        <w:snapToGrid w:val="0"/>
        <w:spacing w:line="288" w:lineRule="auto"/>
        <w:ind w:firstLine="420" w:firstLineChars="200"/>
        <w:rPr>
          <w:rFonts w:hint="eastAsia" w:ascii="宋体" w:hAnsi="宋体" w:eastAsia="宋体" w:cs="宋体"/>
          <w:szCs w:val="21"/>
        </w:rPr>
      </w:pPr>
      <w:bookmarkStart w:id="50" w:name="_Hlk94018682"/>
      <w:r>
        <w:rPr>
          <w:rFonts w:hint="eastAsia" w:ascii="宋体" w:hAnsi="宋体" w:eastAsia="宋体" w:cs="宋体"/>
          <w:szCs w:val="21"/>
        </w:rPr>
        <w:t>未响应招标文件“▲”标记条款要求的，投标无效。</w:t>
      </w:r>
    </w:p>
    <w:bookmarkEnd w:id="50"/>
    <w:p w14:paraId="028C52AE">
      <w:pPr>
        <w:widowControl/>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5C4C7D6E">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7D74C2D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14:paraId="0363E02B">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299B834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14:paraId="4E08E4DB">
      <w:pPr>
        <w:adjustRightInd w:val="0"/>
        <w:snapToGrid w:val="0"/>
        <w:spacing w:line="288" w:lineRule="auto"/>
        <w:ind w:firstLine="398" w:firstLineChars="200"/>
        <w:rPr>
          <w:rFonts w:hint="eastAsia"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14:paraId="46409520">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14:paraId="36A5D839">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2）未提供或未按要求提供投标函、授权委托书；</w:t>
      </w:r>
    </w:p>
    <w:p w14:paraId="1364D641">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3）委托授权代表参加投标但未提供符合要求的授权代表社保缴纳证明；</w:t>
      </w:r>
    </w:p>
    <w:p w14:paraId="1E7C4366">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（4）未提供或未如实提供采购需求</w:t>
      </w:r>
      <w:r>
        <w:rPr>
          <w:rFonts w:ascii="宋体" w:hAnsi="宋体" w:eastAsia="宋体" w:cs="Times New Roman"/>
          <w:spacing w:val="-6"/>
          <w:szCs w:val="21"/>
        </w:rPr>
        <w:t>偏离表；</w:t>
      </w:r>
    </w:p>
    <w:p w14:paraId="203253FB">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（5）明显不符合招标文件要求，或负偏离达到规定数目的，视为采购人不能接受的附加条件；</w:t>
      </w:r>
    </w:p>
    <w:p w14:paraId="45CC994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6</w:t>
      </w:r>
      <w:r>
        <w:rPr>
          <w:rFonts w:hint="eastAsia" w:ascii="宋体" w:hAnsi="宋体" w:eastAsia="宋体" w:cs="Times New Roman"/>
          <w:spacing w:val="-6"/>
          <w:szCs w:val="21"/>
        </w:rPr>
        <w:t>）</w:t>
      </w:r>
      <w:r>
        <w:rPr>
          <w:rFonts w:ascii="宋体" w:hAnsi="宋体" w:eastAsia="宋体" w:cs="Times New Roman"/>
          <w:spacing w:val="-6"/>
          <w:szCs w:val="21"/>
        </w:rPr>
        <w:t>投标技术方案不明确，存在一个或一个以上备选（替代）投标方案；</w:t>
      </w:r>
    </w:p>
    <w:p w14:paraId="55220600">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）投标文件含有采购人不能接受的附加条件；</w:t>
      </w:r>
    </w:p>
    <w:p w14:paraId="154CFE7A">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8</w:t>
      </w:r>
      <w:r>
        <w:rPr>
          <w:rFonts w:hint="eastAsia" w:ascii="宋体" w:hAnsi="宋体" w:eastAsia="宋体" w:cs="Times New Roman"/>
          <w:spacing w:val="-6"/>
          <w:szCs w:val="21"/>
        </w:rPr>
        <w:t>）法律、法规和招标文件规定的其他无效情形。</w:t>
      </w:r>
    </w:p>
    <w:p w14:paraId="45CB44F1">
      <w:pPr>
        <w:widowControl/>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14:paraId="2220BB5A">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5CC03174">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14:paraId="54360D1A">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14:paraId="38A16FBE">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14:paraId="2448A8F0">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（5）报价具有选择性；</w:t>
      </w:r>
    </w:p>
    <w:p w14:paraId="1285BBA8">
      <w:pPr>
        <w:widowControl/>
        <w:adjustRightInd w:val="0"/>
        <w:snapToGrid w:val="0"/>
        <w:spacing w:line="288" w:lineRule="auto"/>
        <w:ind w:firstLine="396" w:firstLineChars="200"/>
        <w:jc w:val="left"/>
        <w:rPr>
          <w:rFonts w:hint="eastAsia" w:ascii="宋体" w:hAnsi="宋体" w:eastAsia="宋体" w:cs="Times New Roman"/>
          <w:spacing w:val="-6"/>
          <w:szCs w:val="21"/>
        </w:rPr>
      </w:pPr>
      <w:bookmarkStart w:id="51"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1"/>
    <w:p w14:paraId="2F7CE5E9">
      <w:pPr>
        <w:widowControl/>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14:paraId="658CF93A">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14:paraId="6C422140">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14:paraId="400285C4">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14:paraId="3BD2913C">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14:paraId="181A8D41">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14:paraId="4DA9C404">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14:paraId="04D19949">
      <w:pPr>
        <w:pStyle w:val="100"/>
        <w:snapToGrid w:val="0"/>
        <w:spacing w:before="0" w:line="288" w:lineRule="auto"/>
        <w:ind w:left="0" w:firstLine="424" w:firstLineChars="201"/>
        <w:rPr>
          <w:rFonts w:hint="eastAsia" w:ascii="宋体" w:hAnsi="宋体"/>
          <w:szCs w:val="21"/>
        </w:rPr>
      </w:pPr>
      <w:bookmarkStart w:id="52" w:name="_Hlk94018775"/>
      <w:r>
        <w:rPr>
          <w:rFonts w:hint="eastAsia" w:ascii="宋体" w:hAnsi="宋体" w:cs="仿宋_GB2312"/>
          <w:b/>
          <w:szCs w:val="21"/>
        </w:rPr>
        <w:t>（一）</w:t>
      </w:r>
      <w:r>
        <w:rPr>
          <w:rFonts w:ascii="宋体" w:hAnsi="宋体" w:cs="仿宋_GB2312"/>
          <w:b/>
          <w:szCs w:val="21"/>
        </w:rPr>
        <w:t>开标</w:t>
      </w:r>
    </w:p>
    <w:p w14:paraId="77F23219">
      <w:pPr>
        <w:pStyle w:val="100"/>
        <w:snapToGrid w:val="0"/>
        <w:spacing w:before="0" w:line="288" w:lineRule="auto"/>
        <w:ind w:left="0" w:firstLine="422" w:firstLineChars="201"/>
        <w:rPr>
          <w:rFonts w:hint="eastAsia" w:ascii="宋体" w:hAnsi="宋体" w:cs="仿宋_GB2312"/>
          <w:szCs w:val="21"/>
        </w:rPr>
      </w:pPr>
      <w:r>
        <w:rPr>
          <w:rFonts w:hint="eastAsia" w:ascii="宋体" w:hAnsi="宋体" w:cs="仿宋_GB2312"/>
          <w:szCs w:val="21"/>
        </w:rPr>
        <w:t>采购代理机构</w:t>
      </w:r>
      <w:r>
        <w:rPr>
          <w:rFonts w:ascii="宋体" w:hAnsi="宋体" w:cs="仿宋_GB2312"/>
          <w:szCs w:val="21"/>
        </w:rPr>
        <w:t>按照招标文件规定的时间通过电子交易平台组织开标，所有投标人均应当准时在线参加。投标人不足3家的，不得开标。</w:t>
      </w:r>
    </w:p>
    <w:p w14:paraId="2178EC35">
      <w:pPr>
        <w:pStyle w:val="100"/>
        <w:snapToGrid w:val="0"/>
        <w:spacing w:before="0" w:line="288" w:lineRule="auto"/>
        <w:ind w:left="0" w:firstLine="422" w:firstLineChars="201"/>
        <w:rPr>
          <w:rFonts w:hint="eastAsia"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370A824C">
      <w:pPr>
        <w:adjustRightInd w:val="0"/>
        <w:snapToGrid w:val="0"/>
        <w:spacing w:line="288" w:lineRule="auto"/>
        <w:ind w:firstLine="422" w:firstLineChars="200"/>
        <w:rPr>
          <w:rFonts w:hint="eastAsia"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29357DAB">
      <w:pPr>
        <w:widowControl/>
        <w:adjustRightInd w:val="0"/>
        <w:snapToGrid w:val="0"/>
        <w:spacing w:line="288" w:lineRule="auto"/>
        <w:ind w:firstLine="424" w:firstLineChars="201"/>
        <w:jc w:val="left"/>
        <w:rPr>
          <w:rFonts w:hint="eastAsia"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0422DDB8">
      <w:pPr>
        <w:adjustRightInd w:val="0"/>
        <w:snapToGrid w:val="0"/>
        <w:spacing w:line="288" w:lineRule="auto"/>
        <w:ind w:firstLine="422" w:firstLineChars="201"/>
        <w:rPr>
          <w:rFonts w:hint="eastAsia"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采购人或采购代理机构依据法律法规和招标文件的规定，对投标人的资格条件进行审查。</w:t>
      </w:r>
    </w:p>
    <w:p w14:paraId="48A09217">
      <w:pPr>
        <w:pStyle w:val="99"/>
        <w:adjustRightInd w:val="0"/>
        <w:snapToGrid w:val="0"/>
        <w:spacing w:before="0" w:line="288" w:lineRule="auto"/>
        <w:ind w:firstLine="422" w:firstLineChars="201"/>
        <w:rPr>
          <w:rFonts w:hint="eastAsia"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rPr>
        <w:t>采购代理机构</w:t>
      </w:r>
      <w:r>
        <w:rPr>
          <w:rFonts w:ascii="宋体" w:hAnsi="宋体" w:cs="仿宋_GB2312"/>
          <w:sz w:val="21"/>
          <w:szCs w:val="21"/>
        </w:rPr>
        <w:t>告知其未通过的原因。</w:t>
      </w:r>
    </w:p>
    <w:p w14:paraId="531169AD">
      <w:pPr>
        <w:pStyle w:val="99"/>
        <w:adjustRightInd w:val="0"/>
        <w:snapToGrid w:val="0"/>
        <w:spacing w:before="0" w:line="288" w:lineRule="auto"/>
        <w:ind w:firstLine="422" w:firstLineChars="201"/>
        <w:rPr>
          <w:rFonts w:hint="eastAsia" w:ascii="宋体" w:hAnsi="宋体" w:cs="仿宋_GB2312"/>
          <w:sz w:val="21"/>
          <w:szCs w:val="21"/>
        </w:rPr>
      </w:pPr>
      <w:r>
        <w:rPr>
          <w:rFonts w:ascii="宋体" w:hAnsi="宋体" w:cs="仿宋_GB2312"/>
          <w:sz w:val="21"/>
          <w:szCs w:val="21"/>
        </w:rPr>
        <w:t>通过资格审查的投标人不足3家的，不再评标。</w:t>
      </w:r>
    </w:p>
    <w:p w14:paraId="5E0FEC36">
      <w:pPr>
        <w:pStyle w:val="99"/>
        <w:adjustRightInd w:val="0"/>
        <w:snapToGrid w:val="0"/>
        <w:spacing w:before="0" w:line="288" w:lineRule="auto"/>
        <w:ind w:firstLine="424" w:firstLineChars="201"/>
        <w:rPr>
          <w:rFonts w:hint="eastAsia"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23E5AFB5">
      <w:pPr>
        <w:pStyle w:val="99"/>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3D926F4C">
      <w:pPr>
        <w:pStyle w:val="99"/>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35C48775">
      <w:pPr>
        <w:pStyle w:val="99"/>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4F8D6CF8">
      <w:pPr>
        <w:pStyle w:val="99"/>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7F9A3B49">
      <w:pPr>
        <w:pStyle w:val="99"/>
        <w:adjustRightInd w:val="0"/>
        <w:snapToGrid w:val="0"/>
        <w:spacing w:before="0" w:line="288" w:lineRule="auto"/>
        <w:ind w:firstLine="422" w:firstLineChars="201"/>
        <w:rPr>
          <w:rFonts w:hint="eastAsia"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5AE14D83">
      <w:pPr>
        <w:adjustRightInd w:val="0"/>
        <w:snapToGrid w:val="0"/>
        <w:spacing w:line="288" w:lineRule="auto"/>
        <w:ind w:firstLine="398" w:firstLineChars="200"/>
        <w:rPr>
          <w:rFonts w:hint="eastAsia" w:ascii="宋体" w:hAnsi="宋体" w:eastAsia="宋体" w:cs="Times New Roman"/>
          <w:b/>
          <w:bCs/>
          <w:spacing w:val="-6"/>
          <w:szCs w:val="21"/>
        </w:rPr>
      </w:pPr>
    </w:p>
    <w:p w14:paraId="10678D4F">
      <w:pPr>
        <w:adjustRightInd w:val="0"/>
        <w:snapToGrid w:val="0"/>
        <w:spacing w:line="288" w:lineRule="auto"/>
        <w:ind w:firstLine="398" w:firstLineChars="200"/>
        <w:rPr>
          <w:rFonts w:hint="eastAsia"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2"/>
    <w:p w14:paraId="6FA4C6B2">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1F6780F2">
      <w:pPr>
        <w:adjustRightInd w:val="0"/>
        <w:snapToGrid w:val="0"/>
        <w:spacing w:line="288" w:lineRule="auto"/>
        <w:ind w:firstLine="420" w:firstLineChars="200"/>
        <w:rPr>
          <w:rFonts w:hint="eastAsia" w:ascii="宋体" w:hAnsi="宋体" w:eastAsia="宋体" w:cs="宋体"/>
          <w:kern w:val="0"/>
          <w:szCs w:val="21"/>
        </w:rPr>
      </w:pPr>
      <w:bookmarkStart w:id="53"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0CA7524">
      <w:pPr>
        <w:adjustRightInd w:val="0"/>
        <w:snapToGrid w:val="0"/>
        <w:spacing w:line="288" w:lineRule="auto"/>
        <w:ind w:firstLine="420" w:firstLineChars="200"/>
        <w:rPr>
          <w:rFonts w:hint="eastAsia"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3"/>
    <w:p w14:paraId="51FCCCE1">
      <w:pPr>
        <w:adjustRightInd w:val="0"/>
        <w:snapToGrid w:val="0"/>
        <w:spacing w:line="288" w:lineRule="auto"/>
        <w:ind w:firstLine="426" w:firstLineChars="202"/>
        <w:rPr>
          <w:rFonts w:hint="eastAsia" w:ascii="宋体" w:hAnsi="宋体" w:eastAsia="宋体" w:cs="Arial"/>
          <w:b/>
          <w:kern w:val="0"/>
          <w:szCs w:val="21"/>
        </w:rPr>
      </w:pPr>
      <w:bookmarkStart w:id="54"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6A4CB5AB">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1BE24A79">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（二）比较与评价</w:t>
      </w:r>
    </w:p>
    <w:p w14:paraId="534FC645">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36761564">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B1F6C60">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2F8D90EB">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64FD4C87">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646DC9FB">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政府采购云平台上传的电子投标（响应）文件报价与政府采购云平台录入报价不一致的，以上传的电子投标（响应）文件报价为准。</w:t>
      </w:r>
    </w:p>
    <w:p w14:paraId="62EA9473">
      <w:pPr>
        <w:adjustRightInd w:val="0"/>
        <w:snapToGrid w:val="0"/>
        <w:spacing w:line="288" w:lineRule="auto"/>
        <w:ind w:firstLine="426" w:firstLineChars="202"/>
        <w:rPr>
          <w:rFonts w:hint="eastAsia" w:ascii="宋体" w:hAnsi="宋体" w:eastAsia="宋体" w:cs="Arial"/>
          <w:b/>
          <w:kern w:val="0"/>
          <w:szCs w:val="21"/>
        </w:rPr>
      </w:pPr>
      <w:r>
        <w:rPr>
          <w:rFonts w:ascii="宋体" w:hAnsi="宋体" w:eastAsia="宋体" w:cs="Arial"/>
          <w:b/>
          <w:kern w:val="0"/>
          <w:szCs w:val="21"/>
        </w:rPr>
        <w:t>投标文件报价出现前后不一致的，按照下列规定修正：</w:t>
      </w:r>
    </w:p>
    <w:p w14:paraId="5C4DD9B1">
      <w:pPr>
        <w:pStyle w:val="99"/>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31A533F1">
      <w:pPr>
        <w:pStyle w:val="99"/>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大写金额和小写金额不一致的，以大写金额为准；</w:t>
      </w:r>
    </w:p>
    <w:p w14:paraId="29C679D2">
      <w:pPr>
        <w:pStyle w:val="99"/>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3E3C3BE4">
      <w:pPr>
        <w:pStyle w:val="99"/>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27D26210">
      <w:pPr>
        <w:pStyle w:val="99"/>
        <w:adjustRightInd w:val="0"/>
        <w:snapToGrid w:val="0"/>
        <w:spacing w:before="0" w:line="288" w:lineRule="auto"/>
        <w:ind w:firstLine="424" w:firstLineChars="202"/>
        <w:rPr>
          <w:rFonts w:hint="eastAsia" w:ascii="宋体" w:hAnsi="宋体" w:cs="仿宋"/>
          <w:kern w:val="0"/>
          <w:sz w:val="21"/>
          <w:szCs w:val="21"/>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4D08B72F">
      <w:pPr>
        <w:pStyle w:val="99"/>
        <w:adjustRightInd w:val="0"/>
        <w:snapToGrid w:val="0"/>
        <w:spacing w:before="0" w:line="288" w:lineRule="auto"/>
        <w:ind w:firstLine="424" w:firstLineChars="202"/>
        <w:rPr>
          <w:rFonts w:hint="eastAsia" w:ascii="宋体" w:hAnsi="宋体" w:cs="仿宋"/>
          <w:kern w:val="0"/>
          <w:sz w:val="21"/>
          <w:szCs w:val="21"/>
        </w:rPr>
      </w:pPr>
      <w:r>
        <w:rPr>
          <w:rFonts w:hint="eastAsia" w:ascii="宋体" w:hAnsi="宋体" w:cs="仿宋"/>
          <w:kern w:val="0"/>
          <w:sz w:val="21"/>
          <w:szCs w:val="21"/>
        </w:rPr>
        <w:t>投标人收到修正确认文件后，在规定时间内未做出回复的，视为不确认。</w:t>
      </w:r>
    </w:p>
    <w:p w14:paraId="626868D4">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（五）投标人澄清、说明或者补正</w:t>
      </w:r>
    </w:p>
    <w:p w14:paraId="5A8A764A">
      <w:pPr>
        <w:pStyle w:val="99"/>
        <w:adjustRightInd w:val="0"/>
        <w:snapToGrid w:val="0"/>
        <w:spacing w:before="0" w:line="288" w:lineRule="auto"/>
        <w:ind w:firstLine="424" w:firstLineChars="202"/>
        <w:rPr>
          <w:rFonts w:hint="eastAsia" w:ascii="宋体" w:hAnsi="宋体" w:cs="Arial"/>
          <w:kern w:val="0"/>
          <w:sz w:val="21"/>
          <w:szCs w:val="21"/>
        </w:rPr>
      </w:pP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CE8D698">
      <w:pPr>
        <w:adjustRightInd w:val="0"/>
        <w:snapToGrid w:val="0"/>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投标人的书面澄清、说明或者补正无法通过政府采购云平台上传的，可在规定时间内（不少于半小时）通过指定的电子邮箱（zb02@qszb.net</w:t>
      </w:r>
      <w:r>
        <w:rPr>
          <w:rFonts w:ascii="宋体" w:hAnsi="宋体" w:eastAsia="宋体" w:cs="宋体"/>
          <w:kern w:val="0"/>
          <w:szCs w:val="21"/>
        </w:rPr>
        <w:t>）或传真号码（0571-87666116）提交。</w:t>
      </w:r>
    </w:p>
    <w:p w14:paraId="5B7D334C">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（六）排序与推荐</w:t>
      </w:r>
    </w:p>
    <w:p w14:paraId="6D25DFA5">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评标办法</w:t>
      </w:r>
      <w:r>
        <w:rPr>
          <w:rFonts w:hint="eastAsia" w:ascii="宋体" w:hAnsi="宋体" w:eastAsia="宋体" w:cs="Arial"/>
          <w:kern w:val="0"/>
          <w:szCs w:val="21"/>
        </w:rPr>
        <w:t>：</w:t>
      </w:r>
      <w:r>
        <w:rPr>
          <w:rFonts w:ascii="宋体" w:hAnsi="宋体" w:eastAsia="宋体" w:cs="Arial"/>
          <w:kern w:val="0"/>
          <w:szCs w:val="21"/>
        </w:rPr>
        <w:t>本项目评标办法是综合评分法，具体评标内容及评标标准等详见</w:t>
      </w:r>
      <w:r>
        <w:rPr>
          <w:rFonts w:hint="eastAsia" w:ascii="宋体" w:hAnsi="宋体" w:eastAsia="宋体" w:cs="Arial"/>
          <w:kern w:val="0"/>
          <w:szCs w:val="21"/>
        </w:rPr>
        <w:t>“</w:t>
      </w:r>
      <w:r>
        <w:rPr>
          <w:rFonts w:ascii="宋体" w:hAnsi="宋体" w:eastAsia="宋体" w:cs="Arial"/>
          <w:kern w:val="0"/>
          <w:szCs w:val="21"/>
        </w:rPr>
        <w:t>第四章：评标方法和评标标准”。</w:t>
      </w:r>
    </w:p>
    <w:p w14:paraId="6101B281">
      <w:pPr>
        <w:adjustRightInd w:val="0"/>
        <w:snapToGrid w:val="0"/>
        <w:spacing w:line="288" w:lineRule="auto"/>
        <w:ind w:firstLine="424" w:firstLineChars="202"/>
        <w:rPr>
          <w:rFonts w:hint="eastAsia" w:ascii="宋体" w:hAnsi="宋体" w:eastAsia="宋体" w:cs="Times New Roman"/>
          <w:bCs/>
          <w:spacing w:val="-6"/>
          <w:szCs w:val="21"/>
        </w:rPr>
      </w:pPr>
      <w:r>
        <w:rPr>
          <w:rFonts w:ascii="宋体" w:hAnsi="宋体" w:eastAsia="宋体" w:cs="Arial"/>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rPr>
        <w:t>。本项目推荐2名中标候选人。</w:t>
      </w:r>
    </w:p>
    <w:p w14:paraId="1929D88E">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提供相同品牌产品且通过资格审查、符合性审查的不同投标人参加同一合同项下投标的，按一家投标人计算，评审后得分最高的同品牌投标人获得中标人推荐资格；评审得分相同的，评审得分相同的，按投标报价由低到高顺序排列。得分且投标报价相同的，由采购人确定一个投标人获得中标人推荐资格，其他同品牌投标人不作为中标候选人。</w:t>
      </w:r>
    </w:p>
    <w:p w14:paraId="75658351">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非单一产品采购项目，采购人应当根据采购项目技术构成、产品价格比重等合理确定核心产品，并在招标文件中载明。多家投标人提供的核心产品品牌相同的，按前款规定处理。</w:t>
      </w:r>
    </w:p>
    <w:p w14:paraId="526BC26B">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14:paraId="0B0E76CA">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4"/>
    <w:p w14:paraId="44EFD6C9">
      <w:pPr>
        <w:widowControl/>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400FA7B9">
      <w:pPr>
        <w:adjustRightInd w:val="0"/>
        <w:snapToGrid w:val="0"/>
        <w:spacing w:line="288" w:lineRule="auto"/>
        <w:jc w:val="center"/>
        <w:outlineLvl w:val="1"/>
        <w:rPr>
          <w:rFonts w:hint="eastAsia" w:ascii="宋体" w:hAnsi="宋体" w:eastAsia="宋体" w:cs="Times New Roman"/>
          <w:b/>
          <w:spacing w:val="-6"/>
          <w:szCs w:val="21"/>
        </w:rPr>
      </w:pPr>
      <w:r>
        <w:rPr>
          <w:rFonts w:hint="eastAsia" w:ascii="宋体" w:hAnsi="宋体" w:eastAsia="宋体" w:cs="Times New Roman"/>
          <w:b/>
          <w:spacing w:val="-6"/>
          <w:szCs w:val="21"/>
        </w:rPr>
        <w:t>七、中标与合同</w:t>
      </w:r>
    </w:p>
    <w:p w14:paraId="33A241B8">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（一）中标</w:t>
      </w:r>
    </w:p>
    <w:p w14:paraId="72BFFDB1">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1.采购代理机构自评标结束之日起2个工作日内将评标报告送交采购人。采购人收到评标报告之日起</w:t>
      </w:r>
      <w:r>
        <w:rPr>
          <w:rFonts w:ascii="宋体" w:hAnsi="宋体" w:eastAsia="宋体" w:cs="Times New Roman"/>
          <w:spacing w:val="-6"/>
          <w:szCs w:val="21"/>
        </w:rPr>
        <w:t>5</w:t>
      </w:r>
      <w:r>
        <w:rPr>
          <w:rFonts w:hint="eastAsia" w:ascii="宋体" w:hAnsi="宋体" w:eastAsia="宋体" w:cs="Times New Roman"/>
          <w:spacing w:val="-6"/>
          <w:szCs w:val="21"/>
        </w:rPr>
        <w:t>个工作日内在评标报告推荐的中标候选人中按顺序确定中标人，也可以书面授权评标委员会直接确定中标人。</w:t>
      </w:r>
      <w:r>
        <w:rPr>
          <w:rFonts w:ascii="宋体" w:hAnsi="宋体" w:eastAsia="宋体" w:cs="Times New Roman"/>
          <w:spacing w:val="-6"/>
          <w:szCs w:val="21"/>
        </w:rPr>
        <w:t>中标候选人并列的，由采购人确定中标人。</w:t>
      </w:r>
    </w:p>
    <w:p w14:paraId="4A7464F0">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2.采购代理机构自中标人确定之日起</w:t>
      </w:r>
      <w:r>
        <w:rPr>
          <w:rFonts w:ascii="宋体" w:hAnsi="宋体" w:eastAsia="宋体" w:cs="Times New Roman"/>
          <w:spacing w:val="-6"/>
          <w:szCs w:val="21"/>
        </w:rPr>
        <w:t>2</w:t>
      </w:r>
      <w:r>
        <w:rPr>
          <w:rFonts w:hint="eastAsia" w:ascii="宋体" w:hAnsi="宋体" w:eastAsia="宋体" w:cs="Times New Roman"/>
          <w:spacing w:val="-6"/>
          <w:szCs w:val="21"/>
        </w:rPr>
        <w:t>个工作日内，公告中标结果，并发出中标通知书。</w:t>
      </w:r>
    </w:p>
    <w:p w14:paraId="6E512BEB">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评标结果公示媒体：浙江政府采购网（http://zfcg.czt.zj.gov.cn）。</w:t>
      </w:r>
    </w:p>
    <w:p w14:paraId="3B0EC351">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（二）合同</w:t>
      </w:r>
    </w:p>
    <w:p w14:paraId="4067D876">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6AE7FF21">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61339424">
      <w:pPr>
        <w:adjustRightInd w:val="0"/>
        <w:snapToGrid w:val="0"/>
        <w:spacing w:line="288" w:lineRule="auto"/>
        <w:ind w:firstLine="396" w:firstLineChars="200"/>
        <w:rPr>
          <w:rFonts w:hint="eastAsia" w:ascii="宋体" w:hAnsi="宋体" w:eastAsia="宋体" w:cs="Times New Roman"/>
          <w:spacing w:val="-6"/>
          <w:szCs w:val="21"/>
        </w:rPr>
      </w:pPr>
    </w:p>
    <w:p w14:paraId="12C70C5C">
      <w:pPr>
        <w:adjustRightInd w:val="0"/>
        <w:snapToGrid w:val="0"/>
        <w:spacing w:line="288" w:lineRule="auto"/>
        <w:jc w:val="center"/>
        <w:outlineLvl w:val="1"/>
        <w:rPr>
          <w:rFonts w:hint="eastAsia"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7931F2BF">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0C3A749D">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39985BD0">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5071DEB">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D1394AB">
      <w:pPr>
        <w:tabs>
          <w:tab w:val="left" w:pos="0"/>
        </w:tabs>
        <w:adjustRightInd w:val="0"/>
        <w:snapToGrid w:val="0"/>
        <w:spacing w:line="288" w:lineRule="auto"/>
        <w:ind w:firstLine="400" w:firstLineChars="201"/>
        <w:rPr>
          <w:rFonts w:hint="eastAsia" w:ascii="宋体" w:hAnsi="宋体" w:eastAsia="宋体" w:cs="Times New Roman"/>
          <w:b/>
          <w:spacing w:val="-6"/>
          <w:szCs w:val="21"/>
        </w:rPr>
      </w:pPr>
    </w:p>
    <w:p w14:paraId="133B24DD">
      <w:pPr>
        <w:adjustRightInd w:val="0"/>
        <w:snapToGrid w:val="0"/>
        <w:spacing w:line="288" w:lineRule="auto"/>
        <w:ind w:firstLine="398" w:firstLineChars="200"/>
        <w:jc w:val="center"/>
        <w:outlineLvl w:val="1"/>
        <w:rPr>
          <w:rFonts w:hint="eastAsia" w:ascii="宋体" w:hAnsi="宋体" w:eastAsia="宋体" w:cs="Times New Roman"/>
          <w:szCs w:val="21"/>
        </w:rPr>
      </w:pPr>
      <w:r>
        <w:rPr>
          <w:rFonts w:hint="eastAsia" w:ascii="宋体" w:hAnsi="宋体" w:eastAsia="宋体" w:cs="Times New Roman"/>
          <w:b/>
          <w:spacing w:val="-6"/>
          <w:szCs w:val="21"/>
        </w:rPr>
        <w:t>九、可中止电子交易活动的情形</w:t>
      </w:r>
    </w:p>
    <w:p w14:paraId="5F01E35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667C3FA6">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47A2AD7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46E609EC">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02176C1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579A8186">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5D67E359">
      <w:pPr>
        <w:adjustRightInd w:val="0"/>
        <w:snapToGrid w:val="0"/>
        <w:spacing w:line="288" w:lineRule="auto"/>
        <w:ind w:firstLine="396" w:firstLineChars="200"/>
        <w:rPr>
          <w:rFonts w:hint="eastAsia"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7589ACDD">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br w:type="page"/>
      </w:r>
    </w:p>
    <w:p w14:paraId="3DB98AD4">
      <w:pPr>
        <w:adjustRightInd w:val="0"/>
        <w:snapToGrid w:val="0"/>
        <w:spacing w:line="288" w:lineRule="auto"/>
        <w:jc w:val="center"/>
        <w:outlineLvl w:val="0"/>
        <w:rPr>
          <w:rFonts w:hint="eastAsia" w:ascii="宋体" w:hAnsi="宋体" w:eastAsia="宋体" w:cs="Times New Roman"/>
          <w:b/>
          <w:spacing w:val="-6"/>
          <w:sz w:val="32"/>
          <w:szCs w:val="32"/>
        </w:rPr>
      </w:pPr>
      <w:r>
        <w:rPr>
          <w:rFonts w:hint="eastAsia" w:ascii="宋体" w:hAnsi="宋体" w:eastAsia="宋体" w:cs="Times New Roman"/>
          <w:b/>
          <w:sz w:val="32"/>
          <w:szCs w:val="32"/>
        </w:rPr>
        <w:t>第四章  评标方法和评标标准</w:t>
      </w:r>
    </w:p>
    <w:p w14:paraId="120FBA44">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一、评标方法</w:t>
      </w:r>
    </w:p>
    <w:p w14:paraId="00696E9E">
      <w:pPr>
        <w:adjustRightInd w:val="0"/>
        <w:snapToGrid w:val="0"/>
        <w:spacing w:line="288" w:lineRule="auto"/>
        <w:ind w:firstLine="396" w:firstLineChars="200"/>
        <w:rPr>
          <w:rFonts w:hint="eastAsia"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14:paraId="67C54171">
      <w:pPr>
        <w:adjustRightInd w:val="0"/>
        <w:snapToGrid w:val="0"/>
        <w:spacing w:line="288" w:lineRule="auto"/>
        <w:ind w:firstLine="396" w:firstLineChars="200"/>
        <w:rPr>
          <w:rFonts w:hint="eastAsia"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14:paraId="156C860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14:paraId="7F5EE467">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7048B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4E60923E">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评审因素</w:t>
            </w:r>
          </w:p>
        </w:tc>
        <w:tc>
          <w:tcPr>
            <w:tcW w:w="654" w:type="dxa"/>
            <w:vAlign w:val="center"/>
          </w:tcPr>
          <w:p w14:paraId="0F192606">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分值</w:t>
            </w:r>
          </w:p>
        </w:tc>
        <w:tc>
          <w:tcPr>
            <w:tcW w:w="7072" w:type="dxa"/>
            <w:vAlign w:val="center"/>
          </w:tcPr>
          <w:p w14:paraId="0C5A258B">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评分细则</w:t>
            </w:r>
          </w:p>
        </w:tc>
      </w:tr>
      <w:tr w14:paraId="58BA6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2EEFAC58">
            <w:pPr>
              <w:keepNext w:val="0"/>
              <w:keepLines w:val="0"/>
              <w:suppressLineNumbers w:val="0"/>
              <w:adjustRightInd w:val="0"/>
              <w:snapToGrid w:val="0"/>
              <w:spacing w:before="0" w:beforeAutospacing="0" w:after="0" w:afterAutospacing="0"/>
              <w:ind w:left="0" w:right="0"/>
              <w:jc w:val="left"/>
              <w:rPr>
                <w:rFonts w:hint="default"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价格分（30）</w:t>
            </w:r>
          </w:p>
        </w:tc>
      </w:tr>
      <w:tr w14:paraId="116A7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684464EC">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26BB07DB">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30</w:t>
            </w:r>
          </w:p>
        </w:tc>
        <w:tc>
          <w:tcPr>
            <w:tcW w:w="7072" w:type="dxa"/>
            <w:tcBorders>
              <w:top w:val="single" w:color="auto" w:sz="4" w:space="0"/>
              <w:left w:val="single" w:color="auto" w:sz="4" w:space="0"/>
              <w:bottom w:val="single" w:color="auto" w:sz="4" w:space="0"/>
              <w:right w:val="single" w:color="auto" w:sz="4" w:space="0"/>
            </w:tcBorders>
            <w:vAlign w:val="center"/>
          </w:tcPr>
          <w:p w14:paraId="3B1F4410">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价格分采用低价优先法计算，即满足招标文件要求且投标价格最低的投标报价为评标基准价，其他投标人的价格分按照下列公式计算：</w:t>
            </w:r>
          </w:p>
          <w:p w14:paraId="3DE8D764">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价格分=（评标基准价/投标报价）×30%×100</w:t>
            </w:r>
          </w:p>
        </w:tc>
      </w:tr>
      <w:tr w14:paraId="0C2A7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DCB7402">
            <w:pPr>
              <w:keepNext w:val="0"/>
              <w:keepLines w:val="0"/>
              <w:suppressLineNumbers w:val="0"/>
              <w:adjustRightInd w:val="0"/>
              <w:snapToGrid w:val="0"/>
              <w:spacing w:before="0" w:beforeAutospacing="0" w:after="0" w:afterAutospacing="0"/>
              <w:ind w:left="0" w:right="0"/>
              <w:jc w:val="left"/>
              <w:rPr>
                <w:rFonts w:hint="default"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商务分（</w:t>
            </w:r>
            <w:r>
              <w:rPr>
                <w:rFonts w:hint="eastAsia" w:ascii="宋体" w:hAnsi="宋体" w:eastAsia="宋体" w:cs="宋体"/>
                <w:b/>
                <w:bCs/>
                <w:color w:val="auto"/>
                <w:szCs w:val="21"/>
                <w:highlight w:val="none"/>
                <w:shd w:val="clear" w:color="auto" w:fill="auto"/>
                <w:lang w:val="en-US" w:eastAsia="zh-CN"/>
              </w:rPr>
              <w:t>7</w:t>
            </w:r>
            <w:r>
              <w:rPr>
                <w:rFonts w:hint="eastAsia" w:ascii="宋体" w:hAnsi="宋体" w:eastAsia="宋体" w:cs="宋体"/>
                <w:b/>
                <w:bCs/>
                <w:color w:val="auto"/>
                <w:szCs w:val="21"/>
                <w:highlight w:val="none"/>
                <w:shd w:val="clear" w:color="auto" w:fill="auto"/>
              </w:rPr>
              <w:t>）</w:t>
            </w:r>
          </w:p>
        </w:tc>
      </w:tr>
      <w:tr w14:paraId="617AA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767" w:type="dxa"/>
            <w:vAlign w:val="center"/>
          </w:tcPr>
          <w:p w14:paraId="6855E806">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业绩</w:t>
            </w:r>
          </w:p>
        </w:tc>
        <w:tc>
          <w:tcPr>
            <w:tcW w:w="654" w:type="dxa"/>
            <w:vAlign w:val="center"/>
          </w:tcPr>
          <w:p w14:paraId="79171634">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3</w:t>
            </w:r>
          </w:p>
        </w:tc>
        <w:tc>
          <w:tcPr>
            <w:tcW w:w="7072" w:type="dxa"/>
            <w:vAlign w:val="center"/>
          </w:tcPr>
          <w:p w14:paraId="116F6F18">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【客观分】投标人提供自2021年1月1日以来（以合同签订时间为准）同类合同业绩（以提供的合同扫描件为准）：每提供1份合同业绩得1分，最高得3分。</w:t>
            </w:r>
          </w:p>
        </w:tc>
      </w:tr>
      <w:tr w14:paraId="50855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767" w:type="dxa"/>
            <w:vAlign w:val="center"/>
          </w:tcPr>
          <w:p w14:paraId="5228ABD0">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Cs w:val="21"/>
                <w:highlight w:val="none"/>
                <w:shd w:val="clear" w:color="auto" w:fill="auto"/>
                <w:lang w:val="en-US" w:eastAsia="zh-CN"/>
              </w:rPr>
            </w:pPr>
            <w:r>
              <w:rPr>
                <w:rFonts w:hint="eastAsia" w:ascii="宋体" w:hAnsi="宋体" w:eastAsia="宋体" w:cs="宋体"/>
                <w:b/>
                <w:bCs/>
                <w:color w:val="auto"/>
                <w:szCs w:val="21"/>
                <w:highlight w:val="none"/>
                <w:shd w:val="clear" w:color="auto" w:fill="auto"/>
                <w:lang w:val="en-US" w:eastAsia="zh-CN"/>
              </w:rPr>
              <w:t>质保期</w:t>
            </w:r>
          </w:p>
        </w:tc>
        <w:tc>
          <w:tcPr>
            <w:tcW w:w="654" w:type="dxa"/>
            <w:vAlign w:val="center"/>
          </w:tcPr>
          <w:p w14:paraId="6976A75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Cs w:val="21"/>
                <w:highlight w:val="none"/>
                <w:shd w:val="clear" w:color="auto" w:fill="auto"/>
                <w:lang w:val="en-US" w:eastAsia="zh-CN"/>
              </w:rPr>
            </w:pPr>
            <w:r>
              <w:rPr>
                <w:rFonts w:hint="eastAsia" w:ascii="宋体" w:hAnsi="宋体" w:eastAsia="宋体" w:cs="宋体"/>
                <w:b/>
                <w:bCs/>
                <w:color w:val="auto"/>
                <w:szCs w:val="21"/>
                <w:highlight w:val="none"/>
                <w:shd w:val="clear" w:color="auto" w:fill="auto"/>
                <w:lang w:val="en-US" w:eastAsia="zh-CN"/>
              </w:rPr>
              <w:t>2</w:t>
            </w:r>
          </w:p>
        </w:tc>
        <w:tc>
          <w:tcPr>
            <w:tcW w:w="7072" w:type="dxa"/>
            <w:vAlign w:val="center"/>
          </w:tcPr>
          <w:p w14:paraId="712D70D8">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rPr>
              <w:t>【客观分】</w:t>
            </w:r>
            <w:r>
              <w:rPr>
                <w:rFonts w:hint="eastAsia" w:ascii="宋体" w:hAnsi="宋体" w:eastAsia="宋体" w:cs="宋体"/>
                <w:color w:val="auto"/>
                <w:szCs w:val="21"/>
                <w:highlight w:val="none"/>
                <w:shd w:val="clear" w:color="auto" w:fill="auto"/>
                <w:lang w:val="en-US" w:eastAsia="zh-CN"/>
              </w:rPr>
              <w:t>质保期在满足招标文件要求的基础上，每延长一年得1分，最高得2分。</w:t>
            </w:r>
          </w:p>
        </w:tc>
      </w:tr>
      <w:tr w14:paraId="5A05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332B72C5">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政策功能</w:t>
            </w:r>
          </w:p>
        </w:tc>
        <w:tc>
          <w:tcPr>
            <w:tcW w:w="654" w:type="dxa"/>
            <w:vAlign w:val="center"/>
          </w:tcPr>
          <w:p w14:paraId="0A510CDE">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2</w:t>
            </w:r>
          </w:p>
        </w:tc>
        <w:tc>
          <w:tcPr>
            <w:tcW w:w="7072" w:type="dxa"/>
            <w:vAlign w:val="center"/>
          </w:tcPr>
          <w:p w14:paraId="26696D87">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【客观分】投标产品属于品目清单范围且提供国家确定的认证机构出具的有效的节能产品认证证书（扫描件加盖公章）的得1分；</w:t>
            </w:r>
          </w:p>
          <w:p w14:paraId="3AB66D59">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投标产品属于品目清单范围且提供国家确定的认证机构出具的有效的环境标志产品认证证书（扫描件加盖公章）的得1分；</w:t>
            </w:r>
          </w:p>
          <w:p w14:paraId="19A65BFD">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注：政府强制采购的节能产品的除外。</w:t>
            </w:r>
          </w:p>
        </w:tc>
      </w:tr>
      <w:tr w14:paraId="19DB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482A0E9E">
            <w:pPr>
              <w:keepNext w:val="0"/>
              <w:keepLines w:val="0"/>
              <w:suppressLineNumbers w:val="0"/>
              <w:adjustRightInd w:val="0"/>
              <w:snapToGrid w:val="0"/>
              <w:spacing w:before="0" w:beforeAutospacing="0" w:after="0" w:afterAutospacing="0"/>
              <w:ind w:left="0" w:right="0"/>
              <w:jc w:val="left"/>
              <w:rPr>
                <w:rFonts w:hint="default"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技术分（6</w:t>
            </w:r>
            <w:r>
              <w:rPr>
                <w:rFonts w:hint="eastAsia" w:ascii="宋体" w:hAnsi="宋体" w:eastAsia="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w:t>
            </w:r>
          </w:p>
        </w:tc>
      </w:tr>
      <w:tr w14:paraId="79B1B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3261E44B">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技术响应程度</w:t>
            </w:r>
          </w:p>
        </w:tc>
        <w:tc>
          <w:tcPr>
            <w:tcW w:w="654" w:type="dxa"/>
            <w:vAlign w:val="center"/>
          </w:tcPr>
          <w:p w14:paraId="78463029">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shd w:val="clear" w:color="auto" w:fill="auto"/>
                <w:lang w:val="en-US" w:eastAsia="zh-CN"/>
              </w:rPr>
            </w:pPr>
            <w:r>
              <w:rPr>
                <w:rFonts w:hint="eastAsia" w:ascii="宋体" w:hAnsi="宋体" w:eastAsia="宋体" w:cs="宋体"/>
                <w:b/>
                <w:bCs/>
                <w:color w:val="auto"/>
                <w:szCs w:val="21"/>
                <w:highlight w:val="none"/>
                <w:shd w:val="clear" w:color="auto" w:fill="auto"/>
                <w:lang w:val="en-US" w:eastAsia="zh-CN"/>
              </w:rPr>
              <w:t>28</w:t>
            </w:r>
          </w:p>
        </w:tc>
        <w:tc>
          <w:tcPr>
            <w:tcW w:w="7072" w:type="dxa"/>
            <w:vAlign w:val="center"/>
          </w:tcPr>
          <w:p w14:paraId="16BD2357">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【客观分】不符合（负偏离）技术要求中标注“▲”条款（不可偏离）的响应无效；</w:t>
            </w:r>
          </w:p>
          <w:p w14:paraId="263A2E85">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满足</w:t>
            </w:r>
            <w:r>
              <w:rPr>
                <w:rFonts w:hint="eastAsia" w:ascii="宋体" w:hAnsi="宋体" w:eastAsia="宋体" w:cs="宋体"/>
                <w:color w:val="auto"/>
                <w:szCs w:val="21"/>
                <w:highlight w:val="none"/>
                <w:shd w:val="clear" w:color="auto" w:fill="auto"/>
                <w:lang w:val="en-US" w:eastAsia="zh-CN"/>
              </w:rPr>
              <w:t>采购</w:t>
            </w:r>
            <w:r>
              <w:rPr>
                <w:rFonts w:hint="eastAsia" w:ascii="宋体" w:hAnsi="宋体" w:eastAsia="宋体" w:cs="宋体"/>
                <w:color w:val="auto"/>
                <w:szCs w:val="21"/>
                <w:highlight w:val="none"/>
                <w:shd w:val="clear" w:color="auto" w:fill="auto"/>
              </w:rPr>
              <w:t>文件明确的全部技术条款要求的该项得满分；</w:t>
            </w:r>
          </w:p>
          <w:p w14:paraId="3C76FFB6">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技术条款低于技术要求（负偏离）的</w:t>
            </w:r>
            <w:r>
              <w:rPr>
                <w:rFonts w:hint="eastAsia" w:ascii="宋体" w:hAnsi="宋体" w:eastAsia="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lang w:val="en-US" w:eastAsia="zh-CN"/>
              </w:rPr>
              <w:t>标注“★”的</w:t>
            </w:r>
            <w:r>
              <w:rPr>
                <w:rFonts w:hint="eastAsia" w:ascii="宋体" w:hAnsi="宋体" w:eastAsia="宋体" w:cs="宋体"/>
                <w:color w:val="auto"/>
                <w:szCs w:val="21"/>
                <w:highlight w:val="none"/>
                <w:shd w:val="clear" w:color="auto" w:fill="auto"/>
              </w:rPr>
              <w:t>每项扣3分</w:t>
            </w:r>
            <w:r>
              <w:rPr>
                <w:rFonts w:hint="eastAsia" w:ascii="宋体" w:hAnsi="宋体" w:eastAsia="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lang w:val="en-US" w:eastAsia="zh-CN"/>
              </w:rPr>
              <w:t>未</w:t>
            </w:r>
            <w:r>
              <w:rPr>
                <w:rFonts w:hint="eastAsia" w:ascii="宋体" w:hAnsi="宋体" w:eastAsia="宋体" w:cs="宋体"/>
                <w:color w:val="auto"/>
                <w:szCs w:val="21"/>
                <w:highlight w:val="none"/>
                <w:shd w:val="clear" w:color="auto" w:fill="auto"/>
                <w:lang w:eastAsia="zh-CN"/>
              </w:rPr>
              <w:t>标注“★”的每项扣</w:t>
            </w:r>
            <w:r>
              <w:rPr>
                <w:rFonts w:hint="eastAsia" w:ascii="宋体" w:hAnsi="宋体" w:eastAsia="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lang w:eastAsia="zh-CN"/>
              </w:rPr>
              <w:t>分</w:t>
            </w:r>
            <w:r>
              <w:rPr>
                <w:rFonts w:hint="eastAsia" w:ascii="宋体" w:hAnsi="宋体" w:eastAsia="宋体" w:cs="宋体"/>
                <w:color w:val="auto"/>
                <w:szCs w:val="21"/>
                <w:highlight w:val="none"/>
                <w:shd w:val="clear" w:color="auto" w:fill="auto"/>
              </w:rPr>
              <w:t>；</w:t>
            </w:r>
          </w:p>
          <w:p w14:paraId="01FF6112">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负偏离</w:t>
            </w:r>
            <w:r>
              <w:rPr>
                <w:rFonts w:hint="eastAsia" w:ascii="宋体" w:hAnsi="宋体" w:eastAsia="宋体" w:cs="宋体"/>
                <w:color w:val="auto"/>
                <w:szCs w:val="21"/>
                <w:highlight w:val="none"/>
                <w:shd w:val="clear" w:color="auto" w:fill="auto"/>
                <w:lang w:val="en-US" w:eastAsia="zh-CN"/>
              </w:rPr>
              <w:t>扣分28分</w:t>
            </w:r>
            <w:r>
              <w:rPr>
                <w:rFonts w:hint="eastAsia" w:ascii="宋体" w:hAnsi="宋体" w:eastAsia="宋体" w:cs="宋体"/>
                <w:color w:val="auto"/>
                <w:szCs w:val="21"/>
                <w:highlight w:val="none"/>
                <w:shd w:val="clear" w:color="auto" w:fill="auto"/>
              </w:rPr>
              <w:t>及以上的视为采购人不能接受的附加条件。</w:t>
            </w:r>
          </w:p>
        </w:tc>
      </w:tr>
      <w:tr w14:paraId="59603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14:paraId="57ED0346">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产品功能及配置</w:t>
            </w:r>
          </w:p>
        </w:tc>
        <w:tc>
          <w:tcPr>
            <w:tcW w:w="654" w:type="dxa"/>
            <w:tcBorders>
              <w:top w:val="single" w:color="auto" w:sz="4" w:space="0"/>
              <w:left w:val="single" w:color="auto" w:sz="4" w:space="0"/>
              <w:bottom w:val="single" w:color="auto" w:sz="4" w:space="0"/>
              <w:right w:val="single" w:color="auto" w:sz="4" w:space="0"/>
            </w:tcBorders>
            <w:vAlign w:val="center"/>
          </w:tcPr>
          <w:p w14:paraId="0A55AEA2">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5</w:t>
            </w:r>
          </w:p>
        </w:tc>
        <w:tc>
          <w:tcPr>
            <w:tcW w:w="7072" w:type="dxa"/>
            <w:tcBorders>
              <w:top w:val="single" w:color="auto" w:sz="4" w:space="0"/>
              <w:left w:val="single" w:color="auto" w:sz="4" w:space="0"/>
              <w:bottom w:val="single" w:color="auto" w:sz="4" w:space="0"/>
              <w:right w:val="single" w:color="auto" w:sz="4" w:space="0"/>
            </w:tcBorders>
            <w:vAlign w:val="center"/>
          </w:tcPr>
          <w:p w14:paraId="4AFB1CE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lang w:bidi="ar"/>
              </w:rPr>
              <w:t>【主观分】投标产品功能满足项目特点和实际需要，功能先进，后续维护成本低（评分范围：5,4,3,2,1,0）。</w:t>
            </w:r>
          </w:p>
        </w:tc>
      </w:tr>
      <w:tr w14:paraId="2DB75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357C76DE">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shd w:val="clear" w:color="auto" w:fill="auto"/>
              </w:rPr>
            </w:pPr>
          </w:p>
        </w:tc>
        <w:tc>
          <w:tcPr>
            <w:tcW w:w="654" w:type="dxa"/>
            <w:tcBorders>
              <w:top w:val="single" w:color="auto" w:sz="4" w:space="0"/>
              <w:left w:val="single" w:color="auto" w:sz="4" w:space="0"/>
              <w:bottom w:val="single" w:color="auto" w:sz="4" w:space="0"/>
              <w:right w:val="single" w:color="auto" w:sz="4" w:space="0"/>
            </w:tcBorders>
            <w:vAlign w:val="center"/>
          </w:tcPr>
          <w:p w14:paraId="794B77AE">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5</w:t>
            </w:r>
          </w:p>
        </w:tc>
        <w:tc>
          <w:tcPr>
            <w:tcW w:w="7072" w:type="dxa"/>
            <w:tcBorders>
              <w:top w:val="single" w:color="auto" w:sz="4" w:space="0"/>
              <w:left w:val="single" w:color="auto" w:sz="4" w:space="0"/>
              <w:bottom w:val="single" w:color="auto" w:sz="4" w:space="0"/>
              <w:right w:val="single" w:color="auto" w:sz="4" w:space="0"/>
            </w:tcBorders>
            <w:vAlign w:val="center"/>
          </w:tcPr>
          <w:p w14:paraId="2E640E6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lang w:bidi="ar"/>
              </w:rPr>
              <w:t>【主观分】投标产品配置合理，兼容性强（评分范围：5,4,3,2,1,0）。</w:t>
            </w:r>
          </w:p>
        </w:tc>
      </w:tr>
      <w:tr w14:paraId="429A6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67425D2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shd w:val="clear" w:color="auto" w:fill="auto"/>
              </w:rPr>
            </w:pPr>
            <w:r>
              <w:rPr>
                <w:rFonts w:hint="eastAsia" w:ascii="宋体" w:hAnsi="宋体" w:eastAsia="宋体" w:cs="宋体"/>
                <w:b/>
                <w:color w:val="auto"/>
                <w:szCs w:val="21"/>
                <w:highlight w:val="none"/>
                <w:shd w:val="clear" w:color="auto" w:fill="auto"/>
                <w:lang w:bidi="ar"/>
              </w:rPr>
              <w:t>项目实施方案</w:t>
            </w:r>
          </w:p>
        </w:tc>
        <w:tc>
          <w:tcPr>
            <w:tcW w:w="654" w:type="dxa"/>
            <w:tcBorders>
              <w:top w:val="single" w:color="auto" w:sz="4" w:space="0"/>
              <w:left w:val="single" w:color="auto" w:sz="4" w:space="0"/>
              <w:bottom w:val="single" w:color="auto" w:sz="4" w:space="0"/>
              <w:right w:val="single" w:color="auto" w:sz="4" w:space="0"/>
            </w:tcBorders>
            <w:vAlign w:val="center"/>
          </w:tcPr>
          <w:p w14:paraId="35027A9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shd w:val="clear" w:color="auto" w:fill="auto"/>
              </w:rPr>
            </w:pPr>
            <w:r>
              <w:rPr>
                <w:rFonts w:hint="eastAsia" w:ascii="宋体" w:hAnsi="宋体" w:eastAsia="宋体" w:cs="宋体"/>
                <w:b/>
                <w:color w:val="auto"/>
                <w:szCs w:val="21"/>
                <w:highlight w:val="none"/>
                <w:shd w:val="clear" w:color="auto" w:fill="auto"/>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14:paraId="1C3A593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lang w:bidi="ar"/>
              </w:rPr>
              <w:t>【主观分】项目实施计划详细完整，符合项目进度要求，投入人员数量丰富（评分范围：5,4,3,2,1,0）。</w:t>
            </w:r>
          </w:p>
        </w:tc>
      </w:tr>
      <w:tr w14:paraId="38215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4C8F730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shd w:val="clear" w:color="auto" w:fill="auto"/>
              </w:rPr>
            </w:pPr>
            <w:r>
              <w:rPr>
                <w:rFonts w:hint="eastAsia" w:ascii="宋体" w:hAnsi="宋体" w:eastAsia="宋体" w:cs="宋体"/>
                <w:b/>
                <w:color w:val="auto"/>
                <w:szCs w:val="21"/>
                <w:highlight w:val="none"/>
                <w:shd w:val="clear" w:color="auto" w:fill="auto"/>
                <w:lang w:bidi="ar"/>
              </w:rPr>
              <w:t>安装调试</w:t>
            </w:r>
          </w:p>
        </w:tc>
        <w:tc>
          <w:tcPr>
            <w:tcW w:w="654" w:type="dxa"/>
            <w:tcBorders>
              <w:top w:val="single" w:color="auto" w:sz="4" w:space="0"/>
              <w:left w:val="single" w:color="auto" w:sz="4" w:space="0"/>
              <w:bottom w:val="single" w:color="auto" w:sz="4" w:space="0"/>
              <w:right w:val="single" w:color="auto" w:sz="4" w:space="0"/>
            </w:tcBorders>
            <w:vAlign w:val="center"/>
          </w:tcPr>
          <w:p w14:paraId="24D45C2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shd w:val="clear" w:color="auto" w:fill="auto"/>
              </w:rPr>
            </w:pPr>
            <w:r>
              <w:rPr>
                <w:rFonts w:hint="eastAsia" w:ascii="宋体" w:hAnsi="宋体" w:eastAsia="宋体" w:cs="宋体"/>
                <w:b/>
                <w:color w:val="auto"/>
                <w:szCs w:val="21"/>
                <w:highlight w:val="none"/>
                <w:shd w:val="clear" w:color="auto" w:fill="auto"/>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14:paraId="708FC4A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lang w:bidi="ar"/>
              </w:rPr>
              <w:t>【主观分】安装、调试方法或方案详细完整，各种措施合理可行，有助于项目实施（评分范围：5,4,3,2,1,0）。</w:t>
            </w:r>
          </w:p>
        </w:tc>
      </w:tr>
      <w:tr w14:paraId="6CB55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right w:val="single" w:color="auto" w:sz="4" w:space="0"/>
            </w:tcBorders>
            <w:vAlign w:val="center"/>
          </w:tcPr>
          <w:p w14:paraId="382DA0C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shd w:val="clear" w:color="auto" w:fill="auto"/>
              </w:rPr>
            </w:pPr>
            <w:r>
              <w:rPr>
                <w:rFonts w:hint="eastAsia" w:ascii="宋体" w:hAnsi="宋体" w:eastAsia="宋体" w:cs="宋体"/>
                <w:b/>
                <w:color w:val="auto"/>
                <w:szCs w:val="21"/>
                <w:highlight w:val="none"/>
                <w:shd w:val="clear" w:color="auto" w:fill="auto"/>
                <w:lang w:bidi="ar"/>
              </w:rPr>
              <w:t>售后服务</w:t>
            </w:r>
          </w:p>
        </w:tc>
        <w:tc>
          <w:tcPr>
            <w:tcW w:w="654" w:type="dxa"/>
            <w:tcBorders>
              <w:top w:val="single" w:color="auto" w:sz="4" w:space="0"/>
              <w:left w:val="single" w:color="auto" w:sz="4" w:space="0"/>
              <w:bottom w:val="single" w:color="auto" w:sz="4" w:space="0"/>
              <w:right w:val="single" w:color="auto" w:sz="4" w:space="0"/>
            </w:tcBorders>
            <w:vAlign w:val="center"/>
          </w:tcPr>
          <w:p w14:paraId="0EC9B39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shd w:val="clear" w:color="auto" w:fill="auto"/>
              </w:rPr>
            </w:pPr>
            <w:r>
              <w:rPr>
                <w:rFonts w:hint="eastAsia" w:ascii="宋体" w:hAnsi="宋体" w:eastAsia="宋体" w:cs="宋体"/>
                <w:b/>
                <w:color w:val="auto"/>
                <w:szCs w:val="21"/>
                <w:highlight w:val="none"/>
                <w:shd w:val="clear" w:color="auto" w:fill="auto"/>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14:paraId="7570B65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lang w:bidi="ar"/>
              </w:rPr>
              <w:t>【主观分】售后服务方案、售后服务承诺可行，服务承诺落实的保障措施强（评分范围：5,4,3,2,1,0）。</w:t>
            </w:r>
          </w:p>
        </w:tc>
      </w:tr>
      <w:tr w14:paraId="23F96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right w:val="single" w:color="auto" w:sz="4" w:space="0"/>
            </w:tcBorders>
            <w:vAlign w:val="center"/>
          </w:tcPr>
          <w:p w14:paraId="3318978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shd w:val="clear" w:color="auto" w:fill="auto"/>
              </w:rPr>
            </w:pPr>
            <w:r>
              <w:rPr>
                <w:rFonts w:hint="eastAsia" w:ascii="宋体" w:hAnsi="宋体" w:eastAsia="宋体" w:cs="宋体"/>
                <w:b/>
                <w:color w:val="auto"/>
                <w:szCs w:val="21"/>
                <w:highlight w:val="none"/>
                <w:shd w:val="clear" w:color="auto" w:fill="auto"/>
                <w:lang w:bidi="ar"/>
              </w:rPr>
              <w:t>技术服务、培训</w:t>
            </w:r>
          </w:p>
        </w:tc>
        <w:tc>
          <w:tcPr>
            <w:tcW w:w="654" w:type="dxa"/>
            <w:tcBorders>
              <w:top w:val="single" w:color="auto" w:sz="4" w:space="0"/>
              <w:left w:val="single" w:color="auto" w:sz="4" w:space="0"/>
              <w:bottom w:val="single" w:color="auto" w:sz="4" w:space="0"/>
              <w:right w:val="single" w:color="auto" w:sz="4" w:space="0"/>
            </w:tcBorders>
            <w:vAlign w:val="center"/>
          </w:tcPr>
          <w:p w14:paraId="4E2C3D5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shd w:val="clear" w:color="auto" w:fill="auto"/>
              </w:rPr>
            </w:pPr>
            <w:r>
              <w:rPr>
                <w:rFonts w:hint="eastAsia" w:ascii="宋体" w:hAnsi="宋体" w:eastAsia="宋体" w:cs="宋体"/>
                <w:b/>
                <w:color w:val="auto"/>
                <w:szCs w:val="21"/>
                <w:highlight w:val="none"/>
                <w:shd w:val="clear" w:color="auto" w:fill="auto"/>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14:paraId="7C28435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lang w:bidi="ar"/>
              </w:rPr>
              <w:t>【主观分】服务力量和服务保障措施强，培训计划内容、培训范围完整且有针对性（评分范围：5,4,3,2,1,0）。</w:t>
            </w:r>
          </w:p>
        </w:tc>
      </w:tr>
      <w:tr w14:paraId="4FF85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55457AE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shd w:val="clear" w:color="auto" w:fill="auto"/>
              </w:rPr>
            </w:pPr>
            <w:r>
              <w:rPr>
                <w:rFonts w:hint="eastAsia" w:ascii="宋体" w:hAnsi="宋体" w:eastAsia="宋体" w:cs="宋体"/>
                <w:b/>
                <w:color w:val="auto"/>
                <w:szCs w:val="21"/>
                <w:highlight w:val="none"/>
                <w:shd w:val="clear" w:color="auto" w:fill="auto"/>
                <w:lang w:bidi="ar"/>
              </w:rPr>
              <w:t>配件耗材</w:t>
            </w:r>
          </w:p>
        </w:tc>
        <w:tc>
          <w:tcPr>
            <w:tcW w:w="654" w:type="dxa"/>
            <w:tcBorders>
              <w:top w:val="single" w:color="auto" w:sz="4" w:space="0"/>
              <w:left w:val="single" w:color="auto" w:sz="4" w:space="0"/>
              <w:bottom w:val="single" w:color="auto" w:sz="4" w:space="0"/>
              <w:right w:val="single" w:color="auto" w:sz="4" w:space="0"/>
            </w:tcBorders>
            <w:vAlign w:val="center"/>
          </w:tcPr>
          <w:p w14:paraId="4EA456B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shd w:val="clear" w:color="auto" w:fill="auto"/>
              </w:rPr>
            </w:pPr>
            <w:r>
              <w:rPr>
                <w:rFonts w:hint="eastAsia" w:ascii="宋体" w:hAnsi="宋体" w:eastAsia="宋体" w:cs="宋体"/>
                <w:b/>
                <w:color w:val="auto"/>
                <w:szCs w:val="21"/>
                <w:highlight w:val="none"/>
                <w:shd w:val="clear" w:color="auto" w:fill="auto"/>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14:paraId="4CBB6E0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lang w:bidi="ar"/>
              </w:rPr>
              <w:t>【主观分】质保期满后配件、附件、备品备件的收费标准合理，配件、附件、备品备件的保障措施强（评分范围：5,4,3,2,1,0）。</w:t>
            </w:r>
          </w:p>
        </w:tc>
      </w:tr>
    </w:tbl>
    <w:p w14:paraId="492A5E28">
      <w:pPr>
        <w:adjustRightInd w:val="0"/>
        <w:snapToGrid w:val="0"/>
        <w:spacing w:line="288" w:lineRule="auto"/>
        <w:jc w:val="left"/>
        <w:rPr>
          <w:rFonts w:hint="eastAsia" w:ascii="宋体" w:hAnsi="宋体" w:eastAsia="宋体" w:cs="Times New Roman"/>
          <w:b/>
          <w:szCs w:val="21"/>
        </w:rPr>
      </w:pPr>
      <w:r>
        <w:rPr>
          <w:rFonts w:hint="eastAsia" w:ascii="宋体" w:hAnsi="宋体" w:eastAsia="宋体" w:cs="Times New Roman"/>
          <w:b/>
          <w:szCs w:val="21"/>
        </w:rPr>
        <w:t>说明</w:t>
      </w:r>
      <w:r>
        <w:rPr>
          <w:rFonts w:ascii="宋体" w:hAnsi="宋体" w:eastAsia="宋体" w:cs="Times New Roman"/>
          <w:b/>
          <w:szCs w:val="21"/>
        </w:rPr>
        <w:t>：</w:t>
      </w:r>
    </w:p>
    <w:p w14:paraId="796B082F">
      <w:pPr>
        <w:adjustRightInd w:val="0"/>
        <w:snapToGrid w:val="0"/>
        <w:spacing w:line="288" w:lineRule="auto"/>
        <w:jc w:val="left"/>
        <w:rPr>
          <w:rFonts w:hint="eastAsia" w:ascii="宋体" w:hAnsi="宋体" w:eastAsia="宋体" w:cs="Times New Roman"/>
          <w:b/>
          <w:szCs w:val="21"/>
        </w:rPr>
      </w:pPr>
      <w:r>
        <w:rPr>
          <w:rFonts w:ascii="宋体" w:hAnsi="宋体" w:eastAsia="宋体" w:cs="Times New Roman"/>
          <w:b/>
          <w:szCs w:val="21"/>
        </w:rPr>
        <w:t>1.</w:t>
      </w:r>
      <w:r>
        <w:rPr>
          <w:rFonts w:hint="eastAsia" w:ascii="宋体" w:hAnsi="宋体" w:eastAsia="宋体" w:cs="Times New Roman"/>
          <w:b/>
          <w:szCs w:val="21"/>
        </w:rPr>
        <w:t>根据《政府采购促进中小企业发展管理办法》（财库〔2020〕46号）、《关于进一步加大政府采购支持中小企业力度的通知》（财库〔</w:t>
      </w:r>
      <w:r>
        <w:rPr>
          <w:rFonts w:ascii="宋体" w:hAnsi="宋体" w:eastAsia="宋体" w:cs="Times New Roman"/>
          <w:b/>
          <w:szCs w:val="21"/>
        </w:rPr>
        <w:t>2022〕19号）</w:t>
      </w:r>
      <w:r>
        <w:rPr>
          <w:rFonts w:hint="eastAsia" w:ascii="宋体" w:hAnsi="宋体" w:eastAsia="宋体" w:cs="Times New Roman"/>
          <w:b/>
          <w:szCs w:val="21"/>
        </w:rPr>
        <w:t>的规定：对符合规定的小微企业报价给予10%的扣除后计算价格得分。</w:t>
      </w:r>
    </w:p>
    <w:p w14:paraId="1A25E33F">
      <w:pPr>
        <w:adjustRightInd w:val="0"/>
        <w:snapToGrid w:val="0"/>
        <w:spacing w:line="288" w:lineRule="auto"/>
        <w:ind w:firstLine="396" w:firstLineChars="200"/>
        <w:jc w:val="left"/>
        <w:rPr>
          <w:rFonts w:hint="eastAsia" w:ascii="宋体" w:hAnsi="宋体" w:eastAsia="宋体" w:cs="Times New Roman"/>
          <w:spacing w:val="-6"/>
          <w:szCs w:val="21"/>
          <w:u w:val="single"/>
        </w:rPr>
      </w:pPr>
      <w:r>
        <w:rPr>
          <w:rFonts w:hint="eastAsia" w:ascii="宋体" w:hAnsi="宋体" w:eastAsia="宋体" w:cs="Times New Roman"/>
          <w:spacing w:val="-6"/>
          <w:szCs w:val="21"/>
          <w:u w:val="single"/>
        </w:rPr>
        <w:t>注：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A8B9837">
      <w:pPr>
        <w:adjustRightInd w:val="0"/>
        <w:snapToGrid w:val="0"/>
        <w:spacing w:line="288" w:lineRule="auto"/>
        <w:rPr>
          <w:rFonts w:hint="eastAsia" w:ascii="宋体" w:hAnsi="宋体" w:eastAsia="宋体" w:cs="Times New Roman"/>
          <w:b/>
          <w:bCs/>
          <w:spacing w:val="-6"/>
          <w:szCs w:val="21"/>
        </w:rPr>
      </w:pPr>
      <w:bookmarkStart w:id="55" w:name="_Hlk81817373"/>
      <w:bookmarkStart w:id="56" w:name="_Hlk81817387"/>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根据《</w:t>
      </w:r>
      <w:r>
        <w:rPr>
          <w:rFonts w:ascii="宋体" w:hAnsi="宋体" w:eastAsia="宋体" w:cs="Times New Roman"/>
          <w:b/>
          <w:bCs/>
          <w:spacing w:val="-6"/>
          <w:szCs w:val="21"/>
        </w:rPr>
        <w:t>关于政府采购支持监狱企业发展有关问题的通知</w:t>
      </w:r>
      <w:r>
        <w:rPr>
          <w:rFonts w:hint="eastAsia" w:ascii="宋体" w:hAnsi="宋体" w:eastAsia="宋体" w:cs="Times New Roman"/>
          <w:b/>
          <w:bCs/>
          <w:spacing w:val="-6"/>
          <w:szCs w:val="21"/>
        </w:rPr>
        <w:t>》（</w:t>
      </w:r>
      <w:r>
        <w:rPr>
          <w:rFonts w:ascii="宋体" w:hAnsi="宋体" w:eastAsia="宋体" w:cs="Times New Roman"/>
          <w:b/>
          <w:bCs/>
          <w:spacing w:val="-6"/>
          <w:szCs w:val="21"/>
        </w:rPr>
        <w:t>财库[2014]68号</w:t>
      </w:r>
      <w:r>
        <w:rPr>
          <w:rFonts w:hint="eastAsia" w:ascii="宋体" w:hAnsi="宋体" w:eastAsia="宋体" w:cs="Times New Roman"/>
          <w:b/>
          <w:bCs/>
          <w:spacing w:val="-6"/>
          <w:szCs w:val="21"/>
        </w:rPr>
        <w:t>）的规定，</w:t>
      </w:r>
      <w:r>
        <w:rPr>
          <w:rFonts w:hint="eastAsia" w:ascii="宋体" w:hAnsi="宋体" w:eastAsia="宋体" w:cs="宋体"/>
          <w:kern w:val="0"/>
          <w:szCs w:val="21"/>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55"/>
    <w:p w14:paraId="185B55E4">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根据《关于促进残疾人就业政府采购政策的通知》（财库[2017]141号）的规定，</w:t>
      </w:r>
      <w:r>
        <w:rPr>
          <w:rFonts w:hint="eastAsia" w:ascii="宋体" w:hAnsi="宋体" w:eastAsia="宋体"/>
          <w:szCs w:val="21"/>
        </w:rPr>
        <w:t>符合条件的残疾人福利性单位在参加政府采购活动时，提供财库</w:t>
      </w:r>
      <w:r>
        <w:rPr>
          <w:rFonts w:ascii="宋体" w:hAnsi="宋体" w:eastAsia="宋体"/>
          <w:szCs w:val="21"/>
        </w:rPr>
        <w:t>[2017]141号</w:t>
      </w:r>
      <w:r>
        <w:rPr>
          <w:rFonts w:hint="eastAsia" w:ascii="宋体" w:hAnsi="宋体" w:eastAsia="宋体"/>
          <w:szCs w:val="21"/>
        </w:rPr>
        <w:t>文件规定的《残疾人福利性单位声明函》的，在政府采购活动中，残疾人福利性单位视同小型、微型企业，享受预留份额、评审中价格扣除等促进中小企业发展的政府采购政策。</w:t>
      </w:r>
      <w:r>
        <w:rPr>
          <w:rFonts w:ascii="宋体" w:hAnsi="宋体" w:eastAsia="宋体" w:cs="Times New Roman"/>
          <w:spacing w:val="-6"/>
          <w:szCs w:val="21"/>
        </w:rPr>
        <w:t>残疾人福利性单位属于小型、微型企业的，不重复享受政策。</w:t>
      </w:r>
    </w:p>
    <w:bookmarkEnd w:id="56"/>
    <w:p w14:paraId="02FAD27D">
      <w:pPr>
        <w:widowControl/>
        <w:adjustRightInd w:val="0"/>
        <w:snapToGrid w:val="0"/>
        <w:spacing w:line="288" w:lineRule="auto"/>
        <w:jc w:val="left"/>
        <w:rPr>
          <w:rFonts w:hint="eastAsia" w:ascii="宋体" w:hAnsi="宋体" w:eastAsia="宋体" w:cs="Times New Roman"/>
          <w:b/>
          <w:bCs/>
          <w:spacing w:val="-6"/>
          <w:szCs w:val="21"/>
        </w:rPr>
      </w:pPr>
      <w:r>
        <w:rPr>
          <w:rFonts w:ascii="宋体" w:hAnsi="宋体" w:eastAsia="宋体" w:cs="Times New Roman"/>
          <w:b/>
          <w:bCs/>
          <w:spacing w:val="-6"/>
          <w:szCs w:val="21"/>
        </w:rPr>
        <w:br w:type="page"/>
      </w:r>
    </w:p>
    <w:p w14:paraId="6B69C3E6">
      <w:pPr>
        <w:adjustRightInd w:val="0"/>
        <w:snapToGrid w:val="0"/>
        <w:spacing w:line="288" w:lineRule="auto"/>
        <w:jc w:val="center"/>
        <w:outlineLvl w:val="0"/>
        <w:rPr>
          <w:rFonts w:hint="eastAsia"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538D3B21">
      <w:pPr>
        <w:adjustRightInd w:val="0"/>
        <w:snapToGrid w:val="0"/>
        <w:spacing w:line="288" w:lineRule="auto"/>
        <w:rPr>
          <w:rFonts w:hint="eastAsia" w:ascii="宋体" w:hAnsi="宋体" w:eastAsia="宋体" w:cs="宋体"/>
          <w:b/>
          <w:spacing w:val="-6"/>
          <w:szCs w:val="21"/>
        </w:rPr>
      </w:pPr>
    </w:p>
    <w:p w14:paraId="6C223308">
      <w:pPr>
        <w:snapToGrid w:val="0"/>
        <w:spacing w:line="288" w:lineRule="auto"/>
        <w:ind w:firstLine="458" w:firstLineChars="200"/>
        <w:jc w:val="center"/>
        <w:rPr>
          <w:rFonts w:hint="eastAsia" w:ascii="宋体" w:hAnsi="宋体" w:eastAsia="宋体" w:cs="Times New Roman"/>
          <w:b/>
          <w:spacing w:val="-6"/>
          <w:sz w:val="24"/>
          <w:szCs w:val="24"/>
        </w:rPr>
      </w:pPr>
      <w:r>
        <w:rPr>
          <w:rFonts w:hint="eastAsia" w:ascii="宋体" w:hAnsi="宋体" w:eastAsia="宋体" w:cs="Times New Roman"/>
          <w:b/>
          <w:spacing w:val="-6"/>
          <w:sz w:val="24"/>
          <w:szCs w:val="24"/>
        </w:rPr>
        <w:t>浙江农林大学山地健康土壤培育子平台项目</w:t>
      </w:r>
      <w:r>
        <w:rPr>
          <w:rFonts w:ascii="宋体" w:hAnsi="宋体" w:eastAsia="宋体" w:cs="Times New Roman"/>
          <w:b/>
          <w:spacing w:val="-6"/>
          <w:sz w:val="24"/>
          <w:szCs w:val="24"/>
        </w:rPr>
        <w:t>合同</w:t>
      </w:r>
    </w:p>
    <w:p w14:paraId="770CB622">
      <w:pPr>
        <w:snapToGrid w:val="0"/>
        <w:spacing w:line="288" w:lineRule="auto"/>
        <w:ind w:firstLine="458" w:firstLineChars="200"/>
        <w:jc w:val="center"/>
        <w:rPr>
          <w:rFonts w:hint="eastAsia" w:ascii="宋体" w:hAnsi="宋体" w:eastAsia="宋体" w:cs="Times New Roman"/>
          <w:b/>
          <w:spacing w:val="-6"/>
          <w:sz w:val="24"/>
          <w:szCs w:val="24"/>
        </w:rPr>
      </w:pPr>
      <w:r>
        <w:rPr>
          <w:rFonts w:hint="eastAsia" w:ascii="宋体" w:hAnsi="宋体" w:eastAsia="宋体" w:cs="Times New Roman"/>
          <w:b/>
          <w:spacing w:val="-6"/>
          <w:sz w:val="24"/>
          <w:szCs w:val="24"/>
        </w:rPr>
        <w:t>（国产合同）</w:t>
      </w:r>
    </w:p>
    <w:p w14:paraId="3DB43CD9">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 xml:space="preserve">合同编号：             </w:t>
      </w:r>
    </w:p>
    <w:p w14:paraId="468F2C78">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 xml:space="preserve">采购编号：                                                </w:t>
      </w:r>
    </w:p>
    <w:p w14:paraId="7DA9D70D">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确认书号：</w:t>
      </w:r>
    </w:p>
    <w:p w14:paraId="77ABF74B">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甲方：浙江农林大学</w:t>
      </w:r>
    </w:p>
    <w:p w14:paraId="1B3AF5E7">
      <w:pPr>
        <w:spacing w:line="288" w:lineRule="auto"/>
        <w:ind w:firstLine="420" w:firstLineChars="200"/>
        <w:rPr>
          <w:rFonts w:hint="eastAsia" w:ascii="宋体" w:hAnsi="宋体" w:eastAsia="宋体" w:cs="宋体"/>
          <w:spacing w:val="-6"/>
          <w:szCs w:val="21"/>
        </w:rPr>
      </w:pPr>
      <w:r>
        <w:rPr>
          <w:rFonts w:hint="eastAsia" w:ascii="宋体" w:hAnsi="宋体" w:eastAsia="宋体" w:cs="宋体"/>
          <w:szCs w:val="21"/>
        </w:rPr>
        <w:t>乙方：</w:t>
      </w:r>
    </w:p>
    <w:p w14:paraId="3FF869EC">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采购代理机构：浙江求是招标代理有限公司</w:t>
      </w:r>
    </w:p>
    <w:p w14:paraId="380455C1">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签约时间、地点：2024年  月  日，浙江农林大学</w:t>
      </w:r>
    </w:p>
    <w:p w14:paraId="195AB0D8">
      <w:pPr>
        <w:spacing w:line="288" w:lineRule="auto"/>
        <w:ind w:firstLine="420" w:firstLineChars="200"/>
        <w:rPr>
          <w:rFonts w:hint="eastAsia" w:ascii="宋体" w:hAnsi="宋体" w:eastAsia="宋体" w:cs="宋体"/>
          <w:spacing w:val="-6"/>
          <w:szCs w:val="21"/>
        </w:rPr>
      </w:pPr>
      <w:r>
        <w:rPr>
          <w:rFonts w:hint="eastAsia" w:ascii="宋体" w:hAnsi="宋体" w:eastAsia="宋体" w:cs="宋体"/>
          <w:szCs w:val="21"/>
        </w:rPr>
        <w:t>浙江求是招标代理有限公司受浙江农林大学委托公开招标浙江农林大学山地健康土壤培育子平台，经过招标，确定      为供货单位。经协商双方就本采购事项达成以下条款：</w:t>
      </w:r>
    </w:p>
    <w:p w14:paraId="473F1F3E">
      <w:pPr>
        <w:spacing w:line="288" w:lineRule="auto"/>
        <w:ind w:firstLine="422" w:firstLineChars="200"/>
        <w:rPr>
          <w:rFonts w:hint="eastAsia" w:ascii="宋体" w:hAnsi="宋体" w:eastAsia="宋体" w:cs="宋体"/>
          <w:b/>
          <w:szCs w:val="21"/>
        </w:rPr>
      </w:pPr>
      <w:r>
        <w:rPr>
          <w:rFonts w:hint="eastAsia" w:ascii="宋体" w:hAnsi="宋体" w:eastAsia="宋体" w:cs="宋体"/>
          <w:b/>
          <w:szCs w:val="21"/>
        </w:rPr>
        <w:t>第一条：采购产品内容及合同价格</w:t>
      </w:r>
    </w:p>
    <w:tbl>
      <w:tblPr>
        <w:tblStyle w:val="2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167"/>
        <w:gridCol w:w="1941"/>
        <w:gridCol w:w="477"/>
        <w:gridCol w:w="1049"/>
        <w:gridCol w:w="855"/>
        <w:gridCol w:w="1755"/>
        <w:gridCol w:w="1812"/>
      </w:tblGrid>
      <w:tr w14:paraId="7C73C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5B9E6005">
            <w:pPr>
              <w:spacing w:line="288" w:lineRule="auto"/>
              <w:jc w:val="center"/>
              <w:rPr>
                <w:rFonts w:hint="eastAsia" w:ascii="宋体" w:hAnsi="宋体" w:eastAsia="宋体" w:cs="宋体"/>
                <w:szCs w:val="21"/>
              </w:rPr>
            </w:pPr>
            <w:r>
              <w:rPr>
                <w:rFonts w:hint="eastAsia" w:ascii="宋体" w:hAnsi="宋体" w:eastAsia="宋体" w:cs="宋体"/>
                <w:szCs w:val="21"/>
              </w:rPr>
              <w:t>序号</w:t>
            </w:r>
          </w:p>
        </w:tc>
        <w:tc>
          <w:tcPr>
            <w:tcW w:w="1167" w:type="dxa"/>
            <w:vAlign w:val="center"/>
          </w:tcPr>
          <w:p w14:paraId="65D67921">
            <w:pPr>
              <w:spacing w:line="288" w:lineRule="auto"/>
              <w:jc w:val="center"/>
              <w:rPr>
                <w:rFonts w:hint="eastAsia" w:ascii="宋体" w:hAnsi="宋体" w:eastAsia="宋体" w:cs="宋体"/>
                <w:szCs w:val="21"/>
              </w:rPr>
            </w:pPr>
            <w:r>
              <w:rPr>
                <w:rFonts w:hint="eastAsia" w:ascii="宋体" w:hAnsi="宋体" w:eastAsia="宋体" w:cs="宋体"/>
                <w:szCs w:val="21"/>
              </w:rPr>
              <w:t>设备名称</w:t>
            </w:r>
          </w:p>
        </w:tc>
        <w:tc>
          <w:tcPr>
            <w:tcW w:w="1941" w:type="dxa"/>
            <w:vAlign w:val="center"/>
          </w:tcPr>
          <w:p w14:paraId="6FF1D49B">
            <w:pPr>
              <w:spacing w:line="288" w:lineRule="auto"/>
              <w:jc w:val="center"/>
              <w:rPr>
                <w:rFonts w:hint="eastAsia" w:ascii="宋体" w:hAnsi="宋体" w:eastAsia="宋体" w:cs="宋体"/>
                <w:szCs w:val="21"/>
              </w:rPr>
            </w:pPr>
            <w:r>
              <w:rPr>
                <w:rFonts w:hint="eastAsia" w:ascii="宋体" w:hAnsi="宋体" w:eastAsia="宋体" w:cs="宋体"/>
                <w:szCs w:val="21"/>
              </w:rPr>
              <w:t>型号和规格</w:t>
            </w:r>
          </w:p>
        </w:tc>
        <w:tc>
          <w:tcPr>
            <w:tcW w:w="477" w:type="dxa"/>
            <w:vAlign w:val="center"/>
          </w:tcPr>
          <w:p w14:paraId="2B76348C">
            <w:pPr>
              <w:spacing w:line="288" w:lineRule="auto"/>
              <w:jc w:val="center"/>
              <w:rPr>
                <w:rFonts w:hint="eastAsia" w:ascii="宋体" w:hAnsi="宋体" w:eastAsia="宋体" w:cs="宋体"/>
                <w:szCs w:val="21"/>
              </w:rPr>
            </w:pPr>
            <w:r>
              <w:rPr>
                <w:rFonts w:hint="eastAsia" w:ascii="宋体" w:hAnsi="宋体" w:eastAsia="宋体" w:cs="宋体"/>
                <w:szCs w:val="21"/>
              </w:rPr>
              <w:t>数量</w:t>
            </w:r>
          </w:p>
        </w:tc>
        <w:tc>
          <w:tcPr>
            <w:tcW w:w="1049" w:type="dxa"/>
            <w:vAlign w:val="center"/>
          </w:tcPr>
          <w:p w14:paraId="70CAAA9C">
            <w:pPr>
              <w:spacing w:line="288" w:lineRule="auto"/>
              <w:jc w:val="center"/>
              <w:rPr>
                <w:rFonts w:hint="eastAsia" w:ascii="宋体" w:hAnsi="宋体" w:eastAsia="宋体" w:cs="宋体"/>
                <w:szCs w:val="21"/>
              </w:rPr>
            </w:pPr>
            <w:r>
              <w:rPr>
                <w:rFonts w:hint="eastAsia" w:ascii="宋体" w:hAnsi="宋体" w:eastAsia="宋体" w:cs="宋体"/>
                <w:szCs w:val="21"/>
              </w:rPr>
              <w:t>品牌及厂家</w:t>
            </w:r>
          </w:p>
        </w:tc>
        <w:tc>
          <w:tcPr>
            <w:tcW w:w="855" w:type="dxa"/>
            <w:vAlign w:val="center"/>
          </w:tcPr>
          <w:p w14:paraId="2A001504">
            <w:pPr>
              <w:spacing w:line="288" w:lineRule="auto"/>
              <w:jc w:val="center"/>
              <w:rPr>
                <w:rFonts w:hint="eastAsia" w:ascii="宋体" w:hAnsi="宋体" w:eastAsia="宋体" w:cs="宋体"/>
                <w:szCs w:val="21"/>
              </w:rPr>
            </w:pPr>
            <w:r>
              <w:rPr>
                <w:rFonts w:hint="eastAsia" w:ascii="宋体" w:hAnsi="宋体" w:eastAsia="宋体" w:cs="宋体"/>
                <w:szCs w:val="21"/>
              </w:rPr>
              <w:t>产地</w:t>
            </w:r>
          </w:p>
        </w:tc>
        <w:tc>
          <w:tcPr>
            <w:tcW w:w="1755" w:type="dxa"/>
            <w:vAlign w:val="center"/>
          </w:tcPr>
          <w:p w14:paraId="6032F51F">
            <w:pPr>
              <w:spacing w:line="288" w:lineRule="auto"/>
              <w:jc w:val="center"/>
              <w:rPr>
                <w:rFonts w:hint="eastAsia" w:ascii="宋体" w:hAnsi="宋体" w:eastAsia="宋体" w:cs="宋体"/>
                <w:szCs w:val="21"/>
              </w:rPr>
            </w:pPr>
            <w:r>
              <w:rPr>
                <w:rFonts w:hint="eastAsia" w:ascii="宋体" w:hAnsi="宋体" w:eastAsia="宋体" w:cs="宋体"/>
                <w:szCs w:val="21"/>
              </w:rPr>
              <w:t>人民币单价</w:t>
            </w:r>
          </w:p>
        </w:tc>
        <w:tc>
          <w:tcPr>
            <w:tcW w:w="1812" w:type="dxa"/>
            <w:vAlign w:val="center"/>
          </w:tcPr>
          <w:p w14:paraId="1DF288B8">
            <w:pPr>
              <w:spacing w:line="288" w:lineRule="auto"/>
              <w:jc w:val="center"/>
              <w:rPr>
                <w:rFonts w:hint="eastAsia" w:ascii="宋体" w:hAnsi="宋体" w:eastAsia="宋体" w:cs="宋体"/>
                <w:szCs w:val="21"/>
              </w:rPr>
            </w:pPr>
            <w:r>
              <w:rPr>
                <w:rFonts w:hint="eastAsia" w:ascii="宋体" w:hAnsi="宋体" w:eastAsia="宋体" w:cs="宋体"/>
                <w:szCs w:val="21"/>
              </w:rPr>
              <w:t>人民币小计</w:t>
            </w:r>
          </w:p>
        </w:tc>
      </w:tr>
      <w:tr w14:paraId="3DDE7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72" w:type="dxa"/>
            <w:vAlign w:val="center"/>
          </w:tcPr>
          <w:p w14:paraId="00D5E4B8">
            <w:pPr>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1167" w:type="dxa"/>
            <w:vAlign w:val="center"/>
          </w:tcPr>
          <w:p w14:paraId="28B4136E">
            <w:pPr>
              <w:spacing w:line="288" w:lineRule="auto"/>
              <w:jc w:val="center"/>
              <w:rPr>
                <w:rFonts w:hint="eastAsia" w:ascii="宋体" w:hAnsi="宋体" w:eastAsia="宋体" w:cs="宋体"/>
                <w:szCs w:val="21"/>
              </w:rPr>
            </w:pPr>
          </w:p>
        </w:tc>
        <w:tc>
          <w:tcPr>
            <w:tcW w:w="1941" w:type="dxa"/>
            <w:vAlign w:val="center"/>
          </w:tcPr>
          <w:p w14:paraId="1F5A195D">
            <w:pPr>
              <w:spacing w:line="288" w:lineRule="auto"/>
              <w:rPr>
                <w:rFonts w:hint="eastAsia" w:ascii="宋体" w:hAnsi="宋体" w:eastAsia="宋体" w:cs="宋体"/>
                <w:szCs w:val="21"/>
              </w:rPr>
            </w:pPr>
          </w:p>
        </w:tc>
        <w:tc>
          <w:tcPr>
            <w:tcW w:w="477" w:type="dxa"/>
            <w:vAlign w:val="center"/>
          </w:tcPr>
          <w:p w14:paraId="5E8BBED1">
            <w:pPr>
              <w:spacing w:line="288" w:lineRule="auto"/>
              <w:jc w:val="center"/>
              <w:rPr>
                <w:rFonts w:hint="eastAsia" w:ascii="宋体" w:hAnsi="宋体" w:eastAsia="宋体" w:cs="宋体"/>
                <w:szCs w:val="21"/>
              </w:rPr>
            </w:pPr>
          </w:p>
        </w:tc>
        <w:tc>
          <w:tcPr>
            <w:tcW w:w="1049" w:type="dxa"/>
            <w:vAlign w:val="center"/>
          </w:tcPr>
          <w:p w14:paraId="322438B2">
            <w:pPr>
              <w:spacing w:line="288" w:lineRule="auto"/>
              <w:rPr>
                <w:rFonts w:hint="eastAsia" w:ascii="宋体" w:hAnsi="宋体" w:eastAsia="宋体" w:cs="宋体"/>
                <w:szCs w:val="21"/>
              </w:rPr>
            </w:pPr>
          </w:p>
        </w:tc>
        <w:tc>
          <w:tcPr>
            <w:tcW w:w="855" w:type="dxa"/>
            <w:vAlign w:val="center"/>
          </w:tcPr>
          <w:p w14:paraId="329FE1E0">
            <w:pPr>
              <w:spacing w:line="288" w:lineRule="auto"/>
              <w:jc w:val="center"/>
              <w:rPr>
                <w:rFonts w:hint="eastAsia" w:ascii="宋体" w:hAnsi="宋体" w:eastAsia="宋体" w:cs="宋体"/>
                <w:szCs w:val="21"/>
              </w:rPr>
            </w:pPr>
          </w:p>
        </w:tc>
        <w:tc>
          <w:tcPr>
            <w:tcW w:w="1755" w:type="dxa"/>
            <w:vAlign w:val="center"/>
          </w:tcPr>
          <w:p w14:paraId="3AA926B7">
            <w:pPr>
              <w:spacing w:line="288" w:lineRule="auto"/>
              <w:rPr>
                <w:rFonts w:hint="eastAsia" w:ascii="宋体" w:hAnsi="宋体" w:eastAsia="宋体" w:cs="宋体"/>
                <w:szCs w:val="21"/>
              </w:rPr>
            </w:pPr>
          </w:p>
        </w:tc>
        <w:tc>
          <w:tcPr>
            <w:tcW w:w="1812" w:type="dxa"/>
            <w:vAlign w:val="center"/>
          </w:tcPr>
          <w:p w14:paraId="063F1A3E">
            <w:pPr>
              <w:spacing w:line="288" w:lineRule="auto"/>
              <w:jc w:val="center"/>
              <w:rPr>
                <w:rFonts w:hint="eastAsia" w:ascii="宋体" w:hAnsi="宋体" w:eastAsia="宋体" w:cs="宋体"/>
                <w:szCs w:val="21"/>
              </w:rPr>
            </w:pPr>
          </w:p>
        </w:tc>
      </w:tr>
      <w:tr w14:paraId="1454E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1A44B89F">
            <w:pPr>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1167" w:type="dxa"/>
            <w:vAlign w:val="center"/>
          </w:tcPr>
          <w:p w14:paraId="596B7138">
            <w:pPr>
              <w:spacing w:line="288" w:lineRule="auto"/>
              <w:jc w:val="center"/>
              <w:rPr>
                <w:rFonts w:hint="eastAsia" w:ascii="宋体" w:hAnsi="宋体" w:eastAsia="宋体" w:cs="宋体"/>
                <w:szCs w:val="21"/>
              </w:rPr>
            </w:pPr>
          </w:p>
        </w:tc>
        <w:tc>
          <w:tcPr>
            <w:tcW w:w="1941" w:type="dxa"/>
            <w:vAlign w:val="center"/>
          </w:tcPr>
          <w:p w14:paraId="09E359CC">
            <w:pPr>
              <w:spacing w:line="288" w:lineRule="auto"/>
              <w:rPr>
                <w:rFonts w:hint="eastAsia" w:ascii="宋体" w:hAnsi="宋体" w:eastAsia="宋体" w:cs="宋体"/>
                <w:szCs w:val="21"/>
              </w:rPr>
            </w:pPr>
          </w:p>
        </w:tc>
        <w:tc>
          <w:tcPr>
            <w:tcW w:w="477" w:type="dxa"/>
            <w:vAlign w:val="center"/>
          </w:tcPr>
          <w:p w14:paraId="71F8A286">
            <w:pPr>
              <w:spacing w:line="288" w:lineRule="auto"/>
              <w:jc w:val="center"/>
              <w:rPr>
                <w:rFonts w:hint="eastAsia" w:ascii="宋体" w:hAnsi="宋体" w:eastAsia="宋体" w:cs="宋体"/>
                <w:szCs w:val="21"/>
              </w:rPr>
            </w:pPr>
          </w:p>
        </w:tc>
        <w:tc>
          <w:tcPr>
            <w:tcW w:w="1049" w:type="dxa"/>
            <w:vAlign w:val="center"/>
          </w:tcPr>
          <w:p w14:paraId="6A7FF074">
            <w:pPr>
              <w:spacing w:line="288" w:lineRule="auto"/>
              <w:rPr>
                <w:rFonts w:hint="eastAsia" w:ascii="宋体" w:hAnsi="宋体" w:eastAsia="宋体" w:cs="宋体"/>
                <w:szCs w:val="21"/>
              </w:rPr>
            </w:pPr>
          </w:p>
        </w:tc>
        <w:tc>
          <w:tcPr>
            <w:tcW w:w="855" w:type="dxa"/>
            <w:vAlign w:val="center"/>
          </w:tcPr>
          <w:p w14:paraId="4938830F">
            <w:pPr>
              <w:spacing w:line="288" w:lineRule="auto"/>
              <w:jc w:val="center"/>
              <w:rPr>
                <w:rFonts w:hint="eastAsia" w:ascii="宋体" w:hAnsi="宋体" w:eastAsia="宋体" w:cs="宋体"/>
                <w:szCs w:val="21"/>
              </w:rPr>
            </w:pPr>
          </w:p>
        </w:tc>
        <w:tc>
          <w:tcPr>
            <w:tcW w:w="1755" w:type="dxa"/>
            <w:vAlign w:val="center"/>
          </w:tcPr>
          <w:p w14:paraId="1808A607">
            <w:pPr>
              <w:spacing w:line="288" w:lineRule="auto"/>
              <w:rPr>
                <w:rFonts w:hint="eastAsia" w:ascii="宋体" w:hAnsi="宋体" w:eastAsia="宋体" w:cs="宋体"/>
                <w:szCs w:val="21"/>
              </w:rPr>
            </w:pPr>
          </w:p>
        </w:tc>
        <w:tc>
          <w:tcPr>
            <w:tcW w:w="1812" w:type="dxa"/>
            <w:vAlign w:val="center"/>
          </w:tcPr>
          <w:p w14:paraId="1ED60A46">
            <w:pPr>
              <w:spacing w:line="288" w:lineRule="auto"/>
              <w:jc w:val="center"/>
              <w:rPr>
                <w:rFonts w:hint="eastAsia" w:ascii="宋体" w:hAnsi="宋体" w:eastAsia="宋体" w:cs="宋体"/>
                <w:szCs w:val="21"/>
              </w:rPr>
            </w:pPr>
          </w:p>
        </w:tc>
      </w:tr>
      <w:tr w14:paraId="6FAE6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19399145">
            <w:pPr>
              <w:spacing w:line="288" w:lineRule="auto"/>
              <w:jc w:val="center"/>
              <w:rPr>
                <w:rFonts w:hint="eastAsia" w:ascii="宋体" w:hAnsi="宋体" w:eastAsia="宋体" w:cs="宋体"/>
                <w:szCs w:val="21"/>
              </w:rPr>
            </w:pPr>
            <w:r>
              <w:rPr>
                <w:rFonts w:hint="eastAsia" w:ascii="宋体" w:hAnsi="宋体" w:eastAsia="宋体" w:cs="宋体"/>
                <w:szCs w:val="21"/>
              </w:rPr>
              <w:t>3</w:t>
            </w:r>
          </w:p>
        </w:tc>
        <w:tc>
          <w:tcPr>
            <w:tcW w:w="1167" w:type="dxa"/>
            <w:vAlign w:val="center"/>
          </w:tcPr>
          <w:p w14:paraId="5086BF8F">
            <w:pPr>
              <w:spacing w:line="288" w:lineRule="auto"/>
              <w:jc w:val="center"/>
              <w:rPr>
                <w:rFonts w:hint="eastAsia" w:ascii="宋体" w:hAnsi="宋体" w:eastAsia="宋体" w:cs="宋体"/>
                <w:szCs w:val="21"/>
              </w:rPr>
            </w:pPr>
          </w:p>
        </w:tc>
        <w:tc>
          <w:tcPr>
            <w:tcW w:w="1941" w:type="dxa"/>
            <w:vAlign w:val="center"/>
          </w:tcPr>
          <w:p w14:paraId="5C6FB354">
            <w:pPr>
              <w:spacing w:line="288" w:lineRule="auto"/>
              <w:rPr>
                <w:rFonts w:hint="eastAsia" w:ascii="宋体" w:hAnsi="宋体" w:eastAsia="宋体" w:cs="宋体"/>
                <w:szCs w:val="21"/>
              </w:rPr>
            </w:pPr>
          </w:p>
        </w:tc>
        <w:tc>
          <w:tcPr>
            <w:tcW w:w="477" w:type="dxa"/>
            <w:vAlign w:val="center"/>
          </w:tcPr>
          <w:p w14:paraId="443F8A50">
            <w:pPr>
              <w:spacing w:line="288" w:lineRule="auto"/>
              <w:jc w:val="center"/>
              <w:rPr>
                <w:rFonts w:hint="eastAsia" w:ascii="宋体" w:hAnsi="宋体" w:eastAsia="宋体" w:cs="宋体"/>
                <w:szCs w:val="21"/>
              </w:rPr>
            </w:pPr>
          </w:p>
        </w:tc>
        <w:tc>
          <w:tcPr>
            <w:tcW w:w="1049" w:type="dxa"/>
            <w:vAlign w:val="center"/>
          </w:tcPr>
          <w:p w14:paraId="54A9EF03">
            <w:pPr>
              <w:spacing w:line="288" w:lineRule="auto"/>
              <w:rPr>
                <w:rFonts w:hint="eastAsia" w:ascii="宋体" w:hAnsi="宋体" w:eastAsia="宋体" w:cs="宋体"/>
                <w:szCs w:val="21"/>
              </w:rPr>
            </w:pPr>
          </w:p>
        </w:tc>
        <w:tc>
          <w:tcPr>
            <w:tcW w:w="855" w:type="dxa"/>
            <w:vAlign w:val="center"/>
          </w:tcPr>
          <w:p w14:paraId="164318AA">
            <w:pPr>
              <w:spacing w:line="288" w:lineRule="auto"/>
              <w:jc w:val="center"/>
              <w:rPr>
                <w:rFonts w:hint="eastAsia" w:ascii="宋体" w:hAnsi="宋体" w:eastAsia="宋体" w:cs="宋体"/>
                <w:szCs w:val="21"/>
              </w:rPr>
            </w:pPr>
          </w:p>
        </w:tc>
        <w:tc>
          <w:tcPr>
            <w:tcW w:w="1755" w:type="dxa"/>
            <w:vAlign w:val="center"/>
          </w:tcPr>
          <w:p w14:paraId="2715EBAE">
            <w:pPr>
              <w:spacing w:line="288" w:lineRule="auto"/>
              <w:rPr>
                <w:rFonts w:hint="eastAsia" w:ascii="宋体" w:hAnsi="宋体" w:eastAsia="宋体" w:cs="宋体"/>
                <w:szCs w:val="21"/>
              </w:rPr>
            </w:pPr>
          </w:p>
        </w:tc>
        <w:tc>
          <w:tcPr>
            <w:tcW w:w="1812" w:type="dxa"/>
            <w:vAlign w:val="center"/>
          </w:tcPr>
          <w:p w14:paraId="0EFF355A">
            <w:pPr>
              <w:spacing w:line="288" w:lineRule="auto"/>
              <w:jc w:val="center"/>
              <w:rPr>
                <w:rFonts w:hint="eastAsia" w:ascii="宋体" w:hAnsi="宋体" w:eastAsia="宋体" w:cs="宋体"/>
                <w:szCs w:val="21"/>
              </w:rPr>
            </w:pPr>
          </w:p>
        </w:tc>
      </w:tr>
      <w:tr w14:paraId="13083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10C88737">
            <w:pPr>
              <w:spacing w:line="288" w:lineRule="auto"/>
              <w:jc w:val="center"/>
              <w:rPr>
                <w:rFonts w:hint="eastAsia" w:ascii="宋体" w:hAnsi="宋体" w:eastAsia="宋体" w:cs="宋体"/>
                <w:szCs w:val="21"/>
              </w:rPr>
            </w:pPr>
            <w:r>
              <w:rPr>
                <w:rFonts w:hint="eastAsia" w:ascii="宋体" w:hAnsi="宋体" w:eastAsia="宋体" w:cs="宋体"/>
                <w:szCs w:val="21"/>
              </w:rPr>
              <w:t>4</w:t>
            </w:r>
          </w:p>
        </w:tc>
        <w:tc>
          <w:tcPr>
            <w:tcW w:w="1167" w:type="dxa"/>
            <w:vAlign w:val="center"/>
          </w:tcPr>
          <w:p w14:paraId="77F7F290">
            <w:pPr>
              <w:spacing w:line="288" w:lineRule="auto"/>
              <w:jc w:val="center"/>
              <w:rPr>
                <w:rFonts w:hint="eastAsia" w:ascii="宋体" w:hAnsi="宋体" w:eastAsia="宋体" w:cs="宋体"/>
                <w:szCs w:val="21"/>
              </w:rPr>
            </w:pPr>
          </w:p>
        </w:tc>
        <w:tc>
          <w:tcPr>
            <w:tcW w:w="1941" w:type="dxa"/>
            <w:vAlign w:val="center"/>
          </w:tcPr>
          <w:p w14:paraId="7E21773E">
            <w:pPr>
              <w:spacing w:line="288" w:lineRule="auto"/>
              <w:rPr>
                <w:rFonts w:hint="eastAsia" w:ascii="宋体" w:hAnsi="宋体" w:eastAsia="宋体" w:cs="宋体"/>
                <w:szCs w:val="21"/>
              </w:rPr>
            </w:pPr>
          </w:p>
        </w:tc>
        <w:tc>
          <w:tcPr>
            <w:tcW w:w="477" w:type="dxa"/>
            <w:vAlign w:val="center"/>
          </w:tcPr>
          <w:p w14:paraId="64E88C51">
            <w:pPr>
              <w:spacing w:line="288" w:lineRule="auto"/>
              <w:jc w:val="center"/>
              <w:rPr>
                <w:rFonts w:hint="eastAsia" w:ascii="宋体" w:hAnsi="宋体" w:eastAsia="宋体" w:cs="宋体"/>
                <w:szCs w:val="21"/>
              </w:rPr>
            </w:pPr>
          </w:p>
        </w:tc>
        <w:tc>
          <w:tcPr>
            <w:tcW w:w="1049" w:type="dxa"/>
            <w:vAlign w:val="center"/>
          </w:tcPr>
          <w:p w14:paraId="485BF6F0">
            <w:pPr>
              <w:spacing w:line="288" w:lineRule="auto"/>
              <w:rPr>
                <w:rFonts w:hint="eastAsia" w:ascii="宋体" w:hAnsi="宋体" w:eastAsia="宋体" w:cs="宋体"/>
                <w:szCs w:val="21"/>
              </w:rPr>
            </w:pPr>
          </w:p>
        </w:tc>
        <w:tc>
          <w:tcPr>
            <w:tcW w:w="855" w:type="dxa"/>
            <w:vAlign w:val="center"/>
          </w:tcPr>
          <w:p w14:paraId="0B1D242A">
            <w:pPr>
              <w:spacing w:line="288" w:lineRule="auto"/>
              <w:jc w:val="center"/>
              <w:rPr>
                <w:rFonts w:hint="eastAsia" w:ascii="宋体" w:hAnsi="宋体" w:eastAsia="宋体" w:cs="宋体"/>
                <w:szCs w:val="21"/>
              </w:rPr>
            </w:pPr>
          </w:p>
        </w:tc>
        <w:tc>
          <w:tcPr>
            <w:tcW w:w="1755" w:type="dxa"/>
            <w:vAlign w:val="center"/>
          </w:tcPr>
          <w:p w14:paraId="780123F7">
            <w:pPr>
              <w:spacing w:line="288" w:lineRule="auto"/>
              <w:rPr>
                <w:rFonts w:hint="eastAsia" w:ascii="宋体" w:hAnsi="宋体" w:eastAsia="宋体" w:cs="宋体"/>
                <w:szCs w:val="21"/>
              </w:rPr>
            </w:pPr>
          </w:p>
        </w:tc>
        <w:tc>
          <w:tcPr>
            <w:tcW w:w="1812" w:type="dxa"/>
            <w:vAlign w:val="center"/>
          </w:tcPr>
          <w:p w14:paraId="5ECDAA39">
            <w:pPr>
              <w:spacing w:line="288" w:lineRule="auto"/>
              <w:jc w:val="center"/>
              <w:rPr>
                <w:rFonts w:hint="eastAsia" w:ascii="宋体" w:hAnsi="宋体" w:eastAsia="宋体" w:cs="宋体"/>
                <w:szCs w:val="21"/>
              </w:rPr>
            </w:pPr>
          </w:p>
        </w:tc>
      </w:tr>
      <w:tr w14:paraId="51BFB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vAlign w:val="center"/>
          </w:tcPr>
          <w:p w14:paraId="3C5987E9">
            <w:pPr>
              <w:spacing w:line="288" w:lineRule="auto"/>
              <w:rPr>
                <w:rFonts w:hint="eastAsia" w:ascii="宋体" w:hAnsi="宋体" w:eastAsia="宋体" w:cs="宋体"/>
                <w:szCs w:val="21"/>
              </w:rPr>
            </w:pPr>
            <w:r>
              <w:rPr>
                <w:rFonts w:hint="eastAsia" w:ascii="宋体" w:hAnsi="宋体" w:eastAsia="宋体" w:cs="宋体"/>
                <w:szCs w:val="21"/>
              </w:rPr>
              <w:t>合计：人民币           元整（￥          ）</w:t>
            </w:r>
          </w:p>
        </w:tc>
      </w:tr>
    </w:tbl>
    <w:p w14:paraId="43C47988">
      <w:pPr>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注：1</w:t>
      </w:r>
      <w:r>
        <w:rPr>
          <w:rFonts w:hint="eastAsia" w:ascii="宋体" w:hAnsi="宋体" w:eastAsia="宋体" w:cs="宋体"/>
          <w:spacing w:val="-6"/>
          <w:szCs w:val="21"/>
        </w:rPr>
        <w:t>.</w:t>
      </w:r>
      <w:r>
        <w:rPr>
          <w:rFonts w:hint="eastAsia" w:ascii="宋体" w:hAnsi="宋体" w:eastAsia="宋体" w:cs="宋体"/>
          <w:szCs w:val="21"/>
        </w:rPr>
        <w:t>详细配置清单详见投标文件和承诺表。</w:t>
      </w:r>
    </w:p>
    <w:p w14:paraId="63774021">
      <w:pPr>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pacing w:val="-6"/>
          <w:szCs w:val="21"/>
        </w:rPr>
        <w:t>.</w:t>
      </w:r>
      <w:r>
        <w:rPr>
          <w:rFonts w:hint="eastAsia" w:ascii="宋体" w:hAnsi="宋体" w:eastAsia="宋体" w:cs="宋体"/>
          <w:szCs w:val="21"/>
        </w:rPr>
        <w:t>以上合同总价包括将货物运抵浙江农林大学校区指定地点的运费及安装调试等一切费用。</w:t>
      </w:r>
    </w:p>
    <w:p w14:paraId="70E41724">
      <w:pPr>
        <w:snapToGrid w:val="0"/>
        <w:spacing w:line="288" w:lineRule="auto"/>
        <w:ind w:firstLine="398" w:firstLineChars="200"/>
        <w:rPr>
          <w:rFonts w:hint="eastAsia" w:ascii="宋体" w:hAnsi="宋体" w:eastAsia="宋体" w:cs="宋体"/>
          <w:b/>
          <w:spacing w:val="-6"/>
          <w:szCs w:val="21"/>
        </w:rPr>
      </w:pPr>
      <w:r>
        <w:rPr>
          <w:rFonts w:hint="eastAsia" w:ascii="宋体" w:hAnsi="宋体" w:eastAsia="宋体" w:cs="宋体"/>
          <w:b/>
          <w:spacing w:val="-6"/>
          <w:szCs w:val="21"/>
        </w:rPr>
        <w:t>第二条：质量保证及售后服务</w:t>
      </w:r>
    </w:p>
    <w:p w14:paraId="7958A228">
      <w:pPr>
        <w:snapToGrid w:val="0"/>
        <w:spacing w:line="28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1.乙方应按公开招标文件规定的货物性能、技术要求、质量标准向甲方提供未经使用的全新产品，符合国家法律规定和技术规格、质量标准的出厂原装合格产品。</w:t>
      </w:r>
    </w:p>
    <w:p w14:paraId="5851CFE4">
      <w:pPr>
        <w:snapToGrid w:val="0"/>
        <w:spacing w:line="28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2.乙方提供的货物在质保期内因货物本身的质量问题发生故障，乙方应负责免费更换。对达不到技术要求者，根据实际情况，经双方协商，可按以下办法处理：</w:t>
      </w:r>
    </w:p>
    <w:p w14:paraId="55A1454E">
      <w:pPr>
        <w:snapToGrid w:val="0"/>
        <w:spacing w:line="28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⑴更换：由乙方承担所发生的全部费用。</w:t>
      </w:r>
    </w:p>
    <w:p w14:paraId="26EC9542">
      <w:pPr>
        <w:snapToGrid w:val="0"/>
        <w:spacing w:line="28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⑵贬值处理：由甲乙双方合议定价。</w:t>
      </w:r>
    </w:p>
    <w:p w14:paraId="5D26C93C">
      <w:pPr>
        <w:snapToGrid w:val="0"/>
        <w:spacing w:line="28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⑶退货处理：乙方应退还甲方支付的合同款，同时应承担该货物的直接费用（运输、保险、检验、货款利息及银行手续费等）。</w:t>
      </w:r>
    </w:p>
    <w:p w14:paraId="3402EED8">
      <w:pPr>
        <w:snapToGrid w:val="0"/>
        <w:spacing w:line="28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3.在质保期内，乙方应对货物出现的质量及安全问题负责处理解决并承担一切费用。人为破坏因素、自然因素等不可抗拒因素除外。</w:t>
      </w:r>
    </w:p>
    <w:p w14:paraId="54CE9B09">
      <w:pPr>
        <w:snapToGrid w:val="0"/>
        <w:spacing w:line="28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4.上述的货物中</w:t>
      </w:r>
      <w:r>
        <w:rPr>
          <w:rFonts w:hint="eastAsia" w:ascii="宋体" w:hAnsi="宋体" w:eastAsia="宋体" w:cs="Times New Roman"/>
          <w:spacing w:val="-6"/>
          <w:szCs w:val="21"/>
        </w:rPr>
        <w:t>原厂售后质量保证期为     年，从交货验收合格后开始计算</w:t>
      </w:r>
      <w:r>
        <w:rPr>
          <w:rFonts w:hint="eastAsia" w:ascii="宋体" w:hAnsi="宋体" w:eastAsia="宋体" w:cs="宋体"/>
          <w:spacing w:val="-6"/>
          <w:szCs w:val="21"/>
        </w:rPr>
        <w:t>，</w:t>
      </w:r>
      <w:r>
        <w:rPr>
          <w:rFonts w:hint="eastAsia" w:ascii="宋体" w:hAnsi="宋体" w:eastAsia="宋体" w:cs="Times New Roman"/>
          <w:szCs w:val="21"/>
        </w:rPr>
        <w:t>如在使用过程中发生质量问题，乙方维修响应时间：1小时以内；电话技术支持时间：2小时以内；若需上门维修，则在：6小时内到达现场并进行维修；不超过2个工作日解决故障。质保期内，</w:t>
      </w:r>
      <w:r>
        <w:rPr>
          <w:rFonts w:hint="eastAsia" w:ascii="宋体" w:hAnsi="宋体" w:eastAsia="宋体" w:cs="Times New Roman"/>
          <w:szCs w:val="21"/>
          <w:lang w:val="en-US" w:eastAsia="zh-CN"/>
        </w:rPr>
        <w:t>乙方</w:t>
      </w:r>
      <w:r>
        <w:rPr>
          <w:rFonts w:hint="eastAsia" w:ascii="宋体" w:hAnsi="宋体" w:eastAsia="宋体" w:cs="Times New Roman"/>
          <w:szCs w:val="21"/>
        </w:rPr>
        <w:t>须提供每年至少2次的上门服务，服务内容包括但不限于设备巡检等。质保期内因货物设计、质量出现问题，均由乙方即时无偿解决（包括更换器件）,易损件除外（仅收取合理成本费用）；因操作不当或不可抗拒的原因产生的问题，由乙方提供技术服务，如需收费，只收取成本费和差旅费。质保期过后，乙方仍有义务提供技术服务（包括提供设备维护、备件等）。乙方应提供指定专人和专有联系方式，保证信息联系顺畅，为甲方提供方便。乙方须在售后服务过程中建立不同的工程组，有序的投入到项目之中，并在每个环节均实施质量控制，有售后服务文档记录，保证实施过程中所有的细节均有案可查，做到实施过程可追溯；乙方应制定项目回访制度，检查设备运行状况，解决使用者遇到的问题，对项目的实施提供参考意见和建议；当货物出现故障，需要到现场进行抢修处理时，将安排进行应急抢修，彻底解决排除故障。</w:t>
      </w:r>
      <w:r>
        <w:rPr>
          <w:rFonts w:hint="eastAsia" w:ascii="宋体" w:hAnsi="宋体" w:eastAsia="宋体" w:cs="宋体"/>
          <w:spacing w:val="-6"/>
          <w:szCs w:val="21"/>
        </w:rPr>
        <w:t>其余保修条款详见投标文件和承诺表。</w:t>
      </w:r>
    </w:p>
    <w:p w14:paraId="6F91AB75">
      <w:pPr>
        <w:snapToGrid w:val="0"/>
        <w:spacing w:line="28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lang w:val="en-US" w:eastAsia="zh-CN"/>
        </w:rPr>
        <w:t>5</w:t>
      </w:r>
      <w:r>
        <w:rPr>
          <w:rFonts w:hint="eastAsia" w:ascii="宋体" w:hAnsi="宋体" w:eastAsia="宋体" w:cs="宋体"/>
          <w:spacing w:val="-6"/>
          <w:szCs w:val="21"/>
        </w:rPr>
        <w:t>.项目验收合格之日起5年内，</w:t>
      </w:r>
      <w:r>
        <w:rPr>
          <w:rFonts w:hint="eastAsia" w:ascii="宋体" w:hAnsi="宋体" w:eastAsia="宋体" w:cs="宋体"/>
          <w:spacing w:val="-6"/>
          <w:szCs w:val="21"/>
          <w:lang w:val="en-US" w:eastAsia="zh-CN"/>
        </w:rPr>
        <w:t>乙方</w:t>
      </w:r>
      <w:r>
        <w:rPr>
          <w:rFonts w:hint="eastAsia" w:ascii="宋体" w:hAnsi="宋体" w:eastAsia="宋体" w:cs="宋体"/>
          <w:spacing w:val="-6"/>
          <w:szCs w:val="21"/>
        </w:rPr>
        <w:t>应提供一次设备免费搬迁服务。</w:t>
      </w:r>
    </w:p>
    <w:p w14:paraId="426BA349">
      <w:pPr>
        <w:snapToGrid w:val="0"/>
        <w:spacing w:line="288" w:lineRule="auto"/>
        <w:ind w:firstLine="398" w:firstLineChars="200"/>
        <w:rPr>
          <w:rFonts w:hint="eastAsia" w:ascii="宋体" w:hAnsi="宋体" w:eastAsia="宋体" w:cs="宋体"/>
          <w:b/>
          <w:spacing w:val="-6"/>
          <w:szCs w:val="21"/>
        </w:rPr>
      </w:pPr>
      <w:r>
        <w:rPr>
          <w:rFonts w:hint="eastAsia" w:ascii="宋体" w:hAnsi="宋体" w:eastAsia="宋体" w:cs="宋体"/>
          <w:b/>
          <w:spacing w:val="-6"/>
          <w:szCs w:val="21"/>
        </w:rPr>
        <w:t>第三条：技术资料</w:t>
      </w:r>
    </w:p>
    <w:p w14:paraId="3664040F">
      <w:pPr>
        <w:snapToGrid w:val="0"/>
        <w:spacing w:line="28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乙方应按公开招标文件规定的时间向甲方提供使用货物的有关技术资料。</w:t>
      </w:r>
    </w:p>
    <w:p w14:paraId="35FC7370">
      <w:pPr>
        <w:snapToGrid w:val="0"/>
        <w:spacing w:line="288" w:lineRule="auto"/>
        <w:ind w:firstLine="398" w:firstLineChars="200"/>
        <w:rPr>
          <w:rFonts w:hint="eastAsia" w:ascii="宋体" w:hAnsi="宋体" w:eastAsia="宋体" w:cs="宋体"/>
          <w:b/>
          <w:spacing w:val="-6"/>
          <w:szCs w:val="21"/>
        </w:rPr>
      </w:pPr>
      <w:r>
        <w:rPr>
          <w:rFonts w:hint="eastAsia" w:ascii="宋体" w:hAnsi="宋体" w:eastAsia="宋体" w:cs="宋体"/>
          <w:b/>
          <w:spacing w:val="-6"/>
          <w:szCs w:val="21"/>
        </w:rPr>
        <w:t>第四条：交货时间、地点</w:t>
      </w:r>
    </w:p>
    <w:p w14:paraId="30E56E2C">
      <w:pPr>
        <w:snapToGrid w:val="0"/>
        <w:spacing w:line="28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1.交货时间：自合同签订之日起   日内交付；</w:t>
      </w:r>
    </w:p>
    <w:p w14:paraId="6CC069B2">
      <w:pPr>
        <w:snapToGrid w:val="0"/>
        <w:spacing w:line="28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2.交货地点：甲方指定地点。</w:t>
      </w:r>
    </w:p>
    <w:p w14:paraId="2CA3B818">
      <w:pPr>
        <w:snapToGrid w:val="0"/>
        <w:spacing w:line="288" w:lineRule="auto"/>
        <w:ind w:firstLine="398" w:firstLineChars="200"/>
        <w:rPr>
          <w:rFonts w:hint="eastAsia" w:ascii="宋体" w:hAnsi="宋体" w:eastAsia="宋体" w:cs="宋体"/>
          <w:b/>
          <w:spacing w:val="-6"/>
          <w:szCs w:val="21"/>
        </w:rPr>
      </w:pPr>
      <w:r>
        <w:rPr>
          <w:rFonts w:hint="eastAsia" w:ascii="宋体" w:hAnsi="宋体" w:eastAsia="宋体" w:cs="宋体"/>
          <w:b/>
          <w:spacing w:val="-6"/>
          <w:szCs w:val="21"/>
        </w:rPr>
        <w:t>第五条：培训、安装调试与验收</w:t>
      </w:r>
    </w:p>
    <w:p w14:paraId="1FDA2FE3">
      <w:pPr>
        <w:autoSpaceDE w:val="0"/>
        <w:autoSpaceDN w:val="0"/>
        <w:adjustRightInd w:val="0"/>
        <w:snapToGrid w:val="0"/>
        <w:spacing w:line="288"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1.培训：</w:t>
      </w:r>
    </w:p>
    <w:p w14:paraId="106BCFAA">
      <w:pPr>
        <w:autoSpaceDE w:val="0"/>
        <w:autoSpaceDN w:val="0"/>
        <w:adjustRightInd w:val="0"/>
        <w:snapToGrid w:val="0"/>
        <w:spacing w:line="288"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1.1 乙方应对甲方的操作人员、维修人员免费进行培训。</w:t>
      </w:r>
    </w:p>
    <w:p w14:paraId="130A6914">
      <w:pPr>
        <w:autoSpaceDE w:val="0"/>
        <w:autoSpaceDN w:val="0"/>
        <w:adjustRightInd w:val="0"/>
        <w:snapToGrid w:val="0"/>
        <w:spacing w:line="288"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1.2 乙方应提供相应的培训计划。</w:t>
      </w:r>
    </w:p>
    <w:p w14:paraId="116DE036">
      <w:pPr>
        <w:autoSpaceDE w:val="0"/>
        <w:autoSpaceDN w:val="0"/>
        <w:adjustRightInd w:val="0"/>
        <w:snapToGrid w:val="0"/>
        <w:spacing w:line="288"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1.3 乙方应对上述内容的实现方式、地点、人数、时间在投标文件中详细说明。</w:t>
      </w:r>
    </w:p>
    <w:p w14:paraId="3F3F3715">
      <w:pPr>
        <w:autoSpaceDE w:val="0"/>
        <w:autoSpaceDN w:val="0"/>
        <w:adjustRightInd w:val="0"/>
        <w:snapToGrid w:val="0"/>
        <w:spacing w:line="288"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2.技术支持：</w:t>
      </w:r>
    </w:p>
    <w:p w14:paraId="7730F4B2">
      <w:pPr>
        <w:autoSpaceDE w:val="0"/>
        <w:autoSpaceDN w:val="0"/>
        <w:adjustRightInd w:val="0"/>
        <w:snapToGrid w:val="0"/>
        <w:spacing w:line="288"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乙方应及时免费提供合同货物软件的升级，免费提供合同货物新功能和应用的资料。</w:t>
      </w:r>
    </w:p>
    <w:p w14:paraId="2C28493A">
      <w:pPr>
        <w:autoSpaceDE w:val="0"/>
        <w:autoSpaceDN w:val="0"/>
        <w:adjustRightInd w:val="0"/>
        <w:snapToGrid w:val="0"/>
        <w:spacing w:line="288"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3.安装调试（若需要安装调试）：乙方在规定时间内安装、调试仪器，费用由乙方承担。</w:t>
      </w:r>
    </w:p>
    <w:p w14:paraId="208DF397">
      <w:pPr>
        <w:autoSpaceDE w:val="0"/>
        <w:autoSpaceDN w:val="0"/>
        <w:adjustRightInd w:val="0"/>
        <w:snapToGrid w:val="0"/>
        <w:spacing w:line="288"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3.1 安装地点：甲方指定地点。</w:t>
      </w:r>
    </w:p>
    <w:p w14:paraId="00C6A035">
      <w:pPr>
        <w:autoSpaceDE w:val="0"/>
        <w:autoSpaceDN w:val="0"/>
        <w:adjustRightInd w:val="0"/>
        <w:snapToGrid w:val="0"/>
        <w:spacing w:line="288"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3.2 安装完成时间：接到甲方通知后在7日内完成安装和调试，如在规定的时间内由于乙方的原因不能完成安装和调试，乙方应承担由此给甲方造成的损失。</w:t>
      </w:r>
    </w:p>
    <w:p w14:paraId="5EFCB525">
      <w:pPr>
        <w:autoSpaceDE w:val="0"/>
        <w:autoSpaceDN w:val="0"/>
        <w:adjustRightInd w:val="0"/>
        <w:snapToGrid w:val="0"/>
        <w:spacing w:line="288"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3.3 安装标准：符合我国国家有关技术规范要求和技术标准，所有的软件和硬件必须保证同时安装到位。</w:t>
      </w:r>
    </w:p>
    <w:p w14:paraId="1FBE2682">
      <w:pPr>
        <w:autoSpaceDE w:val="0"/>
        <w:autoSpaceDN w:val="0"/>
        <w:adjustRightInd w:val="0"/>
        <w:snapToGrid w:val="0"/>
        <w:spacing w:line="288"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3.4 乙方免费提供合同货物的安装服务。</w:t>
      </w:r>
    </w:p>
    <w:p w14:paraId="5CD814E7">
      <w:pPr>
        <w:autoSpaceDE w:val="0"/>
        <w:autoSpaceDN w:val="0"/>
        <w:adjustRightInd w:val="0"/>
        <w:snapToGrid w:val="0"/>
        <w:spacing w:line="288"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3.5 乙方在投标文件中应提供安装调试计划、对安装场地和环境的要求。</w:t>
      </w:r>
    </w:p>
    <w:p w14:paraId="68A6CD4A">
      <w:pPr>
        <w:autoSpaceDE w:val="0"/>
        <w:autoSpaceDN w:val="0"/>
        <w:adjustRightInd w:val="0"/>
        <w:snapToGrid w:val="0"/>
        <w:spacing w:line="288"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4.甲方对乙方提交的货物依据公开招标文件上的技术规格要求和国家有关质量标准进行现场初步验收，外观、说明书符合公开招标文件技术要求的，给予签收，初步验收不合格的不予签收。</w:t>
      </w:r>
    </w:p>
    <w:p w14:paraId="621E74E2">
      <w:pPr>
        <w:autoSpaceDE w:val="0"/>
        <w:autoSpaceDN w:val="0"/>
        <w:adjustRightInd w:val="0"/>
        <w:snapToGrid w:val="0"/>
        <w:spacing w:line="288"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5.乙方应提供合同货物的有效检验文件，经甲方认可后，与合同的性能指标一起作为合同货物验收标准。甲方对样品（如有）验收合格后，双方共同签署验收样品合格证书，在合同期限内甲方将对乙方提供的货物进行抽检验收，验收中发现合同货物达不到样品验收标准或合同规定的性能指标，乙方必须更换合同货物，并负担由此给甲方造成的损失，直到验收合格为止。</w:t>
      </w:r>
    </w:p>
    <w:p w14:paraId="4576FC9C">
      <w:pPr>
        <w:autoSpaceDE w:val="0"/>
        <w:autoSpaceDN w:val="0"/>
        <w:adjustRightInd w:val="0"/>
        <w:snapToGrid w:val="0"/>
        <w:spacing w:line="288"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6.乙方应于投标文件中提供合同货物的验收标准和检测办法，并在验收中提供甲方认可的相应检测手段，验收标准应符合中国有关的国家、地方、行业的标准，如若中标，经甲方确认后作为验收的依据，乙方交货前应对产品作出全面检查和对验收文件进行整理，并列出清单，作为甲方收货验收和使用的技术条件依据，检验的结果应随货物交甲方。</w:t>
      </w:r>
    </w:p>
    <w:p w14:paraId="00C5C5D7">
      <w:pPr>
        <w:autoSpaceDE w:val="0"/>
        <w:autoSpaceDN w:val="0"/>
        <w:adjustRightInd w:val="0"/>
        <w:snapToGrid w:val="0"/>
        <w:spacing w:line="288"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7.如乙方委托国内代理（或其他机构）负责安装或配合安装，应在签约时指明，但乙方仍要对合同货物及其安装质量负全部责任。</w:t>
      </w:r>
    </w:p>
    <w:p w14:paraId="3E43826D">
      <w:pPr>
        <w:autoSpaceDE w:val="0"/>
        <w:autoSpaceDN w:val="0"/>
        <w:adjustRightInd w:val="0"/>
        <w:snapToGrid w:val="0"/>
        <w:spacing w:line="288"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8.甲方对乙方提供的货物在使用前进行调试时，乙方需负责安装并培训甲方的使用操作人员，并协助甲方一起调试，直到符合技术要求，甲方才做最终验收。</w:t>
      </w:r>
    </w:p>
    <w:p w14:paraId="3EEF67B7">
      <w:pPr>
        <w:autoSpaceDE w:val="0"/>
        <w:autoSpaceDN w:val="0"/>
        <w:adjustRightInd w:val="0"/>
        <w:snapToGrid w:val="0"/>
        <w:spacing w:line="288"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9.对技术复杂的货物，甲方应请国家认可的专业检测机构参与初步验收及最终验收，并由其出具质量检测报告。</w:t>
      </w:r>
    </w:p>
    <w:p w14:paraId="016AADCD">
      <w:pPr>
        <w:autoSpaceDE w:val="0"/>
        <w:autoSpaceDN w:val="0"/>
        <w:adjustRightInd w:val="0"/>
        <w:snapToGrid w:val="0"/>
        <w:spacing w:line="288"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10.验收时乙方必须在现场，验收完毕后作出验收结果报告。</w:t>
      </w:r>
    </w:p>
    <w:p w14:paraId="749A4E89">
      <w:pPr>
        <w:autoSpaceDE w:val="0"/>
        <w:autoSpaceDN w:val="0"/>
        <w:adjustRightInd w:val="0"/>
        <w:snapToGrid w:val="0"/>
        <w:spacing w:line="288" w:lineRule="auto"/>
        <w:ind w:firstLine="420" w:firstLineChars="200"/>
        <w:textAlignment w:val="bottom"/>
        <w:rPr>
          <w:rFonts w:hint="eastAsia" w:ascii="宋体" w:hAnsi="宋体" w:eastAsia="宋体" w:cs="Times New Roman"/>
          <w:szCs w:val="21"/>
        </w:rPr>
      </w:pPr>
      <w:r>
        <w:rPr>
          <w:rFonts w:hint="eastAsia" w:ascii="宋体" w:hAnsi="宋体" w:eastAsia="宋体" w:cs="宋体"/>
          <w:szCs w:val="21"/>
        </w:rPr>
        <w:t>11.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14:paraId="5EC3DF65">
      <w:pPr>
        <w:snapToGrid w:val="0"/>
        <w:spacing w:line="288" w:lineRule="auto"/>
        <w:ind w:firstLine="398" w:firstLineChars="200"/>
        <w:rPr>
          <w:rFonts w:hint="eastAsia" w:ascii="宋体" w:hAnsi="宋体" w:eastAsia="宋体" w:cs="宋体"/>
          <w:b/>
          <w:spacing w:val="-6"/>
          <w:szCs w:val="21"/>
        </w:rPr>
      </w:pPr>
      <w:r>
        <w:rPr>
          <w:rFonts w:hint="eastAsia" w:ascii="宋体" w:hAnsi="宋体" w:eastAsia="宋体" w:cs="宋体"/>
          <w:b/>
          <w:spacing w:val="-6"/>
          <w:szCs w:val="21"/>
        </w:rPr>
        <w:t>第六条：货款的支付</w:t>
      </w:r>
    </w:p>
    <w:p w14:paraId="1B5E1437">
      <w:pPr>
        <w:snapToGrid w:val="0"/>
        <w:spacing w:line="288" w:lineRule="auto"/>
        <w:ind w:firstLine="398" w:firstLineChars="200"/>
        <w:rPr>
          <w:rFonts w:ascii="Times New Roman" w:hAnsi="Times New Roman" w:eastAsia="宋体" w:cs="Times New Roman"/>
          <w:spacing w:val="-6"/>
          <w:szCs w:val="21"/>
        </w:rPr>
      </w:pPr>
      <w:r>
        <w:rPr>
          <w:rFonts w:hint="eastAsia" w:ascii="宋体" w:hAnsi="宋体" w:eastAsia="宋体" w:cs="Times New Roman"/>
          <w:b/>
          <w:spacing w:val="-6"/>
          <w:szCs w:val="21"/>
        </w:rPr>
        <w:t>1.履约保证金：</w:t>
      </w:r>
      <w:r>
        <w:rPr>
          <w:rFonts w:hint="eastAsia" w:ascii="Times New Roman" w:hAnsi="Times New Roman" w:eastAsia="宋体" w:cs="Times New Roman"/>
          <w:spacing w:val="-6"/>
          <w:szCs w:val="21"/>
        </w:rPr>
        <w:t>合同签订后一周内，乙方向甲方提交合同总价1%的履约保证金，履约保证金在合同履约期间无违约情形的，项目验收结束后，于一周内退还（不计息）；提交方式：支票、汇票、本票或金融机构、担保机构出具的保函等非现金形式。</w:t>
      </w:r>
    </w:p>
    <w:p w14:paraId="033A3263">
      <w:pPr>
        <w:snapToGrid w:val="0"/>
        <w:spacing w:line="288" w:lineRule="auto"/>
        <w:ind w:firstLine="398" w:firstLineChars="200"/>
        <w:rPr>
          <w:rFonts w:hint="eastAsia" w:ascii="宋体" w:hAnsi="宋体" w:eastAsia="宋体" w:cs="宋体"/>
          <w:b/>
          <w:spacing w:val="-6"/>
          <w:szCs w:val="21"/>
        </w:rPr>
      </w:pPr>
      <w:r>
        <w:rPr>
          <w:rFonts w:hint="eastAsia" w:ascii="宋体" w:hAnsi="宋体" w:eastAsia="宋体" w:cs="Times New Roman"/>
          <w:b/>
          <w:spacing w:val="-6"/>
          <w:szCs w:val="21"/>
        </w:rPr>
        <w:t>2.付款方式：</w:t>
      </w:r>
      <w:r>
        <w:rPr>
          <w:rFonts w:hint="eastAsia" w:ascii="Times New Roman" w:hAnsi="Times New Roman" w:eastAsia="宋体" w:cs="Times New Roman"/>
          <w:spacing w:val="-6"/>
          <w:szCs w:val="21"/>
        </w:rPr>
        <w:t>合同生效以及具备实施条件后7个工作日内，且乙方已向采购人提交银行、保险公司等金融机构出具的预付款保函的，甲方向乙方支付合同总价的40%；项目履约完成，经甲方验收合格后，收到发票后7个工作日内，甲方向乙方支付合同总价的60%。</w:t>
      </w:r>
    </w:p>
    <w:p w14:paraId="6AABC07A">
      <w:pPr>
        <w:snapToGrid w:val="0"/>
        <w:spacing w:line="288" w:lineRule="auto"/>
        <w:ind w:firstLine="398" w:firstLineChars="200"/>
        <w:rPr>
          <w:rFonts w:hint="eastAsia" w:ascii="宋体" w:hAnsi="宋体" w:eastAsia="宋体" w:cs="宋体"/>
          <w:b/>
          <w:spacing w:val="-6"/>
          <w:szCs w:val="21"/>
        </w:rPr>
      </w:pPr>
      <w:r>
        <w:rPr>
          <w:rFonts w:hint="eastAsia" w:ascii="宋体" w:hAnsi="宋体" w:eastAsia="宋体" w:cs="宋体"/>
          <w:b/>
          <w:spacing w:val="-6"/>
          <w:szCs w:val="21"/>
        </w:rPr>
        <w:t>第七条：违约责任</w:t>
      </w:r>
    </w:p>
    <w:p w14:paraId="5A03F139">
      <w:pPr>
        <w:snapToGrid w:val="0"/>
        <w:spacing w:line="28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1.乙方逾期履行合同的，自逾期之日起，向甲方每周偿付合同总价千分之五的滞纳金。</w:t>
      </w:r>
    </w:p>
    <w:p w14:paraId="6449ED93">
      <w:pPr>
        <w:snapToGrid w:val="0"/>
        <w:spacing w:line="28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2.甲方逾期支付货款的，自逾期之日起，向乙方每周偿付未付价款千分之五的滞纳金。</w:t>
      </w:r>
    </w:p>
    <w:p w14:paraId="032C0064">
      <w:pPr>
        <w:snapToGrid w:val="0"/>
        <w:spacing w:line="28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3.如验收不能达到质量功能（性能）标准，应及时处理直至验收合格，所需费用由乙方承担。</w:t>
      </w:r>
    </w:p>
    <w:p w14:paraId="4A17A397">
      <w:pPr>
        <w:spacing w:line="28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4.</w:t>
      </w:r>
      <w:r>
        <w:rPr>
          <w:rFonts w:hint="eastAsia" w:ascii="Times New Roman" w:hAnsi="Times New Roman" w:eastAsia="宋体" w:cs="Times New Roman"/>
          <w:szCs w:val="21"/>
        </w:rPr>
        <w:t>如甲方未能按合同规定向乙方付款，在乙方书面通知30天内仍不付款，乙方有权终止履行合同并要求甲方支付已完成的未付工程量价款。</w:t>
      </w:r>
    </w:p>
    <w:p w14:paraId="07EBB898">
      <w:pPr>
        <w:snapToGrid w:val="0"/>
        <w:spacing w:line="288" w:lineRule="auto"/>
        <w:ind w:firstLine="398" w:firstLineChars="200"/>
        <w:rPr>
          <w:rFonts w:hint="eastAsia" w:ascii="宋体" w:hAnsi="宋体" w:eastAsia="宋体" w:cs="宋体"/>
          <w:b/>
          <w:spacing w:val="-6"/>
          <w:szCs w:val="21"/>
        </w:rPr>
      </w:pPr>
      <w:r>
        <w:rPr>
          <w:rFonts w:hint="eastAsia" w:ascii="宋体" w:hAnsi="宋体" w:eastAsia="宋体" w:cs="宋体"/>
          <w:b/>
          <w:spacing w:val="-6"/>
          <w:szCs w:val="21"/>
          <w:lang w:bidi="ar"/>
        </w:rPr>
        <w:t>第八条：</w:t>
      </w:r>
      <w:r>
        <w:rPr>
          <w:rFonts w:hint="eastAsia" w:ascii="宋体" w:hAnsi="宋体" w:eastAsia="宋体" w:cs="宋体"/>
          <w:b/>
          <w:spacing w:val="-6"/>
          <w:szCs w:val="21"/>
        </w:rPr>
        <w:t>不可抗力事件处理</w:t>
      </w:r>
    </w:p>
    <w:p w14:paraId="79155670">
      <w:pPr>
        <w:snapToGrid w:val="0"/>
        <w:spacing w:line="28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1.在合同有效期内，任何一方因不可抗力事件导致不能履行合同，则合同履行期可延长，其延长期与不可抗力影响期相同。</w:t>
      </w:r>
    </w:p>
    <w:p w14:paraId="42A201DF">
      <w:pPr>
        <w:snapToGrid w:val="0"/>
        <w:spacing w:line="28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2.不可抗力事件延续120天以上，双方应通过友好协商，确定是否继续履行合同。</w:t>
      </w:r>
    </w:p>
    <w:p w14:paraId="5C2E932A">
      <w:pPr>
        <w:snapToGrid w:val="0"/>
        <w:spacing w:line="288" w:lineRule="auto"/>
        <w:ind w:firstLine="398" w:firstLineChars="200"/>
        <w:rPr>
          <w:rFonts w:hint="eastAsia" w:ascii="宋体" w:hAnsi="宋体" w:eastAsia="宋体" w:cs="宋体"/>
          <w:b/>
          <w:spacing w:val="-6"/>
          <w:szCs w:val="21"/>
        </w:rPr>
      </w:pPr>
      <w:r>
        <w:rPr>
          <w:rFonts w:hint="eastAsia" w:ascii="宋体" w:hAnsi="宋体" w:eastAsia="宋体" w:cs="宋体"/>
          <w:b/>
          <w:spacing w:val="-6"/>
          <w:szCs w:val="21"/>
        </w:rPr>
        <w:t>第九条：争议解决</w:t>
      </w:r>
    </w:p>
    <w:p w14:paraId="01D09338">
      <w:pPr>
        <w:snapToGrid w:val="0"/>
        <w:spacing w:line="28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本合同未尽事宜由三方协商解决，如协商不成，三方同意将本合同引起的争议提交杭州仲裁委员会仲裁解决，仲裁为终局。</w:t>
      </w:r>
    </w:p>
    <w:p w14:paraId="39AC8078">
      <w:pPr>
        <w:snapToGrid w:val="0"/>
        <w:spacing w:line="288" w:lineRule="auto"/>
        <w:ind w:firstLine="398" w:firstLineChars="200"/>
        <w:rPr>
          <w:rFonts w:hint="eastAsia" w:ascii="宋体" w:hAnsi="宋体" w:eastAsia="宋体" w:cs="宋体"/>
          <w:b/>
          <w:spacing w:val="-6"/>
          <w:szCs w:val="21"/>
        </w:rPr>
      </w:pPr>
      <w:r>
        <w:rPr>
          <w:rFonts w:hint="eastAsia" w:ascii="宋体" w:hAnsi="宋体" w:eastAsia="宋体" w:cs="宋体"/>
          <w:b/>
          <w:spacing w:val="-6"/>
          <w:szCs w:val="21"/>
        </w:rPr>
        <w:t>第十条：合同生效</w:t>
      </w:r>
    </w:p>
    <w:p w14:paraId="29C94D1F">
      <w:pPr>
        <w:snapToGrid w:val="0"/>
        <w:spacing w:line="28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1.合同经双方法定代表人或授权代表签字并加盖单位公章后生效。</w:t>
      </w:r>
    </w:p>
    <w:p w14:paraId="2AA05A5B">
      <w:pPr>
        <w:snapToGrid w:val="0"/>
        <w:spacing w:line="28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2.合同执行中涉及采购资金和采购内容修改或补充的，须经财政部门审批，并签书面补充协议报政府采购监督管理部门备案，方可作为主合同不可分割的一部分。</w:t>
      </w:r>
    </w:p>
    <w:p w14:paraId="64B72275">
      <w:pPr>
        <w:snapToGrid w:val="0"/>
        <w:spacing w:line="28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3.本合同未尽事宜，遵照《民法典》有关条文执行。</w:t>
      </w:r>
    </w:p>
    <w:p w14:paraId="60B1D4B1">
      <w:pPr>
        <w:snapToGrid w:val="0"/>
        <w:spacing w:line="28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4.本合同一式柒份，乙方、采购代理机构各执壹份，甲方执伍份，经三方签字、盖公章后生效。</w:t>
      </w:r>
    </w:p>
    <w:p w14:paraId="2139839D">
      <w:pPr>
        <w:snapToGrid w:val="0"/>
        <w:spacing w:line="28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5.相关招标文件、投标文件、询标承诺等与本合同具有同等法律效力。</w:t>
      </w:r>
    </w:p>
    <w:p w14:paraId="367AD46F">
      <w:pPr>
        <w:spacing w:line="288" w:lineRule="auto"/>
        <w:rPr>
          <w:rFonts w:hint="eastAsia" w:ascii="宋体" w:hAnsi="宋体" w:eastAsia="宋体" w:cs="宋体"/>
          <w:b/>
          <w:spacing w:val="20"/>
          <w:szCs w:val="21"/>
        </w:rPr>
      </w:pPr>
    </w:p>
    <w:p w14:paraId="21347B38">
      <w:pPr>
        <w:spacing w:line="288" w:lineRule="auto"/>
        <w:ind w:firstLine="422" w:firstLineChars="200"/>
        <w:rPr>
          <w:rFonts w:hint="eastAsia" w:ascii="宋体" w:hAnsi="宋体" w:eastAsia="宋体" w:cs="宋体"/>
          <w:bCs/>
          <w:kern w:val="1"/>
          <w:szCs w:val="21"/>
        </w:rPr>
      </w:pPr>
      <w:r>
        <w:rPr>
          <w:rFonts w:hint="eastAsia" w:ascii="宋体" w:hAnsi="宋体" w:eastAsia="宋体" w:cs="宋体"/>
          <w:b/>
          <w:kern w:val="1"/>
          <w:szCs w:val="21"/>
        </w:rPr>
        <w:t>甲方（盖章）</w:t>
      </w:r>
      <w:r>
        <w:rPr>
          <w:rFonts w:hint="eastAsia" w:ascii="宋体" w:hAnsi="宋体" w:eastAsia="宋体" w:cs="宋体"/>
          <w:bCs/>
          <w:kern w:val="1"/>
          <w:szCs w:val="21"/>
        </w:rPr>
        <w:t xml:space="preserve">：浙江农林大学                       </w:t>
      </w:r>
      <w:r>
        <w:rPr>
          <w:rFonts w:hint="eastAsia" w:ascii="宋体" w:hAnsi="宋体" w:eastAsia="宋体" w:cs="宋体"/>
          <w:b/>
          <w:kern w:val="1"/>
          <w:szCs w:val="21"/>
        </w:rPr>
        <w:t>乙方（盖章）</w:t>
      </w:r>
      <w:r>
        <w:rPr>
          <w:rFonts w:hint="eastAsia" w:ascii="宋体" w:hAnsi="宋体" w:eastAsia="宋体" w:cs="宋体"/>
          <w:bCs/>
          <w:kern w:val="1"/>
          <w:szCs w:val="21"/>
        </w:rPr>
        <w:t>：</w:t>
      </w:r>
    </w:p>
    <w:p w14:paraId="7567E576">
      <w:pPr>
        <w:spacing w:line="288" w:lineRule="auto"/>
        <w:ind w:firstLine="420" w:firstLineChars="200"/>
        <w:rPr>
          <w:rFonts w:hint="eastAsia" w:ascii="宋体" w:hAnsi="宋体" w:eastAsia="宋体" w:cs="宋体"/>
          <w:bCs/>
          <w:kern w:val="1"/>
          <w:szCs w:val="21"/>
        </w:rPr>
      </w:pPr>
      <w:r>
        <w:rPr>
          <w:rFonts w:hint="eastAsia" w:ascii="宋体" w:hAnsi="宋体" w:eastAsia="宋体" w:cs="宋体"/>
          <w:bCs/>
          <w:kern w:val="1"/>
          <w:szCs w:val="21"/>
        </w:rPr>
        <w:t>法定代表人或受委托人：                           法定代表人或受委托人：</w:t>
      </w:r>
    </w:p>
    <w:p w14:paraId="2DDAE311">
      <w:pPr>
        <w:spacing w:line="288" w:lineRule="auto"/>
        <w:ind w:firstLine="420" w:firstLineChars="200"/>
        <w:rPr>
          <w:rFonts w:hint="eastAsia" w:ascii="宋体" w:hAnsi="宋体" w:eastAsia="宋体" w:cs="宋体"/>
          <w:bCs/>
          <w:kern w:val="1"/>
          <w:szCs w:val="21"/>
        </w:rPr>
      </w:pPr>
      <w:r>
        <w:rPr>
          <w:rFonts w:hint="eastAsia" w:ascii="宋体" w:hAnsi="宋体" w:eastAsia="宋体" w:cs="宋体"/>
          <w:bCs/>
          <w:kern w:val="1"/>
          <w:szCs w:val="21"/>
        </w:rPr>
        <w:t>（签字）                                        （签字）</w:t>
      </w:r>
    </w:p>
    <w:p w14:paraId="4145DF1D">
      <w:pPr>
        <w:spacing w:line="288" w:lineRule="auto"/>
        <w:ind w:firstLine="420" w:firstLineChars="200"/>
        <w:rPr>
          <w:rFonts w:hint="eastAsia" w:ascii="宋体" w:hAnsi="宋体" w:eastAsia="宋体" w:cs="宋体"/>
          <w:bCs/>
          <w:kern w:val="1"/>
          <w:szCs w:val="21"/>
        </w:rPr>
      </w:pPr>
      <w:r>
        <w:rPr>
          <w:rFonts w:hint="eastAsia" w:ascii="宋体" w:hAnsi="宋体" w:eastAsia="宋体" w:cs="宋体"/>
          <w:bCs/>
          <w:kern w:val="1"/>
          <w:szCs w:val="21"/>
        </w:rPr>
        <w:t>地址：浙江省杭州市临安区武肃街666号              地址：</w:t>
      </w:r>
    </w:p>
    <w:p w14:paraId="308D3081">
      <w:pPr>
        <w:spacing w:line="288" w:lineRule="auto"/>
        <w:ind w:firstLine="420" w:firstLineChars="200"/>
        <w:rPr>
          <w:rFonts w:hint="eastAsia" w:ascii="宋体" w:hAnsi="宋体" w:eastAsia="宋体" w:cs="宋体"/>
          <w:bCs/>
          <w:kern w:val="1"/>
          <w:szCs w:val="21"/>
        </w:rPr>
      </w:pPr>
      <w:r>
        <w:rPr>
          <w:rFonts w:hint="eastAsia" w:ascii="宋体" w:hAnsi="宋体" w:eastAsia="宋体" w:cs="宋体"/>
          <w:bCs/>
          <w:kern w:val="1"/>
          <w:szCs w:val="21"/>
        </w:rPr>
        <w:t>邮编：311300                                     邮编：</w:t>
      </w:r>
    </w:p>
    <w:p w14:paraId="338A9DF4">
      <w:pPr>
        <w:spacing w:line="288" w:lineRule="auto"/>
        <w:ind w:firstLine="420" w:firstLineChars="200"/>
        <w:rPr>
          <w:rFonts w:hint="eastAsia" w:ascii="宋体" w:hAnsi="宋体" w:eastAsia="宋体" w:cs="宋体"/>
          <w:bCs/>
          <w:kern w:val="1"/>
          <w:szCs w:val="21"/>
        </w:rPr>
      </w:pPr>
      <w:r>
        <w:rPr>
          <w:rFonts w:hint="eastAsia" w:ascii="宋体" w:hAnsi="宋体" w:eastAsia="宋体" w:cs="宋体"/>
          <w:bCs/>
          <w:kern w:val="1"/>
          <w:szCs w:val="21"/>
        </w:rPr>
        <w:t>电话：0571-63740897                              电话：</w:t>
      </w:r>
    </w:p>
    <w:p w14:paraId="67DA725B">
      <w:pPr>
        <w:spacing w:line="288" w:lineRule="auto"/>
        <w:ind w:firstLine="420" w:firstLineChars="200"/>
        <w:rPr>
          <w:rFonts w:hint="eastAsia" w:ascii="宋体" w:hAnsi="宋体" w:eastAsia="宋体" w:cs="宋体"/>
          <w:bCs/>
          <w:kern w:val="1"/>
          <w:szCs w:val="21"/>
        </w:rPr>
      </w:pPr>
      <w:r>
        <w:rPr>
          <w:rFonts w:hint="eastAsia" w:ascii="宋体" w:hAnsi="宋体" w:eastAsia="宋体" w:cs="宋体"/>
          <w:bCs/>
          <w:kern w:val="1"/>
          <w:szCs w:val="21"/>
        </w:rPr>
        <w:t xml:space="preserve">户名：浙江农林大学                               户名： </w:t>
      </w:r>
    </w:p>
    <w:p w14:paraId="4261E94C">
      <w:pPr>
        <w:spacing w:line="288" w:lineRule="auto"/>
        <w:ind w:firstLine="420" w:firstLineChars="200"/>
        <w:rPr>
          <w:rFonts w:hint="eastAsia" w:ascii="宋体" w:hAnsi="宋体" w:eastAsia="宋体" w:cs="宋体"/>
          <w:bCs/>
          <w:kern w:val="1"/>
          <w:szCs w:val="21"/>
        </w:rPr>
      </w:pPr>
      <w:r>
        <w:rPr>
          <w:rFonts w:hint="eastAsia" w:ascii="宋体" w:hAnsi="宋体" w:eastAsia="宋体" w:cs="宋体"/>
          <w:bCs/>
          <w:kern w:val="1"/>
          <w:szCs w:val="21"/>
        </w:rPr>
        <w:t>开户银行：建行临安支行（行号：105331024007）     开户银行：</w:t>
      </w:r>
    </w:p>
    <w:p w14:paraId="413FD317">
      <w:pPr>
        <w:spacing w:line="288" w:lineRule="auto"/>
        <w:ind w:firstLine="420" w:firstLineChars="200"/>
        <w:rPr>
          <w:rFonts w:hint="eastAsia" w:ascii="宋体" w:hAnsi="宋体" w:eastAsia="宋体" w:cs="宋体"/>
          <w:bCs/>
          <w:kern w:val="1"/>
          <w:szCs w:val="21"/>
        </w:rPr>
      </w:pPr>
      <w:r>
        <w:rPr>
          <w:rFonts w:hint="eastAsia" w:ascii="宋体" w:hAnsi="宋体" w:eastAsia="宋体" w:cs="宋体"/>
          <w:bCs/>
          <w:kern w:val="1"/>
          <w:szCs w:val="21"/>
        </w:rPr>
        <w:t>账号：3300 1617 3350 5001 8761                   账号：</w:t>
      </w:r>
    </w:p>
    <w:p w14:paraId="4891E1F6">
      <w:pPr>
        <w:spacing w:line="288" w:lineRule="auto"/>
        <w:ind w:firstLine="420" w:firstLineChars="200"/>
        <w:rPr>
          <w:rFonts w:hint="eastAsia" w:ascii="宋体" w:hAnsi="宋体" w:eastAsia="宋体" w:cs="宋体"/>
          <w:bCs/>
          <w:kern w:val="1"/>
          <w:szCs w:val="21"/>
        </w:rPr>
      </w:pPr>
      <w:r>
        <w:rPr>
          <w:rFonts w:hint="eastAsia" w:ascii="宋体" w:hAnsi="宋体" w:eastAsia="宋体" w:cs="宋体"/>
          <w:bCs/>
          <w:kern w:val="1"/>
          <w:szCs w:val="21"/>
        </w:rPr>
        <w:t>纳税人识别号（统一社会信用代码）：                纳税人识别号（统一社会信用代码）：</w:t>
      </w:r>
    </w:p>
    <w:p w14:paraId="1F967495">
      <w:pPr>
        <w:spacing w:line="288" w:lineRule="auto"/>
        <w:ind w:firstLine="420" w:firstLineChars="200"/>
        <w:rPr>
          <w:rFonts w:hint="eastAsia" w:ascii="宋体" w:hAnsi="宋体" w:eastAsia="宋体" w:cs="宋体"/>
          <w:bCs/>
          <w:kern w:val="1"/>
          <w:szCs w:val="21"/>
        </w:rPr>
      </w:pPr>
      <w:r>
        <w:rPr>
          <w:rFonts w:hint="eastAsia" w:ascii="宋体" w:hAnsi="宋体" w:eastAsia="宋体" w:cs="宋体"/>
          <w:bCs/>
          <w:kern w:val="1"/>
          <w:szCs w:val="21"/>
        </w:rPr>
        <w:t>123300004700050170</w:t>
      </w:r>
    </w:p>
    <w:p w14:paraId="6A034647">
      <w:pPr>
        <w:spacing w:line="288" w:lineRule="auto"/>
        <w:ind w:firstLine="420" w:firstLineChars="200"/>
        <w:rPr>
          <w:rFonts w:hint="eastAsia" w:ascii="宋体" w:hAnsi="宋体" w:eastAsia="宋体" w:cs="宋体"/>
          <w:bCs/>
          <w:kern w:val="1"/>
          <w:szCs w:val="21"/>
        </w:rPr>
      </w:pPr>
      <w:r>
        <w:rPr>
          <w:rFonts w:hint="eastAsia" w:ascii="宋体" w:hAnsi="宋体" w:eastAsia="宋体" w:cs="宋体"/>
          <w:bCs/>
          <w:kern w:val="1"/>
          <w:szCs w:val="21"/>
        </w:rPr>
        <w:t>（注：所有发票需开“增值税专用发票”）</w:t>
      </w:r>
    </w:p>
    <w:p w14:paraId="1AABFCF1">
      <w:pPr>
        <w:spacing w:line="288" w:lineRule="auto"/>
        <w:ind w:firstLine="422" w:firstLineChars="200"/>
        <w:rPr>
          <w:rFonts w:hint="eastAsia" w:ascii="宋体" w:hAnsi="宋体" w:eastAsia="宋体" w:cs="宋体"/>
          <w:b/>
          <w:kern w:val="1"/>
          <w:szCs w:val="21"/>
        </w:rPr>
      </w:pPr>
    </w:p>
    <w:p w14:paraId="531379A6">
      <w:pPr>
        <w:spacing w:line="288" w:lineRule="auto"/>
        <w:ind w:firstLine="422" w:firstLineChars="200"/>
        <w:rPr>
          <w:rFonts w:hint="eastAsia" w:ascii="宋体" w:hAnsi="宋体" w:eastAsia="宋体" w:cs="宋体"/>
          <w:kern w:val="1"/>
          <w:szCs w:val="21"/>
        </w:rPr>
      </w:pPr>
      <w:r>
        <w:rPr>
          <w:rFonts w:hint="eastAsia" w:ascii="宋体" w:hAnsi="宋体" w:eastAsia="宋体" w:cs="宋体"/>
          <w:b/>
          <w:kern w:val="1"/>
          <w:szCs w:val="21"/>
        </w:rPr>
        <w:t>采购代理机构：</w:t>
      </w:r>
      <w:r>
        <w:rPr>
          <w:rFonts w:hint="eastAsia" w:ascii="宋体" w:hAnsi="宋体" w:eastAsia="宋体" w:cs="宋体"/>
          <w:kern w:val="1"/>
          <w:szCs w:val="21"/>
        </w:rPr>
        <w:t>浙江求是招标代理有限公司</w:t>
      </w:r>
    </w:p>
    <w:p w14:paraId="2D2EB5D0">
      <w:pPr>
        <w:spacing w:line="288" w:lineRule="auto"/>
        <w:ind w:firstLine="420" w:firstLineChars="200"/>
        <w:rPr>
          <w:rFonts w:hint="eastAsia" w:ascii="宋体" w:hAnsi="宋体" w:eastAsia="宋体" w:cs="宋体"/>
          <w:kern w:val="1"/>
          <w:szCs w:val="21"/>
        </w:rPr>
      </w:pPr>
      <w:r>
        <w:rPr>
          <w:rFonts w:hint="eastAsia" w:ascii="宋体" w:hAnsi="宋体" w:eastAsia="宋体" w:cs="宋体"/>
          <w:kern w:val="1"/>
          <w:szCs w:val="21"/>
        </w:rPr>
        <w:t>地址：杭州市西湖区玉古路173号中田大厦21楼求是招标</w:t>
      </w:r>
    </w:p>
    <w:p w14:paraId="7401C49A">
      <w:pPr>
        <w:spacing w:line="288" w:lineRule="auto"/>
        <w:ind w:firstLine="420" w:firstLineChars="200"/>
        <w:rPr>
          <w:rFonts w:hint="eastAsia" w:ascii="宋体" w:hAnsi="宋体" w:eastAsia="宋体" w:cs="宋体"/>
          <w:kern w:val="1"/>
          <w:szCs w:val="21"/>
        </w:rPr>
      </w:pPr>
      <w:r>
        <w:rPr>
          <w:rFonts w:hint="eastAsia" w:ascii="宋体" w:hAnsi="宋体" w:eastAsia="宋体" w:cs="宋体"/>
          <w:kern w:val="1"/>
          <w:szCs w:val="21"/>
        </w:rPr>
        <w:t>电话：0571-87670302</w:t>
      </w:r>
    </w:p>
    <w:p w14:paraId="02E03233">
      <w:pPr>
        <w:spacing w:line="288" w:lineRule="auto"/>
        <w:ind w:firstLine="420" w:firstLineChars="200"/>
        <w:rPr>
          <w:rFonts w:hint="eastAsia" w:ascii="宋体" w:hAnsi="宋体" w:eastAsia="宋体" w:cs="宋体"/>
          <w:kern w:val="1"/>
          <w:szCs w:val="21"/>
        </w:rPr>
      </w:pPr>
      <w:r>
        <w:rPr>
          <w:rFonts w:hint="eastAsia" w:ascii="宋体" w:hAnsi="宋体" w:eastAsia="宋体" w:cs="宋体"/>
          <w:kern w:val="1"/>
          <w:szCs w:val="21"/>
        </w:rPr>
        <w:t>授权代表：</w:t>
      </w:r>
    </w:p>
    <w:p w14:paraId="6DF27184">
      <w:pPr>
        <w:spacing w:line="288" w:lineRule="auto"/>
        <w:ind w:firstLine="420" w:firstLineChars="200"/>
        <w:rPr>
          <w:rFonts w:hint="eastAsia" w:ascii="宋体" w:hAnsi="宋体" w:eastAsia="宋体" w:cs="宋体"/>
          <w:kern w:val="1"/>
          <w:szCs w:val="21"/>
        </w:rPr>
      </w:pPr>
      <w:r>
        <w:rPr>
          <w:rFonts w:hint="eastAsia" w:ascii="宋体" w:hAnsi="宋体" w:eastAsia="宋体" w:cs="宋体"/>
          <w:kern w:val="1"/>
          <w:szCs w:val="21"/>
        </w:rPr>
        <w:t>鉴证时间：</w:t>
      </w:r>
    </w:p>
    <w:p w14:paraId="08F9CE7E">
      <w:pPr>
        <w:spacing w:line="288" w:lineRule="auto"/>
        <w:ind w:firstLine="396" w:firstLineChars="200"/>
        <w:rPr>
          <w:rFonts w:hint="eastAsia" w:ascii="宋体" w:hAnsi="宋体" w:eastAsia="宋体" w:cs="宋体"/>
          <w:szCs w:val="21"/>
          <w:lang w:val="zh-CN"/>
        </w:rPr>
      </w:pPr>
      <w:r>
        <w:rPr>
          <w:rFonts w:hint="eastAsia" w:ascii="宋体" w:hAnsi="Courier New" w:eastAsia="宋体" w:cs="宋体"/>
          <w:spacing w:val="-6"/>
          <w:szCs w:val="21"/>
        </w:rPr>
        <w:t>2024年</w:t>
      </w:r>
      <w:r>
        <w:rPr>
          <w:rFonts w:ascii="宋体" w:hAnsi="Courier New" w:eastAsia="宋体" w:cs="宋体"/>
          <w:spacing w:val="-6"/>
          <w:szCs w:val="21"/>
        </w:rPr>
        <w:t xml:space="preserve">    月    日</w:t>
      </w:r>
    </w:p>
    <w:p w14:paraId="727373CA">
      <w:pPr>
        <w:snapToGrid w:val="0"/>
        <w:spacing w:line="288" w:lineRule="auto"/>
        <w:ind w:firstLine="420" w:firstLineChars="200"/>
        <w:jc w:val="center"/>
        <w:rPr>
          <w:rFonts w:hint="eastAsia" w:ascii="宋体" w:hAnsi="宋体" w:eastAsia="宋体" w:cs="Times New Roman"/>
          <w:b/>
          <w:spacing w:val="-6"/>
          <w:sz w:val="24"/>
          <w:szCs w:val="24"/>
        </w:rPr>
      </w:pPr>
      <w:r>
        <w:rPr>
          <w:rFonts w:ascii="宋体" w:hAnsi="宋体" w:eastAsia="宋体" w:cs="宋体"/>
          <w:szCs w:val="21"/>
          <w:lang w:val="zh-CN"/>
        </w:rPr>
        <w:br w:type="page"/>
      </w:r>
      <w:r>
        <w:rPr>
          <w:rFonts w:hint="eastAsia" w:ascii="宋体" w:hAnsi="宋体" w:eastAsia="宋体" w:cs="Times New Roman"/>
          <w:b/>
          <w:spacing w:val="-6"/>
          <w:sz w:val="24"/>
          <w:szCs w:val="24"/>
        </w:rPr>
        <w:t>浙江农林大学山地健康土壤培育子平台项目</w:t>
      </w:r>
      <w:r>
        <w:rPr>
          <w:rFonts w:ascii="宋体" w:hAnsi="宋体" w:eastAsia="宋体" w:cs="Times New Roman"/>
          <w:b/>
          <w:spacing w:val="-6"/>
          <w:sz w:val="24"/>
          <w:szCs w:val="24"/>
        </w:rPr>
        <w:t>合同</w:t>
      </w:r>
    </w:p>
    <w:p w14:paraId="522DF92E">
      <w:pPr>
        <w:snapToGrid w:val="0"/>
        <w:spacing w:line="288" w:lineRule="auto"/>
        <w:ind w:firstLine="458" w:firstLineChars="200"/>
        <w:jc w:val="center"/>
        <w:rPr>
          <w:rFonts w:hint="eastAsia" w:ascii="宋体" w:hAnsi="宋体" w:eastAsia="宋体" w:cs="Times New Roman"/>
          <w:b/>
          <w:spacing w:val="-6"/>
          <w:sz w:val="24"/>
          <w:szCs w:val="24"/>
        </w:rPr>
      </w:pPr>
      <w:r>
        <w:rPr>
          <w:rFonts w:hint="eastAsia" w:ascii="宋体" w:hAnsi="宋体" w:eastAsia="宋体" w:cs="Times New Roman"/>
          <w:b/>
          <w:spacing w:val="-6"/>
          <w:sz w:val="24"/>
          <w:szCs w:val="24"/>
        </w:rPr>
        <w:t>（进口合同）</w:t>
      </w:r>
    </w:p>
    <w:p w14:paraId="48BD29A9">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 xml:space="preserve">合同编号：           </w:t>
      </w:r>
    </w:p>
    <w:p w14:paraId="1BF40AF8">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 xml:space="preserve">采购编号：          </w:t>
      </w:r>
    </w:p>
    <w:p w14:paraId="7C558603">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确认书号：</w:t>
      </w:r>
    </w:p>
    <w:p w14:paraId="78030A96">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甲方：浙江农林大学</w:t>
      </w:r>
    </w:p>
    <w:p w14:paraId="27BA131B">
      <w:pPr>
        <w:spacing w:line="288" w:lineRule="auto"/>
        <w:ind w:firstLine="420" w:firstLineChars="200"/>
        <w:rPr>
          <w:rFonts w:hint="eastAsia" w:ascii="宋体" w:hAnsi="宋体" w:eastAsia="宋体" w:cs="宋体"/>
          <w:spacing w:val="-6"/>
          <w:szCs w:val="21"/>
        </w:rPr>
      </w:pPr>
      <w:r>
        <w:rPr>
          <w:rFonts w:hint="eastAsia" w:ascii="宋体" w:hAnsi="宋体" w:eastAsia="宋体" w:cs="宋体"/>
          <w:szCs w:val="21"/>
        </w:rPr>
        <w:t>乙方：</w:t>
      </w:r>
    </w:p>
    <w:p w14:paraId="287BBAF7">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采购代理机构：浙江求是招标代理有限公司</w:t>
      </w:r>
    </w:p>
    <w:p w14:paraId="2DC06C80">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签约时间、地点：2024年 月  日，浙江农林大学</w:t>
      </w:r>
    </w:p>
    <w:p w14:paraId="4A0F2B03">
      <w:pPr>
        <w:spacing w:line="288" w:lineRule="auto"/>
        <w:ind w:firstLine="420" w:firstLineChars="200"/>
        <w:rPr>
          <w:rFonts w:hint="eastAsia" w:ascii="宋体" w:hAnsi="宋体" w:eastAsia="宋体" w:cs="宋体"/>
          <w:spacing w:val="-6"/>
          <w:szCs w:val="21"/>
        </w:rPr>
      </w:pPr>
      <w:r>
        <w:rPr>
          <w:rFonts w:hint="eastAsia" w:ascii="宋体" w:hAnsi="宋体" w:eastAsia="宋体" w:cs="宋体"/>
          <w:szCs w:val="21"/>
        </w:rPr>
        <w:t>浙江求是招标代理有限公司受浙江农林大学委托公开招标浙江农林大学山地健康土壤培育子平台，经过招标，确定        为供货单位。经协商双方就本采购事项达成以下条款：</w:t>
      </w:r>
    </w:p>
    <w:p w14:paraId="42F1FAFD">
      <w:pPr>
        <w:spacing w:line="288" w:lineRule="auto"/>
        <w:ind w:firstLine="422" w:firstLineChars="200"/>
        <w:rPr>
          <w:rFonts w:hint="eastAsia" w:ascii="宋体" w:hAnsi="宋体" w:eastAsia="宋体" w:cs="宋体"/>
          <w:b/>
          <w:szCs w:val="21"/>
        </w:rPr>
      </w:pPr>
      <w:r>
        <w:rPr>
          <w:rFonts w:hint="eastAsia" w:ascii="宋体" w:hAnsi="宋体" w:eastAsia="宋体" w:cs="宋体"/>
          <w:b/>
          <w:szCs w:val="21"/>
        </w:rPr>
        <w:t>第一条：采购产品内容及合同价格</w:t>
      </w:r>
    </w:p>
    <w:tbl>
      <w:tblPr>
        <w:tblStyle w:val="24"/>
        <w:tblW w:w="93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843"/>
        <w:gridCol w:w="851"/>
        <w:gridCol w:w="992"/>
        <w:gridCol w:w="1131"/>
        <w:gridCol w:w="709"/>
        <w:gridCol w:w="853"/>
        <w:gridCol w:w="851"/>
        <w:gridCol w:w="850"/>
        <w:gridCol w:w="848"/>
        <w:gridCol w:w="13"/>
      </w:tblGrid>
      <w:tr w14:paraId="4BA8C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shd w:val="clear" w:color="auto" w:fill="auto"/>
            <w:vAlign w:val="center"/>
          </w:tcPr>
          <w:p w14:paraId="5836A123">
            <w:pPr>
              <w:spacing w:line="288" w:lineRule="auto"/>
              <w:jc w:val="center"/>
              <w:rPr>
                <w:rFonts w:hint="eastAsia" w:ascii="宋体" w:hAnsi="宋体" w:eastAsia="宋体" w:cs="Times New Roman"/>
                <w:b/>
                <w:sz w:val="22"/>
              </w:rPr>
            </w:pPr>
            <w:r>
              <w:rPr>
                <w:rFonts w:hint="eastAsia" w:ascii="宋体" w:hAnsi="宋体" w:eastAsia="宋体" w:cs="Times New Roman"/>
                <w:b/>
                <w:sz w:val="22"/>
              </w:rPr>
              <w:t>序号</w:t>
            </w:r>
          </w:p>
        </w:tc>
        <w:tc>
          <w:tcPr>
            <w:tcW w:w="1843" w:type="dxa"/>
            <w:shd w:val="clear" w:color="auto" w:fill="auto"/>
            <w:vAlign w:val="center"/>
          </w:tcPr>
          <w:p w14:paraId="42D0A4C4">
            <w:pPr>
              <w:spacing w:line="288" w:lineRule="auto"/>
              <w:jc w:val="center"/>
              <w:rPr>
                <w:rFonts w:hint="eastAsia" w:ascii="宋体" w:hAnsi="宋体" w:eastAsia="宋体" w:cs="Times New Roman"/>
                <w:b/>
                <w:sz w:val="22"/>
              </w:rPr>
            </w:pPr>
            <w:r>
              <w:rPr>
                <w:rFonts w:hint="eastAsia" w:ascii="宋体" w:hAnsi="宋体" w:eastAsia="宋体" w:cs="Times New Roman"/>
                <w:b/>
                <w:sz w:val="22"/>
              </w:rPr>
              <w:t>名称</w:t>
            </w:r>
          </w:p>
        </w:tc>
        <w:tc>
          <w:tcPr>
            <w:tcW w:w="851" w:type="dxa"/>
            <w:shd w:val="clear" w:color="auto" w:fill="auto"/>
            <w:vAlign w:val="center"/>
          </w:tcPr>
          <w:p w14:paraId="594DC001">
            <w:pPr>
              <w:spacing w:line="288" w:lineRule="auto"/>
              <w:jc w:val="center"/>
              <w:rPr>
                <w:rFonts w:hint="eastAsia" w:ascii="宋体" w:hAnsi="宋体" w:eastAsia="宋体" w:cs="Times New Roman"/>
                <w:b/>
                <w:sz w:val="22"/>
              </w:rPr>
            </w:pPr>
            <w:r>
              <w:rPr>
                <w:rFonts w:hint="eastAsia" w:ascii="宋体" w:hAnsi="宋体" w:eastAsia="宋体" w:cs="Times New Roman"/>
                <w:b/>
                <w:sz w:val="22"/>
              </w:rPr>
              <w:t>数量</w:t>
            </w:r>
          </w:p>
        </w:tc>
        <w:tc>
          <w:tcPr>
            <w:tcW w:w="992" w:type="dxa"/>
            <w:shd w:val="clear" w:color="auto" w:fill="auto"/>
            <w:vAlign w:val="center"/>
          </w:tcPr>
          <w:p w14:paraId="16CBC72C">
            <w:pPr>
              <w:spacing w:line="288" w:lineRule="auto"/>
              <w:jc w:val="center"/>
              <w:rPr>
                <w:rFonts w:hint="eastAsia" w:ascii="宋体" w:hAnsi="宋体" w:eastAsia="宋体" w:cs="Times New Roman"/>
                <w:b/>
                <w:sz w:val="22"/>
              </w:rPr>
            </w:pPr>
            <w:r>
              <w:rPr>
                <w:rFonts w:hint="eastAsia" w:ascii="宋体" w:hAnsi="宋体" w:eastAsia="宋体" w:cs="Times New Roman"/>
                <w:b/>
                <w:sz w:val="22"/>
              </w:rPr>
              <w:t>品牌</w:t>
            </w:r>
          </w:p>
        </w:tc>
        <w:tc>
          <w:tcPr>
            <w:tcW w:w="1131" w:type="dxa"/>
            <w:shd w:val="clear" w:color="auto" w:fill="auto"/>
            <w:vAlign w:val="center"/>
          </w:tcPr>
          <w:p w14:paraId="22A4B08A">
            <w:pPr>
              <w:spacing w:line="288" w:lineRule="auto"/>
              <w:jc w:val="center"/>
              <w:rPr>
                <w:rFonts w:hint="eastAsia" w:ascii="宋体" w:hAnsi="宋体" w:eastAsia="宋体" w:cs="Times New Roman"/>
                <w:b/>
                <w:sz w:val="22"/>
              </w:rPr>
            </w:pPr>
            <w:r>
              <w:rPr>
                <w:rFonts w:hint="eastAsia" w:ascii="宋体" w:hAnsi="宋体" w:eastAsia="宋体" w:cs="Times New Roman"/>
                <w:b/>
                <w:sz w:val="22"/>
              </w:rPr>
              <w:t>型号</w:t>
            </w:r>
          </w:p>
        </w:tc>
        <w:tc>
          <w:tcPr>
            <w:tcW w:w="709" w:type="dxa"/>
            <w:shd w:val="clear" w:color="auto" w:fill="auto"/>
            <w:vAlign w:val="center"/>
          </w:tcPr>
          <w:p w14:paraId="23155189">
            <w:pPr>
              <w:spacing w:line="288" w:lineRule="auto"/>
              <w:jc w:val="center"/>
              <w:textAlignment w:val="center"/>
              <w:rPr>
                <w:rFonts w:hint="eastAsia" w:ascii="宋体" w:hAnsi="宋体" w:eastAsia="宋体" w:cs="Times New Roman"/>
                <w:b/>
                <w:sz w:val="22"/>
              </w:rPr>
            </w:pPr>
            <w:r>
              <w:rPr>
                <w:rFonts w:hint="eastAsia" w:ascii="宋体" w:hAnsi="宋体" w:eastAsia="宋体" w:cs="Times New Roman"/>
                <w:b/>
                <w:kern w:val="0"/>
                <w:sz w:val="22"/>
              </w:rPr>
              <w:t>产地</w:t>
            </w:r>
          </w:p>
        </w:tc>
        <w:tc>
          <w:tcPr>
            <w:tcW w:w="853" w:type="dxa"/>
            <w:shd w:val="clear" w:color="auto" w:fill="auto"/>
            <w:vAlign w:val="center"/>
          </w:tcPr>
          <w:p w14:paraId="03E5BF7A">
            <w:pPr>
              <w:widowControl/>
              <w:spacing w:line="288" w:lineRule="auto"/>
              <w:jc w:val="center"/>
              <w:rPr>
                <w:rFonts w:ascii="宋体" w:hAnsi="Times New Roman" w:eastAsia="宋体" w:cs="Times New Roman"/>
                <w:b/>
                <w:sz w:val="22"/>
              </w:rPr>
            </w:pPr>
            <w:r>
              <w:rPr>
                <w:rFonts w:hint="eastAsia" w:ascii="宋体" w:hAnsi="Times New Roman" w:eastAsia="宋体" w:cs="Times New Roman"/>
                <w:b/>
                <w:sz w:val="22"/>
              </w:rPr>
              <w:t>美元单价</w:t>
            </w:r>
          </w:p>
        </w:tc>
        <w:tc>
          <w:tcPr>
            <w:tcW w:w="851" w:type="dxa"/>
            <w:shd w:val="clear" w:color="auto" w:fill="auto"/>
            <w:vAlign w:val="center"/>
          </w:tcPr>
          <w:p w14:paraId="1FEF6278">
            <w:pPr>
              <w:widowControl/>
              <w:spacing w:line="288" w:lineRule="auto"/>
              <w:jc w:val="center"/>
              <w:rPr>
                <w:rFonts w:ascii="宋体" w:hAnsi="Times New Roman" w:eastAsia="宋体" w:cs="Times New Roman"/>
                <w:b/>
                <w:sz w:val="22"/>
              </w:rPr>
            </w:pPr>
            <w:r>
              <w:rPr>
                <w:rFonts w:hint="eastAsia" w:ascii="宋体" w:hAnsi="Times New Roman" w:eastAsia="宋体" w:cs="Times New Roman"/>
                <w:b/>
                <w:sz w:val="22"/>
              </w:rPr>
              <w:t>美元小计</w:t>
            </w:r>
          </w:p>
        </w:tc>
        <w:tc>
          <w:tcPr>
            <w:tcW w:w="850" w:type="dxa"/>
            <w:shd w:val="clear" w:color="auto" w:fill="auto"/>
            <w:vAlign w:val="center"/>
          </w:tcPr>
          <w:p w14:paraId="3DA16372">
            <w:pPr>
              <w:widowControl/>
              <w:spacing w:line="288" w:lineRule="auto"/>
              <w:jc w:val="center"/>
              <w:rPr>
                <w:rFonts w:ascii="宋体" w:hAnsi="Times New Roman" w:eastAsia="宋体" w:cs="Times New Roman"/>
                <w:b/>
                <w:sz w:val="22"/>
              </w:rPr>
            </w:pPr>
            <w:r>
              <w:rPr>
                <w:rFonts w:hint="eastAsia" w:ascii="宋体" w:hAnsi="Times New Roman" w:eastAsia="宋体" w:cs="Times New Roman"/>
                <w:b/>
                <w:sz w:val="22"/>
              </w:rPr>
              <w:t>人民币单价</w:t>
            </w:r>
          </w:p>
        </w:tc>
        <w:tc>
          <w:tcPr>
            <w:tcW w:w="848" w:type="dxa"/>
            <w:shd w:val="clear" w:color="auto" w:fill="auto"/>
            <w:vAlign w:val="center"/>
          </w:tcPr>
          <w:p w14:paraId="7370DBAF">
            <w:pPr>
              <w:widowControl/>
              <w:spacing w:line="288" w:lineRule="auto"/>
              <w:jc w:val="center"/>
              <w:rPr>
                <w:rFonts w:ascii="宋体" w:hAnsi="Times New Roman" w:eastAsia="宋体" w:cs="Times New Roman"/>
                <w:b/>
                <w:sz w:val="22"/>
              </w:rPr>
            </w:pPr>
            <w:r>
              <w:rPr>
                <w:rFonts w:hint="eastAsia" w:ascii="宋体" w:hAnsi="Times New Roman" w:eastAsia="宋体" w:cs="Times New Roman"/>
                <w:b/>
                <w:sz w:val="22"/>
              </w:rPr>
              <w:t>人民币小计</w:t>
            </w:r>
          </w:p>
        </w:tc>
      </w:tr>
      <w:tr w14:paraId="1AB09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shd w:val="clear" w:color="auto" w:fill="auto"/>
            <w:vAlign w:val="center"/>
          </w:tcPr>
          <w:p w14:paraId="262E0067">
            <w:pPr>
              <w:spacing w:line="288" w:lineRule="auto"/>
              <w:jc w:val="center"/>
              <w:rPr>
                <w:rFonts w:hint="eastAsia" w:ascii="宋体" w:hAnsi="宋体" w:eastAsia="宋体" w:cs="Times New Roman"/>
                <w:b/>
                <w:szCs w:val="21"/>
              </w:rPr>
            </w:pPr>
            <w:r>
              <w:rPr>
                <w:rFonts w:hint="eastAsia" w:ascii="宋体" w:hAnsi="宋体" w:eastAsia="宋体" w:cs="Times New Roman"/>
                <w:bCs/>
                <w:szCs w:val="21"/>
              </w:rPr>
              <w:t>1</w:t>
            </w:r>
          </w:p>
        </w:tc>
        <w:tc>
          <w:tcPr>
            <w:tcW w:w="1843" w:type="dxa"/>
            <w:shd w:val="clear" w:color="auto" w:fill="auto"/>
            <w:vAlign w:val="center"/>
          </w:tcPr>
          <w:p w14:paraId="4DD23626">
            <w:pPr>
              <w:spacing w:line="288" w:lineRule="auto"/>
              <w:jc w:val="center"/>
              <w:rPr>
                <w:rFonts w:hint="eastAsia" w:ascii="宋体" w:hAnsi="宋体" w:eastAsia="宋体" w:cs="Times New Roman"/>
                <w:bCs/>
                <w:szCs w:val="21"/>
              </w:rPr>
            </w:pPr>
          </w:p>
        </w:tc>
        <w:tc>
          <w:tcPr>
            <w:tcW w:w="851" w:type="dxa"/>
            <w:shd w:val="clear" w:color="auto" w:fill="auto"/>
            <w:vAlign w:val="center"/>
          </w:tcPr>
          <w:p w14:paraId="14743BA1">
            <w:pPr>
              <w:spacing w:line="288" w:lineRule="auto"/>
              <w:jc w:val="center"/>
              <w:rPr>
                <w:rFonts w:hint="eastAsia" w:ascii="宋体" w:hAnsi="宋体" w:eastAsia="宋体" w:cs="Times New Roman"/>
                <w:b/>
                <w:szCs w:val="21"/>
              </w:rPr>
            </w:pPr>
          </w:p>
        </w:tc>
        <w:tc>
          <w:tcPr>
            <w:tcW w:w="992" w:type="dxa"/>
            <w:shd w:val="clear" w:color="auto" w:fill="auto"/>
            <w:vAlign w:val="center"/>
          </w:tcPr>
          <w:p w14:paraId="4A205193">
            <w:pPr>
              <w:spacing w:line="288" w:lineRule="auto"/>
              <w:jc w:val="center"/>
              <w:rPr>
                <w:rFonts w:hint="eastAsia" w:ascii="宋体" w:hAnsi="宋体" w:eastAsia="宋体" w:cs="Times New Roman"/>
                <w:b/>
                <w:szCs w:val="21"/>
              </w:rPr>
            </w:pPr>
          </w:p>
        </w:tc>
        <w:tc>
          <w:tcPr>
            <w:tcW w:w="1131" w:type="dxa"/>
            <w:shd w:val="clear" w:color="auto" w:fill="auto"/>
            <w:vAlign w:val="center"/>
          </w:tcPr>
          <w:p w14:paraId="54E6562F">
            <w:pPr>
              <w:spacing w:line="288" w:lineRule="auto"/>
              <w:jc w:val="left"/>
              <w:rPr>
                <w:rFonts w:hint="eastAsia" w:ascii="宋体" w:hAnsi="宋体" w:eastAsia="宋体" w:cs="Times New Roman"/>
                <w:bCs/>
                <w:szCs w:val="21"/>
              </w:rPr>
            </w:pPr>
          </w:p>
        </w:tc>
        <w:tc>
          <w:tcPr>
            <w:tcW w:w="709" w:type="dxa"/>
            <w:shd w:val="clear" w:color="auto" w:fill="auto"/>
            <w:vAlign w:val="center"/>
          </w:tcPr>
          <w:p w14:paraId="2385247D">
            <w:pPr>
              <w:spacing w:line="288" w:lineRule="auto"/>
              <w:jc w:val="left"/>
              <w:textAlignment w:val="center"/>
              <w:rPr>
                <w:rFonts w:hint="eastAsia" w:ascii="宋体" w:hAnsi="宋体" w:eastAsia="宋体" w:cs="Times New Roman"/>
                <w:bCs/>
                <w:kern w:val="0"/>
                <w:szCs w:val="21"/>
              </w:rPr>
            </w:pPr>
          </w:p>
        </w:tc>
        <w:tc>
          <w:tcPr>
            <w:tcW w:w="853" w:type="dxa"/>
            <w:shd w:val="clear" w:color="auto" w:fill="auto"/>
          </w:tcPr>
          <w:p w14:paraId="45D599F7">
            <w:pPr>
              <w:spacing w:line="288" w:lineRule="auto"/>
              <w:jc w:val="center"/>
              <w:rPr>
                <w:rFonts w:hint="eastAsia" w:ascii="宋体" w:hAnsi="宋体" w:eastAsia="宋体" w:cs="Times New Roman"/>
                <w:bCs/>
                <w:szCs w:val="21"/>
              </w:rPr>
            </w:pPr>
          </w:p>
        </w:tc>
        <w:tc>
          <w:tcPr>
            <w:tcW w:w="851" w:type="dxa"/>
            <w:shd w:val="clear" w:color="auto" w:fill="auto"/>
          </w:tcPr>
          <w:p w14:paraId="2E80684E">
            <w:pPr>
              <w:spacing w:line="288" w:lineRule="auto"/>
              <w:jc w:val="center"/>
              <w:rPr>
                <w:rFonts w:hint="eastAsia" w:ascii="宋体" w:hAnsi="宋体" w:eastAsia="宋体" w:cs="Times New Roman"/>
                <w:bCs/>
                <w:szCs w:val="21"/>
              </w:rPr>
            </w:pPr>
          </w:p>
        </w:tc>
        <w:tc>
          <w:tcPr>
            <w:tcW w:w="850" w:type="dxa"/>
            <w:shd w:val="clear" w:color="auto" w:fill="auto"/>
          </w:tcPr>
          <w:p w14:paraId="0F2E4E6F">
            <w:pPr>
              <w:spacing w:line="288" w:lineRule="auto"/>
              <w:jc w:val="center"/>
              <w:rPr>
                <w:rFonts w:hint="eastAsia" w:ascii="宋体" w:hAnsi="宋体" w:eastAsia="宋体" w:cs="Times New Roman"/>
                <w:bCs/>
                <w:szCs w:val="21"/>
              </w:rPr>
            </w:pPr>
          </w:p>
        </w:tc>
        <w:tc>
          <w:tcPr>
            <w:tcW w:w="848" w:type="dxa"/>
            <w:shd w:val="clear" w:color="auto" w:fill="auto"/>
          </w:tcPr>
          <w:p w14:paraId="7E83A07B">
            <w:pPr>
              <w:spacing w:line="288" w:lineRule="auto"/>
              <w:jc w:val="center"/>
              <w:rPr>
                <w:rFonts w:hint="eastAsia" w:ascii="宋体" w:hAnsi="宋体" w:eastAsia="宋体" w:cs="Times New Roman"/>
                <w:bCs/>
                <w:szCs w:val="21"/>
              </w:rPr>
            </w:pPr>
          </w:p>
        </w:tc>
      </w:tr>
      <w:tr w14:paraId="2F239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shd w:val="clear" w:color="auto" w:fill="auto"/>
            <w:vAlign w:val="center"/>
          </w:tcPr>
          <w:p w14:paraId="0477546B">
            <w:pPr>
              <w:spacing w:line="288" w:lineRule="auto"/>
              <w:jc w:val="center"/>
              <w:rPr>
                <w:rFonts w:hint="eastAsia" w:ascii="宋体" w:hAnsi="宋体" w:eastAsia="宋体" w:cs="Times New Roman"/>
                <w:b/>
                <w:szCs w:val="21"/>
              </w:rPr>
            </w:pPr>
            <w:r>
              <w:rPr>
                <w:rFonts w:hint="eastAsia" w:ascii="宋体" w:hAnsi="宋体" w:eastAsia="宋体" w:cs="Times New Roman"/>
                <w:bCs/>
                <w:szCs w:val="21"/>
              </w:rPr>
              <w:t>2</w:t>
            </w:r>
          </w:p>
        </w:tc>
        <w:tc>
          <w:tcPr>
            <w:tcW w:w="1843" w:type="dxa"/>
            <w:shd w:val="clear" w:color="auto" w:fill="auto"/>
            <w:vAlign w:val="center"/>
          </w:tcPr>
          <w:p w14:paraId="70EE4FDB">
            <w:pPr>
              <w:spacing w:line="288" w:lineRule="auto"/>
              <w:jc w:val="center"/>
              <w:rPr>
                <w:rFonts w:hint="eastAsia" w:ascii="宋体" w:hAnsi="宋体" w:eastAsia="宋体" w:cs="Times New Roman"/>
                <w:bCs/>
                <w:szCs w:val="21"/>
              </w:rPr>
            </w:pPr>
          </w:p>
        </w:tc>
        <w:tc>
          <w:tcPr>
            <w:tcW w:w="851" w:type="dxa"/>
            <w:shd w:val="clear" w:color="auto" w:fill="auto"/>
            <w:vAlign w:val="center"/>
          </w:tcPr>
          <w:p w14:paraId="017A6D3D">
            <w:pPr>
              <w:spacing w:line="288" w:lineRule="auto"/>
              <w:jc w:val="center"/>
              <w:rPr>
                <w:rFonts w:hint="eastAsia" w:ascii="宋体" w:hAnsi="宋体" w:eastAsia="宋体" w:cs="Times New Roman"/>
                <w:b/>
                <w:szCs w:val="21"/>
              </w:rPr>
            </w:pPr>
          </w:p>
        </w:tc>
        <w:tc>
          <w:tcPr>
            <w:tcW w:w="992" w:type="dxa"/>
            <w:shd w:val="clear" w:color="auto" w:fill="auto"/>
            <w:vAlign w:val="center"/>
          </w:tcPr>
          <w:p w14:paraId="50BD6732">
            <w:pPr>
              <w:spacing w:line="288" w:lineRule="auto"/>
              <w:jc w:val="center"/>
              <w:rPr>
                <w:rFonts w:hint="eastAsia" w:ascii="宋体" w:hAnsi="宋体" w:eastAsia="宋体" w:cs="Times New Roman"/>
                <w:b/>
                <w:szCs w:val="21"/>
              </w:rPr>
            </w:pPr>
          </w:p>
        </w:tc>
        <w:tc>
          <w:tcPr>
            <w:tcW w:w="1131" w:type="dxa"/>
            <w:shd w:val="clear" w:color="auto" w:fill="auto"/>
            <w:vAlign w:val="center"/>
          </w:tcPr>
          <w:p w14:paraId="0D2CBF30">
            <w:pPr>
              <w:spacing w:line="288" w:lineRule="auto"/>
              <w:jc w:val="left"/>
              <w:rPr>
                <w:rFonts w:hint="eastAsia" w:ascii="宋体" w:hAnsi="宋体" w:eastAsia="宋体" w:cs="Times New Roman"/>
                <w:bCs/>
                <w:szCs w:val="21"/>
              </w:rPr>
            </w:pPr>
          </w:p>
        </w:tc>
        <w:tc>
          <w:tcPr>
            <w:tcW w:w="709" w:type="dxa"/>
            <w:shd w:val="clear" w:color="auto" w:fill="auto"/>
            <w:vAlign w:val="center"/>
          </w:tcPr>
          <w:p w14:paraId="08AF4119">
            <w:pPr>
              <w:spacing w:line="288" w:lineRule="auto"/>
              <w:jc w:val="left"/>
              <w:textAlignment w:val="center"/>
              <w:rPr>
                <w:rFonts w:hint="eastAsia" w:ascii="宋体" w:hAnsi="宋体" w:eastAsia="宋体" w:cs="Times New Roman"/>
                <w:bCs/>
                <w:kern w:val="0"/>
                <w:szCs w:val="21"/>
              </w:rPr>
            </w:pPr>
          </w:p>
        </w:tc>
        <w:tc>
          <w:tcPr>
            <w:tcW w:w="853" w:type="dxa"/>
            <w:shd w:val="clear" w:color="auto" w:fill="auto"/>
          </w:tcPr>
          <w:p w14:paraId="46611973">
            <w:pPr>
              <w:spacing w:line="288" w:lineRule="auto"/>
              <w:jc w:val="center"/>
              <w:rPr>
                <w:rFonts w:hint="eastAsia" w:ascii="宋体" w:hAnsi="宋体" w:eastAsia="宋体" w:cs="Times New Roman"/>
                <w:bCs/>
                <w:szCs w:val="21"/>
              </w:rPr>
            </w:pPr>
          </w:p>
        </w:tc>
        <w:tc>
          <w:tcPr>
            <w:tcW w:w="851" w:type="dxa"/>
            <w:shd w:val="clear" w:color="auto" w:fill="auto"/>
          </w:tcPr>
          <w:p w14:paraId="161A218E">
            <w:pPr>
              <w:spacing w:line="288" w:lineRule="auto"/>
              <w:jc w:val="center"/>
              <w:rPr>
                <w:rFonts w:hint="eastAsia" w:ascii="宋体" w:hAnsi="宋体" w:eastAsia="宋体" w:cs="Times New Roman"/>
                <w:bCs/>
                <w:szCs w:val="21"/>
              </w:rPr>
            </w:pPr>
          </w:p>
        </w:tc>
        <w:tc>
          <w:tcPr>
            <w:tcW w:w="850" w:type="dxa"/>
            <w:shd w:val="clear" w:color="auto" w:fill="auto"/>
          </w:tcPr>
          <w:p w14:paraId="0385F0B9">
            <w:pPr>
              <w:spacing w:line="288" w:lineRule="auto"/>
              <w:jc w:val="center"/>
              <w:rPr>
                <w:rFonts w:hint="eastAsia" w:ascii="宋体" w:hAnsi="宋体" w:eastAsia="宋体" w:cs="Times New Roman"/>
                <w:bCs/>
                <w:szCs w:val="21"/>
              </w:rPr>
            </w:pPr>
          </w:p>
        </w:tc>
        <w:tc>
          <w:tcPr>
            <w:tcW w:w="848" w:type="dxa"/>
            <w:shd w:val="clear" w:color="auto" w:fill="auto"/>
          </w:tcPr>
          <w:p w14:paraId="44709C29">
            <w:pPr>
              <w:spacing w:line="288" w:lineRule="auto"/>
              <w:jc w:val="center"/>
              <w:rPr>
                <w:rFonts w:hint="eastAsia" w:ascii="宋体" w:hAnsi="宋体" w:eastAsia="宋体" w:cs="Times New Roman"/>
                <w:bCs/>
                <w:szCs w:val="21"/>
              </w:rPr>
            </w:pPr>
          </w:p>
        </w:tc>
      </w:tr>
      <w:tr w14:paraId="5DCAA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shd w:val="clear" w:color="auto" w:fill="auto"/>
            <w:vAlign w:val="center"/>
          </w:tcPr>
          <w:p w14:paraId="0390E00C">
            <w:pPr>
              <w:spacing w:line="288" w:lineRule="auto"/>
              <w:jc w:val="center"/>
              <w:rPr>
                <w:rFonts w:hint="eastAsia" w:ascii="宋体" w:hAnsi="宋体" w:eastAsia="宋体" w:cs="Times New Roman"/>
                <w:b/>
                <w:szCs w:val="21"/>
              </w:rPr>
            </w:pPr>
            <w:r>
              <w:rPr>
                <w:rFonts w:hint="eastAsia" w:ascii="宋体" w:hAnsi="宋体" w:eastAsia="宋体" w:cs="Times New Roman"/>
                <w:bCs/>
                <w:szCs w:val="21"/>
              </w:rPr>
              <w:t>3</w:t>
            </w:r>
          </w:p>
        </w:tc>
        <w:tc>
          <w:tcPr>
            <w:tcW w:w="1843" w:type="dxa"/>
            <w:shd w:val="clear" w:color="auto" w:fill="auto"/>
            <w:vAlign w:val="center"/>
          </w:tcPr>
          <w:p w14:paraId="67EFD199">
            <w:pPr>
              <w:spacing w:line="288" w:lineRule="auto"/>
              <w:jc w:val="center"/>
              <w:rPr>
                <w:rFonts w:hint="eastAsia" w:ascii="宋体" w:hAnsi="宋体" w:eastAsia="宋体" w:cs="Times New Roman"/>
                <w:bCs/>
                <w:szCs w:val="21"/>
              </w:rPr>
            </w:pPr>
          </w:p>
        </w:tc>
        <w:tc>
          <w:tcPr>
            <w:tcW w:w="851" w:type="dxa"/>
            <w:shd w:val="clear" w:color="auto" w:fill="auto"/>
            <w:vAlign w:val="center"/>
          </w:tcPr>
          <w:p w14:paraId="7648BEFC">
            <w:pPr>
              <w:spacing w:line="288" w:lineRule="auto"/>
              <w:jc w:val="center"/>
              <w:rPr>
                <w:rFonts w:hint="eastAsia" w:ascii="宋体" w:hAnsi="宋体" w:eastAsia="宋体" w:cs="Times New Roman"/>
                <w:b/>
                <w:szCs w:val="21"/>
              </w:rPr>
            </w:pPr>
          </w:p>
        </w:tc>
        <w:tc>
          <w:tcPr>
            <w:tcW w:w="992" w:type="dxa"/>
            <w:shd w:val="clear" w:color="auto" w:fill="auto"/>
            <w:vAlign w:val="center"/>
          </w:tcPr>
          <w:p w14:paraId="5FD3B2AB">
            <w:pPr>
              <w:spacing w:line="288" w:lineRule="auto"/>
              <w:jc w:val="center"/>
              <w:rPr>
                <w:rFonts w:hint="eastAsia" w:ascii="宋体" w:hAnsi="宋体" w:eastAsia="宋体" w:cs="Times New Roman"/>
                <w:b/>
                <w:szCs w:val="21"/>
              </w:rPr>
            </w:pPr>
          </w:p>
        </w:tc>
        <w:tc>
          <w:tcPr>
            <w:tcW w:w="1131" w:type="dxa"/>
            <w:shd w:val="clear" w:color="auto" w:fill="auto"/>
            <w:vAlign w:val="center"/>
          </w:tcPr>
          <w:p w14:paraId="577A4454">
            <w:pPr>
              <w:spacing w:line="288" w:lineRule="auto"/>
              <w:jc w:val="left"/>
              <w:rPr>
                <w:rFonts w:hint="eastAsia" w:ascii="宋体" w:hAnsi="宋体" w:eastAsia="宋体" w:cs="Times New Roman"/>
                <w:bCs/>
                <w:szCs w:val="21"/>
              </w:rPr>
            </w:pPr>
          </w:p>
        </w:tc>
        <w:tc>
          <w:tcPr>
            <w:tcW w:w="709" w:type="dxa"/>
            <w:shd w:val="clear" w:color="auto" w:fill="auto"/>
            <w:vAlign w:val="center"/>
          </w:tcPr>
          <w:p w14:paraId="089C2E2D">
            <w:pPr>
              <w:spacing w:line="288" w:lineRule="auto"/>
              <w:jc w:val="left"/>
              <w:textAlignment w:val="center"/>
              <w:rPr>
                <w:rFonts w:hint="eastAsia" w:ascii="宋体" w:hAnsi="宋体" w:eastAsia="宋体" w:cs="Times New Roman"/>
                <w:bCs/>
                <w:kern w:val="0"/>
                <w:szCs w:val="21"/>
              </w:rPr>
            </w:pPr>
          </w:p>
        </w:tc>
        <w:tc>
          <w:tcPr>
            <w:tcW w:w="853" w:type="dxa"/>
            <w:shd w:val="clear" w:color="auto" w:fill="auto"/>
          </w:tcPr>
          <w:p w14:paraId="6AA417C9">
            <w:pPr>
              <w:spacing w:line="288" w:lineRule="auto"/>
              <w:jc w:val="center"/>
              <w:rPr>
                <w:rFonts w:hint="eastAsia" w:ascii="宋体" w:hAnsi="宋体" w:eastAsia="宋体" w:cs="Times New Roman"/>
                <w:bCs/>
                <w:szCs w:val="21"/>
              </w:rPr>
            </w:pPr>
          </w:p>
        </w:tc>
        <w:tc>
          <w:tcPr>
            <w:tcW w:w="851" w:type="dxa"/>
            <w:shd w:val="clear" w:color="auto" w:fill="auto"/>
          </w:tcPr>
          <w:p w14:paraId="34317700">
            <w:pPr>
              <w:spacing w:line="288" w:lineRule="auto"/>
              <w:jc w:val="center"/>
              <w:rPr>
                <w:rFonts w:hint="eastAsia" w:ascii="宋体" w:hAnsi="宋体" w:eastAsia="宋体" w:cs="Times New Roman"/>
                <w:bCs/>
                <w:szCs w:val="21"/>
              </w:rPr>
            </w:pPr>
          </w:p>
        </w:tc>
        <w:tc>
          <w:tcPr>
            <w:tcW w:w="850" w:type="dxa"/>
            <w:shd w:val="clear" w:color="auto" w:fill="auto"/>
          </w:tcPr>
          <w:p w14:paraId="68AF13F0">
            <w:pPr>
              <w:spacing w:line="288" w:lineRule="auto"/>
              <w:jc w:val="center"/>
              <w:rPr>
                <w:rFonts w:hint="eastAsia" w:ascii="宋体" w:hAnsi="宋体" w:eastAsia="宋体" w:cs="Times New Roman"/>
                <w:bCs/>
                <w:szCs w:val="21"/>
              </w:rPr>
            </w:pPr>
          </w:p>
        </w:tc>
        <w:tc>
          <w:tcPr>
            <w:tcW w:w="848" w:type="dxa"/>
            <w:shd w:val="clear" w:color="auto" w:fill="auto"/>
          </w:tcPr>
          <w:p w14:paraId="1F9CCF55">
            <w:pPr>
              <w:spacing w:line="288" w:lineRule="auto"/>
              <w:jc w:val="center"/>
              <w:rPr>
                <w:rFonts w:hint="eastAsia" w:ascii="宋体" w:hAnsi="宋体" w:eastAsia="宋体" w:cs="Times New Roman"/>
                <w:bCs/>
                <w:szCs w:val="21"/>
              </w:rPr>
            </w:pPr>
          </w:p>
        </w:tc>
      </w:tr>
      <w:tr w14:paraId="36218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shd w:val="clear" w:color="auto" w:fill="auto"/>
            <w:vAlign w:val="center"/>
          </w:tcPr>
          <w:p w14:paraId="4381D95E">
            <w:pPr>
              <w:spacing w:line="288" w:lineRule="auto"/>
              <w:jc w:val="center"/>
              <w:rPr>
                <w:rFonts w:hint="eastAsia" w:ascii="宋体" w:hAnsi="宋体" w:eastAsia="宋体" w:cs="Times New Roman"/>
                <w:b/>
                <w:szCs w:val="21"/>
              </w:rPr>
            </w:pPr>
            <w:r>
              <w:rPr>
                <w:rFonts w:hint="eastAsia" w:ascii="宋体" w:hAnsi="宋体" w:eastAsia="宋体" w:cs="Times New Roman"/>
                <w:bCs/>
                <w:szCs w:val="21"/>
              </w:rPr>
              <w:t>4</w:t>
            </w:r>
          </w:p>
        </w:tc>
        <w:tc>
          <w:tcPr>
            <w:tcW w:w="1843" w:type="dxa"/>
            <w:shd w:val="clear" w:color="auto" w:fill="auto"/>
            <w:vAlign w:val="center"/>
          </w:tcPr>
          <w:p w14:paraId="677CBACC">
            <w:pPr>
              <w:spacing w:line="288" w:lineRule="auto"/>
              <w:jc w:val="center"/>
              <w:rPr>
                <w:rFonts w:hint="eastAsia" w:ascii="宋体" w:hAnsi="宋体" w:eastAsia="宋体" w:cs="Times New Roman"/>
                <w:bCs/>
                <w:szCs w:val="21"/>
              </w:rPr>
            </w:pPr>
          </w:p>
        </w:tc>
        <w:tc>
          <w:tcPr>
            <w:tcW w:w="851" w:type="dxa"/>
            <w:shd w:val="clear" w:color="auto" w:fill="auto"/>
            <w:vAlign w:val="center"/>
          </w:tcPr>
          <w:p w14:paraId="3717012C">
            <w:pPr>
              <w:spacing w:line="288" w:lineRule="auto"/>
              <w:jc w:val="center"/>
              <w:rPr>
                <w:rFonts w:hint="eastAsia" w:ascii="宋体" w:hAnsi="宋体" w:eastAsia="宋体" w:cs="Times New Roman"/>
                <w:b/>
                <w:szCs w:val="21"/>
              </w:rPr>
            </w:pPr>
          </w:p>
        </w:tc>
        <w:tc>
          <w:tcPr>
            <w:tcW w:w="992" w:type="dxa"/>
            <w:shd w:val="clear" w:color="auto" w:fill="auto"/>
            <w:vAlign w:val="center"/>
          </w:tcPr>
          <w:p w14:paraId="0894BF64">
            <w:pPr>
              <w:spacing w:line="288" w:lineRule="auto"/>
              <w:jc w:val="center"/>
              <w:rPr>
                <w:rFonts w:hint="eastAsia" w:ascii="宋体" w:hAnsi="宋体" w:eastAsia="宋体" w:cs="Times New Roman"/>
                <w:b/>
                <w:szCs w:val="21"/>
              </w:rPr>
            </w:pPr>
          </w:p>
        </w:tc>
        <w:tc>
          <w:tcPr>
            <w:tcW w:w="1131" w:type="dxa"/>
            <w:shd w:val="clear" w:color="auto" w:fill="auto"/>
            <w:vAlign w:val="center"/>
          </w:tcPr>
          <w:p w14:paraId="4D7F20F7">
            <w:pPr>
              <w:spacing w:line="288" w:lineRule="auto"/>
              <w:jc w:val="left"/>
              <w:rPr>
                <w:rFonts w:hint="eastAsia" w:ascii="宋体" w:hAnsi="宋体" w:eastAsia="宋体" w:cs="Times New Roman"/>
                <w:bCs/>
                <w:szCs w:val="21"/>
              </w:rPr>
            </w:pPr>
          </w:p>
        </w:tc>
        <w:tc>
          <w:tcPr>
            <w:tcW w:w="709" w:type="dxa"/>
            <w:shd w:val="clear" w:color="auto" w:fill="auto"/>
            <w:vAlign w:val="center"/>
          </w:tcPr>
          <w:p w14:paraId="21208211">
            <w:pPr>
              <w:spacing w:line="288" w:lineRule="auto"/>
              <w:jc w:val="left"/>
              <w:textAlignment w:val="center"/>
              <w:rPr>
                <w:rFonts w:hint="eastAsia" w:ascii="宋体" w:hAnsi="宋体" w:eastAsia="宋体" w:cs="Times New Roman"/>
                <w:bCs/>
                <w:kern w:val="0"/>
                <w:szCs w:val="21"/>
              </w:rPr>
            </w:pPr>
          </w:p>
        </w:tc>
        <w:tc>
          <w:tcPr>
            <w:tcW w:w="853" w:type="dxa"/>
            <w:shd w:val="clear" w:color="auto" w:fill="auto"/>
          </w:tcPr>
          <w:p w14:paraId="772A93F3">
            <w:pPr>
              <w:spacing w:line="288" w:lineRule="auto"/>
              <w:jc w:val="center"/>
              <w:rPr>
                <w:rFonts w:hint="eastAsia" w:ascii="宋体" w:hAnsi="宋体" w:eastAsia="宋体" w:cs="Times New Roman"/>
                <w:bCs/>
                <w:szCs w:val="21"/>
              </w:rPr>
            </w:pPr>
          </w:p>
        </w:tc>
        <w:tc>
          <w:tcPr>
            <w:tcW w:w="851" w:type="dxa"/>
            <w:shd w:val="clear" w:color="auto" w:fill="auto"/>
          </w:tcPr>
          <w:p w14:paraId="377ABFF3">
            <w:pPr>
              <w:spacing w:line="288" w:lineRule="auto"/>
              <w:jc w:val="center"/>
              <w:rPr>
                <w:rFonts w:hint="eastAsia" w:ascii="宋体" w:hAnsi="宋体" w:eastAsia="宋体" w:cs="Times New Roman"/>
                <w:bCs/>
                <w:szCs w:val="21"/>
              </w:rPr>
            </w:pPr>
          </w:p>
        </w:tc>
        <w:tc>
          <w:tcPr>
            <w:tcW w:w="850" w:type="dxa"/>
            <w:shd w:val="clear" w:color="auto" w:fill="auto"/>
          </w:tcPr>
          <w:p w14:paraId="7B228BB0">
            <w:pPr>
              <w:spacing w:line="288" w:lineRule="auto"/>
              <w:jc w:val="center"/>
              <w:rPr>
                <w:rFonts w:hint="eastAsia" w:ascii="宋体" w:hAnsi="宋体" w:eastAsia="宋体" w:cs="Times New Roman"/>
                <w:bCs/>
                <w:szCs w:val="21"/>
              </w:rPr>
            </w:pPr>
          </w:p>
        </w:tc>
        <w:tc>
          <w:tcPr>
            <w:tcW w:w="848" w:type="dxa"/>
            <w:shd w:val="clear" w:color="auto" w:fill="auto"/>
          </w:tcPr>
          <w:p w14:paraId="7755EAE7">
            <w:pPr>
              <w:spacing w:line="288" w:lineRule="auto"/>
              <w:jc w:val="center"/>
              <w:rPr>
                <w:rFonts w:hint="eastAsia" w:ascii="宋体" w:hAnsi="宋体" w:eastAsia="宋体" w:cs="Times New Roman"/>
                <w:bCs/>
                <w:szCs w:val="21"/>
              </w:rPr>
            </w:pPr>
          </w:p>
        </w:tc>
      </w:tr>
      <w:tr w14:paraId="69DA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shd w:val="clear" w:color="auto" w:fill="auto"/>
            <w:vAlign w:val="center"/>
          </w:tcPr>
          <w:p w14:paraId="3F09450D">
            <w:pPr>
              <w:spacing w:line="288" w:lineRule="auto"/>
              <w:jc w:val="center"/>
              <w:rPr>
                <w:rFonts w:hint="eastAsia" w:ascii="宋体" w:hAnsi="宋体" w:eastAsia="宋体" w:cs="Times New Roman"/>
                <w:b/>
                <w:szCs w:val="21"/>
              </w:rPr>
            </w:pPr>
            <w:r>
              <w:rPr>
                <w:rFonts w:hint="eastAsia" w:ascii="宋体" w:hAnsi="宋体" w:eastAsia="宋体" w:cs="Times New Roman"/>
                <w:bCs/>
                <w:szCs w:val="21"/>
              </w:rPr>
              <w:t>5</w:t>
            </w:r>
          </w:p>
        </w:tc>
        <w:tc>
          <w:tcPr>
            <w:tcW w:w="1843" w:type="dxa"/>
            <w:shd w:val="clear" w:color="auto" w:fill="auto"/>
            <w:vAlign w:val="center"/>
          </w:tcPr>
          <w:p w14:paraId="61AAC702">
            <w:pPr>
              <w:spacing w:line="288" w:lineRule="auto"/>
              <w:jc w:val="center"/>
              <w:rPr>
                <w:rFonts w:hint="eastAsia" w:ascii="宋体" w:hAnsi="宋体" w:eastAsia="宋体" w:cs="Times New Roman"/>
                <w:bCs/>
                <w:szCs w:val="21"/>
              </w:rPr>
            </w:pPr>
          </w:p>
        </w:tc>
        <w:tc>
          <w:tcPr>
            <w:tcW w:w="851" w:type="dxa"/>
            <w:shd w:val="clear" w:color="auto" w:fill="auto"/>
            <w:vAlign w:val="center"/>
          </w:tcPr>
          <w:p w14:paraId="6FA175E9">
            <w:pPr>
              <w:spacing w:line="288" w:lineRule="auto"/>
              <w:jc w:val="center"/>
              <w:rPr>
                <w:rFonts w:hint="eastAsia" w:ascii="宋体" w:hAnsi="宋体" w:eastAsia="宋体" w:cs="Times New Roman"/>
                <w:b/>
                <w:szCs w:val="21"/>
              </w:rPr>
            </w:pPr>
          </w:p>
        </w:tc>
        <w:tc>
          <w:tcPr>
            <w:tcW w:w="992" w:type="dxa"/>
            <w:shd w:val="clear" w:color="auto" w:fill="auto"/>
            <w:vAlign w:val="center"/>
          </w:tcPr>
          <w:p w14:paraId="203551D9">
            <w:pPr>
              <w:spacing w:line="288" w:lineRule="auto"/>
              <w:jc w:val="center"/>
              <w:rPr>
                <w:rFonts w:hint="eastAsia" w:ascii="宋体" w:hAnsi="宋体" w:eastAsia="宋体" w:cs="Times New Roman"/>
                <w:b/>
                <w:szCs w:val="21"/>
              </w:rPr>
            </w:pPr>
          </w:p>
        </w:tc>
        <w:tc>
          <w:tcPr>
            <w:tcW w:w="1131" w:type="dxa"/>
            <w:shd w:val="clear" w:color="auto" w:fill="auto"/>
            <w:vAlign w:val="center"/>
          </w:tcPr>
          <w:p w14:paraId="3891C261">
            <w:pPr>
              <w:spacing w:line="288" w:lineRule="auto"/>
              <w:jc w:val="left"/>
              <w:rPr>
                <w:rFonts w:hint="eastAsia" w:ascii="宋体" w:hAnsi="宋体" w:eastAsia="宋体" w:cs="Times New Roman"/>
                <w:bCs/>
                <w:szCs w:val="21"/>
              </w:rPr>
            </w:pPr>
          </w:p>
        </w:tc>
        <w:tc>
          <w:tcPr>
            <w:tcW w:w="709" w:type="dxa"/>
            <w:shd w:val="clear" w:color="auto" w:fill="auto"/>
            <w:vAlign w:val="center"/>
          </w:tcPr>
          <w:p w14:paraId="4ADAE731">
            <w:pPr>
              <w:spacing w:line="288" w:lineRule="auto"/>
              <w:jc w:val="left"/>
              <w:textAlignment w:val="center"/>
              <w:rPr>
                <w:rFonts w:hint="eastAsia" w:ascii="宋体" w:hAnsi="宋体" w:eastAsia="宋体" w:cs="Times New Roman"/>
                <w:bCs/>
                <w:kern w:val="0"/>
                <w:szCs w:val="21"/>
              </w:rPr>
            </w:pPr>
          </w:p>
        </w:tc>
        <w:tc>
          <w:tcPr>
            <w:tcW w:w="853" w:type="dxa"/>
            <w:shd w:val="clear" w:color="auto" w:fill="auto"/>
          </w:tcPr>
          <w:p w14:paraId="4AE4287A">
            <w:pPr>
              <w:spacing w:line="288" w:lineRule="auto"/>
              <w:jc w:val="center"/>
              <w:rPr>
                <w:rFonts w:hint="eastAsia" w:ascii="宋体" w:hAnsi="宋体" w:eastAsia="宋体" w:cs="Times New Roman"/>
                <w:bCs/>
                <w:szCs w:val="21"/>
              </w:rPr>
            </w:pPr>
          </w:p>
        </w:tc>
        <w:tc>
          <w:tcPr>
            <w:tcW w:w="851" w:type="dxa"/>
            <w:shd w:val="clear" w:color="auto" w:fill="auto"/>
          </w:tcPr>
          <w:p w14:paraId="2DF1BCD1">
            <w:pPr>
              <w:spacing w:line="288" w:lineRule="auto"/>
              <w:jc w:val="center"/>
              <w:rPr>
                <w:rFonts w:hint="eastAsia" w:ascii="宋体" w:hAnsi="宋体" w:eastAsia="宋体" w:cs="Times New Roman"/>
                <w:bCs/>
                <w:szCs w:val="21"/>
              </w:rPr>
            </w:pPr>
          </w:p>
        </w:tc>
        <w:tc>
          <w:tcPr>
            <w:tcW w:w="850" w:type="dxa"/>
            <w:shd w:val="clear" w:color="auto" w:fill="auto"/>
          </w:tcPr>
          <w:p w14:paraId="2DE5785E">
            <w:pPr>
              <w:spacing w:line="288" w:lineRule="auto"/>
              <w:jc w:val="center"/>
              <w:rPr>
                <w:rFonts w:hint="eastAsia" w:ascii="宋体" w:hAnsi="宋体" w:eastAsia="宋体" w:cs="Times New Roman"/>
                <w:bCs/>
                <w:szCs w:val="21"/>
              </w:rPr>
            </w:pPr>
          </w:p>
        </w:tc>
        <w:tc>
          <w:tcPr>
            <w:tcW w:w="848" w:type="dxa"/>
            <w:shd w:val="clear" w:color="auto" w:fill="auto"/>
          </w:tcPr>
          <w:p w14:paraId="57476AD7">
            <w:pPr>
              <w:spacing w:line="288" w:lineRule="auto"/>
              <w:jc w:val="center"/>
              <w:rPr>
                <w:rFonts w:hint="eastAsia" w:ascii="宋体" w:hAnsi="宋体" w:eastAsia="宋体" w:cs="Times New Roman"/>
                <w:bCs/>
                <w:szCs w:val="21"/>
              </w:rPr>
            </w:pPr>
          </w:p>
        </w:tc>
      </w:tr>
      <w:tr w14:paraId="1AFDE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shd w:val="clear" w:color="auto" w:fill="auto"/>
            <w:vAlign w:val="center"/>
          </w:tcPr>
          <w:p w14:paraId="0228340E">
            <w:pPr>
              <w:spacing w:line="288" w:lineRule="auto"/>
              <w:jc w:val="center"/>
              <w:rPr>
                <w:rFonts w:hint="eastAsia" w:ascii="宋体" w:hAnsi="宋体" w:eastAsia="宋体" w:cs="Times New Roman"/>
                <w:b/>
                <w:szCs w:val="21"/>
              </w:rPr>
            </w:pPr>
            <w:r>
              <w:rPr>
                <w:rFonts w:hint="eastAsia" w:ascii="宋体" w:hAnsi="宋体" w:eastAsia="宋体" w:cs="Times New Roman"/>
                <w:bCs/>
                <w:szCs w:val="21"/>
              </w:rPr>
              <w:t>6</w:t>
            </w:r>
          </w:p>
        </w:tc>
        <w:tc>
          <w:tcPr>
            <w:tcW w:w="1843" w:type="dxa"/>
            <w:shd w:val="clear" w:color="auto" w:fill="auto"/>
            <w:vAlign w:val="center"/>
          </w:tcPr>
          <w:p w14:paraId="5B61ACAA">
            <w:pPr>
              <w:spacing w:line="288" w:lineRule="auto"/>
              <w:jc w:val="center"/>
              <w:rPr>
                <w:rFonts w:hint="eastAsia" w:ascii="宋体" w:hAnsi="宋体" w:eastAsia="宋体" w:cs="Times New Roman"/>
                <w:bCs/>
                <w:szCs w:val="21"/>
              </w:rPr>
            </w:pPr>
          </w:p>
        </w:tc>
        <w:tc>
          <w:tcPr>
            <w:tcW w:w="851" w:type="dxa"/>
            <w:shd w:val="clear" w:color="auto" w:fill="auto"/>
            <w:vAlign w:val="center"/>
          </w:tcPr>
          <w:p w14:paraId="4D29DCB6">
            <w:pPr>
              <w:spacing w:line="288" w:lineRule="auto"/>
              <w:jc w:val="center"/>
              <w:rPr>
                <w:rFonts w:hint="eastAsia" w:ascii="宋体" w:hAnsi="宋体" w:eastAsia="宋体" w:cs="Times New Roman"/>
                <w:b/>
                <w:szCs w:val="21"/>
              </w:rPr>
            </w:pPr>
          </w:p>
        </w:tc>
        <w:tc>
          <w:tcPr>
            <w:tcW w:w="992" w:type="dxa"/>
            <w:shd w:val="clear" w:color="auto" w:fill="auto"/>
            <w:vAlign w:val="center"/>
          </w:tcPr>
          <w:p w14:paraId="5A0512A0">
            <w:pPr>
              <w:spacing w:line="288" w:lineRule="auto"/>
              <w:jc w:val="center"/>
              <w:rPr>
                <w:rFonts w:hint="eastAsia" w:ascii="宋体" w:hAnsi="宋体" w:eastAsia="宋体" w:cs="Times New Roman"/>
                <w:b/>
                <w:szCs w:val="21"/>
              </w:rPr>
            </w:pPr>
          </w:p>
        </w:tc>
        <w:tc>
          <w:tcPr>
            <w:tcW w:w="1131" w:type="dxa"/>
            <w:shd w:val="clear" w:color="auto" w:fill="auto"/>
            <w:vAlign w:val="center"/>
          </w:tcPr>
          <w:p w14:paraId="0FA85C2B">
            <w:pPr>
              <w:spacing w:line="288" w:lineRule="auto"/>
              <w:jc w:val="left"/>
              <w:rPr>
                <w:rFonts w:hint="eastAsia" w:ascii="宋体" w:hAnsi="宋体" w:eastAsia="宋体" w:cs="Times New Roman"/>
                <w:bCs/>
                <w:szCs w:val="21"/>
              </w:rPr>
            </w:pPr>
          </w:p>
        </w:tc>
        <w:tc>
          <w:tcPr>
            <w:tcW w:w="709" w:type="dxa"/>
            <w:shd w:val="clear" w:color="auto" w:fill="auto"/>
            <w:vAlign w:val="center"/>
          </w:tcPr>
          <w:p w14:paraId="48E4A182">
            <w:pPr>
              <w:spacing w:line="288" w:lineRule="auto"/>
              <w:jc w:val="left"/>
              <w:textAlignment w:val="center"/>
              <w:rPr>
                <w:rFonts w:hint="eastAsia" w:ascii="宋体" w:hAnsi="宋体" w:eastAsia="宋体" w:cs="Times New Roman"/>
                <w:bCs/>
                <w:kern w:val="0"/>
                <w:szCs w:val="21"/>
              </w:rPr>
            </w:pPr>
          </w:p>
        </w:tc>
        <w:tc>
          <w:tcPr>
            <w:tcW w:w="853" w:type="dxa"/>
            <w:shd w:val="clear" w:color="auto" w:fill="auto"/>
          </w:tcPr>
          <w:p w14:paraId="0614C16F">
            <w:pPr>
              <w:spacing w:line="288" w:lineRule="auto"/>
              <w:jc w:val="center"/>
              <w:rPr>
                <w:rFonts w:hint="eastAsia" w:ascii="宋体" w:hAnsi="宋体" w:eastAsia="宋体" w:cs="Times New Roman"/>
                <w:bCs/>
                <w:szCs w:val="21"/>
              </w:rPr>
            </w:pPr>
          </w:p>
        </w:tc>
        <w:tc>
          <w:tcPr>
            <w:tcW w:w="851" w:type="dxa"/>
            <w:shd w:val="clear" w:color="auto" w:fill="auto"/>
          </w:tcPr>
          <w:p w14:paraId="654D848E">
            <w:pPr>
              <w:spacing w:line="288" w:lineRule="auto"/>
              <w:jc w:val="center"/>
              <w:rPr>
                <w:rFonts w:hint="eastAsia" w:ascii="宋体" w:hAnsi="宋体" w:eastAsia="宋体" w:cs="Times New Roman"/>
                <w:bCs/>
                <w:szCs w:val="21"/>
              </w:rPr>
            </w:pPr>
          </w:p>
        </w:tc>
        <w:tc>
          <w:tcPr>
            <w:tcW w:w="850" w:type="dxa"/>
            <w:shd w:val="clear" w:color="auto" w:fill="auto"/>
          </w:tcPr>
          <w:p w14:paraId="69E3357E">
            <w:pPr>
              <w:spacing w:line="288" w:lineRule="auto"/>
              <w:jc w:val="center"/>
              <w:rPr>
                <w:rFonts w:hint="eastAsia" w:ascii="宋体" w:hAnsi="宋体" w:eastAsia="宋体" w:cs="Times New Roman"/>
                <w:bCs/>
                <w:szCs w:val="21"/>
              </w:rPr>
            </w:pPr>
          </w:p>
        </w:tc>
        <w:tc>
          <w:tcPr>
            <w:tcW w:w="848" w:type="dxa"/>
            <w:shd w:val="clear" w:color="auto" w:fill="auto"/>
          </w:tcPr>
          <w:p w14:paraId="4C8810EB">
            <w:pPr>
              <w:spacing w:line="288" w:lineRule="auto"/>
              <w:jc w:val="center"/>
              <w:rPr>
                <w:rFonts w:hint="eastAsia" w:ascii="宋体" w:hAnsi="宋体" w:eastAsia="宋体" w:cs="Times New Roman"/>
                <w:bCs/>
                <w:szCs w:val="21"/>
              </w:rPr>
            </w:pPr>
          </w:p>
        </w:tc>
      </w:tr>
      <w:tr w14:paraId="7060B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25" w:type="dxa"/>
            <w:vAlign w:val="center"/>
          </w:tcPr>
          <w:p w14:paraId="18C6E584">
            <w:pPr>
              <w:spacing w:line="288" w:lineRule="auto"/>
              <w:jc w:val="center"/>
              <w:rPr>
                <w:rFonts w:hint="eastAsia" w:ascii="宋体" w:hAnsi="宋体" w:eastAsia="宋体" w:cs="Times New Roman"/>
                <w:bCs/>
                <w:szCs w:val="21"/>
              </w:rPr>
            </w:pPr>
            <w:r>
              <w:rPr>
                <w:rFonts w:hint="eastAsia" w:ascii="宋体" w:hAnsi="宋体" w:eastAsia="宋体" w:cs="Times New Roman"/>
                <w:bCs/>
                <w:szCs w:val="21"/>
              </w:rPr>
              <w:t>合计</w:t>
            </w:r>
          </w:p>
        </w:tc>
        <w:tc>
          <w:tcPr>
            <w:tcW w:w="8941" w:type="dxa"/>
            <w:gridSpan w:val="10"/>
            <w:vAlign w:val="center"/>
          </w:tcPr>
          <w:p w14:paraId="215FB99E">
            <w:pPr>
              <w:widowControl/>
              <w:spacing w:line="288" w:lineRule="auto"/>
              <w:jc w:val="left"/>
              <w:rPr>
                <w:rFonts w:ascii="宋体" w:hAnsi="Times New Roman" w:eastAsia="宋体" w:cs="Times New Roman"/>
                <w:bCs/>
                <w:sz w:val="22"/>
              </w:rPr>
            </w:pPr>
            <w:r>
              <w:rPr>
                <w:rFonts w:hint="eastAsia" w:ascii="宋体" w:hAnsi="Times New Roman" w:eastAsia="宋体" w:cs="Times New Roman"/>
                <w:bCs/>
                <w:sz w:val="22"/>
              </w:rPr>
              <w:t>人民币大写：                                      小写：</w:t>
            </w:r>
          </w:p>
        </w:tc>
      </w:tr>
    </w:tbl>
    <w:p w14:paraId="48BAF1FF">
      <w:pPr>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注：1</w:t>
      </w:r>
      <w:r>
        <w:rPr>
          <w:rFonts w:hint="eastAsia" w:ascii="宋体" w:hAnsi="宋体" w:eastAsia="宋体" w:cs="宋体"/>
          <w:spacing w:val="-6"/>
          <w:szCs w:val="21"/>
        </w:rPr>
        <w:t>.</w:t>
      </w:r>
      <w:r>
        <w:rPr>
          <w:rFonts w:hint="eastAsia" w:ascii="宋体" w:hAnsi="宋体" w:eastAsia="宋体" w:cs="宋体"/>
          <w:szCs w:val="21"/>
        </w:rPr>
        <w:t>详细配置清单详见投标文件和承诺表。</w:t>
      </w:r>
    </w:p>
    <w:p w14:paraId="46E2AD83">
      <w:pPr>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pacing w:val="-6"/>
          <w:szCs w:val="21"/>
        </w:rPr>
        <w:t>.</w:t>
      </w:r>
      <w:r>
        <w:rPr>
          <w:rFonts w:hint="eastAsia" w:ascii="宋体" w:hAnsi="宋体" w:eastAsia="宋体" w:cs="宋体"/>
          <w:szCs w:val="21"/>
        </w:rPr>
        <w:t>以上合同总价包括将货物运抵浙江农林大学校区指定地点的运费及安装调试等一切费用。</w:t>
      </w:r>
    </w:p>
    <w:p w14:paraId="01274752">
      <w:pPr>
        <w:snapToGrid w:val="0"/>
        <w:spacing w:line="288" w:lineRule="auto"/>
        <w:ind w:firstLine="398" w:firstLineChars="200"/>
        <w:rPr>
          <w:rFonts w:hint="eastAsia" w:ascii="宋体" w:hAnsi="宋体" w:eastAsia="宋体" w:cs="宋体"/>
          <w:b/>
          <w:spacing w:val="-6"/>
          <w:szCs w:val="21"/>
        </w:rPr>
      </w:pPr>
      <w:r>
        <w:rPr>
          <w:rFonts w:hint="eastAsia" w:ascii="宋体" w:hAnsi="宋体" w:eastAsia="宋体" w:cs="宋体"/>
          <w:b/>
          <w:spacing w:val="-6"/>
          <w:szCs w:val="21"/>
        </w:rPr>
        <w:t>第二条：质量保证及售后服务</w:t>
      </w:r>
    </w:p>
    <w:p w14:paraId="5AE7C843">
      <w:pPr>
        <w:snapToGrid w:val="0"/>
        <w:spacing w:line="28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1.乙方应按公开招标文件规定的货物性能、技术要求、质量标准向甲方提供未经使用的全新产品，符合国家法律规定和技术规格、质量标准的出厂原装合格产品；进口商品是获得国家商检局颁布安全许可证的出厂原装合格产品。</w:t>
      </w:r>
    </w:p>
    <w:p w14:paraId="08FAAA61">
      <w:pPr>
        <w:snapToGrid w:val="0"/>
        <w:spacing w:line="28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2.乙方提供的货物在质保期内因货物本身的质量问题发生故障，乙方应负责免费更换。对达不到技术要求者，根据实际情况，经双方协商，可按以下办法处理：</w:t>
      </w:r>
    </w:p>
    <w:p w14:paraId="136709BB">
      <w:pPr>
        <w:snapToGrid w:val="0"/>
        <w:spacing w:line="28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⑴更换：由乙方承担所发生的全部费用。</w:t>
      </w:r>
    </w:p>
    <w:p w14:paraId="72ED1123">
      <w:pPr>
        <w:snapToGrid w:val="0"/>
        <w:spacing w:line="28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⑵贬值处理：由甲乙双方合议定价。</w:t>
      </w:r>
    </w:p>
    <w:p w14:paraId="0BB7737D">
      <w:pPr>
        <w:snapToGrid w:val="0"/>
        <w:spacing w:line="28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⑶退货处理：乙方应退还甲方支付的合同款，同时应承担该货物的直接费用（运输、保险、检验、货款利息及银行手续费等）。</w:t>
      </w:r>
    </w:p>
    <w:p w14:paraId="17D63AFC">
      <w:pPr>
        <w:snapToGrid w:val="0"/>
        <w:spacing w:line="28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3.在质保期内，乙方应对货物出现的质量及安全问题负责处理解决并承担一切费用。</w:t>
      </w:r>
    </w:p>
    <w:p w14:paraId="0C8D9BC2">
      <w:pPr>
        <w:snapToGrid w:val="0"/>
        <w:spacing w:line="28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4.上述的货物中</w:t>
      </w:r>
      <w:r>
        <w:rPr>
          <w:rFonts w:hint="eastAsia" w:ascii="宋体" w:hAnsi="宋体" w:eastAsia="宋体" w:cs="Times New Roman"/>
          <w:spacing w:val="-6"/>
          <w:szCs w:val="21"/>
        </w:rPr>
        <w:t>设备厂商免费质保期</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年，从交货验收合格之日起计算，且在保修期内每年对仪器进行一次全面检查、维护，并出具正式报告</w:t>
      </w:r>
      <w:r>
        <w:rPr>
          <w:rFonts w:hint="eastAsia" w:ascii="宋体" w:hAnsi="宋体" w:eastAsia="宋体" w:cs="宋体"/>
          <w:spacing w:val="-6"/>
          <w:szCs w:val="21"/>
        </w:rPr>
        <w:t>。质保期满后，仅收取零配件成本费用，免人工费、差旅费，所涉及软件终身免费升级。</w:t>
      </w:r>
      <w:r>
        <w:rPr>
          <w:rFonts w:hint="eastAsia" w:ascii="宋体" w:hAnsi="宋体" w:eastAsia="宋体" w:cs="Times New Roman"/>
          <w:szCs w:val="21"/>
        </w:rPr>
        <w:t>如在使用过程中发生质量问题，乙方维修响应时间：1小时以内；电话技术支持时间：2小时以内；若需上门维修，则在24小时内到达现场并进行维修；不超过2个工作日解决故障。质保期内，乙方须提供每年至少2次的上门服务，服务内容包括但不限于设备巡检等。</w:t>
      </w:r>
      <w:r>
        <w:rPr>
          <w:rFonts w:hint="eastAsia" w:ascii="宋体" w:hAnsi="宋体" w:eastAsia="宋体" w:cs="宋体"/>
          <w:spacing w:val="-6"/>
          <w:szCs w:val="21"/>
        </w:rPr>
        <w:t>保修期后，乙方继续为甲方服务，仅收取零配件成本费。保修内出现无法排除的故障，乙方需无条件为甲方更换同型号产品。因人为因素出现的故障不在免费保修范围内。其余保修条款详见投标文件和承诺表。</w:t>
      </w:r>
    </w:p>
    <w:p w14:paraId="10A18E59">
      <w:pPr>
        <w:snapToGrid w:val="0"/>
        <w:spacing w:line="28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5.项目验收合格之日起5年内，乙方应提供一次设备免费搬迁服务。</w:t>
      </w:r>
    </w:p>
    <w:p w14:paraId="20DE93AC">
      <w:pPr>
        <w:snapToGrid w:val="0"/>
        <w:spacing w:line="288" w:lineRule="auto"/>
        <w:ind w:firstLine="398" w:firstLineChars="200"/>
        <w:rPr>
          <w:rFonts w:hint="eastAsia" w:ascii="宋体" w:hAnsi="宋体" w:eastAsia="宋体" w:cs="宋体"/>
          <w:b/>
          <w:spacing w:val="-6"/>
          <w:szCs w:val="21"/>
        </w:rPr>
      </w:pPr>
      <w:r>
        <w:rPr>
          <w:rFonts w:hint="eastAsia" w:ascii="宋体" w:hAnsi="宋体" w:eastAsia="宋体" w:cs="宋体"/>
          <w:b/>
          <w:spacing w:val="-6"/>
          <w:szCs w:val="21"/>
        </w:rPr>
        <w:t>第三条：技术资料</w:t>
      </w:r>
    </w:p>
    <w:p w14:paraId="15D3EED3">
      <w:pPr>
        <w:snapToGrid w:val="0"/>
        <w:spacing w:line="28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1.乙方应按公开招标文件规定的时间向甲方提供使用货物的有关技术资料。</w:t>
      </w:r>
    </w:p>
    <w:p w14:paraId="7E7DD71C">
      <w:pPr>
        <w:snapToGrid w:val="0"/>
        <w:spacing w:line="28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CB251CC">
      <w:pPr>
        <w:snapToGrid w:val="0"/>
        <w:spacing w:line="288" w:lineRule="auto"/>
        <w:ind w:firstLine="398" w:firstLineChars="200"/>
        <w:rPr>
          <w:rFonts w:hint="eastAsia" w:ascii="宋体" w:hAnsi="宋体" w:eastAsia="宋体" w:cs="宋体"/>
          <w:b/>
          <w:spacing w:val="-6"/>
          <w:szCs w:val="21"/>
        </w:rPr>
      </w:pPr>
      <w:r>
        <w:rPr>
          <w:rFonts w:hint="eastAsia" w:ascii="宋体" w:hAnsi="宋体" w:eastAsia="宋体" w:cs="宋体"/>
          <w:b/>
          <w:spacing w:val="-6"/>
          <w:szCs w:val="21"/>
        </w:rPr>
        <w:t>第四条：知识产权</w:t>
      </w:r>
    </w:p>
    <w:p w14:paraId="1FF8C612">
      <w:pPr>
        <w:snapToGrid w:val="0"/>
        <w:spacing w:line="28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乙方应保证所提供的货物或其任何一部分均不会侵犯任何第三方的知识产权。</w:t>
      </w:r>
    </w:p>
    <w:p w14:paraId="25D3548B">
      <w:pPr>
        <w:snapToGrid w:val="0"/>
        <w:spacing w:line="288" w:lineRule="auto"/>
        <w:ind w:firstLine="398" w:firstLineChars="200"/>
        <w:rPr>
          <w:rFonts w:hint="eastAsia" w:ascii="宋体" w:hAnsi="宋体" w:eastAsia="宋体" w:cs="宋体"/>
          <w:b/>
          <w:spacing w:val="-6"/>
          <w:szCs w:val="21"/>
        </w:rPr>
      </w:pPr>
      <w:r>
        <w:rPr>
          <w:rFonts w:hint="eastAsia" w:ascii="宋体" w:hAnsi="宋体" w:eastAsia="宋体" w:cs="宋体"/>
          <w:b/>
          <w:spacing w:val="-6"/>
          <w:szCs w:val="21"/>
        </w:rPr>
        <w:t>第五条：交货时间、地点</w:t>
      </w:r>
    </w:p>
    <w:p w14:paraId="375F0E38">
      <w:pPr>
        <w:snapToGrid w:val="0"/>
        <w:spacing w:line="28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乙</w:t>
      </w:r>
      <w:r>
        <w:rPr>
          <w:rFonts w:hint="eastAsia" w:ascii="宋体" w:hAnsi="宋体" w:eastAsia="宋体" w:cs="宋体"/>
          <w:szCs w:val="21"/>
        </w:rPr>
        <w:t>方应于</w:t>
      </w:r>
      <w:r>
        <w:rPr>
          <w:rFonts w:hint="eastAsia" w:ascii="宋体" w:hAnsi="宋体" w:eastAsia="宋体" w:cs="宋体"/>
          <w:bCs/>
          <w:szCs w:val="21"/>
        </w:rPr>
        <w:t>合同签订、免表办理完成后    日内交付并安装完毕。</w:t>
      </w:r>
    </w:p>
    <w:p w14:paraId="54B15D40">
      <w:pPr>
        <w:numPr>
          <w:ilvl w:val="0"/>
          <w:numId w:val="2"/>
        </w:numPr>
        <w:snapToGrid w:val="0"/>
        <w:spacing w:line="288" w:lineRule="auto"/>
        <w:ind w:firstLine="398" w:firstLineChars="200"/>
        <w:rPr>
          <w:rFonts w:hint="eastAsia" w:ascii="宋体" w:hAnsi="宋体" w:eastAsia="宋体" w:cs="宋体"/>
          <w:b/>
          <w:spacing w:val="-6"/>
          <w:szCs w:val="21"/>
        </w:rPr>
      </w:pPr>
      <w:r>
        <w:rPr>
          <w:rFonts w:hint="eastAsia" w:ascii="宋体" w:hAnsi="宋体" w:eastAsia="宋体" w:cs="宋体"/>
          <w:b/>
          <w:spacing w:val="-6"/>
          <w:szCs w:val="21"/>
        </w:rPr>
        <w:t>：培训、安装调试与验收</w:t>
      </w:r>
    </w:p>
    <w:p w14:paraId="33533119">
      <w:pPr>
        <w:autoSpaceDE w:val="0"/>
        <w:autoSpaceDN w:val="0"/>
        <w:adjustRightInd w:val="0"/>
        <w:snapToGrid w:val="0"/>
        <w:spacing w:line="288"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1.培训：</w:t>
      </w:r>
    </w:p>
    <w:p w14:paraId="198F658D">
      <w:pPr>
        <w:autoSpaceDE w:val="0"/>
        <w:autoSpaceDN w:val="0"/>
        <w:adjustRightInd w:val="0"/>
        <w:snapToGrid w:val="0"/>
        <w:spacing w:line="288"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1.1 乙方应对甲方的操作人员、维修人员免费进行培训。</w:t>
      </w:r>
    </w:p>
    <w:p w14:paraId="2D37810E">
      <w:pPr>
        <w:autoSpaceDE w:val="0"/>
        <w:autoSpaceDN w:val="0"/>
        <w:adjustRightInd w:val="0"/>
        <w:snapToGrid w:val="0"/>
        <w:spacing w:line="288"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1.2 乙方应提供相应的培训计划。</w:t>
      </w:r>
    </w:p>
    <w:p w14:paraId="455EBDB8">
      <w:pPr>
        <w:autoSpaceDE w:val="0"/>
        <w:autoSpaceDN w:val="0"/>
        <w:adjustRightInd w:val="0"/>
        <w:snapToGrid w:val="0"/>
        <w:spacing w:line="288"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1.3 乙方应对上述内容的实现方式、地点、人数、时间在投标文件中详细说明。</w:t>
      </w:r>
    </w:p>
    <w:p w14:paraId="5EA10832">
      <w:pPr>
        <w:autoSpaceDE w:val="0"/>
        <w:autoSpaceDN w:val="0"/>
        <w:adjustRightInd w:val="0"/>
        <w:snapToGrid w:val="0"/>
        <w:spacing w:line="288"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2.技术支持：</w:t>
      </w:r>
    </w:p>
    <w:p w14:paraId="62C44386">
      <w:pPr>
        <w:autoSpaceDE w:val="0"/>
        <w:autoSpaceDN w:val="0"/>
        <w:adjustRightInd w:val="0"/>
        <w:snapToGrid w:val="0"/>
        <w:spacing w:line="288"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乙方应及时免费提供合同货物软件的升级，免费提供合同货物新功能和应用的资料。</w:t>
      </w:r>
    </w:p>
    <w:p w14:paraId="1E5F51F6">
      <w:pPr>
        <w:autoSpaceDE w:val="0"/>
        <w:autoSpaceDN w:val="0"/>
        <w:adjustRightInd w:val="0"/>
        <w:snapToGrid w:val="0"/>
        <w:spacing w:line="288"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3.安装调试（若需要安装调试）：乙方在规定时间内安装、调试仪器，费用由乙方承担。</w:t>
      </w:r>
    </w:p>
    <w:p w14:paraId="49D7FB85">
      <w:pPr>
        <w:autoSpaceDE w:val="0"/>
        <w:autoSpaceDN w:val="0"/>
        <w:adjustRightInd w:val="0"/>
        <w:snapToGrid w:val="0"/>
        <w:spacing w:line="288"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3.1 安装地点：甲方指定地点。</w:t>
      </w:r>
    </w:p>
    <w:p w14:paraId="7DD8FD25">
      <w:pPr>
        <w:autoSpaceDE w:val="0"/>
        <w:autoSpaceDN w:val="0"/>
        <w:adjustRightInd w:val="0"/>
        <w:snapToGrid w:val="0"/>
        <w:spacing w:line="288"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3.2 安装完成时间：接到甲方通知后在7日内完成安装和调试，如在规定的时间内由于乙方的原因不能完成安装和调试，乙方应承担由此给甲方造成的损失。</w:t>
      </w:r>
    </w:p>
    <w:p w14:paraId="087480DC">
      <w:pPr>
        <w:autoSpaceDE w:val="0"/>
        <w:autoSpaceDN w:val="0"/>
        <w:adjustRightInd w:val="0"/>
        <w:snapToGrid w:val="0"/>
        <w:spacing w:line="288"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3.3 安装标准：符合我国国家有关技术规范要求和技术标准，所有的软件和硬件必须保证同时安装到位。</w:t>
      </w:r>
    </w:p>
    <w:p w14:paraId="78803AAE">
      <w:pPr>
        <w:autoSpaceDE w:val="0"/>
        <w:autoSpaceDN w:val="0"/>
        <w:adjustRightInd w:val="0"/>
        <w:snapToGrid w:val="0"/>
        <w:spacing w:line="288"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3.4 乙方免费提供合同货物的安装服务。</w:t>
      </w:r>
    </w:p>
    <w:p w14:paraId="6A581F58">
      <w:pPr>
        <w:autoSpaceDE w:val="0"/>
        <w:autoSpaceDN w:val="0"/>
        <w:adjustRightInd w:val="0"/>
        <w:snapToGrid w:val="0"/>
        <w:spacing w:line="288"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3.5 乙方在投标文件中应提供安装调试计划、对安装场地和环境的要求。</w:t>
      </w:r>
    </w:p>
    <w:p w14:paraId="51B74FCE">
      <w:pPr>
        <w:autoSpaceDE w:val="0"/>
        <w:autoSpaceDN w:val="0"/>
        <w:adjustRightInd w:val="0"/>
        <w:snapToGrid w:val="0"/>
        <w:spacing w:line="288"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4.甲方对乙方提交的货物依据公开招标文件上的技术规格要求和国家有关质量标准进行现场初步验收，外观、说明书符合公开招标文件技术要求的，给予签收，初步验收不合格的不予签收。</w:t>
      </w:r>
    </w:p>
    <w:p w14:paraId="007D6DB4">
      <w:pPr>
        <w:autoSpaceDE w:val="0"/>
        <w:autoSpaceDN w:val="0"/>
        <w:adjustRightInd w:val="0"/>
        <w:snapToGrid w:val="0"/>
        <w:spacing w:line="288"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5.乙方应提供合同货物的有效检验文件，经甲方认可后，与合同的性能指标一起作为合同货物验收标准。甲方对样品（如有）验收合格后，双方共同签署验收样品合格证书，在合同期限内甲方将对乙方提供的货物进行抽检验收，验收中发现合同货物达不到样品验收标准或合同规定的性能指标，乙方必须更换合同货物，并负担由此给甲方造成的损失，直到验收合格为止。</w:t>
      </w:r>
    </w:p>
    <w:p w14:paraId="66E63A07">
      <w:pPr>
        <w:autoSpaceDE w:val="0"/>
        <w:autoSpaceDN w:val="0"/>
        <w:adjustRightInd w:val="0"/>
        <w:snapToGrid w:val="0"/>
        <w:spacing w:line="288"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6.乙方应于投标文件中提供合同货物的验收标准和检测办法，并在验收中提供甲方认可的相应检测手段，验收标准应符合中国有关的国家、地方、行业的标准，如若中标，经甲方确认后作为验收的依据，乙方交货前应对产品作出全面检查和对验收文件进行整理，并列出清单，作为甲方收货验收和使用的技术条件依据，检验的结果应随货物交甲方。</w:t>
      </w:r>
    </w:p>
    <w:p w14:paraId="294CFBC2">
      <w:pPr>
        <w:autoSpaceDE w:val="0"/>
        <w:autoSpaceDN w:val="0"/>
        <w:adjustRightInd w:val="0"/>
        <w:snapToGrid w:val="0"/>
        <w:spacing w:line="288"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7.如乙方委托国内代理（或其他机构）负责安装或配合安装，应在签约时指明，但乙方仍要对合同货物及其安装质量负全部责任。</w:t>
      </w:r>
    </w:p>
    <w:p w14:paraId="0962FEEC">
      <w:pPr>
        <w:autoSpaceDE w:val="0"/>
        <w:autoSpaceDN w:val="0"/>
        <w:adjustRightInd w:val="0"/>
        <w:snapToGrid w:val="0"/>
        <w:spacing w:line="288"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8.甲方对乙方提供的货物在使用前进行调试时，乙方需负责安装并培训甲方的使用操作人员，并协助甲方一起调试，直到符合技术要求，甲方才做最终验收。</w:t>
      </w:r>
    </w:p>
    <w:p w14:paraId="35DA551D">
      <w:pPr>
        <w:autoSpaceDE w:val="0"/>
        <w:autoSpaceDN w:val="0"/>
        <w:adjustRightInd w:val="0"/>
        <w:snapToGrid w:val="0"/>
        <w:spacing w:line="288"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9.对技术复杂的货物，甲方应请国家认可的专业检测机构参与初步验收及最终验收，并由其出具质量检测报告。</w:t>
      </w:r>
    </w:p>
    <w:p w14:paraId="140007EA">
      <w:pPr>
        <w:autoSpaceDE w:val="0"/>
        <w:autoSpaceDN w:val="0"/>
        <w:adjustRightInd w:val="0"/>
        <w:snapToGrid w:val="0"/>
        <w:spacing w:line="288"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10.验收时乙方必须在现场，验收完毕后作出验收结果报告。</w:t>
      </w:r>
    </w:p>
    <w:p w14:paraId="603C4F55">
      <w:pPr>
        <w:autoSpaceDE w:val="0"/>
        <w:autoSpaceDN w:val="0"/>
        <w:adjustRightInd w:val="0"/>
        <w:snapToGrid w:val="0"/>
        <w:spacing w:line="288"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11.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14:paraId="04BC59FB">
      <w:pPr>
        <w:snapToGrid w:val="0"/>
        <w:spacing w:line="288" w:lineRule="auto"/>
        <w:ind w:firstLine="398" w:firstLineChars="200"/>
        <w:rPr>
          <w:rFonts w:hint="eastAsia" w:ascii="宋体" w:hAnsi="宋体" w:eastAsia="宋体" w:cs="宋体"/>
          <w:b/>
          <w:spacing w:val="-6"/>
          <w:szCs w:val="21"/>
        </w:rPr>
      </w:pPr>
      <w:r>
        <w:rPr>
          <w:rFonts w:hint="eastAsia" w:ascii="宋体" w:hAnsi="宋体" w:eastAsia="宋体" w:cs="宋体"/>
          <w:b/>
          <w:spacing w:val="-6"/>
          <w:szCs w:val="21"/>
        </w:rPr>
        <w:t>第七条：货款的支付</w:t>
      </w:r>
    </w:p>
    <w:p w14:paraId="48D4AD74">
      <w:pPr>
        <w:autoSpaceDE w:val="0"/>
        <w:autoSpaceDN w:val="0"/>
        <w:adjustRightInd w:val="0"/>
        <w:snapToGrid w:val="0"/>
        <w:spacing w:line="288"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1.合同签订后一周内，乙方向甲方提交合同总价1%的履约保证金，履约保证金在合同履约期间无违约情形的，项目验收结束后，于一周内退还（不计息）；</w:t>
      </w:r>
    </w:p>
    <w:p w14:paraId="220F089E">
      <w:pPr>
        <w:autoSpaceDE w:val="0"/>
        <w:autoSpaceDN w:val="0"/>
        <w:adjustRightInd w:val="0"/>
        <w:snapToGrid w:val="0"/>
        <w:spacing w:line="288"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2.提交方式：支票、汇票、本票或金融机构、担保机构出具的保函等非现金形式。</w:t>
      </w:r>
    </w:p>
    <w:p w14:paraId="35CA6832">
      <w:pPr>
        <w:autoSpaceDE w:val="0"/>
        <w:autoSpaceDN w:val="0"/>
        <w:adjustRightInd w:val="0"/>
        <w:snapToGrid w:val="0"/>
        <w:spacing w:line="288"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3.货款的支付详见委托进口代理协议。</w:t>
      </w:r>
    </w:p>
    <w:p w14:paraId="310C14FD">
      <w:pPr>
        <w:snapToGrid w:val="0"/>
        <w:spacing w:line="288" w:lineRule="auto"/>
        <w:ind w:firstLine="398" w:firstLineChars="200"/>
        <w:rPr>
          <w:rFonts w:hint="eastAsia" w:ascii="宋体" w:hAnsi="宋体" w:eastAsia="宋体" w:cs="宋体"/>
          <w:b/>
          <w:spacing w:val="-6"/>
          <w:szCs w:val="21"/>
        </w:rPr>
      </w:pPr>
      <w:r>
        <w:rPr>
          <w:rFonts w:hint="eastAsia" w:ascii="宋体" w:hAnsi="宋体" w:eastAsia="宋体" w:cs="宋体"/>
          <w:b/>
          <w:spacing w:val="-6"/>
          <w:szCs w:val="21"/>
        </w:rPr>
        <w:t>第八条：违约责任</w:t>
      </w:r>
    </w:p>
    <w:p w14:paraId="378E0B0C">
      <w:pPr>
        <w:snapToGrid w:val="0"/>
        <w:spacing w:line="28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1.乙方逾期履行合同的，自逾期之日起，向甲方每日偿付合同总价千分之五的滞纳金。</w:t>
      </w:r>
    </w:p>
    <w:p w14:paraId="5F4A9CBB">
      <w:pPr>
        <w:snapToGrid w:val="0"/>
        <w:spacing w:line="28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2.甲方逾期支付货款的，自逾期之日起，向乙方每日偿付未付价款千分之五的滞纳金。</w:t>
      </w:r>
    </w:p>
    <w:p w14:paraId="4C6B95D0">
      <w:pPr>
        <w:snapToGrid w:val="0"/>
        <w:spacing w:line="28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3.如验收不能达到质量功能（性能）标准，应及时处理直至验收合格，所需费用由乙方承担。如二次验收不合格，甲方有权退货，甲方在此期间保留对乙方的索赔权利。</w:t>
      </w:r>
    </w:p>
    <w:p w14:paraId="565F2B45">
      <w:pPr>
        <w:snapToGrid w:val="0"/>
        <w:spacing w:line="28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4.乙方所交的货物品种、型号、规格、技术参数、质量不符合合同规定及公开招标文件规定标准的，甲方有权拒收该货物，乙方愿意更换货物但逾期交货的，按乙方逾期交货处理。乙方拒绝更换货物的，甲方可单方面解除合同。</w:t>
      </w:r>
    </w:p>
    <w:p w14:paraId="1C0BE6B0">
      <w:pPr>
        <w:snapToGrid w:val="0"/>
        <w:spacing w:line="288" w:lineRule="auto"/>
        <w:ind w:firstLine="398" w:firstLineChars="200"/>
        <w:rPr>
          <w:rFonts w:hint="eastAsia" w:ascii="宋体" w:hAnsi="宋体" w:eastAsia="宋体" w:cs="宋体"/>
          <w:b/>
          <w:spacing w:val="-6"/>
          <w:szCs w:val="21"/>
        </w:rPr>
      </w:pPr>
      <w:r>
        <w:rPr>
          <w:rFonts w:hint="eastAsia" w:ascii="宋体" w:hAnsi="宋体" w:eastAsia="宋体" w:cs="宋体"/>
          <w:b/>
          <w:spacing w:val="-6"/>
          <w:szCs w:val="21"/>
        </w:rPr>
        <w:t>第九条：不可抗力事件处理</w:t>
      </w:r>
    </w:p>
    <w:p w14:paraId="0F9DA1A4">
      <w:pPr>
        <w:snapToGrid w:val="0"/>
        <w:spacing w:line="28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1.在合同有效期内，任何一方因不可抗力事件导致不能履行合同，则合同履行期可延长，其延长期与不可抗力影响期相同。</w:t>
      </w:r>
    </w:p>
    <w:p w14:paraId="2D4ED0CB">
      <w:pPr>
        <w:snapToGrid w:val="0"/>
        <w:spacing w:line="28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2.不可抗力事件发生后，应立即通知对方，并寄送有关权威机构出具的证明。</w:t>
      </w:r>
    </w:p>
    <w:p w14:paraId="43ACC8C6">
      <w:pPr>
        <w:snapToGrid w:val="0"/>
        <w:spacing w:line="28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3.不可抗力事件延续120天以上，双方应通过友好协商，确定是否继续履行合同。</w:t>
      </w:r>
    </w:p>
    <w:p w14:paraId="569F2347">
      <w:pPr>
        <w:snapToGrid w:val="0"/>
        <w:spacing w:line="288" w:lineRule="auto"/>
        <w:ind w:firstLine="398" w:firstLineChars="200"/>
        <w:rPr>
          <w:rFonts w:hint="eastAsia" w:ascii="宋体" w:hAnsi="宋体" w:eastAsia="宋体" w:cs="宋体"/>
          <w:b/>
          <w:spacing w:val="-6"/>
          <w:szCs w:val="21"/>
        </w:rPr>
      </w:pPr>
      <w:r>
        <w:rPr>
          <w:rFonts w:hint="eastAsia" w:ascii="宋体" w:hAnsi="宋体" w:eastAsia="宋体" w:cs="宋体"/>
          <w:b/>
          <w:spacing w:val="-6"/>
          <w:szCs w:val="21"/>
        </w:rPr>
        <w:t>第十条：争议解决</w:t>
      </w:r>
    </w:p>
    <w:p w14:paraId="32194258">
      <w:pPr>
        <w:snapToGrid w:val="0"/>
        <w:spacing w:line="28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本合同未尽事宜由三方协商解决，如协商不成，三方同意将本合同引起的争议提交杭州仲裁委员会仲裁解决，仲裁为终局。</w:t>
      </w:r>
    </w:p>
    <w:p w14:paraId="0E1304DC">
      <w:pPr>
        <w:snapToGrid w:val="0"/>
        <w:spacing w:line="288" w:lineRule="auto"/>
        <w:ind w:firstLine="398" w:firstLineChars="200"/>
        <w:rPr>
          <w:rFonts w:hint="eastAsia" w:ascii="宋体" w:hAnsi="宋体" w:eastAsia="宋体" w:cs="宋体"/>
          <w:b/>
          <w:spacing w:val="-6"/>
          <w:szCs w:val="21"/>
        </w:rPr>
      </w:pPr>
      <w:r>
        <w:rPr>
          <w:rFonts w:hint="eastAsia" w:ascii="宋体" w:hAnsi="宋体" w:eastAsia="宋体" w:cs="宋体"/>
          <w:b/>
          <w:spacing w:val="-6"/>
          <w:szCs w:val="21"/>
        </w:rPr>
        <w:t>第十一条：合同生效</w:t>
      </w:r>
    </w:p>
    <w:p w14:paraId="0AAE2C10">
      <w:pPr>
        <w:snapToGrid w:val="0"/>
        <w:spacing w:line="28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1.合同经双方法定代表人或授权代表签字并加盖单位公章后生效。</w:t>
      </w:r>
    </w:p>
    <w:p w14:paraId="56DD27DF">
      <w:pPr>
        <w:snapToGrid w:val="0"/>
        <w:spacing w:line="28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2.合同执行中涉及采购资金和采购内容修改或补充的，须经财政部门审批，并签书面补充协议报政府采购监督管理部门备案，方可作为主合同不可分割的一部分。</w:t>
      </w:r>
    </w:p>
    <w:p w14:paraId="7D4F697A">
      <w:pPr>
        <w:snapToGrid w:val="0"/>
        <w:spacing w:line="28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3.本合同未尽事宜，遵照《民法典》有关条文执行。</w:t>
      </w:r>
    </w:p>
    <w:p w14:paraId="6A8E7ADC">
      <w:pPr>
        <w:snapToGrid w:val="0"/>
        <w:spacing w:line="28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4.本合同一式柒份，乙方、采购代理机构各执壹份，甲方执伍份，经三方签字、盖公章并在乙方履约保证金到帐后生效。</w:t>
      </w:r>
    </w:p>
    <w:p w14:paraId="770C2867">
      <w:pPr>
        <w:snapToGrid w:val="0"/>
        <w:spacing w:line="28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5.相关招标文件、投标文件、询标承诺等与本合同具有同等法律效力。,</w:t>
      </w:r>
    </w:p>
    <w:p w14:paraId="2876F97F">
      <w:pPr>
        <w:spacing w:line="288" w:lineRule="auto"/>
        <w:ind w:firstLine="422" w:firstLineChars="200"/>
        <w:rPr>
          <w:rFonts w:hint="eastAsia" w:ascii="宋体" w:hAnsi="宋体" w:eastAsia="宋体" w:cs="宋体"/>
          <w:b/>
          <w:kern w:val="1"/>
          <w:szCs w:val="21"/>
        </w:rPr>
      </w:pPr>
    </w:p>
    <w:p w14:paraId="774E3D33">
      <w:pPr>
        <w:spacing w:line="288" w:lineRule="auto"/>
        <w:ind w:firstLine="422" w:firstLineChars="200"/>
        <w:rPr>
          <w:rFonts w:hint="eastAsia" w:ascii="宋体" w:hAnsi="宋体" w:eastAsia="宋体" w:cs="宋体"/>
          <w:bCs/>
          <w:kern w:val="1"/>
          <w:szCs w:val="21"/>
        </w:rPr>
      </w:pPr>
      <w:r>
        <w:rPr>
          <w:rFonts w:hint="eastAsia" w:ascii="宋体" w:hAnsi="宋体" w:eastAsia="宋体" w:cs="宋体"/>
          <w:b/>
          <w:kern w:val="1"/>
          <w:szCs w:val="21"/>
        </w:rPr>
        <w:t>甲方（盖章）</w:t>
      </w:r>
      <w:r>
        <w:rPr>
          <w:rFonts w:hint="eastAsia" w:ascii="宋体" w:hAnsi="宋体" w:eastAsia="宋体" w:cs="宋体"/>
          <w:bCs/>
          <w:kern w:val="1"/>
          <w:szCs w:val="21"/>
        </w:rPr>
        <w:t xml:space="preserve">：浙江农林大学                       </w:t>
      </w:r>
      <w:r>
        <w:rPr>
          <w:rFonts w:hint="eastAsia" w:ascii="宋体" w:hAnsi="宋体" w:eastAsia="宋体" w:cs="宋体"/>
          <w:b/>
          <w:kern w:val="1"/>
          <w:szCs w:val="21"/>
        </w:rPr>
        <w:t>乙方（盖章）</w:t>
      </w:r>
      <w:r>
        <w:rPr>
          <w:rFonts w:hint="eastAsia" w:ascii="宋体" w:hAnsi="宋体" w:eastAsia="宋体" w:cs="宋体"/>
          <w:bCs/>
          <w:kern w:val="1"/>
          <w:szCs w:val="21"/>
        </w:rPr>
        <w:t>：</w:t>
      </w:r>
    </w:p>
    <w:p w14:paraId="0F8EB2FC">
      <w:pPr>
        <w:spacing w:line="288" w:lineRule="auto"/>
        <w:ind w:firstLine="420" w:firstLineChars="200"/>
        <w:rPr>
          <w:rFonts w:hint="eastAsia" w:ascii="宋体" w:hAnsi="宋体" w:eastAsia="宋体" w:cs="宋体"/>
          <w:bCs/>
          <w:kern w:val="1"/>
          <w:szCs w:val="21"/>
        </w:rPr>
      </w:pPr>
      <w:r>
        <w:rPr>
          <w:rFonts w:hint="eastAsia" w:ascii="宋体" w:hAnsi="宋体" w:eastAsia="宋体" w:cs="宋体"/>
          <w:bCs/>
          <w:kern w:val="1"/>
          <w:szCs w:val="21"/>
        </w:rPr>
        <w:t>法定代表人或受委托人：                           法定代表人或受委托人：</w:t>
      </w:r>
    </w:p>
    <w:p w14:paraId="70751EEC">
      <w:pPr>
        <w:spacing w:line="288" w:lineRule="auto"/>
        <w:ind w:firstLine="420" w:firstLineChars="200"/>
        <w:rPr>
          <w:rFonts w:hint="eastAsia" w:ascii="宋体" w:hAnsi="宋体" w:eastAsia="宋体" w:cs="宋体"/>
          <w:bCs/>
          <w:kern w:val="1"/>
          <w:szCs w:val="21"/>
        </w:rPr>
      </w:pPr>
      <w:r>
        <w:rPr>
          <w:rFonts w:hint="eastAsia" w:ascii="宋体" w:hAnsi="宋体" w:eastAsia="宋体" w:cs="宋体"/>
          <w:bCs/>
          <w:kern w:val="1"/>
          <w:szCs w:val="21"/>
        </w:rPr>
        <w:t>（签字）                                        （签字）</w:t>
      </w:r>
    </w:p>
    <w:p w14:paraId="58303879">
      <w:pPr>
        <w:spacing w:line="288" w:lineRule="auto"/>
        <w:ind w:firstLine="420" w:firstLineChars="200"/>
        <w:rPr>
          <w:rFonts w:hint="eastAsia" w:ascii="宋体" w:hAnsi="宋体" w:eastAsia="宋体" w:cs="宋体"/>
          <w:bCs/>
          <w:kern w:val="1"/>
          <w:szCs w:val="21"/>
        </w:rPr>
      </w:pPr>
      <w:r>
        <w:rPr>
          <w:rFonts w:hint="eastAsia" w:ascii="宋体" w:hAnsi="宋体" w:eastAsia="宋体" w:cs="宋体"/>
          <w:bCs/>
          <w:kern w:val="1"/>
          <w:szCs w:val="21"/>
        </w:rPr>
        <w:t>地址：浙江省杭州市临安区武肃街666号              地址：</w:t>
      </w:r>
    </w:p>
    <w:p w14:paraId="4CF353CC">
      <w:pPr>
        <w:spacing w:line="288" w:lineRule="auto"/>
        <w:ind w:firstLine="420" w:firstLineChars="200"/>
        <w:rPr>
          <w:rFonts w:hint="eastAsia" w:ascii="宋体" w:hAnsi="宋体" w:eastAsia="宋体" w:cs="宋体"/>
          <w:bCs/>
          <w:kern w:val="1"/>
          <w:szCs w:val="21"/>
        </w:rPr>
      </w:pPr>
      <w:r>
        <w:rPr>
          <w:rFonts w:hint="eastAsia" w:ascii="宋体" w:hAnsi="宋体" w:eastAsia="宋体" w:cs="宋体"/>
          <w:bCs/>
          <w:kern w:val="1"/>
          <w:szCs w:val="21"/>
        </w:rPr>
        <w:t>邮编：311300                                     邮编：</w:t>
      </w:r>
    </w:p>
    <w:p w14:paraId="2DE28AC8">
      <w:pPr>
        <w:spacing w:line="288" w:lineRule="auto"/>
        <w:ind w:firstLine="420" w:firstLineChars="200"/>
        <w:rPr>
          <w:rFonts w:hint="eastAsia" w:ascii="宋体" w:hAnsi="宋体" w:eastAsia="宋体" w:cs="宋体"/>
          <w:bCs/>
          <w:kern w:val="1"/>
          <w:szCs w:val="21"/>
        </w:rPr>
      </w:pPr>
      <w:r>
        <w:rPr>
          <w:rFonts w:hint="eastAsia" w:ascii="宋体" w:hAnsi="宋体" w:eastAsia="宋体" w:cs="宋体"/>
          <w:bCs/>
          <w:kern w:val="1"/>
          <w:szCs w:val="21"/>
        </w:rPr>
        <w:t>电话：0571-63740897                              电话：</w:t>
      </w:r>
    </w:p>
    <w:p w14:paraId="66F2F40B">
      <w:pPr>
        <w:spacing w:line="288" w:lineRule="auto"/>
        <w:ind w:firstLine="420" w:firstLineChars="200"/>
        <w:rPr>
          <w:rFonts w:hint="eastAsia" w:ascii="宋体" w:hAnsi="宋体" w:eastAsia="宋体" w:cs="宋体"/>
          <w:bCs/>
          <w:kern w:val="1"/>
          <w:szCs w:val="21"/>
        </w:rPr>
      </w:pPr>
      <w:r>
        <w:rPr>
          <w:rFonts w:hint="eastAsia" w:ascii="宋体" w:hAnsi="宋体" w:eastAsia="宋体" w:cs="宋体"/>
          <w:bCs/>
          <w:kern w:val="1"/>
          <w:szCs w:val="21"/>
        </w:rPr>
        <w:t xml:space="preserve">户名：浙江农林大学                               户名： </w:t>
      </w:r>
    </w:p>
    <w:p w14:paraId="11893E96">
      <w:pPr>
        <w:spacing w:line="288" w:lineRule="auto"/>
        <w:ind w:firstLine="420" w:firstLineChars="200"/>
        <w:rPr>
          <w:rFonts w:hint="eastAsia" w:ascii="宋体" w:hAnsi="宋体" w:eastAsia="宋体" w:cs="宋体"/>
          <w:bCs/>
          <w:kern w:val="1"/>
          <w:szCs w:val="21"/>
        </w:rPr>
      </w:pPr>
      <w:r>
        <w:rPr>
          <w:rFonts w:hint="eastAsia" w:ascii="宋体" w:hAnsi="宋体" w:eastAsia="宋体" w:cs="宋体"/>
          <w:bCs/>
          <w:kern w:val="1"/>
          <w:szCs w:val="21"/>
        </w:rPr>
        <w:t>开户银行：建行临安支行（行号：105331024007）     开户银行：</w:t>
      </w:r>
    </w:p>
    <w:p w14:paraId="5932CC3E">
      <w:pPr>
        <w:spacing w:line="288" w:lineRule="auto"/>
        <w:ind w:firstLine="420" w:firstLineChars="200"/>
        <w:rPr>
          <w:rFonts w:hint="eastAsia" w:ascii="宋体" w:hAnsi="宋体" w:eastAsia="宋体" w:cs="宋体"/>
          <w:bCs/>
          <w:kern w:val="1"/>
          <w:szCs w:val="21"/>
        </w:rPr>
      </w:pPr>
      <w:r>
        <w:rPr>
          <w:rFonts w:hint="eastAsia" w:ascii="宋体" w:hAnsi="宋体" w:eastAsia="宋体" w:cs="宋体"/>
          <w:bCs/>
          <w:kern w:val="1"/>
          <w:szCs w:val="21"/>
        </w:rPr>
        <w:t>账号：3300 1617 3350 5001 8761                   账号：</w:t>
      </w:r>
    </w:p>
    <w:p w14:paraId="0CD258DE">
      <w:pPr>
        <w:spacing w:line="288" w:lineRule="auto"/>
        <w:ind w:firstLine="420" w:firstLineChars="200"/>
        <w:rPr>
          <w:rFonts w:hint="eastAsia" w:ascii="宋体" w:hAnsi="宋体" w:eastAsia="宋体" w:cs="宋体"/>
          <w:bCs/>
          <w:kern w:val="1"/>
          <w:szCs w:val="21"/>
        </w:rPr>
      </w:pPr>
      <w:r>
        <w:rPr>
          <w:rFonts w:hint="eastAsia" w:ascii="宋体" w:hAnsi="宋体" w:eastAsia="宋体" w:cs="宋体"/>
          <w:bCs/>
          <w:kern w:val="1"/>
          <w:szCs w:val="21"/>
        </w:rPr>
        <w:t>纳税人识别号（统一社会信用代码）：                纳税人识别号（统一社会信用代码）：</w:t>
      </w:r>
    </w:p>
    <w:p w14:paraId="7CA7F72A">
      <w:pPr>
        <w:spacing w:line="288" w:lineRule="auto"/>
        <w:ind w:firstLine="420" w:firstLineChars="200"/>
        <w:rPr>
          <w:rFonts w:hint="eastAsia" w:ascii="宋体" w:hAnsi="宋体" w:eastAsia="宋体" w:cs="宋体"/>
          <w:bCs/>
          <w:kern w:val="1"/>
          <w:szCs w:val="21"/>
        </w:rPr>
      </w:pPr>
      <w:r>
        <w:rPr>
          <w:rFonts w:hint="eastAsia" w:ascii="宋体" w:hAnsi="宋体" w:eastAsia="宋体" w:cs="宋体"/>
          <w:bCs/>
          <w:kern w:val="1"/>
          <w:szCs w:val="21"/>
        </w:rPr>
        <w:t>123300004700050170</w:t>
      </w:r>
    </w:p>
    <w:p w14:paraId="52C20124">
      <w:pPr>
        <w:spacing w:line="288" w:lineRule="auto"/>
        <w:ind w:firstLine="420" w:firstLineChars="200"/>
        <w:rPr>
          <w:rFonts w:hint="eastAsia" w:ascii="宋体" w:hAnsi="宋体" w:eastAsia="宋体" w:cs="宋体"/>
          <w:bCs/>
          <w:kern w:val="1"/>
          <w:szCs w:val="21"/>
        </w:rPr>
      </w:pPr>
      <w:r>
        <w:rPr>
          <w:rFonts w:hint="eastAsia" w:ascii="宋体" w:hAnsi="宋体" w:eastAsia="宋体" w:cs="宋体"/>
          <w:bCs/>
          <w:kern w:val="1"/>
          <w:szCs w:val="21"/>
        </w:rPr>
        <w:t>（注：所有发票需开“增值税专用发票”）</w:t>
      </w:r>
    </w:p>
    <w:p w14:paraId="77B297B8">
      <w:pPr>
        <w:spacing w:line="288" w:lineRule="auto"/>
        <w:ind w:firstLine="422" w:firstLineChars="200"/>
        <w:rPr>
          <w:rFonts w:hint="eastAsia" w:ascii="宋体" w:hAnsi="宋体" w:eastAsia="宋体" w:cs="宋体"/>
          <w:b/>
          <w:kern w:val="1"/>
          <w:szCs w:val="21"/>
        </w:rPr>
      </w:pPr>
    </w:p>
    <w:p w14:paraId="19735F4A">
      <w:pPr>
        <w:spacing w:line="288" w:lineRule="auto"/>
        <w:ind w:firstLine="422" w:firstLineChars="200"/>
        <w:rPr>
          <w:rFonts w:hint="eastAsia" w:ascii="宋体" w:hAnsi="宋体" w:eastAsia="宋体" w:cs="宋体"/>
          <w:kern w:val="1"/>
          <w:szCs w:val="21"/>
        </w:rPr>
      </w:pPr>
      <w:r>
        <w:rPr>
          <w:rFonts w:hint="eastAsia" w:ascii="宋体" w:hAnsi="宋体" w:eastAsia="宋体" w:cs="宋体"/>
          <w:b/>
          <w:kern w:val="1"/>
          <w:szCs w:val="21"/>
        </w:rPr>
        <w:t>采购代理机构：</w:t>
      </w:r>
      <w:r>
        <w:rPr>
          <w:rFonts w:hint="eastAsia" w:ascii="宋体" w:hAnsi="宋体" w:eastAsia="宋体" w:cs="宋体"/>
          <w:kern w:val="1"/>
          <w:szCs w:val="21"/>
        </w:rPr>
        <w:t>浙江求是招标代理有限公司</w:t>
      </w:r>
    </w:p>
    <w:p w14:paraId="7A1B4DA8">
      <w:pPr>
        <w:spacing w:line="288" w:lineRule="auto"/>
        <w:ind w:firstLine="420" w:firstLineChars="200"/>
        <w:rPr>
          <w:rFonts w:hint="eastAsia" w:ascii="宋体" w:hAnsi="宋体" w:eastAsia="宋体" w:cs="宋体"/>
          <w:kern w:val="1"/>
          <w:szCs w:val="21"/>
        </w:rPr>
      </w:pPr>
      <w:r>
        <w:rPr>
          <w:rFonts w:hint="eastAsia" w:ascii="宋体" w:hAnsi="宋体" w:eastAsia="宋体" w:cs="宋体"/>
          <w:kern w:val="1"/>
          <w:szCs w:val="21"/>
        </w:rPr>
        <w:t>地址：杭州市西湖区玉古路173号中田大厦21楼求是招标</w:t>
      </w:r>
    </w:p>
    <w:p w14:paraId="047F1395">
      <w:pPr>
        <w:spacing w:line="288" w:lineRule="auto"/>
        <w:ind w:firstLine="420" w:firstLineChars="200"/>
        <w:rPr>
          <w:rFonts w:hint="eastAsia" w:ascii="宋体" w:hAnsi="宋体" w:eastAsia="宋体" w:cs="宋体"/>
          <w:kern w:val="1"/>
          <w:szCs w:val="21"/>
        </w:rPr>
      </w:pPr>
      <w:r>
        <w:rPr>
          <w:rFonts w:hint="eastAsia" w:ascii="宋体" w:hAnsi="宋体" w:eastAsia="宋体" w:cs="宋体"/>
          <w:kern w:val="1"/>
          <w:szCs w:val="21"/>
        </w:rPr>
        <w:t>电话：0571-87670302</w:t>
      </w:r>
    </w:p>
    <w:p w14:paraId="1A1EDDD3">
      <w:pPr>
        <w:spacing w:line="288" w:lineRule="auto"/>
        <w:ind w:firstLine="420" w:firstLineChars="200"/>
        <w:rPr>
          <w:rFonts w:hint="eastAsia" w:ascii="宋体" w:hAnsi="宋体" w:eastAsia="宋体" w:cs="宋体"/>
          <w:kern w:val="1"/>
          <w:szCs w:val="21"/>
        </w:rPr>
      </w:pPr>
      <w:r>
        <w:rPr>
          <w:rFonts w:hint="eastAsia" w:ascii="宋体" w:hAnsi="宋体" w:eastAsia="宋体" w:cs="宋体"/>
          <w:kern w:val="1"/>
          <w:szCs w:val="21"/>
        </w:rPr>
        <w:t>授权代表：</w:t>
      </w:r>
    </w:p>
    <w:p w14:paraId="2D309EF3">
      <w:pPr>
        <w:spacing w:line="288" w:lineRule="auto"/>
        <w:ind w:firstLine="420" w:firstLineChars="200"/>
        <w:rPr>
          <w:rFonts w:hint="eastAsia" w:ascii="宋体" w:hAnsi="宋体" w:eastAsia="宋体" w:cs="宋体"/>
          <w:kern w:val="1"/>
          <w:szCs w:val="21"/>
        </w:rPr>
      </w:pPr>
      <w:r>
        <w:rPr>
          <w:rFonts w:hint="eastAsia" w:ascii="宋体" w:hAnsi="宋体" w:eastAsia="宋体" w:cs="宋体"/>
          <w:kern w:val="1"/>
          <w:szCs w:val="21"/>
        </w:rPr>
        <w:t>鉴证时间：</w:t>
      </w:r>
    </w:p>
    <w:p w14:paraId="3D4EAC11">
      <w:pPr>
        <w:spacing w:line="288" w:lineRule="auto"/>
        <w:ind w:firstLine="396" w:firstLineChars="200"/>
        <w:rPr>
          <w:rFonts w:hint="eastAsia" w:ascii="宋体" w:hAnsi="宋体" w:eastAsia="宋体" w:cs="宋体"/>
          <w:szCs w:val="21"/>
          <w:lang w:val="zh-CN"/>
        </w:rPr>
      </w:pPr>
      <w:r>
        <w:rPr>
          <w:rFonts w:hint="eastAsia" w:ascii="宋体" w:hAnsi="Courier New" w:eastAsia="宋体" w:cs="宋体"/>
          <w:spacing w:val="-6"/>
          <w:szCs w:val="21"/>
        </w:rPr>
        <w:t>2024年</w:t>
      </w:r>
      <w:r>
        <w:rPr>
          <w:rFonts w:ascii="宋体" w:hAnsi="Courier New" w:eastAsia="宋体" w:cs="宋体"/>
          <w:spacing w:val="-6"/>
          <w:szCs w:val="21"/>
        </w:rPr>
        <w:t xml:space="preserve">    月    日</w:t>
      </w:r>
    </w:p>
    <w:p w14:paraId="0E2BCF36">
      <w:pPr>
        <w:adjustRightInd w:val="0"/>
        <w:snapToGrid w:val="0"/>
        <w:spacing w:line="288" w:lineRule="auto"/>
        <w:ind w:firstLine="420" w:firstLineChars="200"/>
        <w:jc w:val="center"/>
        <w:rPr>
          <w:rFonts w:hint="eastAsia" w:ascii="宋体" w:hAnsi="宋体" w:eastAsia="宋体" w:cs="Times New Roman"/>
          <w:b/>
          <w:sz w:val="32"/>
          <w:szCs w:val="32"/>
        </w:rPr>
      </w:pPr>
      <w:r>
        <w:rPr>
          <w:rFonts w:ascii="宋体" w:hAnsi="宋体" w:eastAsia="宋体" w:cs="宋体"/>
          <w:szCs w:val="21"/>
          <w:lang w:val="zh-CN"/>
        </w:rPr>
        <w:br w:type="page"/>
      </w:r>
    </w:p>
    <w:p w14:paraId="41B90596">
      <w:pPr>
        <w:spacing w:line="288" w:lineRule="auto"/>
        <w:ind w:firstLine="422" w:firstLineChars="200"/>
        <w:jc w:val="center"/>
        <w:rPr>
          <w:rFonts w:ascii="Times New Roman" w:hAnsi="Times New Roman" w:eastAsia="宋体" w:cs="Times New Roman"/>
          <w:b/>
          <w:szCs w:val="24"/>
        </w:rPr>
      </w:pPr>
      <w:r>
        <w:rPr>
          <w:rFonts w:hint="eastAsia" w:ascii="宋体" w:hAnsi="宋体" w:eastAsia="宋体" w:cs="Times New Roman"/>
          <w:b/>
          <w:szCs w:val="24"/>
        </w:rPr>
        <w:t>委托代理进口协议</w:t>
      </w:r>
    </w:p>
    <w:p w14:paraId="72182375">
      <w:pPr>
        <w:spacing w:line="288" w:lineRule="auto"/>
        <w:ind w:firstLine="420" w:firstLineChars="200"/>
        <w:rPr>
          <w:rFonts w:hint="eastAsia" w:ascii="宋体" w:hAnsi="宋体" w:eastAsia="宋体" w:cs="Times New Roman"/>
          <w:szCs w:val="24"/>
        </w:rPr>
      </w:pPr>
      <w:r>
        <w:rPr>
          <w:rFonts w:hint="eastAsia" w:ascii="宋体" w:hAnsi="宋体" w:eastAsia="宋体" w:cs="Times New Roman"/>
          <w:szCs w:val="24"/>
        </w:rPr>
        <w:t>合同编号：</w:t>
      </w:r>
    </w:p>
    <w:p w14:paraId="231522C9">
      <w:pPr>
        <w:spacing w:line="288" w:lineRule="auto"/>
        <w:ind w:firstLine="420" w:firstLineChars="200"/>
        <w:rPr>
          <w:rFonts w:ascii="Times New Roman" w:hAnsi="Times New Roman" w:eastAsia="宋体" w:cs="Times New Roman"/>
          <w:szCs w:val="24"/>
        </w:rPr>
      </w:pPr>
      <w:r>
        <w:rPr>
          <w:rFonts w:hint="eastAsia" w:ascii="宋体" w:hAnsi="宋体" w:eastAsia="宋体" w:cs="Times New Roman"/>
          <w:szCs w:val="24"/>
        </w:rPr>
        <w:t>签定地点：浙江农林大学</w:t>
      </w:r>
    </w:p>
    <w:p w14:paraId="7CE4466B">
      <w:pPr>
        <w:spacing w:line="288" w:lineRule="auto"/>
        <w:ind w:firstLine="420" w:firstLineChars="200"/>
        <w:rPr>
          <w:rFonts w:hint="eastAsia" w:ascii="宋体" w:hAnsi="宋体" w:eastAsia="宋体" w:cs="Times New Roman"/>
          <w:szCs w:val="24"/>
        </w:rPr>
      </w:pPr>
      <w:r>
        <w:rPr>
          <w:rFonts w:hint="eastAsia" w:ascii="宋体" w:hAnsi="宋体" w:eastAsia="宋体" w:cs="Times New Roman"/>
          <w:szCs w:val="24"/>
        </w:rPr>
        <w:t>甲方(买方、委托方)：浙江农林大学</w:t>
      </w:r>
    </w:p>
    <w:p w14:paraId="5C6E690F">
      <w:pPr>
        <w:spacing w:line="288" w:lineRule="auto"/>
        <w:ind w:firstLine="420" w:firstLineChars="200"/>
        <w:rPr>
          <w:rFonts w:ascii="Times New Roman" w:hAnsi="Times New Roman" w:eastAsia="宋体" w:cs="Times New Roman"/>
          <w:spacing w:val="-6"/>
          <w:szCs w:val="24"/>
        </w:rPr>
      </w:pPr>
      <w:r>
        <w:rPr>
          <w:rFonts w:hint="eastAsia" w:ascii="宋体" w:hAnsi="宋体" w:eastAsia="宋体" w:cs="Times New Roman"/>
          <w:szCs w:val="24"/>
        </w:rPr>
        <w:t xml:space="preserve">乙方(卖方、委托方)： </w:t>
      </w:r>
    </w:p>
    <w:p w14:paraId="12C15DC3">
      <w:pPr>
        <w:spacing w:line="288" w:lineRule="auto"/>
        <w:ind w:firstLine="420" w:firstLineChars="200"/>
        <w:rPr>
          <w:rFonts w:ascii="Times New Roman" w:hAnsi="Times New Roman" w:eastAsia="宋体" w:cs="Times New Roman"/>
          <w:szCs w:val="24"/>
        </w:rPr>
      </w:pPr>
      <w:r>
        <w:rPr>
          <w:rFonts w:hint="eastAsia" w:ascii="宋体" w:hAnsi="宋体" w:eastAsia="宋体" w:cs="Times New Roman"/>
          <w:szCs w:val="24"/>
        </w:rPr>
        <w:t>丙方(外贸，代理方)：</w:t>
      </w:r>
    </w:p>
    <w:p w14:paraId="1F36B83D">
      <w:pPr>
        <w:spacing w:line="288" w:lineRule="auto"/>
        <w:ind w:firstLine="420" w:firstLineChars="200"/>
        <w:rPr>
          <w:rFonts w:ascii="Times New Roman" w:hAnsi="Times New Roman" w:eastAsia="宋体" w:cs="Times New Roman"/>
          <w:szCs w:val="24"/>
        </w:rPr>
      </w:pPr>
      <w:r>
        <w:rPr>
          <w:rFonts w:hint="eastAsia" w:ascii="宋体" w:hAnsi="宋体" w:eastAsia="宋体" w:cs="Times New Roman"/>
          <w:szCs w:val="24"/>
        </w:rPr>
        <w:t>经甲、乙、丙三方友好协商，达成如下委托代理进口协议：</w:t>
      </w:r>
    </w:p>
    <w:p w14:paraId="1146D10F">
      <w:pPr>
        <w:spacing w:line="288" w:lineRule="auto"/>
        <w:ind w:firstLine="420" w:firstLineChars="200"/>
        <w:rPr>
          <w:rFonts w:ascii="Times New Roman" w:hAnsi="Times New Roman" w:eastAsia="宋体" w:cs="Times New Roman"/>
          <w:szCs w:val="24"/>
        </w:rPr>
      </w:pPr>
      <w:r>
        <w:rPr>
          <w:rFonts w:hint="eastAsia" w:ascii="宋体" w:hAnsi="宋体" w:eastAsia="宋体" w:cs="Times New Roman"/>
          <w:szCs w:val="24"/>
        </w:rPr>
        <w:t>一、甲方委托丙方对外签订如下进口货物合同，授权代理进口如下货物，并负责办理进口过程中相关手续，乙方接受委托。</w:t>
      </w:r>
    </w:p>
    <w:p w14:paraId="64CED835">
      <w:pPr>
        <w:spacing w:line="288" w:lineRule="auto"/>
        <w:ind w:firstLine="420" w:firstLineChars="200"/>
        <w:rPr>
          <w:rFonts w:ascii="Times New Roman" w:hAnsi="Times New Roman" w:eastAsia="宋体" w:cs="Times New Roman"/>
          <w:bCs/>
          <w:szCs w:val="24"/>
        </w:rPr>
      </w:pPr>
      <w:r>
        <w:rPr>
          <w:rFonts w:hint="eastAsia" w:ascii="宋体" w:hAnsi="宋体" w:eastAsia="宋体" w:cs="Times New Roman"/>
          <w:bCs/>
          <w:szCs w:val="24"/>
        </w:rPr>
        <w:t>二、合同总额：</w:t>
      </w:r>
    </w:p>
    <w:tbl>
      <w:tblPr>
        <w:tblStyle w:val="24"/>
        <w:tblW w:w="9366"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2266"/>
        <w:gridCol w:w="428"/>
        <w:gridCol w:w="992"/>
        <w:gridCol w:w="1131"/>
        <w:gridCol w:w="709"/>
        <w:gridCol w:w="853"/>
        <w:gridCol w:w="851"/>
        <w:gridCol w:w="850"/>
        <w:gridCol w:w="848"/>
        <w:gridCol w:w="13"/>
      </w:tblGrid>
      <w:tr w14:paraId="725F4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6E494616">
            <w:pPr>
              <w:spacing w:line="288" w:lineRule="auto"/>
              <w:jc w:val="center"/>
              <w:rPr>
                <w:rFonts w:ascii="Times New Roman" w:hAnsi="Times New Roman" w:eastAsia="宋体" w:cs="Times New Roman"/>
                <w:b/>
                <w:sz w:val="22"/>
                <w:szCs w:val="24"/>
              </w:rPr>
            </w:pPr>
            <w:r>
              <w:rPr>
                <w:rFonts w:hint="eastAsia" w:ascii="宋体" w:hAnsi="宋体" w:eastAsia="宋体" w:cs="Times New Roman"/>
                <w:b/>
                <w:sz w:val="22"/>
                <w:szCs w:val="24"/>
              </w:rPr>
              <w:t>序号</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14:paraId="0C12BC39">
            <w:pPr>
              <w:spacing w:line="288" w:lineRule="auto"/>
              <w:jc w:val="center"/>
              <w:rPr>
                <w:rFonts w:ascii="Times New Roman" w:hAnsi="Times New Roman" w:eastAsia="宋体" w:cs="Times New Roman"/>
                <w:b/>
                <w:sz w:val="22"/>
                <w:szCs w:val="24"/>
              </w:rPr>
            </w:pPr>
            <w:r>
              <w:rPr>
                <w:rFonts w:hint="eastAsia" w:ascii="宋体" w:hAnsi="宋体" w:eastAsia="宋体" w:cs="Times New Roman"/>
                <w:b/>
                <w:sz w:val="22"/>
                <w:szCs w:val="24"/>
              </w:rPr>
              <w:t>名称</w:t>
            </w: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14:paraId="45CB7E7E">
            <w:pPr>
              <w:spacing w:line="288" w:lineRule="auto"/>
              <w:jc w:val="center"/>
              <w:rPr>
                <w:rFonts w:ascii="Times New Roman" w:hAnsi="Times New Roman" w:eastAsia="宋体" w:cs="Times New Roman"/>
                <w:b/>
                <w:sz w:val="22"/>
                <w:szCs w:val="24"/>
              </w:rPr>
            </w:pPr>
            <w:r>
              <w:rPr>
                <w:rFonts w:hint="eastAsia" w:ascii="宋体" w:hAnsi="宋体" w:eastAsia="宋体" w:cs="Times New Roman"/>
                <w:b/>
                <w:sz w:val="22"/>
                <w:szCs w:val="24"/>
              </w:rPr>
              <w:t>数量</w:t>
            </w: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2AC092EC">
            <w:pPr>
              <w:spacing w:line="288" w:lineRule="auto"/>
              <w:jc w:val="center"/>
              <w:rPr>
                <w:rFonts w:ascii="Times New Roman" w:hAnsi="Times New Roman" w:eastAsia="宋体" w:cs="Times New Roman"/>
                <w:b/>
                <w:sz w:val="22"/>
                <w:szCs w:val="24"/>
              </w:rPr>
            </w:pPr>
            <w:r>
              <w:rPr>
                <w:rFonts w:hint="eastAsia" w:ascii="宋体" w:hAnsi="宋体" w:eastAsia="宋体" w:cs="Times New Roman"/>
                <w:b/>
                <w:sz w:val="22"/>
                <w:szCs w:val="24"/>
              </w:rPr>
              <w:t>品牌</w:t>
            </w:r>
          </w:p>
        </w:tc>
        <w:tc>
          <w:tcPr>
            <w:tcW w:w="1131" w:type="dxa"/>
            <w:tcBorders>
              <w:top w:val="single" w:color="auto" w:sz="4" w:space="0"/>
              <w:left w:val="single" w:color="auto" w:sz="4" w:space="0"/>
              <w:bottom w:val="single" w:color="auto" w:sz="4" w:space="0"/>
              <w:right w:val="single" w:color="auto" w:sz="4" w:space="0"/>
              <w:tl2br w:val="nil"/>
              <w:tr2bl w:val="nil"/>
            </w:tcBorders>
            <w:vAlign w:val="center"/>
          </w:tcPr>
          <w:p w14:paraId="38D137D5">
            <w:pPr>
              <w:spacing w:line="288" w:lineRule="auto"/>
              <w:jc w:val="center"/>
              <w:rPr>
                <w:rFonts w:ascii="Times New Roman" w:hAnsi="Times New Roman" w:eastAsia="宋体" w:cs="Times New Roman"/>
                <w:b/>
                <w:sz w:val="22"/>
                <w:szCs w:val="24"/>
              </w:rPr>
            </w:pPr>
            <w:r>
              <w:rPr>
                <w:rFonts w:hint="eastAsia" w:ascii="宋体" w:hAnsi="宋体" w:eastAsia="宋体" w:cs="Times New Roman"/>
                <w:b/>
                <w:sz w:val="22"/>
                <w:szCs w:val="24"/>
              </w:rPr>
              <w:t>型号</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4D57C6E3">
            <w:pPr>
              <w:spacing w:line="288" w:lineRule="auto"/>
              <w:jc w:val="center"/>
              <w:textAlignment w:val="center"/>
              <w:rPr>
                <w:rFonts w:hint="eastAsia" w:ascii="宋体" w:hAnsi="宋体" w:eastAsia="宋体" w:cs="Times New Roman"/>
                <w:b/>
                <w:sz w:val="22"/>
                <w:szCs w:val="24"/>
              </w:rPr>
            </w:pPr>
            <w:r>
              <w:rPr>
                <w:rFonts w:hint="eastAsia" w:ascii="宋体" w:hAnsi="宋体" w:eastAsia="宋体" w:cs="Times New Roman"/>
                <w:b/>
                <w:kern w:val="0"/>
                <w:sz w:val="22"/>
                <w:szCs w:val="24"/>
              </w:rPr>
              <w:t>产地</w:t>
            </w:r>
          </w:p>
        </w:tc>
        <w:tc>
          <w:tcPr>
            <w:tcW w:w="853" w:type="dxa"/>
            <w:tcBorders>
              <w:top w:val="single" w:color="auto" w:sz="4" w:space="0"/>
              <w:left w:val="single" w:color="auto" w:sz="4" w:space="0"/>
              <w:bottom w:val="single" w:color="auto" w:sz="4" w:space="0"/>
              <w:right w:val="single" w:color="auto" w:sz="4" w:space="0"/>
              <w:tl2br w:val="nil"/>
              <w:tr2bl w:val="nil"/>
            </w:tcBorders>
            <w:vAlign w:val="center"/>
          </w:tcPr>
          <w:p w14:paraId="3B75CA82">
            <w:pPr>
              <w:widowControl/>
              <w:spacing w:line="288" w:lineRule="auto"/>
              <w:jc w:val="center"/>
              <w:rPr>
                <w:rFonts w:ascii="宋体" w:hAnsi="Times New Roman" w:eastAsia="Times New Roman" w:cs="Times New Roman"/>
                <w:b/>
                <w:sz w:val="22"/>
                <w:szCs w:val="24"/>
              </w:rPr>
            </w:pPr>
            <w:r>
              <w:rPr>
                <w:rFonts w:hint="eastAsia" w:ascii="宋体" w:hAnsi="Times New Roman" w:eastAsia="宋体" w:cs="Times New Roman"/>
                <w:b/>
                <w:sz w:val="22"/>
                <w:szCs w:val="24"/>
              </w:rPr>
              <w:t>美元单价</w:t>
            </w: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14:paraId="30E6A11D">
            <w:pPr>
              <w:widowControl/>
              <w:spacing w:line="288" w:lineRule="auto"/>
              <w:jc w:val="center"/>
              <w:rPr>
                <w:rFonts w:ascii="宋体" w:hAnsi="Times New Roman" w:eastAsia="Times New Roman" w:cs="Times New Roman"/>
                <w:b/>
                <w:sz w:val="22"/>
                <w:szCs w:val="24"/>
              </w:rPr>
            </w:pPr>
            <w:r>
              <w:rPr>
                <w:rFonts w:hint="eastAsia" w:ascii="宋体" w:hAnsi="Times New Roman" w:eastAsia="宋体" w:cs="Times New Roman"/>
                <w:b/>
                <w:sz w:val="22"/>
                <w:szCs w:val="24"/>
              </w:rPr>
              <w:t>美元小计</w:t>
            </w:r>
          </w:p>
        </w:tc>
        <w:tc>
          <w:tcPr>
            <w:tcW w:w="850" w:type="dxa"/>
            <w:tcBorders>
              <w:top w:val="single" w:color="auto" w:sz="4" w:space="0"/>
              <w:left w:val="single" w:color="auto" w:sz="4" w:space="0"/>
              <w:bottom w:val="single" w:color="auto" w:sz="4" w:space="0"/>
              <w:right w:val="single" w:color="auto" w:sz="4" w:space="0"/>
              <w:tl2br w:val="nil"/>
              <w:tr2bl w:val="nil"/>
            </w:tcBorders>
            <w:vAlign w:val="center"/>
          </w:tcPr>
          <w:p w14:paraId="1ABF9EBE">
            <w:pPr>
              <w:widowControl/>
              <w:spacing w:line="288" w:lineRule="auto"/>
              <w:jc w:val="center"/>
              <w:rPr>
                <w:rFonts w:ascii="宋体" w:hAnsi="Times New Roman" w:eastAsia="Times New Roman" w:cs="Times New Roman"/>
                <w:b/>
                <w:sz w:val="22"/>
                <w:szCs w:val="24"/>
              </w:rPr>
            </w:pPr>
            <w:r>
              <w:rPr>
                <w:rFonts w:hint="eastAsia" w:ascii="宋体" w:hAnsi="Times New Roman" w:eastAsia="宋体" w:cs="Times New Roman"/>
                <w:b/>
                <w:sz w:val="22"/>
                <w:szCs w:val="24"/>
              </w:rPr>
              <w:t>人民币单价</w:t>
            </w:r>
          </w:p>
        </w:tc>
        <w:tc>
          <w:tcPr>
            <w:tcW w:w="848" w:type="dxa"/>
            <w:tcBorders>
              <w:top w:val="single" w:color="auto" w:sz="4" w:space="0"/>
              <w:left w:val="single" w:color="auto" w:sz="4" w:space="0"/>
              <w:bottom w:val="single" w:color="auto" w:sz="4" w:space="0"/>
              <w:right w:val="single" w:color="auto" w:sz="4" w:space="0"/>
              <w:tl2br w:val="nil"/>
              <w:tr2bl w:val="nil"/>
            </w:tcBorders>
            <w:vAlign w:val="center"/>
          </w:tcPr>
          <w:p w14:paraId="4439A442">
            <w:pPr>
              <w:widowControl/>
              <w:spacing w:line="288" w:lineRule="auto"/>
              <w:jc w:val="center"/>
              <w:rPr>
                <w:rFonts w:ascii="宋体" w:hAnsi="Times New Roman" w:eastAsia="Times New Roman" w:cs="Times New Roman"/>
                <w:b/>
                <w:sz w:val="22"/>
                <w:szCs w:val="24"/>
              </w:rPr>
            </w:pPr>
            <w:r>
              <w:rPr>
                <w:rFonts w:hint="eastAsia" w:ascii="宋体" w:hAnsi="Times New Roman" w:eastAsia="宋体" w:cs="Times New Roman"/>
                <w:b/>
                <w:sz w:val="22"/>
                <w:szCs w:val="24"/>
              </w:rPr>
              <w:t>人民币小计</w:t>
            </w:r>
          </w:p>
        </w:tc>
      </w:tr>
      <w:tr w14:paraId="21F2C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4CE11B76">
            <w:pPr>
              <w:spacing w:line="288" w:lineRule="auto"/>
              <w:jc w:val="center"/>
              <w:rPr>
                <w:rFonts w:ascii="Times New Roman" w:hAnsi="Times New Roman" w:eastAsia="宋体" w:cs="Times New Roman"/>
                <w:b/>
                <w:szCs w:val="24"/>
              </w:rPr>
            </w:pPr>
            <w:r>
              <w:rPr>
                <w:rFonts w:hint="eastAsia" w:ascii="宋体" w:hAnsi="宋体" w:eastAsia="宋体" w:cs="Times New Roman"/>
                <w:szCs w:val="24"/>
              </w:rPr>
              <w:t>1</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14:paraId="72E7584E">
            <w:pPr>
              <w:spacing w:line="288" w:lineRule="auto"/>
              <w:jc w:val="center"/>
              <w:rPr>
                <w:rFonts w:ascii="Times New Roman" w:hAnsi="Times New Roman" w:eastAsia="宋体" w:cs="Times New Roman"/>
                <w:szCs w:val="24"/>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14:paraId="30338B64">
            <w:pPr>
              <w:spacing w:line="288" w:lineRule="auto"/>
              <w:jc w:val="center"/>
              <w:rPr>
                <w:rFonts w:ascii="Times New Roman" w:hAnsi="Times New Roman" w:eastAsia="宋体" w:cs="Times New Roman"/>
                <w:b/>
                <w:szCs w:val="24"/>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44775A43">
            <w:pPr>
              <w:spacing w:line="288" w:lineRule="auto"/>
              <w:jc w:val="center"/>
              <w:rPr>
                <w:rFonts w:ascii="Times New Roman" w:hAnsi="Times New Roman" w:eastAsia="宋体" w:cs="Times New Roman"/>
                <w:b/>
                <w:szCs w:val="24"/>
              </w:rPr>
            </w:pPr>
          </w:p>
        </w:tc>
        <w:tc>
          <w:tcPr>
            <w:tcW w:w="1131" w:type="dxa"/>
            <w:tcBorders>
              <w:top w:val="single" w:color="auto" w:sz="4" w:space="0"/>
              <w:left w:val="single" w:color="auto" w:sz="4" w:space="0"/>
              <w:bottom w:val="single" w:color="auto" w:sz="4" w:space="0"/>
              <w:right w:val="single" w:color="auto" w:sz="4" w:space="0"/>
              <w:tl2br w:val="nil"/>
              <w:tr2bl w:val="nil"/>
            </w:tcBorders>
            <w:vAlign w:val="center"/>
          </w:tcPr>
          <w:p w14:paraId="31CE9B80">
            <w:pPr>
              <w:spacing w:line="288" w:lineRule="auto"/>
              <w:jc w:val="center"/>
              <w:rPr>
                <w:rFonts w:ascii="Times New Roman" w:hAnsi="Times New Roman" w:eastAsia="宋体" w:cs="Times New Roman"/>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5E304B33">
            <w:pPr>
              <w:spacing w:line="288" w:lineRule="auto"/>
              <w:jc w:val="center"/>
              <w:textAlignment w:val="center"/>
              <w:rPr>
                <w:rFonts w:hint="eastAsia" w:ascii="宋体" w:hAnsi="宋体" w:eastAsia="宋体" w:cs="Times New Roman"/>
                <w:kern w:val="0"/>
                <w:szCs w:val="24"/>
              </w:rPr>
            </w:pPr>
          </w:p>
        </w:tc>
        <w:tc>
          <w:tcPr>
            <w:tcW w:w="853" w:type="dxa"/>
            <w:tcBorders>
              <w:top w:val="single" w:color="auto" w:sz="4" w:space="0"/>
              <w:left w:val="single" w:color="auto" w:sz="4" w:space="0"/>
              <w:bottom w:val="single" w:color="auto" w:sz="4" w:space="0"/>
              <w:right w:val="single" w:color="auto" w:sz="4" w:space="0"/>
              <w:tl2br w:val="nil"/>
              <w:tr2bl w:val="nil"/>
            </w:tcBorders>
            <w:vAlign w:val="center"/>
          </w:tcPr>
          <w:p w14:paraId="7DC1CB3A">
            <w:pPr>
              <w:spacing w:line="288" w:lineRule="auto"/>
              <w:jc w:val="center"/>
              <w:rPr>
                <w:rFonts w:ascii="Times New Roman" w:hAnsi="Times New Roman" w:eastAsia="宋体" w:cs="Times New Roman"/>
                <w:szCs w:val="24"/>
              </w:rPr>
            </w:pP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14:paraId="0E9E58E6">
            <w:pPr>
              <w:spacing w:line="288" w:lineRule="auto"/>
              <w:jc w:val="center"/>
              <w:rPr>
                <w:rFonts w:ascii="Times New Roman" w:hAnsi="Times New Roman" w:eastAsia="宋体" w:cs="Times New Roman"/>
                <w:szCs w:val="24"/>
              </w:rPr>
            </w:pPr>
          </w:p>
        </w:tc>
        <w:tc>
          <w:tcPr>
            <w:tcW w:w="850" w:type="dxa"/>
            <w:tcBorders>
              <w:top w:val="single" w:color="auto" w:sz="4" w:space="0"/>
              <w:left w:val="single" w:color="auto" w:sz="4" w:space="0"/>
              <w:bottom w:val="single" w:color="auto" w:sz="4" w:space="0"/>
              <w:right w:val="single" w:color="auto" w:sz="4" w:space="0"/>
              <w:tl2br w:val="nil"/>
              <w:tr2bl w:val="nil"/>
            </w:tcBorders>
            <w:vAlign w:val="center"/>
          </w:tcPr>
          <w:p w14:paraId="6BC52786">
            <w:pPr>
              <w:spacing w:line="288" w:lineRule="auto"/>
              <w:jc w:val="center"/>
              <w:rPr>
                <w:rFonts w:ascii="Times New Roman" w:hAnsi="Times New Roman" w:eastAsia="宋体" w:cs="Times New Roman"/>
                <w:szCs w:val="24"/>
              </w:rPr>
            </w:pPr>
          </w:p>
        </w:tc>
        <w:tc>
          <w:tcPr>
            <w:tcW w:w="848" w:type="dxa"/>
            <w:tcBorders>
              <w:top w:val="single" w:color="auto" w:sz="4" w:space="0"/>
              <w:left w:val="single" w:color="auto" w:sz="4" w:space="0"/>
              <w:bottom w:val="single" w:color="auto" w:sz="4" w:space="0"/>
              <w:right w:val="single" w:color="auto" w:sz="4" w:space="0"/>
              <w:tl2br w:val="nil"/>
              <w:tr2bl w:val="nil"/>
            </w:tcBorders>
            <w:vAlign w:val="center"/>
          </w:tcPr>
          <w:p w14:paraId="058A33D3">
            <w:pPr>
              <w:spacing w:line="288" w:lineRule="auto"/>
              <w:jc w:val="center"/>
              <w:rPr>
                <w:rFonts w:ascii="Times New Roman" w:hAnsi="Times New Roman" w:eastAsia="宋体" w:cs="Times New Roman"/>
                <w:szCs w:val="24"/>
              </w:rPr>
            </w:pPr>
          </w:p>
        </w:tc>
      </w:tr>
      <w:tr w14:paraId="07F8E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79E5B6A9">
            <w:pPr>
              <w:spacing w:line="288" w:lineRule="auto"/>
              <w:jc w:val="center"/>
              <w:rPr>
                <w:rFonts w:ascii="Times New Roman" w:hAnsi="Times New Roman" w:eastAsia="宋体" w:cs="Times New Roman"/>
                <w:b/>
                <w:szCs w:val="24"/>
              </w:rPr>
            </w:pPr>
            <w:r>
              <w:rPr>
                <w:rFonts w:hint="eastAsia" w:ascii="宋体" w:hAnsi="宋体" w:eastAsia="宋体" w:cs="Times New Roman"/>
                <w:szCs w:val="24"/>
              </w:rPr>
              <w:t>2</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14:paraId="7C9D6E26">
            <w:pPr>
              <w:spacing w:line="288" w:lineRule="auto"/>
              <w:jc w:val="center"/>
              <w:rPr>
                <w:rFonts w:ascii="Times New Roman" w:hAnsi="Times New Roman" w:eastAsia="宋体" w:cs="Times New Roman"/>
                <w:szCs w:val="24"/>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14:paraId="3E979247">
            <w:pPr>
              <w:spacing w:line="288" w:lineRule="auto"/>
              <w:jc w:val="center"/>
              <w:rPr>
                <w:rFonts w:ascii="Times New Roman" w:hAnsi="Times New Roman" w:eastAsia="宋体" w:cs="Times New Roman"/>
                <w:b/>
                <w:szCs w:val="24"/>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57D38BFA">
            <w:pPr>
              <w:spacing w:line="288" w:lineRule="auto"/>
              <w:jc w:val="center"/>
              <w:rPr>
                <w:rFonts w:ascii="Times New Roman" w:hAnsi="Times New Roman" w:eastAsia="宋体" w:cs="Times New Roman"/>
                <w:b/>
                <w:szCs w:val="24"/>
              </w:rPr>
            </w:pPr>
          </w:p>
        </w:tc>
        <w:tc>
          <w:tcPr>
            <w:tcW w:w="1131" w:type="dxa"/>
            <w:tcBorders>
              <w:top w:val="single" w:color="auto" w:sz="4" w:space="0"/>
              <w:left w:val="single" w:color="auto" w:sz="4" w:space="0"/>
              <w:bottom w:val="single" w:color="auto" w:sz="4" w:space="0"/>
              <w:right w:val="single" w:color="auto" w:sz="4" w:space="0"/>
              <w:tl2br w:val="nil"/>
              <w:tr2bl w:val="nil"/>
            </w:tcBorders>
            <w:vAlign w:val="center"/>
          </w:tcPr>
          <w:p w14:paraId="69ADDC05">
            <w:pPr>
              <w:spacing w:line="288" w:lineRule="auto"/>
              <w:jc w:val="center"/>
              <w:rPr>
                <w:rFonts w:ascii="Times New Roman" w:hAnsi="Times New Roman" w:eastAsia="宋体" w:cs="Times New Roman"/>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4DDEA2BA">
            <w:pPr>
              <w:spacing w:line="288" w:lineRule="auto"/>
              <w:jc w:val="center"/>
              <w:textAlignment w:val="center"/>
              <w:rPr>
                <w:rFonts w:hint="eastAsia" w:ascii="宋体" w:hAnsi="宋体" w:eastAsia="宋体" w:cs="Times New Roman"/>
                <w:kern w:val="0"/>
                <w:szCs w:val="24"/>
              </w:rPr>
            </w:pPr>
          </w:p>
        </w:tc>
        <w:tc>
          <w:tcPr>
            <w:tcW w:w="853" w:type="dxa"/>
            <w:tcBorders>
              <w:top w:val="single" w:color="auto" w:sz="4" w:space="0"/>
              <w:left w:val="single" w:color="auto" w:sz="4" w:space="0"/>
              <w:bottom w:val="single" w:color="auto" w:sz="4" w:space="0"/>
              <w:right w:val="single" w:color="auto" w:sz="4" w:space="0"/>
              <w:tl2br w:val="nil"/>
              <w:tr2bl w:val="nil"/>
            </w:tcBorders>
            <w:vAlign w:val="center"/>
          </w:tcPr>
          <w:p w14:paraId="71159D86">
            <w:pPr>
              <w:spacing w:line="288" w:lineRule="auto"/>
              <w:jc w:val="center"/>
              <w:rPr>
                <w:rFonts w:ascii="Times New Roman" w:hAnsi="Times New Roman" w:eastAsia="宋体" w:cs="Times New Roman"/>
                <w:szCs w:val="24"/>
              </w:rPr>
            </w:pP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14:paraId="6549035B">
            <w:pPr>
              <w:spacing w:line="288" w:lineRule="auto"/>
              <w:jc w:val="center"/>
              <w:rPr>
                <w:rFonts w:ascii="Times New Roman" w:hAnsi="Times New Roman" w:eastAsia="宋体" w:cs="Times New Roman"/>
                <w:szCs w:val="24"/>
              </w:rPr>
            </w:pPr>
          </w:p>
        </w:tc>
        <w:tc>
          <w:tcPr>
            <w:tcW w:w="850" w:type="dxa"/>
            <w:tcBorders>
              <w:top w:val="single" w:color="auto" w:sz="4" w:space="0"/>
              <w:left w:val="single" w:color="auto" w:sz="4" w:space="0"/>
              <w:bottom w:val="single" w:color="auto" w:sz="4" w:space="0"/>
              <w:right w:val="single" w:color="auto" w:sz="4" w:space="0"/>
              <w:tl2br w:val="nil"/>
              <w:tr2bl w:val="nil"/>
            </w:tcBorders>
            <w:vAlign w:val="center"/>
          </w:tcPr>
          <w:p w14:paraId="3D12A6A1">
            <w:pPr>
              <w:spacing w:line="288" w:lineRule="auto"/>
              <w:jc w:val="center"/>
              <w:rPr>
                <w:rFonts w:ascii="Times New Roman" w:hAnsi="Times New Roman" w:eastAsia="宋体" w:cs="Times New Roman"/>
                <w:szCs w:val="24"/>
              </w:rPr>
            </w:pPr>
          </w:p>
        </w:tc>
        <w:tc>
          <w:tcPr>
            <w:tcW w:w="848" w:type="dxa"/>
            <w:tcBorders>
              <w:top w:val="single" w:color="auto" w:sz="4" w:space="0"/>
              <w:left w:val="single" w:color="auto" w:sz="4" w:space="0"/>
              <w:bottom w:val="single" w:color="auto" w:sz="4" w:space="0"/>
              <w:right w:val="single" w:color="auto" w:sz="4" w:space="0"/>
              <w:tl2br w:val="nil"/>
              <w:tr2bl w:val="nil"/>
            </w:tcBorders>
            <w:vAlign w:val="center"/>
          </w:tcPr>
          <w:p w14:paraId="0F8F4FE6">
            <w:pPr>
              <w:spacing w:line="288" w:lineRule="auto"/>
              <w:jc w:val="center"/>
              <w:rPr>
                <w:rFonts w:ascii="Times New Roman" w:hAnsi="Times New Roman" w:eastAsia="宋体" w:cs="Times New Roman"/>
                <w:szCs w:val="24"/>
              </w:rPr>
            </w:pPr>
          </w:p>
        </w:tc>
      </w:tr>
      <w:tr w14:paraId="30E42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722E21C8">
            <w:pPr>
              <w:spacing w:line="288" w:lineRule="auto"/>
              <w:jc w:val="center"/>
              <w:rPr>
                <w:rFonts w:ascii="Times New Roman" w:hAnsi="Times New Roman" w:eastAsia="宋体" w:cs="Times New Roman"/>
                <w:b/>
                <w:szCs w:val="24"/>
              </w:rPr>
            </w:pPr>
            <w:r>
              <w:rPr>
                <w:rFonts w:hint="eastAsia" w:ascii="宋体" w:hAnsi="宋体" w:eastAsia="宋体" w:cs="Times New Roman"/>
                <w:szCs w:val="24"/>
              </w:rPr>
              <w:t>3</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14:paraId="6ED2E9B8">
            <w:pPr>
              <w:spacing w:line="288" w:lineRule="auto"/>
              <w:jc w:val="center"/>
              <w:rPr>
                <w:rFonts w:ascii="Times New Roman" w:hAnsi="Times New Roman" w:eastAsia="宋体" w:cs="Times New Roman"/>
                <w:szCs w:val="24"/>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14:paraId="2C5D1F9F">
            <w:pPr>
              <w:spacing w:line="288" w:lineRule="auto"/>
              <w:jc w:val="center"/>
              <w:rPr>
                <w:rFonts w:ascii="Times New Roman" w:hAnsi="Times New Roman" w:eastAsia="宋体" w:cs="Times New Roman"/>
                <w:b/>
                <w:szCs w:val="24"/>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0B92E045">
            <w:pPr>
              <w:spacing w:line="288" w:lineRule="auto"/>
              <w:jc w:val="center"/>
              <w:rPr>
                <w:rFonts w:ascii="Times New Roman" w:hAnsi="Times New Roman" w:eastAsia="宋体" w:cs="Times New Roman"/>
                <w:b/>
                <w:szCs w:val="24"/>
              </w:rPr>
            </w:pPr>
          </w:p>
        </w:tc>
        <w:tc>
          <w:tcPr>
            <w:tcW w:w="1131" w:type="dxa"/>
            <w:tcBorders>
              <w:top w:val="single" w:color="auto" w:sz="4" w:space="0"/>
              <w:left w:val="single" w:color="auto" w:sz="4" w:space="0"/>
              <w:bottom w:val="single" w:color="auto" w:sz="4" w:space="0"/>
              <w:right w:val="single" w:color="auto" w:sz="4" w:space="0"/>
              <w:tl2br w:val="nil"/>
              <w:tr2bl w:val="nil"/>
            </w:tcBorders>
            <w:vAlign w:val="center"/>
          </w:tcPr>
          <w:p w14:paraId="1CB271D0">
            <w:pPr>
              <w:spacing w:line="288" w:lineRule="auto"/>
              <w:jc w:val="center"/>
              <w:rPr>
                <w:rFonts w:ascii="Times New Roman" w:hAnsi="Times New Roman" w:eastAsia="宋体" w:cs="Times New Roman"/>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04C4FBA1">
            <w:pPr>
              <w:spacing w:line="288" w:lineRule="auto"/>
              <w:jc w:val="center"/>
              <w:textAlignment w:val="center"/>
              <w:rPr>
                <w:rFonts w:hint="eastAsia" w:ascii="宋体" w:hAnsi="宋体" w:eastAsia="宋体" w:cs="Times New Roman"/>
                <w:kern w:val="0"/>
                <w:szCs w:val="24"/>
              </w:rPr>
            </w:pPr>
          </w:p>
        </w:tc>
        <w:tc>
          <w:tcPr>
            <w:tcW w:w="853" w:type="dxa"/>
            <w:tcBorders>
              <w:top w:val="single" w:color="auto" w:sz="4" w:space="0"/>
              <w:left w:val="single" w:color="auto" w:sz="4" w:space="0"/>
              <w:bottom w:val="single" w:color="auto" w:sz="4" w:space="0"/>
              <w:right w:val="single" w:color="auto" w:sz="4" w:space="0"/>
              <w:tl2br w:val="nil"/>
              <w:tr2bl w:val="nil"/>
            </w:tcBorders>
            <w:vAlign w:val="center"/>
          </w:tcPr>
          <w:p w14:paraId="13F5F268">
            <w:pPr>
              <w:spacing w:line="288" w:lineRule="auto"/>
              <w:jc w:val="center"/>
              <w:rPr>
                <w:rFonts w:ascii="Times New Roman" w:hAnsi="Times New Roman" w:eastAsia="宋体" w:cs="Times New Roman"/>
                <w:szCs w:val="24"/>
              </w:rPr>
            </w:pP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14:paraId="5D614BFB">
            <w:pPr>
              <w:spacing w:line="288" w:lineRule="auto"/>
              <w:jc w:val="center"/>
              <w:rPr>
                <w:rFonts w:ascii="Times New Roman" w:hAnsi="Times New Roman" w:eastAsia="宋体" w:cs="Times New Roman"/>
                <w:szCs w:val="24"/>
              </w:rPr>
            </w:pPr>
          </w:p>
        </w:tc>
        <w:tc>
          <w:tcPr>
            <w:tcW w:w="850" w:type="dxa"/>
            <w:tcBorders>
              <w:top w:val="single" w:color="auto" w:sz="4" w:space="0"/>
              <w:left w:val="single" w:color="auto" w:sz="4" w:space="0"/>
              <w:bottom w:val="single" w:color="auto" w:sz="4" w:space="0"/>
              <w:right w:val="single" w:color="auto" w:sz="4" w:space="0"/>
              <w:tl2br w:val="nil"/>
              <w:tr2bl w:val="nil"/>
            </w:tcBorders>
            <w:vAlign w:val="center"/>
          </w:tcPr>
          <w:p w14:paraId="78ACD1F8">
            <w:pPr>
              <w:spacing w:line="288" w:lineRule="auto"/>
              <w:jc w:val="center"/>
              <w:rPr>
                <w:rFonts w:ascii="Times New Roman" w:hAnsi="Times New Roman" w:eastAsia="宋体" w:cs="Times New Roman"/>
                <w:szCs w:val="24"/>
              </w:rPr>
            </w:pPr>
          </w:p>
        </w:tc>
        <w:tc>
          <w:tcPr>
            <w:tcW w:w="848" w:type="dxa"/>
            <w:tcBorders>
              <w:top w:val="single" w:color="auto" w:sz="4" w:space="0"/>
              <w:left w:val="single" w:color="auto" w:sz="4" w:space="0"/>
              <w:bottom w:val="single" w:color="auto" w:sz="4" w:space="0"/>
              <w:right w:val="single" w:color="auto" w:sz="4" w:space="0"/>
              <w:tl2br w:val="nil"/>
              <w:tr2bl w:val="nil"/>
            </w:tcBorders>
            <w:vAlign w:val="center"/>
          </w:tcPr>
          <w:p w14:paraId="1900059E">
            <w:pPr>
              <w:spacing w:line="288" w:lineRule="auto"/>
              <w:jc w:val="center"/>
              <w:rPr>
                <w:rFonts w:ascii="Times New Roman" w:hAnsi="Times New Roman" w:eastAsia="宋体" w:cs="Times New Roman"/>
                <w:szCs w:val="24"/>
              </w:rPr>
            </w:pPr>
          </w:p>
        </w:tc>
      </w:tr>
      <w:tr w14:paraId="38F97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3CE73538">
            <w:pPr>
              <w:spacing w:line="288" w:lineRule="auto"/>
              <w:jc w:val="center"/>
              <w:rPr>
                <w:rFonts w:ascii="Times New Roman" w:hAnsi="Times New Roman" w:eastAsia="宋体" w:cs="Times New Roman"/>
                <w:b/>
                <w:szCs w:val="24"/>
              </w:rPr>
            </w:pPr>
            <w:r>
              <w:rPr>
                <w:rFonts w:hint="eastAsia" w:ascii="宋体" w:hAnsi="宋体" w:eastAsia="宋体" w:cs="Times New Roman"/>
                <w:szCs w:val="24"/>
              </w:rPr>
              <w:t>4</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14:paraId="0CF18A20">
            <w:pPr>
              <w:spacing w:line="288" w:lineRule="auto"/>
              <w:jc w:val="center"/>
              <w:rPr>
                <w:rFonts w:ascii="Times New Roman" w:hAnsi="Times New Roman" w:eastAsia="宋体" w:cs="Times New Roman"/>
                <w:szCs w:val="24"/>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14:paraId="294CACDE">
            <w:pPr>
              <w:spacing w:line="288" w:lineRule="auto"/>
              <w:jc w:val="center"/>
              <w:rPr>
                <w:rFonts w:ascii="Times New Roman" w:hAnsi="Times New Roman" w:eastAsia="宋体" w:cs="Times New Roman"/>
                <w:b/>
                <w:szCs w:val="24"/>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7D907FCF">
            <w:pPr>
              <w:spacing w:line="288" w:lineRule="auto"/>
              <w:jc w:val="center"/>
              <w:rPr>
                <w:rFonts w:ascii="Times New Roman" w:hAnsi="Times New Roman" w:eastAsia="宋体" w:cs="Times New Roman"/>
                <w:b/>
                <w:szCs w:val="24"/>
              </w:rPr>
            </w:pPr>
          </w:p>
        </w:tc>
        <w:tc>
          <w:tcPr>
            <w:tcW w:w="1131" w:type="dxa"/>
            <w:tcBorders>
              <w:top w:val="single" w:color="auto" w:sz="4" w:space="0"/>
              <w:left w:val="single" w:color="auto" w:sz="4" w:space="0"/>
              <w:bottom w:val="single" w:color="auto" w:sz="4" w:space="0"/>
              <w:right w:val="single" w:color="auto" w:sz="4" w:space="0"/>
              <w:tl2br w:val="nil"/>
              <w:tr2bl w:val="nil"/>
            </w:tcBorders>
            <w:vAlign w:val="center"/>
          </w:tcPr>
          <w:p w14:paraId="2B842D20">
            <w:pPr>
              <w:spacing w:line="288" w:lineRule="auto"/>
              <w:jc w:val="center"/>
              <w:rPr>
                <w:rFonts w:ascii="Times New Roman" w:hAnsi="Times New Roman" w:eastAsia="宋体" w:cs="Times New Roman"/>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08C3E119">
            <w:pPr>
              <w:spacing w:line="288" w:lineRule="auto"/>
              <w:jc w:val="center"/>
              <w:textAlignment w:val="center"/>
              <w:rPr>
                <w:rFonts w:hint="eastAsia" w:ascii="宋体" w:hAnsi="宋体" w:eastAsia="宋体" w:cs="Times New Roman"/>
                <w:kern w:val="0"/>
                <w:szCs w:val="24"/>
              </w:rPr>
            </w:pPr>
          </w:p>
        </w:tc>
        <w:tc>
          <w:tcPr>
            <w:tcW w:w="853" w:type="dxa"/>
            <w:tcBorders>
              <w:top w:val="single" w:color="auto" w:sz="4" w:space="0"/>
              <w:left w:val="single" w:color="auto" w:sz="4" w:space="0"/>
              <w:bottom w:val="single" w:color="auto" w:sz="4" w:space="0"/>
              <w:right w:val="single" w:color="auto" w:sz="4" w:space="0"/>
              <w:tl2br w:val="nil"/>
              <w:tr2bl w:val="nil"/>
            </w:tcBorders>
            <w:vAlign w:val="center"/>
          </w:tcPr>
          <w:p w14:paraId="5D9F1F99">
            <w:pPr>
              <w:spacing w:line="288" w:lineRule="auto"/>
              <w:jc w:val="center"/>
              <w:rPr>
                <w:rFonts w:ascii="Times New Roman" w:hAnsi="Times New Roman" w:eastAsia="宋体" w:cs="Times New Roman"/>
                <w:szCs w:val="24"/>
              </w:rPr>
            </w:pP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14:paraId="3C8C0E2B">
            <w:pPr>
              <w:spacing w:line="288" w:lineRule="auto"/>
              <w:jc w:val="center"/>
              <w:rPr>
                <w:rFonts w:ascii="Times New Roman" w:hAnsi="Times New Roman" w:eastAsia="宋体" w:cs="Times New Roman"/>
                <w:szCs w:val="24"/>
              </w:rPr>
            </w:pPr>
          </w:p>
        </w:tc>
        <w:tc>
          <w:tcPr>
            <w:tcW w:w="850" w:type="dxa"/>
            <w:tcBorders>
              <w:top w:val="single" w:color="auto" w:sz="4" w:space="0"/>
              <w:left w:val="single" w:color="auto" w:sz="4" w:space="0"/>
              <w:bottom w:val="single" w:color="auto" w:sz="4" w:space="0"/>
              <w:right w:val="single" w:color="auto" w:sz="4" w:space="0"/>
              <w:tl2br w:val="nil"/>
              <w:tr2bl w:val="nil"/>
            </w:tcBorders>
            <w:vAlign w:val="center"/>
          </w:tcPr>
          <w:p w14:paraId="64085C70">
            <w:pPr>
              <w:spacing w:line="288" w:lineRule="auto"/>
              <w:jc w:val="center"/>
              <w:rPr>
                <w:rFonts w:ascii="Times New Roman" w:hAnsi="Times New Roman" w:eastAsia="宋体" w:cs="Times New Roman"/>
                <w:szCs w:val="24"/>
              </w:rPr>
            </w:pPr>
          </w:p>
        </w:tc>
        <w:tc>
          <w:tcPr>
            <w:tcW w:w="848" w:type="dxa"/>
            <w:tcBorders>
              <w:top w:val="single" w:color="auto" w:sz="4" w:space="0"/>
              <w:left w:val="single" w:color="auto" w:sz="4" w:space="0"/>
              <w:bottom w:val="single" w:color="auto" w:sz="4" w:space="0"/>
              <w:right w:val="single" w:color="auto" w:sz="4" w:space="0"/>
              <w:tl2br w:val="nil"/>
              <w:tr2bl w:val="nil"/>
            </w:tcBorders>
            <w:vAlign w:val="center"/>
          </w:tcPr>
          <w:p w14:paraId="2FCF2635">
            <w:pPr>
              <w:spacing w:line="288" w:lineRule="auto"/>
              <w:jc w:val="center"/>
              <w:rPr>
                <w:rFonts w:ascii="Times New Roman" w:hAnsi="Times New Roman" w:eastAsia="宋体" w:cs="Times New Roman"/>
                <w:szCs w:val="24"/>
              </w:rPr>
            </w:pPr>
          </w:p>
        </w:tc>
      </w:tr>
      <w:tr w14:paraId="661F8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55C45552">
            <w:pPr>
              <w:spacing w:line="288" w:lineRule="auto"/>
              <w:jc w:val="center"/>
              <w:rPr>
                <w:rFonts w:ascii="Times New Roman" w:hAnsi="Times New Roman" w:eastAsia="宋体" w:cs="Times New Roman"/>
                <w:b/>
                <w:szCs w:val="24"/>
              </w:rPr>
            </w:pPr>
            <w:r>
              <w:rPr>
                <w:rFonts w:hint="eastAsia" w:ascii="宋体" w:hAnsi="宋体" w:eastAsia="宋体" w:cs="Times New Roman"/>
                <w:szCs w:val="24"/>
              </w:rPr>
              <w:t>5</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14:paraId="6809FC4F">
            <w:pPr>
              <w:spacing w:line="288" w:lineRule="auto"/>
              <w:jc w:val="center"/>
              <w:rPr>
                <w:rFonts w:ascii="Times New Roman" w:hAnsi="Times New Roman" w:eastAsia="宋体" w:cs="Times New Roman"/>
                <w:szCs w:val="24"/>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14:paraId="62215483">
            <w:pPr>
              <w:spacing w:line="288" w:lineRule="auto"/>
              <w:jc w:val="center"/>
              <w:rPr>
                <w:rFonts w:ascii="Times New Roman" w:hAnsi="Times New Roman" w:eastAsia="宋体" w:cs="Times New Roman"/>
                <w:b/>
                <w:szCs w:val="24"/>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33B4226C">
            <w:pPr>
              <w:spacing w:line="288" w:lineRule="auto"/>
              <w:jc w:val="center"/>
              <w:rPr>
                <w:rFonts w:ascii="Times New Roman" w:hAnsi="Times New Roman" w:eastAsia="宋体" w:cs="Times New Roman"/>
                <w:b/>
                <w:szCs w:val="24"/>
              </w:rPr>
            </w:pPr>
          </w:p>
        </w:tc>
        <w:tc>
          <w:tcPr>
            <w:tcW w:w="1131" w:type="dxa"/>
            <w:tcBorders>
              <w:top w:val="single" w:color="auto" w:sz="4" w:space="0"/>
              <w:left w:val="single" w:color="auto" w:sz="4" w:space="0"/>
              <w:bottom w:val="single" w:color="auto" w:sz="4" w:space="0"/>
              <w:right w:val="single" w:color="auto" w:sz="4" w:space="0"/>
              <w:tl2br w:val="nil"/>
              <w:tr2bl w:val="nil"/>
            </w:tcBorders>
            <w:vAlign w:val="center"/>
          </w:tcPr>
          <w:p w14:paraId="2099543D">
            <w:pPr>
              <w:spacing w:line="288" w:lineRule="auto"/>
              <w:jc w:val="center"/>
              <w:rPr>
                <w:rFonts w:ascii="Times New Roman" w:hAnsi="Times New Roman" w:eastAsia="宋体" w:cs="Times New Roman"/>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35417B2F">
            <w:pPr>
              <w:spacing w:line="288" w:lineRule="auto"/>
              <w:jc w:val="center"/>
              <w:textAlignment w:val="center"/>
              <w:rPr>
                <w:rFonts w:hint="eastAsia" w:ascii="宋体" w:hAnsi="宋体" w:eastAsia="宋体" w:cs="Times New Roman"/>
                <w:kern w:val="0"/>
                <w:szCs w:val="24"/>
              </w:rPr>
            </w:pPr>
          </w:p>
        </w:tc>
        <w:tc>
          <w:tcPr>
            <w:tcW w:w="853" w:type="dxa"/>
            <w:tcBorders>
              <w:top w:val="single" w:color="auto" w:sz="4" w:space="0"/>
              <w:left w:val="single" w:color="auto" w:sz="4" w:space="0"/>
              <w:bottom w:val="single" w:color="auto" w:sz="4" w:space="0"/>
              <w:right w:val="single" w:color="auto" w:sz="4" w:space="0"/>
              <w:tl2br w:val="nil"/>
              <w:tr2bl w:val="nil"/>
            </w:tcBorders>
            <w:vAlign w:val="center"/>
          </w:tcPr>
          <w:p w14:paraId="2C1F7771">
            <w:pPr>
              <w:spacing w:line="288" w:lineRule="auto"/>
              <w:jc w:val="center"/>
              <w:rPr>
                <w:rFonts w:ascii="Times New Roman" w:hAnsi="Times New Roman" w:eastAsia="宋体" w:cs="Times New Roman"/>
                <w:szCs w:val="24"/>
              </w:rPr>
            </w:pP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14:paraId="4E35FAD3">
            <w:pPr>
              <w:spacing w:line="288" w:lineRule="auto"/>
              <w:jc w:val="center"/>
              <w:rPr>
                <w:rFonts w:ascii="Times New Roman" w:hAnsi="Times New Roman" w:eastAsia="宋体" w:cs="Times New Roman"/>
                <w:szCs w:val="24"/>
              </w:rPr>
            </w:pPr>
          </w:p>
        </w:tc>
        <w:tc>
          <w:tcPr>
            <w:tcW w:w="850" w:type="dxa"/>
            <w:tcBorders>
              <w:top w:val="single" w:color="auto" w:sz="4" w:space="0"/>
              <w:left w:val="single" w:color="auto" w:sz="4" w:space="0"/>
              <w:bottom w:val="single" w:color="auto" w:sz="4" w:space="0"/>
              <w:right w:val="single" w:color="auto" w:sz="4" w:space="0"/>
              <w:tl2br w:val="nil"/>
              <w:tr2bl w:val="nil"/>
            </w:tcBorders>
            <w:vAlign w:val="center"/>
          </w:tcPr>
          <w:p w14:paraId="07E44327">
            <w:pPr>
              <w:spacing w:line="288" w:lineRule="auto"/>
              <w:jc w:val="center"/>
              <w:rPr>
                <w:rFonts w:ascii="Times New Roman" w:hAnsi="Times New Roman" w:eastAsia="宋体" w:cs="Times New Roman"/>
                <w:szCs w:val="24"/>
              </w:rPr>
            </w:pPr>
          </w:p>
        </w:tc>
        <w:tc>
          <w:tcPr>
            <w:tcW w:w="848" w:type="dxa"/>
            <w:tcBorders>
              <w:top w:val="single" w:color="auto" w:sz="4" w:space="0"/>
              <w:left w:val="single" w:color="auto" w:sz="4" w:space="0"/>
              <w:bottom w:val="single" w:color="auto" w:sz="4" w:space="0"/>
              <w:right w:val="single" w:color="auto" w:sz="4" w:space="0"/>
              <w:tl2br w:val="nil"/>
              <w:tr2bl w:val="nil"/>
            </w:tcBorders>
            <w:vAlign w:val="center"/>
          </w:tcPr>
          <w:p w14:paraId="5AF0E21E">
            <w:pPr>
              <w:spacing w:line="288" w:lineRule="auto"/>
              <w:jc w:val="center"/>
              <w:rPr>
                <w:rFonts w:ascii="Times New Roman" w:hAnsi="Times New Roman" w:eastAsia="宋体" w:cs="Times New Roman"/>
                <w:szCs w:val="24"/>
              </w:rPr>
            </w:pPr>
          </w:p>
        </w:tc>
      </w:tr>
      <w:tr w14:paraId="795C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62786C30">
            <w:pPr>
              <w:spacing w:line="288" w:lineRule="auto"/>
              <w:jc w:val="center"/>
              <w:rPr>
                <w:rFonts w:ascii="Times New Roman" w:hAnsi="Times New Roman" w:eastAsia="宋体" w:cs="Times New Roman"/>
                <w:szCs w:val="24"/>
              </w:rPr>
            </w:pPr>
            <w:r>
              <w:rPr>
                <w:rFonts w:hint="eastAsia" w:ascii="宋体" w:hAnsi="宋体" w:eastAsia="宋体" w:cs="Times New Roman"/>
                <w:szCs w:val="24"/>
              </w:rPr>
              <w:t>6</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14:paraId="40DB5F67">
            <w:pPr>
              <w:spacing w:line="288" w:lineRule="auto"/>
              <w:jc w:val="center"/>
              <w:rPr>
                <w:rFonts w:ascii="Times New Roman" w:hAnsi="Times New Roman" w:eastAsia="宋体" w:cs="Times New Roman"/>
                <w:szCs w:val="24"/>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14:paraId="3AE7D6D3">
            <w:pPr>
              <w:spacing w:line="288" w:lineRule="auto"/>
              <w:jc w:val="center"/>
              <w:rPr>
                <w:rFonts w:ascii="Times New Roman" w:hAnsi="Times New Roman" w:eastAsia="宋体" w:cs="Times New Roman"/>
                <w:b/>
                <w:szCs w:val="24"/>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6B291F69">
            <w:pPr>
              <w:spacing w:line="288" w:lineRule="auto"/>
              <w:jc w:val="center"/>
              <w:rPr>
                <w:rFonts w:ascii="Times New Roman" w:hAnsi="Times New Roman" w:eastAsia="宋体" w:cs="Times New Roman"/>
                <w:b/>
                <w:szCs w:val="24"/>
              </w:rPr>
            </w:pPr>
          </w:p>
        </w:tc>
        <w:tc>
          <w:tcPr>
            <w:tcW w:w="1131" w:type="dxa"/>
            <w:tcBorders>
              <w:top w:val="single" w:color="auto" w:sz="4" w:space="0"/>
              <w:left w:val="single" w:color="auto" w:sz="4" w:space="0"/>
              <w:bottom w:val="single" w:color="auto" w:sz="4" w:space="0"/>
              <w:right w:val="single" w:color="auto" w:sz="4" w:space="0"/>
              <w:tl2br w:val="nil"/>
              <w:tr2bl w:val="nil"/>
            </w:tcBorders>
            <w:vAlign w:val="center"/>
          </w:tcPr>
          <w:p w14:paraId="23A6F948">
            <w:pPr>
              <w:spacing w:line="288" w:lineRule="auto"/>
              <w:jc w:val="center"/>
              <w:rPr>
                <w:rFonts w:ascii="Times New Roman" w:hAnsi="Times New Roman" w:eastAsia="宋体" w:cs="Times New Roman"/>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57B5F5A1">
            <w:pPr>
              <w:spacing w:line="288" w:lineRule="auto"/>
              <w:jc w:val="center"/>
              <w:textAlignment w:val="center"/>
              <w:rPr>
                <w:rFonts w:hint="eastAsia" w:ascii="宋体" w:hAnsi="宋体" w:eastAsia="宋体" w:cs="Times New Roman"/>
                <w:kern w:val="0"/>
                <w:szCs w:val="24"/>
              </w:rPr>
            </w:pPr>
          </w:p>
        </w:tc>
        <w:tc>
          <w:tcPr>
            <w:tcW w:w="853" w:type="dxa"/>
            <w:tcBorders>
              <w:top w:val="single" w:color="auto" w:sz="4" w:space="0"/>
              <w:left w:val="single" w:color="auto" w:sz="4" w:space="0"/>
              <w:bottom w:val="single" w:color="auto" w:sz="4" w:space="0"/>
              <w:right w:val="single" w:color="auto" w:sz="4" w:space="0"/>
              <w:tl2br w:val="nil"/>
              <w:tr2bl w:val="nil"/>
            </w:tcBorders>
            <w:vAlign w:val="center"/>
          </w:tcPr>
          <w:p w14:paraId="7A9CFD59">
            <w:pPr>
              <w:spacing w:line="288" w:lineRule="auto"/>
              <w:jc w:val="center"/>
              <w:rPr>
                <w:rFonts w:ascii="Times New Roman" w:hAnsi="Times New Roman" w:eastAsia="宋体" w:cs="Times New Roman"/>
                <w:szCs w:val="24"/>
              </w:rPr>
            </w:pP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14:paraId="73B033B1">
            <w:pPr>
              <w:spacing w:line="288" w:lineRule="auto"/>
              <w:jc w:val="center"/>
              <w:rPr>
                <w:rFonts w:ascii="Times New Roman" w:hAnsi="Times New Roman" w:eastAsia="宋体" w:cs="Times New Roman"/>
                <w:szCs w:val="24"/>
              </w:rPr>
            </w:pPr>
          </w:p>
        </w:tc>
        <w:tc>
          <w:tcPr>
            <w:tcW w:w="850" w:type="dxa"/>
            <w:tcBorders>
              <w:top w:val="single" w:color="auto" w:sz="4" w:space="0"/>
              <w:left w:val="single" w:color="auto" w:sz="4" w:space="0"/>
              <w:bottom w:val="single" w:color="auto" w:sz="4" w:space="0"/>
              <w:right w:val="single" w:color="auto" w:sz="4" w:space="0"/>
              <w:tl2br w:val="nil"/>
              <w:tr2bl w:val="nil"/>
            </w:tcBorders>
            <w:vAlign w:val="center"/>
          </w:tcPr>
          <w:p w14:paraId="49BC10F3">
            <w:pPr>
              <w:spacing w:line="288" w:lineRule="auto"/>
              <w:jc w:val="center"/>
              <w:rPr>
                <w:rFonts w:ascii="Times New Roman" w:hAnsi="Times New Roman" w:eastAsia="宋体" w:cs="Times New Roman"/>
                <w:szCs w:val="24"/>
              </w:rPr>
            </w:pPr>
          </w:p>
        </w:tc>
        <w:tc>
          <w:tcPr>
            <w:tcW w:w="848" w:type="dxa"/>
            <w:tcBorders>
              <w:top w:val="single" w:color="auto" w:sz="4" w:space="0"/>
              <w:left w:val="single" w:color="auto" w:sz="4" w:space="0"/>
              <w:bottom w:val="single" w:color="auto" w:sz="4" w:space="0"/>
              <w:right w:val="single" w:color="auto" w:sz="4" w:space="0"/>
              <w:tl2br w:val="nil"/>
              <w:tr2bl w:val="nil"/>
            </w:tcBorders>
            <w:vAlign w:val="center"/>
          </w:tcPr>
          <w:p w14:paraId="4EE319A9">
            <w:pPr>
              <w:spacing w:line="288" w:lineRule="auto"/>
              <w:jc w:val="center"/>
              <w:rPr>
                <w:rFonts w:ascii="Times New Roman" w:hAnsi="Times New Roman" w:eastAsia="宋体" w:cs="Times New Roman"/>
                <w:szCs w:val="24"/>
              </w:rPr>
            </w:pPr>
          </w:p>
        </w:tc>
      </w:tr>
      <w:tr w14:paraId="3210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64B61A56">
            <w:pPr>
              <w:spacing w:line="288" w:lineRule="auto"/>
              <w:jc w:val="center"/>
              <w:rPr>
                <w:rFonts w:ascii="Times New Roman" w:hAnsi="Times New Roman" w:eastAsia="宋体" w:cs="Times New Roman"/>
                <w:szCs w:val="24"/>
              </w:rPr>
            </w:pPr>
            <w:r>
              <w:rPr>
                <w:rFonts w:hint="eastAsia" w:ascii="宋体" w:hAnsi="宋体" w:eastAsia="宋体" w:cs="Times New Roman"/>
                <w:szCs w:val="24"/>
              </w:rPr>
              <w:t>合计</w:t>
            </w:r>
          </w:p>
        </w:tc>
        <w:tc>
          <w:tcPr>
            <w:tcW w:w="8941" w:type="dxa"/>
            <w:gridSpan w:val="10"/>
            <w:tcBorders>
              <w:top w:val="single" w:color="auto" w:sz="4" w:space="0"/>
              <w:left w:val="single" w:color="auto" w:sz="4" w:space="0"/>
              <w:bottom w:val="single" w:color="auto" w:sz="4" w:space="0"/>
              <w:right w:val="single" w:color="auto" w:sz="4" w:space="0"/>
              <w:tl2br w:val="nil"/>
              <w:tr2bl w:val="nil"/>
            </w:tcBorders>
            <w:vAlign w:val="center"/>
          </w:tcPr>
          <w:p w14:paraId="391D3F44">
            <w:pPr>
              <w:widowControl/>
              <w:spacing w:line="288" w:lineRule="auto"/>
              <w:jc w:val="center"/>
              <w:rPr>
                <w:rFonts w:ascii="宋体" w:hAnsi="Times New Roman" w:eastAsia="Times New Roman" w:cs="Times New Roman"/>
                <w:sz w:val="22"/>
                <w:szCs w:val="24"/>
              </w:rPr>
            </w:pPr>
            <w:r>
              <w:rPr>
                <w:rFonts w:hint="eastAsia" w:ascii="宋体" w:hAnsi="Times New Roman" w:eastAsia="宋体" w:cs="Times New Roman"/>
                <w:sz w:val="22"/>
                <w:szCs w:val="24"/>
              </w:rPr>
              <w:t>人民币大写：                               小写：</w:t>
            </w:r>
          </w:p>
        </w:tc>
      </w:tr>
    </w:tbl>
    <w:p w14:paraId="4E955DBF">
      <w:pPr>
        <w:spacing w:line="288" w:lineRule="auto"/>
        <w:ind w:firstLine="420" w:firstLineChars="200"/>
        <w:rPr>
          <w:rFonts w:ascii="Times New Roman" w:hAnsi="Times New Roman" w:eastAsia="宋体" w:cs="Times New Roman"/>
          <w:szCs w:val="24"/>
        </w:rPr>
      </w:pPr>
      <w:r>
        <w:rPr>
          <w:rFonts w:hint="eastAsia" w:ascii="宋体" w:hAnsi="宋体" w:eastAsia="宋体" w:cs="Times New Roman"/>
          <w:szCs w:val="24"/>
        </w:rPr>
        <w:t>1.产品详细配置清单详见投标文件和承诺表。</w:t>
      </w:r>
    </w:p>
    <w:p w14:paraId="533A3ACF">
      <w:pPr>
        <w:spacing w:line="288" w:lineRule="auto"/>
        <w:ind w:firstLine="420" w:firstLineChars="200"/>
        <w:rPr>
          <w:rFonts w:ascii="Times New Roman" w:hAnsi="Times New Roman" w:eastAsia="宋体" w:cs="Times New Roman"/>
          <w:szCs w:val="24"/>
        </w:rPr>
      </w:pPr>
      <w:r>
        <w:rPr>
          <w:rFonts w:hint="eastAsia" w:ascii="宋体" w:hAnsi="宋体" w:eastAsia="宋体" w:cs="Times New Roman"/>
          <w:szCs w:val="24"/>
        </w:rPr>
        <w:t>2.美元与人民币的比价为：    。以上合同总价包括运抵各使用实验室的运费、安装调试费及外贸代理等一切费用。</w:t>
      </w:r>
    </w:p>
    <w:p w14:paraId="7BEEE98B">
      <w:pPr>
        <w:spacing w:line="288" w:lineRule="auto"/>
        <w:ind w:firstLine="420" w:firstLineChars="200"/>
        <w:rPr>
          <w:rFonts w:ascii="Times New Roman" w:hAnsi="Times New Roman" w:eastAsia="宋体" w:cs="Times New Roman"/>
          <w:szCs w:val="24"/>
        </w:rPr>
      </w:pPr>
      <w:r>
        <w:rPr>
          <w:rFonts w:hint="eastAsia" w:ascii="宋体" w:hAnsi="宋体" w:eastAsia="宋体" w:cs="Times New Roman"/>
          <w:szCs w:val="24"/>
        </w:rPr>
        <w:t>三、三方的权利和义务：</w:t>
      </w:r>
    </w:p>
    <w:p w14:paraId="17826B3D">
      <w:pPr>
        <w:spacing w:line="288" w:lineRule="auto"/>
        <w:ind w:firstLine="420" w:firstLineChars="200"/>
        <w:rPr>
          <w:rFonts w:ascii="Times New Roman" w:hAnsi="Times New Roman" w:eastAsia="宋体" w:cs="Times New Roman"/>
          <w:szCs w:val="24"/>
        </w:rPr>
      </w:pPr>
      <w:r>
        <w:rPr>
          <w:rFonts w:hint="eastAsia" w:ascii="宋体" w:hAnsi="宋体" w:eastAsia="宋体" w:cs="Times New Roman"/>
          <w:szCs w:val="24"/>
        </w:rPr>
        <w:t>甲方：</w:t>
      </w:r>
    </w:p>
    <w:p w14:paraId="0158D2D0">
      <w:pPr>
        <w:spacing w:line="288" w:lineRule="auto"/>
        <w:ind w:firstLine="420" w:firstLineChars="200"/>
        <w:rPr>
          <w:rFonts w:ascii="Times New Roman" w:hAnsi="Times New Roman" w:eastAsia="宋体" w:cs="Times New Roman"/>
          <w:szCs w:val="24"/>
        </w:rPr>
      </w:pPr>
      <w:r>
        <w:rPr>
          <w:rFonts w:hint="eastAsia" w:ascii="宋体" w:hAnsi="宋体" w:eastAsia="宋体" w:cs="Times New Roman"/>
          <w:szCs w:val="24"/>
        </w:rPr>
        <w:t>1．提供《机电产品许可证》和《进出口货物征免税证明)》和其它进口必需的批件，并对其真实性负责。</w:t>
      </w:r>
    </w:p>
    <w:p w14:paraId="479C2C43">
      <w:pPr>
        <w:spacing w:line="288" w:lineRule="auto"/>
        <w:ind w:firstLine="420" w:firstLineChars="200"/>
        <w:rPr>
          <w:rFonts w:ascii="Times New Roman" w:hAnsi="Times New Roman" w:eastAsia="宋体" w:cs="Times New Roman"/>
          <w:szCs w:val="24"/>
        </w:rPr>
      </w:pPr>
      <w:r>
        <w:rPr>
          <w:rFonts w:hint="eastAsia" w:ascii="宋体" w:hAnsi="宋体" w:eastAsia="宋体" w:cs="Times New Roman"/>
          <w:szCs w:val="24"/>
        </w:rPr>
        <w:t>2．甲方在收到乙方的履约保证金后，见单后支付100%给丙方。</w:t>
      </w:r>
    </w:p>
    <w:p w14:paraId="4D5AD0BF">
      <w:pPr>
        <w:spacing w:line="288" w:lineRule="auto"/>
        <w:ind w:firstLine="420" w:firstLineChars="200"/>
        <w:rPr>
          <w:rFonts w:hint="eastAsia" w:ascii="宋体" w:hAnsi="宋体" w:eastAsia="宋体" w:cs="Times New Roman"/>
          <w:szCs w:val="24"/>
        </w:rPr>
      </w:pPr>
      <w:r>
        <w:rPr>
          <w:rFonts w:hint="eastAsia" w:ascii="宋体" w:hAnsi="宋体" w:eastAsia="宋体" w:cs="Times New Roman"/>
          <w:szCs w:val="24"/>
        </w:rPr>
        <w:t>乙方：</w:t>
      </w:r>
    </w:p>
    <w:p w14:paraId="3006FC7D">
      <w:pPr>
        <w:spacing w:line="288" w:lineRule="auto"/>
        <w:ind w:firstLine="420" w:firstLineChars="200"/>
        <w:rPr>
          <w:rFonts w:ascii="Times New Roman" w:hAnsi="Times New Roman" w:eastAsia="宋体" w:cs="Times New Roman"/>
          <w:szCs w:val="24"/>
        </w:rPr>
      </w:pPr>
      <w:r>
        <w:rPr>
          <w:rFonts w:hint="eastAsia" w:ascii="宋体" w:hAnsi="宋体" w:eastAsia="宋体" w:cs="Times New Roman"/>
          <w:szCs w:val="24"/>
        </w:rPr>
        <w:t>1．确认进口货物的配置和合同价格，提供与所签合同相关的资料，以确保合同及时签订及合同货物到达时的顺利进关；</w:t>
      </w:r>
    </w:p>
    <w:p w14:paraId="17111DBB">
      <w:pPr>
        <w:spacing w:line="288" w:lineRule="auto"/>
        <w:ind w:firstLine="420" w:firstLineChars="200"/>
        <w:rPr>
          <w:rFonts w:ascii="Times New Roman" w:hAnsi="Times New Roman" w:eastAsia="宋体" w:cs="Times New Roman"/>
          <w:szCs w:val="24"/>
        </w:rPr>
      </w:pPr>
      <w:r>
        <w:rPr>
          <w:rFonts w:hint="eastAsia" w:ascii="宋体" w:hAnsi="宋体" w:eastAsia="宋体" w:cs="Times New Roman"/>
          <w:szCs w:val="24"/>
        </w:rPr>
        <w:t>丙方：</w:t>
      </w:r>
    </w:p>
    <w:p w14:paraId="06AE4C01">
      <w:pPr>
        <w:spacing w:line="288" w:lineRule="auto"/>
        <w:ind w:firstLine="420" w:firstLineChars="200"/>
        <w:rPr>
          <w:rFonts w:ascii="Times New Roman" w:hAnsi="Times New Roman" w:eastAsia="宋体" w:cs="Times New Roman"/>
          <w:szCs w:val="24"/>
        </w:rPr>
      </w:pPr>
      <w:r>
        <w:rPr>
          <w:rFonts w:hint="eastAsia" w:ascii="宋体" w:hAnsi="宋体" w:eastAsia="宋体" w:cs="Times New Roman"/>
          <w:szCs w:val="24"/>
        </w:rPr>
        <w:t>1．负责制作并对外签订合同，协助商谈运输方式、到货地点。</w:t>
      </w:r>
    </w:p>
    <w:p w14:paraId="67A67743">
      <w:pPr>
        <w:spacing w:line="288" w:lineRule="auto"/>
        <w:ind w:firstLine="420" w:firstLineChars="200"/>
        <w:rPr>
          <w:rFonts w:ascii="Times New Roman" w:hAnsi="Times New Roman" w:eastAsia="宋体" w:cs="Times New Roman"/>
          <w:szCs w:val="24"/>
        </w:rPr>
      </w:pPr>
      <w:r>
        <w:rPr>
          <w:rFonts w:hint="eastAsia" w:ascii="宋体" w:hAnsi="宋体" w:eastAsia="宋体" w:cs="Times New Roman"/>
          <w:szCs w:val="24"/>
        </w:rPr>
        <w:t>2．负责代办《机电产品进口申请表》和《进出口货物征免税证明》．</w:t>
      </w:r>
    </w:p>
    <w:p w14:paraId="783A2851">
      <w:pPr>
        <w:spacing w:line="288" w:lineRule="auto"/>
        <w:ind w:firstLine="420" w:firstLineChars="200"/>
        <w:rPr>
          <w:rFonts w:ascii="Times New Roman" w:hAnsi="Times New Roman" w:eastAsia="宋体" w:cs="Times New Roman"/>
          <w:szCs w:val="24"/>
        </w:rPr>
      </w:pPr>
      <w:r>
        <w:rPr>
          <w:rFonts w:hint="eastAsia" w:ascii="宋体" w:hAnsi="宋体" w:eastAsia="宋体" w:cs="Times New Roman"/>
          <w:szCs w:val="24"/>
        </w:rPr>
        <w:t>3．负责办理法定商捡、对外承付货款，办理进口报关，通知并进货上门。</w:t>
      </w:r>
    </w:p>
    <w:p w14:paraId="6A29A99A">
      <w:pPr>
        <w:spacing w:line="288" w:lineRule="auto"/>
        <w:ind w:firstLine="420" w:firstLineChars="200"/>
        <w:rPr>
          <w:rFonts w:ascii="Times New Roman" w:hAnsi="Times New Roman" w:eastAsia="宋体" w:cs="Times New Roman"/>
          <w:szCs w:val="24"/>
        </w:rPr>
      </w:pPr>
      <w:r>
        <w:rPr>
          <w:rFonts w:hint="eastAsia" w:ascii="宋体" w:hAnsi="宋体" w:eastAsia="宋体" w:cs="Times New Roman"/>
          <w:szCs w:val="24"/>
        </w:rPr>
        <w:t>四、本协议甲方五份</w:t>
      </w:r>
      <w:r>
        <w:rPr>
          <w:rFonts w:hint="eastAsia" w:ascii="Times New Roman" w:hAnsi="Times New Roman" w:eastAsia="宋体" w:cs="Times New Roman"/>
          <w:szCs w:val="24"/>
        </w:rPr>
        <w:t>，</w:t>
      </w:r>
      <w:r>
        <w:rPr>
          <w:rFonts w:hint="eastAsia" w:ascii="宋体" w:hAnsi="宋体" w:eastAsia="宋体" w:cs="Times New Roman"/>
          <w:szCs w:val="24"/>
        </w:rPr>
        <w:t>乙、丙方各执一份。未尽事宜，三方协商解决。</w:t>
      </w:r>
    </w:p>
    <w:p w14:paraId="5B5C74A7">
      <w:pPr>
        <w:spacing w:line="288" w:lineRule="auto"/>
        <w:ind w:firstLine="420" w:firstLineChars="200"/>
        <w:rPr>
          <w:rFonts w:ascii="Times New Roman" w:hAnsi="Times New Roman" w:eastAsia="宋体" w:cs="Times New Roman"/>
          <w:szCs w:val="24"/>
        </w:rPr>
      </w:pPr>
      <w:r>
        <w:rPr>
          <w:rFonts w:hint="eastAsia" w:ascii="宋体" w:hAnsi="宋体" w:eastAsia="宋体" w:cs="Times New Roman"/>
          <w:szCs w:val="24"/>
        </w:rPr>
        <w:t>五、该合同有效期至2024年   月    日</w:t>
      </w:r>
    </w:p>
    <w:p w14:paraId="04F4003D">
      <w:pPr>
        <w:spacing w:line="288" w:lineRule="auto"/>
        <w:ind w:firstLine="420" w:firstLineChars="200"/>
        <w:jc w:val="center"/>
        <w:rPr>
          <w:rFonts w:ascii="Times New Roman" w:hAnsi="Times New Roman" w:eastAsia="宋体" w:cs="Times New Roman"/>
          <w:szCs w:val="24"/>
        </w:rPr>
      </w:pPr>
    </w:p>
    <w:p w14:paraId="1FB9E846">
      <w:pPr>
        <w:spacing w:line="288" w:lineRule="auto"/>
        <w:ind w:firstLine="422" w:firstLineChars="200"/>
        <w:rPr>
          <w:rFonts w:hint="eastAsia" w:ascii="宋体" w:hAnsi="宋体" w:eastAsia="宋体" w:cs="宋体"/>
          <w:bCs/>
          <w:kern w:val="1"/>
          <w:szCs w:val="21"/>
        </w:rPr>
      </w:pPr>
      <w:r>
        <w:rPr>
          <w:rFonts w:hint="eastAsia" w:ascii="宋体" w:hAnsi="宋体" w:eastAsia="宋体" w:cs="宋体"/>
          <w:b/>
          <w:kern w:val="1"/>
          <w:szCs w:val="21"/>
        </w:rPr>
        <w:t>甲方（盖章）</w:t>
      </w:r>
      <w:r>
        <w:rPr>
          <w:rFonts w:hint="eastAsia" w:ascii="宋体" w:hAnsi="宋体" w:eastAsia="宋体" w:cs="宋体"/>
          <w:bCs/>
          <w:kern w:val="1"/>
          <w:szCs w:val="21"/>
        </w:rPr>
        <w:t xml:space="preserve">：浙江农林大学                       </w:t>
      </w:r>
      <w:r>
        <w:rPr>
          <w:rFonts w:hint="eastAsia" w:ascii="宋体" w:hAnsi="宋体" w:eastAsia="宋体" w:cs="宋体"/>
          <w:b/>
          <w:kern w:val="1"/>
          <w:szCs w:val="21"/>
        </w:rPr>
        <w:t>乙方（盖章）</w:t>
      </w:r>
      <w:r>
        <w:rPr>
          <w:rFonts w:hint="eastAsia" w:ascii="宋体" w:hAnsi="宋体" w:eastAsia="宋体" w:cs="宋体"/>
          <w:bCs/>
          <w:kern w:val="1"/>
          <w:szCs w:val="21"/>
        </w:rPr>
        <w:t>：</w:t>
      </w:r>
    </w:p>
    <w:p w14:paraId="3A107D2D">
      <w:pPr>
        <w:spacing w:line="288" w:lineRule="auto"/>
        <w:ind w:firstLine="420" w:firstLineChars="200"/>
        <w:rPr>
          <w:rFonts w:hint="eastAsia" w:ascii="宋体" w:hAnsi="宋体" w:eastAsia="宋体" w:cs="宋体"/>
          <w:bCs/>
          <w:kern w:val="1"/>
          <w:szCs w:val="21"/>
        </w:rPr>
      </w:pPr>
      <w:r>
        <w:rPr>
          <w:rFonts w:hint="eastAsia" w:ascii="宋体" w:hAnsi="宋体" w:eastAsia="宋体" w:cs="宋体"/>
          <w:bCs/>
          <w:kern w:val="1"/>
          <w:szCs w:val="21"/>
        </w:rPr>
        <w:t>法定代表人或受委托人：                           法定代表人或受委托人：</w:t>
      </w:r>
    </w:p>
    <w:p w14:paraId="259F0695">
      <w:pPr>
        <w:spacing w:line="288" w:lineRule="auto"/>
        <w:ind w:firstLine="420" w:firstLineChars="200"/>
        <w:rPr>
          <w:rFonts w:hint="eastAsia" w:ascii="宋体" w:hAnsi="宋体" w:eastAsia="宋体" w:cs="宋体"/>
          <w:bCs/>
          <w:kern w:val="1"/>
          <w:szCs w:val="21"/>
        </w:rPr>
      </w:pPr>
      <w:r>
        <w:rPr>
          <w:rFonts w:hint="eastAsia" w:ascii="宋体" w:hAnsi="宋体" w:eastAsia="宋体" w:cs="宋体"/>
          <w:bCs/>
          <w:kern w:val="1"/>
          <w:szCs w:val="21"/>
        </w:rPr>
        <w:t>（签字）                                        （签字）</w:t>
      </w:r>
    </w:p>
    <w:p w14:paraId="60CC56CC">
      <w:pPr>
        <w:spacing w:line="288" w:lineRule="auto"/>
        <w:ind w:firstLine="420" w:firstLineChars="200"/>
        <w:rPr>
          <w:rFonts w:hint="eastAsia" w:ascii="宋体" w:hAnsi="宋体" w:eastAsia="宋体" w:cs="宋体"/>
          <w:bCs/>
          <w:kern w:val="1"/>
          <w:szCs w:val="21"/>
        </w:rPr>
      </w:pPr>
      <w:r>
        <w:rPr>
          <w:rFonts w:hint="eastAsia" w:ascii="宋体" w:hAnsi="宋体" w:eastAsia="宋体" w:cs="宋体"/>
          <w:bCs/>
          <w:kern w:val="1"/>
          <w:szCs w:val="21"/>
        </w:rPr>
        <w:t>地址：浙江省杭州市临安区武肃街666号              地址：</w:t>
      </w:r>
    </w:p>
    <w:p w14:paraId="1A2AB3B1">
      <w:pPr>
        <w:spacing w:line="288" w:lineRule="auto"/>
        <w:ind w:firstLine="420" w:firstLineChars="200"/>
        <w:rPr>
          <w:rFonts w:hint="eastAsia" w:ascii="宋体" w:hAnsi="宋体" w:eastAsia="宋体" w:cs="宋体"/>
          <w:bCs/>
          <w:kern w:val="1"/>
          <w:szCs w:val="21"/>
        </w:rPr>
      </w:pPr>
      <w:r>
        <w:rPr>
          <w:rFonts w:hint="eastAsia" w:ascii="宋体" w:hAnsi="宋体" w:eastAsia="宋体" w:cs="宋体"/>
          <w:bCs/>
          <w:kern w:val="1"/>
          <w:szCs w:val="21"/>
        </w:rPr>
        <w:t>邮编：311300                                     邮编：</w:t>
      </w:r>
    </w:p>
    <w:p w14:paraId="733C5022">
      <w:pPr>
        <w:spacing w:line="288" w:lineRule="auto"/>
        <w:ind w:firstLine="420" w:firstLineChars="200"/>
        <w:rPr>
          <w:rFonts w:hint="eastAsia" w:ascii="宋体" w:hAnsi="宋体" w:eastAsia="宋体" w:cs="宋体"/>
          <w:bCs/>
          <w:kern w:val="1"/>
          <w:szCs w:val="21"/>
        </w:rPr>
      </w:pPr>
      <w:r>
        <w:rPr>
          <w:rFonts w:hint="eastAsia" w:ascii="宋体" w:hAnsi="宋体" w:eastAsia="宋体" w:cs="宋体"/>
          <w:bCs/>
          <w:kern w:val="1"/>
          <w:szCs w:val="21"/>
        </w:rPr>
        <w:t>电话：0571-63740897                              电话：</w:t>
      </w:r>
    </w:p>
    <w:p w14:paraId="6BDB2973">
      <w:pPr>
        <w:spacing w:line="288" w:lineRule="auto"/>
        <w:ind w:firstLine="420" w:firstLineChars="200"/>
        <w:rPr>
          <w:rFonts w:hint="eastAsia" w:ascii="宋体" w:hAnsi="宋体" w:eastAsia="宋体" w:cs="宋体"/>
          <w:bCs/>
          <w:kern w:val="1"/>
          <w:szCs w:val="21"/>
        </w:rPr>
      </w:pPr>
      <w:r>
        <w:rPr>
          <w:rFonts w:hint="eastAsia" w:ascii="宋体" w:hAnsi="宋体" w:eastAsia="宋体" w:cs="宋体"/>
          <w:bCs/>
          <w:kern w:val="1"/>
          <w:szCs w:val="21"/>
        </w:rPr>
        <w:t xml:space="preserve">户名：浙江农林大学                               户名： </w:t>
      </w:r>
    </w:p>
    <w:p w14:paraId="51D21FC8">
      <w:pPr>
        <w:spacing w:line="288" w:lineRule="auto"/>
        <w:ind w:firstLine="420" w:firstLineChars="200"/>
        <w:rPr>
          <w:rFonts w:hint="eastAsia" w:ascii="宋体" w:hAnsi="宋体" w:eastAsia="宋体" w:cs="宋体"/>
          <w:bCs/>
          <w:kern w:val="1"/>
          <w:szCs w:val="21"/>
        </w:rPr>
      </w:pPr>
      <w:r>
        <w:rPr>
          <w:rFonts w:hint="eastAsia" w:ascii="宋体" w:hAnsi="宋体" w:eastAsia="宋体" w:cs="宋体"/>
          <w:bCs/>
          <w:kern w:val="1"/>
          <w:szCs w:val="21"/>
        </w:rPr>
        <w:t>开户银行：建行临安支行（行号：105331024007）     开户银行：</w:t>
      </w:r>
    </w:p>
    <w:p w14:paraId="051A1101">
      <w:pPr>
        <w:spacing w:line="288" w:lineRule="auto"/>
        <w:ind w:firstLine="420" w:firstLineChars="200"/>
        <w:rPr>
          <w:rFonts w:hint="eastAsia" w:ascii="宋体" w:hAnsi="宋体" w:eastAsia="宋体" w:cs="宋体"/>
          <w:bCs/>
          <w:kern w:val="1"/>
          <w:szCs w:val="21"/>
        </w:rPr>
      </w:pPr>
      <w:r>
        <w:rPr>
          <w:rFonts w:hint="eastAsia" w:ascii="宋体" w:hAnsi="宋体" w:eastAsia="宋体" w:cs="宋体"/>
          <w:bCs/>
          <w:kern w:val="1"/>
          <w:szCs w:val="21"/>
        </w:rPr>
        <w:t>账号：3300 1617 3350 5001 8761                   账号：</w:t>
      </w:r>
    </w:p>
    <w:p w14:paraId="540B0291">
      <w:pPr>
        <w:spacing w:line="288" w:lineRule="auto"/>
        <w:ind w:firstLine="420" w:firstLineChars="200"/>
        <w:rPr>
          <w:rFonts w:hint="eastAsia" w:ascii="宋体" w:hAnsi="宋体" w:eastAsia="宋体" w:cs="宋体"/>
          <w:bCs/>
          <w:kern w:val="1"/>
          <w:szCs w:val="21"/>
        </w:rPr>
      </w:pPr>
      <w:r>
        <w:rPr>
          <w:rFonts w:hint="eastAsia" w:ascii="宋体" w:hAnsi="宋体" w:eastAsia="宋体" w:cs="宋体"/>
          <w:bCs/>
          <w:kern w:val="1"/>
          <w:szCs w:val="21"/>
        </w:rPr>
        <w:t>纳税人识别号（统一社会信用代码）：                纳税人识别号（统一社会信用代码）：</w:t>
      </w:r>
    </w:p>
    <w:p w14:paraId="456E5F26">
      <w:pPr>
        <w:spacing w:line="288" w:lineRule="auto"/>
        <w:ind w:firstLine="420" w:firstLineChars="200"/>
        <w:rPr>
          <w:rFonts w:hint="eastAsia" w:ascii="宋体" w:hAnsi="宋体" w:eastAsia="宋体" w:cs="宋体"/>
          <w:bCs/>
          <w:kern w:val="1"/>
          <w:szCs w:val="21"/>
        </w:rPr>
      </w:pPr>
      <w:r>
        <w:rPr>
          <w:rFonts w:hint="eastAsia" w:ascii="宋体" w:hAnsi="宋体" w:eastAsia="宋体" w:cs="宋体"/>
          <w:bCs/>
          <w:kern w:val="1"/>
          <w:szCs w:val="21"/>
        </w:rPr>
        <w:t>123300004700050170</w:t>
      </w:r>
    </w:p>
    <w:p w14:paraId="364512EA">
      <w:pPr>
        <w:spacing w:line="288" w:lineRule="auto"/>
        <w:ind w:firstLine="420" w:firstLineChars="200"/>
        <w:rPr>
          <w:rFonts w:ascii="Times New Roman" w:hAnsi="Times New Roman" w:eastAsia="宋体" w:cs="Times New Roman"/>
          <w:szCs w:val="24"/>
        </w:rPr>
      </w:pPr>
      <w:r>
        <w:rPr>
          <w:rFonts w:hint="eastAsia" w:ascii="宋体" w:hAnsi="宋体" w:eastAsia="宋体" w:cs="宋体"/>
          <w:bCs/>
          <w:kern w:val="1"/>
          <w:szCs w:val="21"/>
        </w:rPr>
        <w:t>（注：所有发票需开“增值税专用发票”）</w:t>
      </w:r>
    </w:p>
    <w:p w14:paraId="12F37A3F">
      <w:pPr>
        <w:spacing w:line="288" w:lineRule="auto"/>
        <w:ind w:firstLine="420" w:firstLineChars="200"/>
        <w:rPr>
          <w:rFonts w:ascii="Times New Roman" w:hAnsi="Times New Roman" w:eastAsia="宋体" w:cs="Times New Roman"/>
          <w:szCs w:val="24"/>
        </w:rPr>
      </w:pPr>
    </w:p>
    <w:p w14:paraId="21A57132">
      <w:pPr>
        <w:spacing w:line="288" w:lineRule="auto"/>
        <w:ind w:firstLine="422" w:firstLineChars="200"/>
        <w:rPr>
          <w:rFonts w:hint="eastAsia" w:ascii="宋体" w:hAnsi="宋体" w:eastAsia="宋体" w:cs="Times New Roman"/>
          <w:spacing w:val="-6"/>
          <w:szCs w:val="24"/>
        </w:rPr>
      </w:pPr>
      <w:r>
        <w:rPr>
          <w:rFonts w:hint="eastAsia" w:ascii="宋体" w:hAnsi="宋体" w:eastAsia="宋体" w:cs="Times New Roman"/>
          <w:b/>
          <w:szCs w:val="24"/>
        </w:rPr>
        <w:t>丙方（外贸代理方）：</w:t>
      </w:r>
    </w:p>
    <w:p w14:paraId="62F44861">
      <w:pPr>
        <w:spacing w:line="288" w:lineRule="auto"/>
        <w:ind w:firstLine="420" w:firstLineChars="200"/>
        <w:rPr>
          <w:rFonts w:hint="eastAsia" w:ascii="宋体" w:hAnsi="宋体" w:eastAsia="宋体" w:cs="Times New Roman"/>
          <w:szCs w:val="24"/>
        </w:rPr>
      </w:pPr>
      <w:r>
        <w:rPr>
          <w:rFonts w:hint="eastAsia" w:ascii="宋体" w:hAnsi="宋体" w:eastAsia="宋体" w:cs="Times New Roman"/>
          <w:szCs w:val="24"/>
        </w:rPr>
        <w:t xml:space="preserve">地址： </w:t>
      </w:r>
    </w:p>
    <w:p w14:paraId="50899A70">
      <w:pPr>
        <w:spacing w:line="288" w:lineRule="auto"/>
        <w:ind w:firstLine="420" w:firstLineChars="200"/>
        <w:rPr>
          <w:rFonts w:hint="eastAsia" w:ascii="宋体" w:hAnsi="宋体" w:eastAsia="宋体" w:cs="Times New Roman"/>
          <w:szCs w:val="24"/>
        </w:rPr>
      </w:pPr>
      <w:r>
        <w:rPr>
          <w:rFonts w:hint="eastAsia" w:ascii="宋体" w:hAnsi="宋体" w:eastAsia="宋体" w:cs="Times New Roman"/>
          <w:szCs w:val="24"/>
        </w:rPr>
        <w:t xml:space="preserve">电话：          </w:t>
      </w:r>
    </w:p>
    <w:p w14:paraId="49F6956D">
      <w:pPr>
        <w:spacing w:line="288" w:lineRule="auto"/>
        <w:ind w:firstLine="420" w:firstLineChars="200"/>
        <w:rPr>
          <w:rFonts w:hint="eastAsia" w:ascii="宋体" w:hAnsi="宋体" w:eastAsia="宋体" w:cs="Times New Roman"/>
          <w:szCs w:val="24"/>
        </w:rPr>
      </w:pPr>
      <w:r>
        <w:rPr>
          <w:rFonts w:hint="eastAsia" w:ascii="宋体" w:hAnsi="宋体" w:eastAsia="宋体" w:cs="Times New Roman"/>
          <w:szCs w:val="24"/>
        </w:rPr>
        <w:t xml:space="preserve">开户银行：                       </w:t>
      </w:r>
    </w:p>
    <w:p w14:paraId="13CF4F2A">
      <w:pPr>
        <w:spacing w:line="288" w:lineRule="auto"/>
        <w:ind w:firstLine="420" w:firstLineChars="200"/>
        <w:rPr>
          <w:rFonts w:hint="eastAsia" w:ascii="宋体" w:hAnsi="宋体" w:eastAsia="宋体" w:cs="Times New Roman"/>
          <w:szCs w:val="24"/>
        </w:rPr>
      </w:pPr>
      <w:r>
        <w:rPr>
          <w:rFonts w:hint="eastAsia" w:ascii="宋体" w:hAnsi="宋体" w:eastAsia="宋体" w:cs="Times New Roman"/>
          <w:szCs w:val="24"/>
        </w:rPr>
        <w:t xml:space="preserve">帐号： </w:t>
      </w:r>
    </w:p>
    <w:p w14:paraId="131CCC90">
      <w:pPr>
        <w:spacing w:line="288" w:lineRule="auto"/>
        <w:ind w:firstLine="420" w:firstLineChars="200"/>
        <w:rPr>
          <w:rFonts w:ascii="Times New Roman" w:hAnsi="Times New Roman" w:eastAsia="宋体" w:cs="Times New Roman"/>
          <w:szCs w:val="24"/>
        </w:rPr>
      </w:pPr>
      <w:r>
        <w:rPr>
          <w:rFonts w:hint="eastAsia" w:ascii="宋体" w:hAnsi="宋体" w:eastAsia="宋体" w:cs="Times New Roman"/>
          <w:szCs w:val="24"/>
        </w:rPr>
        <w:t>授权代表：</w:t>
      </w:r>
    </w:p>
    <w:p w14:paraId="52E05CAB">
      <w:pPr>
        <w:spacing w:line="288" w:lineRule="auto"/>
        <w:ind w:firstLine="420" w:firstLineChars="200"/>
        <w:rPr>
          <w:rFonts w:hint="eastAsia" w:ascii="宋体" w:hAnsi="宋体" w:eastAsia="宋体" w:cs="Times New Roman"/>
          <w:szCs w:val="24"/>
        </w:rPr>
      </w:pPr>
    </w:p>
    <w:p w14:paraId="044FFA58">
      <w:pPr>
        <w:adjustRightInd w:val="0"/>
        <w:snapToGrid w:val="0"/>
        <w:spacing w:line="288" w:lineRule="auto"/>
        <w:ind w:firstLine="420" w:firstLineChars="200"/>
        <w:outlineLvl w:val="0"/>
        <w:rPr>
          <w:rFonts w:hint="eastAsia" w:ascii="宋体" w:hAnsi="宋体" w:eastAsia="宋体" w:cs="Times New Roman"/>
          <w:szCs w:val="24"/>
        </w:rPr>
      </w:pPr>
      <w:r>
        <w:rPr>
          <w:rFonts w:hint="eastAsia" w:ascii="宋体" w:hAnsi="宋体" w:eastAsia="宋体" w:cs="Times New Roman"/>
          <w:szCs w:val="24"/>
        </w:rPr>
        <w:t>2024年  月  日</w:t>
      </w:r>
    </w:p>
    <w:p w14:paraId="0B43BCDE">
      <w:pPr>
        <w:rPr>
          <w:rFonts w:hint="eastAsia" w:ascii="宋体" w:hAnsi="宋体" w:eastAsia="宋体" w:cs="Times New Roman"/>
          <w:szCs w:val="24"/>
        </w:rPr>
      </w:pPr>
      <w:r>
        <w:rPr>
          <w:rFonts w:hint="eastAsia" w:ascii="宋体" w:hAnsi="宋体" w:eastAsia="宋体" w:cs="Times New Roman"/>
          <w:szCs w:val="24"/>
        </w:rPr>
        <w:br w:type="page"/>
      </w:r>
    </w:p>
    <w:p w14:paraId="40B13B48">
      <w:pPr>
        <w:adjustRightInd w:val="0"/>
        <w:snapToGrid w:val="0"/>
        <w:spacing w:line="288" w:lineRule="auto"/>
        <w:jc w:val="center"/>
        <w:outlineLvl w:val="0"/>
        <w:rPr>
          <w:rFonts w:hint="eastAsia"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6A3C208E">
      <w:pPr>
        <w:adjustRightInd w:val="0"/>
        <w:snapToGrid w:val="0"/>
        <w:spacing w:line="288" w:lineRule="auto"/>
        <w:rPr>
          <w:rFonts w:hint="eastAsia" w:ascii="宋体" w:hAnsi="宋体" w:eastAsia="宋体" w:cs="Times New Roman"/>
          <w:b/>
          <w:bCs/>
          <w:spacing w:val="-6"/>
          <w:sz w:val="24"/>
          <w:szCs w:val="24"/>
        </w:rPr>
      </w:pPr>
    </w:p>
    <w:p w14:paraId="1FB9DAE7">
      <w:pPr>
        <w:adjustRightInd w:val="0"/>
        <w:snapToGrid w:val="0"/>
        <w:spacing w:line="288" w:lineRule="auto"/>
        <w:jc w:val="center"/>
        <w:rPr>
          <w:rFonts w:hint="eastAsia"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380F984D">
      <w:pPr>
        <w:adjustRightInd w:val="0"/>
        <w:snapToGrid w:val="0"/>
        <w:spacing w:line="288" w:lineRule="auto"/>
        <w:rPr>
          <w:rFonts w:hint="eastAsia" w:ascii="宋体" w:hAnsi="宋体" w:eastAsia="宋体" w:cs="Times New Roman"/>
          <w:b/>
          <w:bCs/>
          <w:spacing w:val="-6"/>
          <w:sz w:val="24"/>
          <w:szCs w:val="24"/>
        </w:rPr>
      </w:pPr>
    </w:p>
    <w:p w14:paraId="49528748">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14:paraId="7E1CAFAB">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14:paraId="2D8C1D25">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14:paraId="7346EF2D">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3）落实政府采购政策需满足的资格要求：无</w:t>
      </w:r>
    </w:p>
    <w:p w14:paraId="03529048">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4）</w:t>
      </w:r>
      <w:r>
        <w:rPr>
          <w:rFonts w:hint="eastAsia" w:ascii="宋体" w:hAnsi="宋体" w:eastAsia="宋体" w:cs="宋体"/>
          <w:bCs/>
          <w:spacing w:val="-6"/>
          <w:szCs w:val="21"/>
        </w:rPr>
        <w:t>本项目的特定资格要求证明材料：无</w:t>
      </w:r>
    </w:p>
    <w:p w14:paraId="1175C23F">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▲联合体投标的，联合体各方均应提供资格文件材料</w:t>
      </w:r>
      <w:r>
        <w:rPr>
          <w:rFonts w:ascii="宋体" w:hAnsi="宋体" w:eastAsia="宋体" w:cs="宋体"/>
          <w:bCs/>
          <w:spacing w:val="-6"/>
          <w:szCs w:val="21"/>
        </w:rPr>
        <w:t>。</w:t>
      </w:r>
    </w:p>
    <w:p w14:paraId="6DA9A52E">
      <w:pPr>
        <w:adjustRightInd w:val="0"/>
        <w:snapToGrid w:val="0"/>
        <w:spacing w:line="288" w:lineRule="auto"/>
        <w:jc w:val="left"/>
        <w:rPr>
          <w:rFonts w:hint="eastAsia" w:ascii="宋体" w:hAnsi="宋体" w:eastAsia="宋体" w:cs="宋体"/>
          <w:b/>
          <w:spacing w:val="-6"/>
          <w:szCs w:val="21"/>
        </w:rPr>
      </w:pPr>
    </w:p>
    <w:p w14:paraId="2032D2B2">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14:paraId="58C9A93D">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（1）投标函</w:t>
      </w:r>
    </w:p>
    <w:p w14:paraId="4B6E7A4D">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14:paraId="6856C073">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附：授权代表社保缴纳证明（</w:t>
      </w:r>
      <w:r>
        <w:rPr>
          <w:rFonts w:hint="eastAsia" w:ascii="宋体" w:hAnsi="宋体" w:eastAsia="宋体" w:cs="Times New Roman"/>
          <w:spacing w:val="-6"/>
          <w:szCs w:val="21"/>
        </w:rPr>
        <w:t>2024年1月（含）</w:t>
      </w:r>
      <w:r>
        <w:rPr>
          <w:rFonts w:ascii="宋体" w:hAnsi="宋体" w:eastAsia="宋体" w:cs="Times New Roman"/>
          <w:spacing w:val="-6"/>
          <w:szCs w:val="21"/>
        </w:rPr>
        <w:t>以后任意一月）</w:t>
      </w:r>
    </w:p>
    <w:p w14:paraId="6321EBDE">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14:paraId="276299AA">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4</w:t>
      </w:r>
      <w:r>
        <w:rPr>
          <w:rFonts w:hint="eastAsia" w:ascii="宋体" w:hAnsi="宋体" w:eastAsia="宋体" w:cs="宋体"/>
          <w:spacing w:val="-6"/>
          <w:szCs w:val="21"/>
        </w:rPr>
        <w:t>）采购需求偏离表</w:t>
      </w:r>
    </w:p>
    <w:p w14:paraId="0CADC575">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5</w:t>
      </w:r>
      <w:r>
        <w:rPr>
          <w:rFonts w:hint="eastAsia" w:ascii="宋体" w:hAnsi="宋体" w:eastAsia="宋体" w:cs="宋体"/>
          <w:spacing w:val="-6"/>
          <w:szCs w:val="21"/>
        </w:rPr>
        <w:t>）</w:t>
      </w:r>
      <w:r>
        <w:rPr>
          <w:rFonts w:hint="eastAsia" w:ascii="宋体" w:hAnsi="宋体" w:eastAsia="宋体" w:cs="宋体"/>
          <w:szCs w:val="21"/>
        </w:rPr>
        <w:t>货物配置清单</w:t>
      </w:r>
    </w:p>
    <w:p w14:paraId="017CE3E9">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6</w:t>
      </w:r>
      <w:r>
        <w:rPr>
          <w:rFonts w:hint="eastAsia" w:ascii="宋体" w:hAnsi="宋体" w:eastAsia="宋体" w:cs="宋体"/>
          <w:spacing w:val="-6"/>
          <w:szCs w:val="21"/>
        </w:rPr>
        <w:t>）技术方案</w:t>
      </w:r>
    </w:p>
    <w:p w14:paraId="2F402348">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）节能、环保产品证明材料</w:t>
      </w:r>
    </w:p>
    <w:p w14:paraId="4A965F7E">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（8）科技创新相关证明材料</w:t>
      </w:r>
    </w:p>
    <w:p w14:paraId="05DA3E0E">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（9</w:t>
      </w:r>
      <w:r>
        <w:rPr>
          <w:rFonts w:ascii="宋体" w:hAnsi="宋体" w:eastAsia="宋体" w:cs="宋体"/>
          <w:spacing w:val="-6"/>
          <w:szCs w:val="21"/>
        </w:rPr>
        <w:t>）投标人需要说明的其他文件和材料。</w:t>
      </w:r>
    </w:p>
    <w:p w14:paraId="208B4FA4">
      <w:pPr>
        <w:adjustRightInd w:val="0"/>
        <w:snapToGrid w:val="0"/>
        <w:spacing w:line="288" w:lineRule="auto"/>
        <w:jc w:val="left"/>
        <w:rPr>
          <w:rFonts w:hint="eastAsia" w:ascii="宋体" w:hAnsi="宋体" w:eastAsia="宋体" w:cs="Times New Roman"/>
          <w:b/>
          <w:spacing w:val="-6"/>
          <w:szCs w:val="21"/>
        </w:rPr>
      </w:pPr>
    </w:p>
    <w:p w14:paraId="1B7B1508">
      <w:pPr>
        <w:adjustRightInd w:val="0"/>
        <w:snapToGrid w:val="0"/>
        <w:spacing w:line="288" w:lineRule="auto"/>
        <w:ind w:firstLine="398" w:firstLineChars="200"/>
        <w:jc w:val="left"/>
        <w:rPr>
          <w:rFonts w:hint="eastAsia"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14:paraId="5BE28E33">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（1）开标一览表</w:t>
      </w:r>
    </w:p>
    <w:p w14:paraId="1D762082">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）中小企业声明函</w:t>
      </w:r>
      <w:bookmarkStart w:id="57" w:name="_Hlk81815656"/>
      <w:r>
        <w:rPr>
          <w:rFonts w:hint="eastAsia" w:ascii="宋体" w:hAnsi="宋体" w:eastAsia="宋体" w:cs="Times New Roman"/>
          <w:spacing w:val="-6"/>
          <w:szCs w:val="21"/>
        </w:rPr>
        <w:t>（若属于中小企业）</w:t>
      </w:r>
      <w:bookmarkEnd w:id="57"/>
    </w:p>
    <w:p w14:paraId="57C9D6DE">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）属于监狱企业的证明文件</w:t>
      </w:r>
      <w:bookmarkStart w:id="58" w:name="_Hlk81815359"/>
      <w:r>
        <w:rPr>
          <w:rFonts w:hint="eastAsia" w:ascii="宋体" w:hAnsi="宋体" w:eastAsia="宋体" w:cs="Times New Roman"/>
          <w:spacing w:val="-6"/>
          <w:szCs w:val="21"/>
        </w:rPr>
        <w:t>（若属于监狱企业）</w:t>
      </w:r>
      <w:bookmarkEnd w:id="58"/>
    </w:p>
    <w:p w14:paraId="7544F2F7">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4</w:t>
      </w:r>
      <w:r>
        <w:rPr>
          <w:rFonts w:hint="eastAsia" w:ascii="宋体" w:hAnsi="宋体" w:eastAsia="宋体" w:cs="Times New Roman"/>
          <w:spacing w:val="-6"/>
          <w:szCs w:val="21"/>
        </w:rPr>
        <w:t>）</w:t>
      </w:r>
      <w:bookmarkStart w:id="59" w:name="OLE_LINK14"/>
      <w:bookmarkStart w:id="60" w:name="OLE_LINK13"/>
      <w:r>
        <w:rPr>
          <w:rFonts w:hint="eastAsia" w:ascii="宋体" w:hAnsi="宋体" w:eastAsia="宋体" w:cs="Times New Roman"/>
          <w:spacing w:val="-6"/>
          <w:szCs w:val="21"/>
        </w:rPr>
        <w:t>残疾人福利性单位声明函</w:t>
      </w:r>
      <w:bookmarkEnd w:id="59"/>
      <w:bookmarkEnd w:id="60"/>
      <w:bookmarkStart w:id="61" w:name="_Hlk81815372"/>
      <w:r>
        <w:rPr>
          <w:rFonts w:hint="eastAsia" w:ascii="宋体" w:hAnsi="宋体" w:eastAsia="宋体" w:cs="Times New Roman"/>
          <w:spacing w:val="-6"/>
          <w:szCs w:val="21"/>
        </w:rPr>
        <w:t>（若属于残疾人福利性单位）</w:t>
      </w:r>
      <w:bookmarkEnd w:id="61"/>
    </w:p>
    <w:p w14:paraId="7129D248">
      <w:pPr>
        <w:widowControl/>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6C750B5D">
      <w:pPr>
        <w:tabs>
          <w:tab w:val="center" w:pos="4706"/>
        </w:tabs>
        <w:adjustRightInd w:val="0"/>
        <w:snapToGrid w:val="0"/>
        <w:spacing w:line="288" w:lineRule="auto"/>
        <w:jc w:val="center"/>
        <w:outlineLvl w:val="2"/>
        <w:rPr>
          <w:rFonts w:hint="eastAsia"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7F6EE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141EEB0">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396EB22D">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66B632D3">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76C8B79E">
            <w:pPr>
              <w:tabs>
                <w:tab w:val="left" w:pos="1418"/>
              </w:tabs>
              <w:adjustRightInd w:val="0"/>
              <w:snapToGrid w:val="0"/>
              <w:spacing w:line="288" w:lineRule="auto"/>
              <w:ind w:firstLine="398"/>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14:paraId="0D3928FB">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14:paraId="64E5CCF8">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2" w:type="dxa"/>
            <w:vAlign w:val="center"/>
          </w:tcPr>
          <w:p w14:paraId="5EF5313D">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页码</w:t>
            </w:r>
          </w:p>
        </w:tc>
      </w:tr>
      <w:tr w14:paraId="31C2F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5CB89F45">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商务分</w:t>
            </w:r>
          </w:p>
        </w:tc>
      </w:tr>
      <w:tr w14:paraId="4B005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ECEE00F">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017668A9">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3699BA44">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428B9640">
            <w:pPr>
              <w:adjustRightInd w:val="0"/>
              <w:snapToGrid w:val="0"/>
              <w:spacing w:line="288" w:lineRule="auto"/>
              <w:rPr>
                <w:rFonts w:hint="eastAsia" w:ascii="宋体" w:hAnsi="宋体" w:eastAsia="宋体" w:cs="Times New Roman"/>
                <w:spacing w:val="-6"/>
                <w:szCs w:val="21"/>
              </w:rPr>
            </w:pPr>
          </w:p>
        </w:tc>
        <w:tc>
          <w:tcPr>
            <w:tcW w:w="967" w:type="dxa"/>
            <w:vAlign w:val="center"/>
          </w:tcPr>
          <w:p w14:paraId="000FE880">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7D572268">
            <w:pPr>
              <w:adjustRightInd w:val="0"/>
              <w:snapToGrid w:val="0"/>
              <w:spacing w:line="288" w:lineRule="auto"/>
              <w:jc w:val="center"/>
              <w:rPr>
                <w:rFonts w:hint="eastAsia" w:ascii="宋体" w:hAnsi="宋体" w:eastAsia="宋体" w:cs="Times New Roman"/>
                <w:spacing w:val="-6"/>
                <w:szCs w:val="21"/>
              </w:rPr>
            </w:pPr>
          </w:p>
        </w:tc>
        <w:tc>
          <w:tcPr>
            <w:tcW w:w="882" w:type="dxa"/>
          </w:tcPr>
          <w:p w14:paraId="12CFDA8F">
            <w:pPr>
              <w:adjustRightInd w:val="0"/>
              <w:snapToGrid w:val="0"/>
              <w:spacing w:line="288" w:lineRule="auto"/>
              <w:jc w:val="center"/>
              <w:rPr>
                <w:rFonts w:hint="eastAsia" w:ascii="宋体" w:hAnsi="宋体" w:eastAsia="宋体" w:cs="Times New Roman"/>
                <w:spacing w:val="-6"/>
                <w:szCs w:val="21"/>
              </w:rPr>
            </w:pPr>
          </w:p>
        </w:tc>
      </w:tr>
      <w:tr w14:paraId="745EC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7ACC156">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6981E385">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37025902">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701D6695">
            <w:pPr>
              <w:adjustRightInd w:val="0"/>
              <w:snapToGrid w:val="0"/>
              <w:spacing w:line="288" w:lineRule="auto"/>
              <w:rPr>
                <w:rFonts w:hint="eastAsia" w:ascii="宋体" w:hAnsi="宋体" w:eastAsia="宋体" w:cs="Times New Roman"/>
                <w:spacing w:val="-6"/>
                <w:szCs w:val="21"/>
              </w:rPr>
            </w:pPr>
          </w:p>
        </w:tc>
        <w:tc>
          <w:tcPr>
            <w:tcW w:w="967" w:type="dxa"/>
            <w:vAlign w:val="center"/>
          </w:tcPr>
          <w:p w14:paraId="32F55F8F">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0A5FCD7D">
            <w:pPr>
              <w:adjustRightInd w:val="0"/>
              <w:snapToGrid w:val="0"/>
              <w:spacing w:line="288" w:lineRule="auto"/>
              <w:jc w:val="center"/>
              <w:rPr>
                <w:rFonts w:hint="eastAsia" w:ascii="宋体" w:hAnsi="宋体" w:eastAsia="宋体" w:cs="Times New Roman"/>
                <w:spacing w:val="-6"/>
                <w:szCs w:val="21"/>
              </w:rPr>
            </w:pPr>
          </w:p>
        </w:tc>
        <w:tc>
          <w:tcPr>
            <w:tcW w:w="882" w:type="dxa"/>
          </w:tcPr>
          <w:p w14:paraId="185AF467">
            <w:pPr>
              <w:adjustRightInd w:val="0"/>
              <w:snapToGrid w:val="0"/>
              <w:spacing w:line="288" w:lineRule="auto"/>
              <w:jc w:val="center"/>
              <w:rPr>
                <w:rFonts w:hint="eastAsia" w:ascii="宋体" w:hAnsi="宋体" w:eastAsia="宋体" w:cs="Times New Roman"/>
                <w:spacing w:val="-6"/>
                <w:szCs w:val="21"/>
              </w:rPr>
            </w:pPr>
          </w:p>
        </w:tc>
      </w:tr>
      <w:tr w14:paraId="24F9F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3B348D8">
            <w:pPr>
              <w:adjustRightInd w:val="0"/>
              <w:snapToGrid w:val="0"/>
              <w:spacing w:line="288" w:lineRule="auto"/>
              <w:jc w:val="center"/>
              <w:rPr>
                <w:rFonts w:hint="eastAsia" w:ascii="宋体" w:hAnsi="宋体" w:eastAsia="宋体" w:cs="Times New Roman"/>
                <w:kern w:val="0"/>
                <w:szCs w:val="21"/>
              </w:rPr>
            </w:pPr>
          </w:p>
        </w:tc>
        <w:tc>
          <w:tcPr>
            <w:tcW w:w="2091" w:type="dxa"/>
            <w:vAlign w:val="center"/>
          </w:tcPr>
          <w:p w14:paraId="3FFE6CE5">
            <w:pPr>
              <w:adjustRightInd w:val="0"/>
              <w:snapToGrid w:val="0"/>
              <w:spacing w:line="288" w:lineRule="auto"/>
              <w:jc w:val="center"/>
              <w:rPr>
                <w:rFonts w:hint="eastAsia" w:ascii="宋体" w:hAnsi="宋体" w:eastAsia="宋体" w:cs="Times New Roman"/>
                <w:kern w:val="0"/>
                <w:szCs w:val="21"/>
              </w:rPr>
            </w:pPr>
          </w:p>
        </w:tc>
        <w:tc>
          <w:tcPr>
            <w:tcW w:w="709" w:type="dxa"/>
            <w:vAlign w:val="center"/>
          </w:tcPr>
          <w:p w14:paraId="1EA472B9">
            <w:pPr>
              <w:adjustRightInd w:val="0"/>
              <w:snapToGrid w:val="0"/>
              <w:spacing w:line="288" w:lineRule="auto"/>
              <w:jc w:val="center"/>
              <w:rPr>
                <w:rFonts w:hint="eastAsia" w:ascii="宋体" w:hAnsi="宋体" w:eastAsia="宋体" w:cs="Times New Roman"/>
                <w:kern w:val="0"/>
                <w:szCs w:val="21"/>
              </w:rPr>
            </w:pPr>
          </w:p>
        </w:tc>
        <w:tc>
          <w:tcPr>
            <w:tcW w:w="3040" w:type="dxa"/>
            <w:vAlign w:val="center"/>
          </w:tcPr>
          <w:p w14:paraId="25D1DB68">
            <w:pPr>
              <w:adjustRightInd w:val="0"/>
              <w:snapToGrid w:val="0"/>
              <w:spacing w:line="288" w:lineRule="auto"/>
              <w:rPr>
                <w:rFonts w:hint="eastAsia" w:ascii="宋体" w:hAnsi="宋体" w:eastAsia="宋体" w:cs="Times New Roman"/>
                <w:kern w:val="0"/>
                <w:szCs w:val="21"/>
              </w:rPr>
            </w:pPr>
          </w:p>
        </w:tc>
        <w:tc>
          <w:tcPr>
            <w:tcW w:w="967" w:type="dxa"/>
            <w:vAlign w:val="center"/>
          </w:tcPr>
          <w:p w14:paraId="7EDAE118">
            <w:pPr>
              <w:adjustRightInd w:val="0"/>
              <w:snapToGrid w:val="0"/>
              <w:spacing w:line="288" w:lineRule="auto"/>
              <w:jc w:val="center"/>
              <w:rPr>
                <w:rFonts w:hint="eastAsia" w:ascii="宋体" w:hAnsi="宋体" w:eastAsia="宋体" w:cs="Times New Roman"/>
                <w:szCs w:val="21"/>
              </w:rPr>
            </w:pPr>
          </w:p>
        </w:tc>
        <w:tc>
          <w:tcPr>
            <w:tcW w:w="1053" w:type="dxa"/>
            <w:vAlign w:val="center"/>
          </w:tcPr>
          <w:p w14:paraId="2DFA5E64">
            <w:pPr>
              <w:adjustRightInd w:val="0"/>
              <w:snapToGrid w:val="0"/>
              <w:spacing w:line="288" w:lineRule="auto"/>
              <w:jc w:val="center"/>
              <w:rPr>
                <w:rFonts w:hint="eastAsia" w:ascii="宋体" w:hAnsi="宋体" w:eastAsia="宋体" w:cs="Times New Roman"/>
                <w:szCs w:val="21"/>
              </w:rPr>
            </w:pPr>
          </w:p>
        </w:tc>
        <w:tc>
          <w:tcPr>
            <w:tcW w:w="882" w:type="dxa"/>
          </w:tcPr>
          <w:p w14:paraId="7903E1CA">
            <w:pPr>
              <w:adjustRightInd w:val="0"/>
              <w:snapToGrid w:val="0"/>
              <w:spacing w:line="288" w:lineRule="auto"/>
              <w:jc w:val="center"/>
              <w:rPr>
                <w:rFonts w:hint="eastAsia" w:ascii="宋体" w:hAnsi="宋体" w:eastAsia="宋体" w:cs="Times New Roman"/>
                <w:szCs w:val="21"/>
              </w:rPr>
            </w:pPr>
          </w:p>
        </w:tc>
      </w:tr>
      <w:tr w14:paraId="73C9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564B046">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22CB38CF">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694F2CB2">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1D729E27">
            <w:pPr>
              <w:adjustRightInd w:val="0"/>
              <w:snapToGrid w:val="0"/>
              <w:spacing w:line="288" w:lineRule="auto"/>
              <w:rPr>
                <w:rFonts w:hint="eastAsia" w:ascii="宋体" w:hAnsi="宋体" w:eastAsia="宋体" w:cs="Times New Roman"/>
                <w:spacing w:val="-6"/>
                <w:szCs w:val="21"/>
              </w:rPr>
            </w:pPr>
          </w:p>
        </w:tc>
        <w:tc>
          <w:tcPr>
            <w:tcW w:w="967" w:type="dxa"/>
            <w:vAlign w:val="center"/>
          </w:tcPr>
          <w:p w14:paraId="512A10D0">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55D3E2D0">
            <w:pPr>
              <w:adjustRightInd w:val="0"/>
              <w:snapToGrid w:val="0"/>
              <w:spacing w:line="288" w:lineRule="auto"/>
              <w:jc w:val="center"/>
              <w:rPr>
                <w:rFonts w:hint="eastAsia" w:ascii="宋体" w:hAnsi="宋体" w:eastAsia="宋体" w:cs="Times New Roman"/>
                <w:spacing w:val="-6"/>
                <w:szCs w:val="21"/>
              </w:rPr>
            </w:pPr>
          </w:p>
        </w:tc>
        <w:tc>
          <w:tcPr>
            <w:tcW w:w="882" w:type="dxa"/>
          </w:tcPr>
          <w:p w14:paraId="3CB12AF1">
            <w:pPr>
              <w:adjustRightInd w:val="0"/>
              <w:snapToGrid w:val="0"/>
              <w:spacing w:line="288" w:lineRule="auto"/>
              <w:jc w:val="center"/>
              <w:rPr>
                <w:rFonts w:hint="eastAsia" w:ascii="宋体" w:hAnsi="宋体" w:eastAsia="宋体" w:cs="Times New Roman"/>
                <w:spacing w:val="-6"/>
                <w:szCs w:val="21"/>
              </w:rPr>
            </w:pPr>
          </w:p>
        </w:tc>
      </w:tr>
      <w:tr w14:paraId="5E3D7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49F2E9">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17F88FEA">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35B5D17C">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1B3254D8">
            <w:pPr>
              <w:adjustRightInd w:val="0"/>
              <w:snapToGrid w:val="0"/>
              <w:spacing w:line="288" w:lineRule="auto"/>
              <w:rPr>
                <w:rFonts w:hint="eastAsia" w:ascii="宋体" w:hAnsi="宋体" w:eastAsia="宋体" w:cs="Times New Roman"/>
                <w:spacing w:val="-6"/>
                <w:szCs w:val="21"/>
              </w:rPr>
            </w:pPr>
          </w:p>
        </w:tc>
        <w:tc>
          <w:tcPr>
            <w:tcW w:w="967" w:type="dxa"/>
            <w:vAlign w:val="center"/>
          </w:tcPr>
          <w:p w14:paraId="74EDB14A">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5DB76761">
            <w:pPr>
              <w:adjustRightInd w:val="0"/>
              <w:snapToGrid w:val="0"/>
              <w:spacing w:line="288" w:lineRule="auto"/>
              <w:jc w:val="center"/>
              <w:rPr>
                <w:rFonts w:hint="eastAsia" w:ascii="宋体" w:hAnsi="宋体" w:eastAsia="宋体" w:cs="Times New Roman"/>
                <w:spacing w:val="-6"/>
                <w:szCs w:val="21"/>
              </w:rPr>
            </w:pPr>
          </w:p>
        </w:tc>
        <w:tc>
          <w:tcPr>
            <w:tcW w:w="882" w:type="dxa"/>
          </w:tcPr>
          <w:p w14:paraId="6005EC0C">
            <w:pPr>
              <w:adjustRightInd w:val="0"/>
              <w:snapToGrid w:val="0"/>
              <w:spacing w:line="288" w:lineRule="auto"/>
              <w:jc w:val="center"/>
              <w:rPr>
                <w:rFonts w:hint="eastAsia" w:ascii="宋体" w:hAnsi="宋体" w:eastAsia="宋体" w:cs="Times New Roman"/>
                <w:spacing w:val="-6"/>
                <w:szCs w:val="21"/>
              </w:rPr>
            </w:pPr>
          </w:p>
        </w:tc>
      </w:tr>
      <w:tr w14:paraId="689B5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67992D7">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31033319">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62CC1C9F">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4B72F819">
            <w:pPr>
              <w:adjustRightInd w:val="0"/>
              <w:snapToGrid w:val="0"/>
              <w:spacing w:line="288" w:lineRule="auto"/>
              <w:rPr>
                <w:rFonts w:hint="eastAsia" w:ascii="宋体" w:hAnsi="宋体" w:eastAsia="宋体" w:cs="Times New Roman"/>
                <w:spacing w:val="-6"/>
                <w:szCs w:val="21"/>
              </w:rPr>
            </w:pPr>
          </w:p>
        </w:tc>
        <w:tc>
          <w:tcPr>
            <w:tcW w:w="967" w:type="dxa"/>
            <w:vAlign w:val="center"/>
          </w:tcPr>
          <w:p w14:paraId="14A4A5FC">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0B80724B">
            <w:pPr>
              <w:adjustRightInd w:val="0"/>
              <w:snapToGrid w:val="0"/>
              <w:spacing w:line="288" w:lineRule="auto"/>
              <w:jc w:val="center"/>
              <w:rPr>
                <w:rFonts w:hint="eastAsia" w:ascii="宋体" w:hAnsi="宋体" w:eastAsia="宋体" w:cs="Times New Roman"/>
                <w:spacing w:val="-6"/>
                <w:szCs w:val="21"/>
              </w:rPr>
            </w:pPr>
          </w:p>
        </w:tc>
        <w:tc>
          <w:tcPr>
            <w:tcW w:w="882" w:type="dxa"/>
          </w:tcPr>
          <w:p w14:paraId="59AD4E22">
            <w:pPr>
              <w:adjustRightInd w:val="0"/>
              <w:snapToGrid w:val="0"/>
              <w:spacing w:line="288" w:lineRule="auto"/>
              <w:jc w:val="center"/>
              <w:rPr>
                <w:rFonts w:hint="eastAsia" w:ascii="宋体" w:hAnsi="宋体" w:eastAsia="宋体" w:cs="Times New Roman"/>
                <w:spacing w:val="-6"/>
                <w:szCs w:val="21"/>
              </w:rPr>
            </w:pPr>
          </w:p>
        </w:tc>
      </w:tr>
      <w:tr w14:paraId="4DD6E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9BCDF7F">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451A2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86E78BE">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511AE5FE">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0FF61A5E">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6F5E3A7F">
            <w:pPr>
              <w:adjustRightInd w:val="0"/>
              <w:snapToGrid w:val="0"/>
              <w:spacing w:line="288" w:lineRule="auto"/>
              <w:rPr>
                <w:rFonts w:hint="eastAsia" w:ascii="宋体" w:hAnsi="宋体" w:eastAsia="宋体" w:cs="Times New Roman"/>
                <w:spacing w:val="-6"/>
                <w:szCs w:val="21"/>
              </w:rPr>
            </w:pPr>
          </w:p>
        </w:tc>
        <w:tc>
          <w:tcPr>
            <w:tcW w:w="967" w:type="dxa"/>
            <w:vAlign w:val="center"/>
          </w:tcPr>
          <w:p w14:paraId="0CF71CBD">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7F164936">
            <w:pPr>
              <w:adjustRightInd w:val="0"/>
              <w:snapToGrid w:val="0"/>
              <w:spacing w:line="288" w:lineRule="auto"/>
              <w:jc w:val="center"/>
              <w:rPr>
                <w:rFonts w:hint="eastAsia" w:ascii="宋体" w:hAnsi="宋体" w:eastAsia="宋体" w:cs="Times New Roman"/>
                <w:spacing w:val="-6"/>
                <w:szCs w:val="21"/>
              </w:rPr>
            </w:pPr>
          </w:p>
        </w:tc>
        <w:tc>
          <w:tcPr>
            <w:tcW w:w="882" w:type="dxa"/>
          </w:tcPr>
          <w:p w14:paraId="1503928F">
            <w:pPr>
              <w:adjustRightInd w:val="0"/>
              <w:snapToGrid w:val="0"/>
              <w:spacing w:line="288" w:lineRule="auto"/>
              <w:jc w:val="center"/>
              <w:rPr>
                <w:rFonts w:hint="eastAsia" w:ascii="宋体" w:hAnsi="宋体" w:eastAsia="宋体" w:cs="Times New Roman"/>
                <w:spacing w:val="-6"/>
                <w:szCs w:val="21"/>
              </w:rPr>
            </w:pPr>
          </w:p>
        </w:tc>
      </w:tr>
      <w:tr w14:paraId="329DF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776CC7B">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438F43B4">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6A2532FE">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30223BFA">
            <w:pPr>
              <w:adjustRightInd w:val="0"/>
              <w:snapToGrid w:val="0"/>
              <w:spacing w:line="288" w:lineRule="auto"/>
              <w:rPr>
                <w:rFonts w:hint="eastAsia" w:ascii="宋体" w:hAnsi="宋体" w:eastAsia="宋体" w:cs="Times New Roman"/>
                <w:spacing w:val="-6"/>
                <w:szCs w:val="21"/>
              </w:rPr>
            </w:pPr>
          </w:p>
        </w:tc>
        <w:tc>
          <w:tcPr>
            <w:tcW w:w="967" w:type="dxa"/>
            <w:vAlign w:val="center"/>
          </w:tcPr>
          <w:p w14:paraId="2C63A968">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0666CE7B">
            <w:pPr>
              <w:adjustRightInd w:val="0"/>
              <w:snapToGrid w:val="0"/>
              <w:spacing w:line="288" w:lineRule="auto"/>
              <w:jc w:val="center"/>
              <w:rPr>
                <w:rFonts w:hint="eastAsia" w:ascii="宋体" w:hAnsi="宋体" w:eastAsia="宋体" w:cs="Times New Roman"/>
                <w:spacing w:val="-6"/>
                <w:szCs w:val="21"/>
              </w:rPr>
            </w:pPr>
          </w:p>
        </w:tc>
        <w:tc>
          <w:tcPr>
            <w:tcW w:w="882" w:type="dxa"/>
          </w:tcPr>
          <w:p w14:paraId="310BF40A">
            <w:pPr>
              <w:adjustRightInd w:val="0"/>
              <w:snapToGrid w:val="0"/>
              <w:spacing w:line="288" w:lineRule="auto"/>
              <w:jc w:val="center"/>
              <w:rPr>
                <w:rFonts w:hint="eastAsia" w:ascii="宋体" w:hAnsi="宋体" w:eastAsia="宋体" w:cs="Times New Roman"/>
                <w:spacing w:val="-6"/>
                <w:szCs w:val="21"/>
              </w:rPr>
            </w:pPr>
          </w:p>
        </w:tc>
      </w:tr>
      <w:tr w14:paraId="59363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0E6EA13">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65AEE13F">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010421F4">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16974EFB">
            <w:pPr>
              <w:adjustRightInd w:val="0"/>
              <w:snapToGrid w:val="0"/>
              <w:spacing w:line="288" w:lineRule="auto"/>
              <w:rPr>
                <w:rFonts w:hint="eastAsia" w:ascii="宋体" w:hAnsi="宋体" w:eastAsia="宋体" w:cs="Times New Roman"/>
                <w:spacing w:val="-6"/>
                <w:szCs w:val="21"/>
              </w:rPr>
            </w:pPr>
          </w:p>
        </w:tc>
        <w:tc>
          <w:tcPr>
            <w:tcW w:w="967" w:type="dxa"/>
            <w:vAlign w:val="center"/>
          </w:tcPr>
          <w:p w14:paraId="45BDB5A5">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19EE64B5">
            <w:pPr>
              <w:adjustRightInd w:val="0"/>
              <w:snapToGrid w:val="0"/>
              <w:spacing w:line="288" w:lineRule="auto"/>
              <w:jc w:val="center"/>
              <w:rPr>
                <w:rFonts w:hint="eastAsia" w:ascii="宋体" w:hAnsi="宋体" w:eastAsia="宋体" w:cs="Times New Roman"/>
                <w:spacing w:val="-6"/>
                <w:szCs w:val="21"/>
              </w:rPr>
            </w:pPr>
          </w:p>
        </w:tc>
        <w:tc>
          <w:tcPr>
            <w:tcW w:w="882" w:type="dxa"/>
          </w:tcPr>
          <w:p w14:paraId="699A22CF">
            <w:pPr>
              <w:adjustRightInd w:val="0"/>
              <w:snapToGrid w:val="0"/>
              <w:spacing w:line="288" w:lineRule="auto"/>
              <w:jc w:val="center"/>
              <w:rPr>
                <w:rFonts w:hint="eastAsia" w:ascii="宋体" w:hAnsi="宋体" w:eastAsia="宋体" w:cs="Times New Roman"/>
                <w:spacing w:val="-6"/>
                <w:szCs w:val="21"/>
              </w:rPr>
            </w:pPr>
          </w:p>
        </w:tc>
      </w:tr>
      <w:tr w14:paraId="40CF6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09E81A7">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2BE09BCA">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62C57018">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4B6A2F25">
            <w:pPr>
              <w:adjustRightInd w:val="0"/>
              <w:snapToGrid w:val="0"/>
              <w:spacing w:line="288" w:lineRule="auto"/>
              <w:rPr>
                <w:rFonts w:hint="eastAsia" w:ascii="宋体" w:hAnsi="宋体" w:eastAsia="宋体" w:cs="Times New Roman"/>
                <w:spacing w:val="-6"/>
                <w:szCs w:val="21"/>
              </w:rPr>
            </w:pPr>
          </w:p>
        </w:tc>
        <w:tc>
          <w:tcPr>
            <w:tcW w:w="967" w:type="dxa"/>
            <w:vAlign w:val="center"/>
          </w:tcPr>
          <w:p w14:paraId="439F83E5">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5993BFC8">
            <w:pPr>
              <w:adjustRightInd w:val="0"/>
              <w:snapToGrid w:val="0"/>
              <w:spacing w:line="288" w:lineRule="auto"/>
              <w:jc w:val="center"/>
              <w:rPr>
                <w:rFonts w:hint="eastAsia" w:ascii="宋体" w:hAnsi="宋体" w:eastAsia="宋体" w:cs="Times New Roman"/>
                <w:spacing w:val="-6"/>
                <w:szCs w:val="21"/>
              </w:rPr>
            </w:pPr>
          </w:p>
        </w:tc>
        <w:tc>
          <w:tcPr>
            <w:tcW w:w="882" w:type="dxa"/>
          </w:tcPr>
          <w:p w14:paraId="14314276">
            <w:pPr>
              <w:adjustRightInd w:val="0"/>
              <w:snapToGrid w:val="0"/>
              <w:spacing w:line="288" w:lineRule="auto"/>
              <w:jc w:val="center"/>
              <w:rPr>
                <w:rFonts w:hint="eastAsia" w:ascii="宋体" w:hAnsi="宋体" w:eastAsia="宋体" w:cs="Times New Roman"/>
                <w:spacing w:val="-6"/>
                <w:szCs w:val="21"/>
              </w:rPr>
            </w:pPr>
          </w:p>
        </w:tc>
      </w:tr>
      <w:tr w14:paraId="7F2E2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F4CDFAC">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732DB228">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3B189F4B">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3AA3D657">
            <w:pPr>
              <w:adjustRightInd w:val="0"/>
              <w:snapToGrid w:val="0"/>
              <w:spacing w:line="288" w:lineRule="auto"/>
              <w:rPr>
                <w:rFonts w:hint="eastAsia" w:ascii="宋体" w:hAnsi="宋体" w:eastAsia="宋体" w:cs="Times New Roman"/>
                <w:spacing w:val="-6"/>
                <w:szCs w:val="21"/>
              </w:rPr>
            </w:pPr>
          </w:p>
        </w:tc>
        <w:tc>
          <w:tcPr>
            <w:tcW w:w="967" w:type="dxa"/>
            <w:vAlign w:val="center"/>
          </w:tcPr>
          <w:p w14:paraId="3A629622">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7326579C">
            <w:pPr>
              <w:adjustRightInd w:val="0"/>
              <w:snapToGrid w:val="0"/>
              <w:spacing w:line="288" w:lineRule="auto"/>
              <w:jc w:val="center"/>
              <w:rPr>
                <w:rFonts w:hint="eastAsia" w:ascii="宋体" w:hAnsi="宋体" w:eastAsia="宋体" w:cs="Times New Roman"/>
                <w:spacing w:val="-6"/>
                <w:szCs w:val="21"/>
              </w:rPr>
            </w:pPr>
          </w:p>
        </w:tc>
        <w:tc>
          <w:tcPr>
            <w:tcW w:w="882" w:type="dxa"/>
          </w:tcPr>
          <w:p w14:paraId="20FC03E5">
            <w:pPr>
              <w:adjustRightInd w:val="0"/>
              <w:snapToGrid w:val="0"/>
              <w:spacing w:line="288" w:lineRule="auto"/>
              <w:jc w:val="center"/>
              <w:rPr>
                <w:rFonts w:hint="eastAsia" w:ascii="宋体" w:hAnsi="宋体" w:eastAsia="宋体" w:cs="Times New Roman"/>
                <w:spacing w:val="-6"/>
                <w:szCs w:val="21"/>
              </w:rPr>
            </w:pPr>
          </w:p>
        </w:tc>
      </w:tr>
    </w:tbl>
    <w:p w14:paraId="2835B1CB">
      <w:pPr>
        <w:adjustRightInd w:val="0"/>
        <w:snapToGrid w:val="0"/>
        <w:spacing w:line="288" w:lineRule="auto"/>
        <w:rPr>
          <w:rFonts w:hint="eastAsia" w:ascii="宋体" w:hAnsi="宋体" w:eastAsia="宋体" w:cs="Times New Roman"/>
          <w:spacing w:val="-6"/>
          <w:szCs w:val="21"/>
        </w:rPr>
      </w:pPr>
    </w:p>
    <w:p w14:paraId="2EF2809B">
      <w:pPr>
        <w:widowControl/>
        <w:jc w:val="left"/>
        <w:rPr>
          <w:rFonts w:hint="eastAsia"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283C7534">
      <w:pPr>
        <w:widowControl/>
        <w:jc w:val="left"/>
        <w:rPr>
          <w:rFonts w:hint="eastAsia" w:ascii="宋体" w:hAnsi="宋体" w:eastAsia="宋体" w:cs="宋体"/>
          <w:b/>
          <w:spacing w:val="-6"/>
          <w:szCs w:val="21"/>
        </w:rPr>
      </w:pPr>
      <w:r>
        <w:rPr>
          <w:rFonts w:ascii="宋体" w:hAnsi="宋体" w:eastAsia="宋体" w:cs="宋体"/>
          <w:b/>
          <w:spacing w:val="-6"/>
          <w:szCs w:val="21"/>
        </w:rPr>
        <w:br w:type="page"/>
      </w:r>
    </w:p>
    <w:p w14:paraId="32691CE4">
      <w:pPr>
        <w:adjustRightInd w:val="0"/>
        <w:snapToGrid w:val="0"/>
        <w:spacing w:line="288" w:lineRule="auto"/>
        <w:jc w:val="center"/>
        <w:outlineLvl w:val="1"/>
        <w:rPr>
          <w:rFonts w:hint="eastAsia"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058617DF">
      <w:pPr>
        <w:adjustRightInd w:val="0"/>
        <w:snapToGrid w:val="0"/>
        <w:spacing w:line="288" w:lineRule="auto"/>
        <w:jc w:val="center"/>
        <w:rPr>
          <w:rFonts w:hint="eastAsia" w:ascii="宋体" w:hAnsi="宋体" w:eastAsia="宋体" w:cs="宋体"/>
          <w:b/>
          <w:bCs/>
          <w:sz w:val="24"/>
          <w:szCs w:val="24"/>
        </w:rPr>
      </w:pPr>
    </w:p>
    <w:p w14:paraId="044E6C9B">
      <w:pPr>
        <w:adjustRightInd w:val="0"/>
        <w:snapToGrid w:val="0"/>
        <w:spacing w:line="288" w:lineRule="auto"/>
        <w:jc w:val="center"/>
        <w:rPr>
          <w:rFonts w:hint="eastAsia" w:ascii="宋体" w:hAnsi="宋体" w:eastAsia="宋体" w:cs="宋体"/>
          <w:b/>
          <w:bCs/>
          <w:sz w:val="24"/>
          <w:szCs w:val="24"/>
        </w:rPr>
      </w:pPr>
    </w:p>
    <w:p w14:paraId="4FA91853">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资格审查要求的资格证明材料（均需加盖公章）</w:t>
      </w:r>
    </w:p>
    <w:p w14:paraId="251713D4">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0160602B">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69561547">
      <w:pPr>
        <w:adjustRightInd w:val="0"/>
        <w:snapToGrid w:val="0"/>
        <w:spacing w:line="288" w:lineRule="auto"/>
        <w:rPr>
          <w:rFonts w:hint="eastAsia" w:ascii="宋体" w:hAnsi="宋体" w:eastAsia="宋体" w:cs="Times New Roman"/>
          <w:bCs/>
          <w:spacing w:val="-6"/>
          <w:szCs w:val="21"/>
        </w:rPr>
      </w:pPr>
    </w:p>
    <w:p w14:paraId="267B45D3">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62326659">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428D5519">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43068815">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6C9F6BF6">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3AFDB082">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316933AF">
      <w:pPr>
        <w:adjustRightInd w:val="0"/>
        <w:snapToGrid w:val="0"/>
        <w:spacing w:line="288" w:lineRule="auto"/>
        <w:jc w:val="center"/>
        <w:outlineLvl w:val="2"/>
        <w:rPr>
          <w:rFonts w:hint="eastAsia"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2BF08CDA">
      <w:pPr>
        <w:adjustRightInd w:val="0"/>
        <w:snapToGrid w:val="0"/>
        <w:spacing w:line="288" w:lineRule="auto"/>
        <w:rPr>
          <w:rFonts w:hint="eastAsia" w:ascii="宋体" w:hAnsi="宋体" w:eastAsia="宋体" w:cs="Times New Roman"/>
          <w:b/>
          <w:bCs/>
          <w:spacing w:val="-6"/>
          <w:szCs w:val="21"/>
        </w:rPr>
      </w:pPr>
    </w:p>
    <w:p w14:paraId="46585D96">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致：浙江农林大学、浙江求是招标代理有限公司</w:t>
      </w:r>
    </w:p>
    <w:p w14:paraId="470B2DE4">
      <w:pPr>
        <w:adjustRightInd w:val="0"/>
        <w:snapToGrid w:val="0"/>
        <w:spacing w:line="288" w:lineRule="auto"/>
        <w:ind w:firstLine="396" w:firstLineChars="200"/>
        <w:rPr>
          <w:rFonts w:hint="eastAsia" w:ascii="宋体" w:hAnsi="宋体" w:eastAsia="宋体" w:cs="Times New Roman"/>
          <w:spacing w:val="-6"/>
          <w:szCs w:val="21"/>
        </w:rPr>
      </w:pPr>
    </w:p>
    <w:p w14:paraId="12EC5AF9">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106ABF74">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6A3F7312">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1F2E60A5">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513E4B05">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5DD0D7AE">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2FEF1863">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02875035">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1C1CA43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11D5D810">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三、不存在以下情况：</w:t>
      </w:r>
    </w:p>
    <w:p w14:paraId="53CE99C1">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37ED66F1">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2992FF9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076548F6">
      <w:pPr>
        <w:adjustRightInd w:val="0"/>
        <w:snapToGrid w:val="0"/>
        <w:spacing w:line="288" w:lineRule="auto"/>
        <w:rPr>
          <w:rFonts w:hint="eastAsia" w:ascii="宋体" w:hAnsi="宋体" w:eastAsia="宋体" w:cs="Times New Roman"/>
          <w:szCs w:val="21"/>
        </w:rPr>
      </w:pPr>
    </w:p>
    <w:p w14:paraId="53ACC2CF">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25BA56F1">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78A629EC">
      <w:pPr>
        <w:widowControl/>
        <w:adjustRightInd w:val="0"/>
        <w:snapToGrid w:val="0"/>
        <w:spacing w:line="288" w:lineRule="auto"/>
        <w:jc w:val="left"/>
        <w:rPr>
          <w:rFonts w:hint="eastAsia" w:ascii="宋体" w:hAnsi="宋体" w:eastAsia="宋体" w:cs="宋体"/>
          <w:b/>
          <w:spacing w:val="-6"/>
          <w:szCs w:val="21"/>
        </w:rPr>
      </w:pPr>
    </w:p>
    <w:p w14:paraId="19A342CA">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27460332">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3）落实政府采购政策需满足的资格要求：无</w:t>
      </w:r>
    </w:p>
    <w:p w14:paraId="43F55767">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14:paraId="3626D3C6">
      <w:pPr>
        <w:adjustRightInd w:val="0"/>
        <w:snapToGrid w:val="0"/>
        <w:spacing w:line="288" w:lineRule="auto"/>
        <w:rPr>
          <w:rFonts w:hint="eastAsia" w:ascii="宋体" w:hAnsi="宋体" w:eastAsia="宋体" w:cs="Times New Roman"/>
          <w:b/>
          <w:spacing w:val="-6"/>
          <w:szCs w:val="21"/>
        </w:rPr>
      </w:pPr>
      <w:r>
        <w:rPr>
          <w:rFonts w:ascii="宋体" w:hAnsi="宋体" w:eastAsia="宋体" w:cs="Times New Roman"/>
          <w:b/>
          <w:spacing w:val="-6"/>
          <w:szCs w:val="21"/>
        </w:rPr>
        <w:br w:type="page"/>
      </w:r>
    </w:p>
    <w:p w14:paraId="0A97261B">
      <w:pPr>
        <w:overflowPunct w:val="0"/>
        <w:adjustRightInd w:val="0"/>
        <w:snapToGrid w:val="0"/>
        <w:spacing w:line="288" w:lineRule="auto"/>
        <w:jc w:val="center"/>
        <w:outlineLvl w:val="1"/>
        <w:rPr>
          <w:rFonts w:hint="eastAsia"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639D7EBF">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2C145448">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（1）投标函</w:t>
      </w:r>
    </w:p>
    <w:p w14:paraId="22F22167">
      <w:pPr>
        <w:adjustRightInd w:val="0"/>
        <w:snapToGrid w:val="0"/>
        <w:spacing w:line="288" w:lineRule="auto"/>
        <w:rPr>
          <w:rFonts w:hint="eastAsia" w:ascii="宋体" w:hAnsi="宋体" w:eastAsia="宋体" w:cs="Times New Roman"/>
          <w:spacing w:val="-6"/>
          <w:szCs w:val="21"/>
        </w:rPr>
      </w:pPr>
    </w:p>
    <w:p w14:paraId="3DF83EB1">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致：浙江农林大学、浙江求是招标代理有限公司</w:t>
      </w:r>
    </w:p>
    <w:p w14:paraId="7789D0B5">
      <w:pPr>
        <w:adjustRightInd w:val="0"/>
        <w:snapToGrid w:val="0"/>
        <w:spacing w:line="288" w:lineRule="auto"/>
        <w:ind w:firstLine="396" w:firstLineChars="200"/>
        <w:rPr>
          <w:rFonts w:hint="eastAsia" w:ascii="宋体" w:hAnsi="宋体" w:eastAsia="宋体" w:cs="Times New Roman"/>
          <w:spacing w:val="-6"/>
          <w:szCs w:val="21"/>
        </w:rPr>
      </w:pPr>
    </w:p>
    <w:p w14:paraId="7D18A9BC">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rPr>
        <w:t>浙江农林大学山地健康土壤培育子平台</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QSZB-Z(H)-B24472(GK)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36348669">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18154064">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0253F26E">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69881EFB">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261965CB">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3762E8B9">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5"/>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14:paraId="1F3D4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886E216">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199C60E1">
            <w:pPr>
              <w:adjustRightInd w:val="0"/>
              <w:snapToGrid w:val="0"/>
              <w:spacing w:line="288" w:lineRule="auto"/>
              <w:rPr>
                <w:rFonts w:hint="eastAsia" w:ascii="宋体" w:hAnsi="宋体" w:eastAsia="宋体" w:cs="Times New Roman"/>
                <w:spacing w:val="-6"/>
                <w:szCs w:val="21"/>
              </w:rPr>
            </w:pPr>
          </w:p>
        </w:tc>
      </w:tr>
      <w:tr w14:paraId="2EC62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CDA55E6">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2F1E0C2F">
            <w:pPr>
              <w:adjustRightInd w:val="0"/>
              <w:snapToGrid w:val="0"/>
              <w:spacing w:line="288" w:lineRule="auto"/>
              <w:rPr>
                <w:rFonts w:hint="eastAsia" w:ascii="宋体" w:hAnsi="宋体" w:eastAsia="宋体" w:cs="Times New Roman"/>
                <w:spacing w:val="-6"/>
                <w:szCs w:val="21"/>
              </w:rPr>
            </w:pPr>
          </w:p>
        </w:tc>
      </w:tr>
      <w:tr w14:paraId="00F50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1D2BAF1">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0C5A582A">
            <w:pPr>
              <w:adjustRightInd w:val="0"/>
              <w:snapToGrid w:val="0"/>
              <w:spacing w:line="288" w:lineRule="auto"/>
              <w:rPr>
                <w:rFonts w:hint="eastAsia" w:ascii="宋体" w:hAnsi="宋体" w:eastAsia="宋体" w:cs="Times New Roman"/>
                <w:spacing w:val="-6"/>
                <w:szCs w:val="21"/>
              </w:rPr>
            </w:pPr>
          </w:p>
        </w:tc>
      </w:tr>
      <w:tr w14:paraId="0FE53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33F9537">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494C51A6">
            <w:pPr>
              <w:adjustRightInd w:val="0"/>
              <w:snapToGrid w:val="0"/>
              <w:spacing w:line="288" w:lineRule="auto"/>
              <w:rPr>
                <w:rFonts w:hint="eastAsia" w:ascii="宋体" w:hAnsi="宋体" w:eastAsia="宋体" w:cs="Times New Roman"/>
                <w:spacing w:val="-6"/>
                <w:szCs w:val="21"/>
              </w:rPr>
            </w:pPr>
          </w:p>
        </w:tc>
      </w:tr>
      <w:tr w14:paraId="53237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76BAD78">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28EACF67">
            <w:pPr>
              <w:adjustRightInd w:val="0"/>
              <w:snapToGrid w:val="0"/>
              <w:spacing w:line="288" w:lineRule="auto"/>
              <w:rPr>
                <w:rFonts w:hint="eastAsia" w:ascii="宋体" w:hAnsi="宋体" w:eastAsia="宋体" w:cs="Times New Roman"/>
                <w:spacing w:val="-6"/>
                <w:szCs w:val="21"/>
              </w:rPr>
            </w:pPr>
          </w:p>
        </w:tc>
      </w:tr>
      <w:tr w14:paraId="45ED8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1B674EC">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1FB034FD">
            <w:pPr>
              <w:adjustRightInd w:val="0"/>
              <w:snapToGrid w:val="0"/>
              <w:spacing w:line="288" w:lineRule="auto"/>
              <w:rPr>
                <w:rFonts w:hint="eastAsia" w:ascii="宋体" w:hAnsi="宋体" w:eastAsia="宋体" w:cs="Times New Roman"/>
                <w:spacing w:val="-6"/>
                <w:szCs w:val="21"/>
              </w:rPr>
            </w:pPr>
          </w:p>
        </w:tc>
      </w:tr>
      <w:tr w14:paraId="2275F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4EDF49A">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77CD850B">
            <w:pPr>
              <w:adjustRightInd w:val="0"/>
              <w:snapToGrid w:val="0"/>
              <w:spacing w:line="288" w:lineRule="auto"/>
              <w:rPr>
                <w:rFonts w:hint="eastAsia" w:ascii="宋体" w:hAnsi="宋体" w:eastAsia="宋体" w:cs="Times New Roman"/>
                <w:spacing w:val="-6"/>
                <w:szCs w:val="21"/>
              </w:rPr>
            </w:pPr>
          </w:p>
        </w:tc>
      </w:tr>
    </w:tbl>
    <w:p w14:paraId="22121748">
      <w:pPr>
        <w:adjustRightInd w:val="0"/>
        <w:snapToGrid w:val="0"/>
        <w:spacing w:line="288" w:lineRule="auto"/>
        <w:rPr>
          <w:rFonts w:hint="eastAsia" w:ascii="宋体" w:hAnsi="宋体" w:eastAsia="宋体" w:cs="Times New Roman"/>
          <w:spacing w:val="-6"/>
          <w:szCs w:val="21"/>
        </w:rPr>
      </w:pPr>
    </w:p>
    <w:p w14:paraId="2B13DA0F">
      <w:pPr>
        <w:adjustRightInd w:val="0"/>
        <w:snapToGrid w:val="0"/>
        <w:spacing w:line="288" w:lineRule="auto"/>
        <w:rPr>
          <w:rFonts w:hint="eastAsia" w:ascii="宋体" w:hAnsi="宋体" w:eastAsia="宋体" w:cs="Times New Roman"/>
          <w:spacing w:val="-6"/>
          <w:szCs w:val="21"/>
        </w:rPr>
      </w:pPr>
    </w:p>
    <w:p w14:paraId="33A12E11">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497119FE">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12FEFA9F">
      <w:pPr>
        <w:widowControl/>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5AE154F7">
      <w:pPr>
        <w:adjustRightInd w:val="0"/>
        <w:snapToGrid w:val="0"/>
        <w:spacing w:line="288" w:lineRule="auto"/>
        <w:ind w:firstLine="498" w:firstLineChars="236"/>
        <w:jc w:val="center"/>
        <w:outlineLvl w:val="2"/>
        <w:rPr>
          <w:rFonts w:hint="eastAsia"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11857235">
      <w:pPr>
        <w:adjustRightInd w:val="0"/>
        <w:snapToGrid w:val="0"/>
        <w:spacing w:line="288" w:lineRule="auto"/>
        <w:rPr>
          <w:rFonts w:hint="eastAsia" w:ascii="宋体" w:hAnsi="宋体" w:eastAsia="宋体" w:cs="Times New Roman"/>
          <w:b/>
          <w:bCs/>
          <w:spacing w:val="-6"/>
          <w:szCs w:val="21"/>
        </w:rPr>
      </w:pPr>
    </w:p>
    <w:p w14:paraId="477B1300">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致：浙江农林大学、浙江求是招标代理有限公司</w:t>
      </w:r>
    </w:p>
    <w:p w14:paraId="5794C63C">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rPr>
        <w:t>浙江农林大学山地健康土壤培育子平台项目（项目编号：</w:t>
      </w:r>
      <w:r>
        <w:rPr>
          <w:rFonts w:hint="eastAsia" w:ascii="宋体" w:hAnsi="宋体" w:eastAsia="宋体" w:cs="Times New Roman"/>
          <w:bCs/>
          <w:spacing w:val="-6"/>
          <w:szCs w:val="21"/>
          <w:lang w:eastAsia="zh-CN"/>
        </w:rPr>
        <w:t>QSZB-Z(H)-B24472(GK)</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14:paraId="0185C07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033578D0">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35688667">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05F8DD4C">
      <w:pPr>
        <w:adjustRightInd w:val="0"/>
        <w:snapToGrid w:val="0"/>
        <w:spacing w:line="288" w:lineRule="auto"/>
        <w:ind w:firstLine="368" w:firstLineChars="186"/>
        <w:rPr>
          <w:rFonts w:hint="eastAsia"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▲提供授权代表社保缴纳证明（2024年1月（含）以后任意一月）。</w:t>
      </w:r>
    </w:p>
    <w:p w14:paraId="374E567F">
      <w:pPr>
        <w:adjustRightInd w:val="0"/>
        <w:snapToGrid w:val="0"/>
        <w:spacing w:line="288" w:lineRule="auto"/>
        <w:rPr>
          <w:rFonts w:hint="eastAsia" w:ascii="宋体" w:hAnsi="宋体" w:eastAsia="宋体" w:cs="Times New Roman"/>
          <w:spacing w:val="-6"/>
          <w:szCs w:val="21"/>
        </w:rPr>
      </w:pPr>
    </w:p>
    <w:p w14:paraId="53590E38">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A834A25">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9C03214">
      <w:pPr>
        <w:adjustRightInd w:val="0"/>
        <w:snapToGrid w:val="0"/>
        <w:spacing w:line="288" w:lineRule="auto"/>
        <w:rPr>
          <w:rFonts w:hint="eastAsia" w:ascii="宋体" w:hAnsi="宋体" w:eastAsia="宋体" w:cs="Times New Roman"/>
          <w:szCs w:val="21"/>
        </w:rPr>
      </w:pPr>
    </w:p>
    <w:p w14:paraId="1D4DEB6E">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注：</w:t>
      </w:r>
    </w:p>
    <w:p w14:paraId="514D9D59">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299A36A0">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1C2E630E">
      <w:pPr>
        <w:adjustRightInd w:val="0"/>
        <w:snapToGrid w:val="0"/>
        <w:spacing w:line="288" w:lineRule="auto"/>
        <w:rPr>
          <w:rFonts w:hint="eastAsia" w:ascii="宋体" w:hAnsi="宋体" w:eastAsia="宋体" w:cs="Times New Roman"/>
          <w:szCs w:val="21"/>
        </w:rPr>
      </w:pPr>
    </w:p>
    <w:p w14:paraId="3A9ADC24">
      <w:pPr>
        <w:adjustRightInd w:val="0"/>
        <w:snapToGrid w:val="0"/>
        <w:spacing w:line="288" w:lineRule="auto"/>
        <w:rPr>
          <w:rFonts w:hint="eastAsia" w:ascii="宋体" w:hAnsi="宋体" w:eastAsia="宋体" w:cs="Times New Roman"/>
          <w:szCs w:val="21"/>
        </w:rPr>
      </w:pPr>
    </w:p>
    <w:p w14:paraId="61FC1290">
      <w:pPr>
        <w:adjustRightInd w:val="0"/>
        <w:snapToGrid w:val="0"/>
        <w:spacing w:line="288" w:lineRule="auto"/>
        <w:jc w:val="center"/>
        <w:outlineLvl w:val="2"/>
        <w:rPr>
          <w:rFonts w:hint="eastAsia"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1E611514">
      <w:pPr>
        <w:adjustRightInd w:val="0"/>
        <w:snapToGrid w:val="0"/>
        <w:spacing w:line="288" w:lineRule="auto"/>
        <w:ind w:firstLine="495" w:firstLineChars="236"/>
        <w:jc w:val="center"/>
        <w:rPr>
          <w:rFonts w:hint="eastAsia"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0D724FEC">
      <w:pPr>
        <w:adjustRightInd w:val="0"/>
        <w:snapToGrid w:val="0"/>
        <w:spacing w:line="288" w:lineRule="auto"/>
        <w:jc w:val="left"/>
        <w:rPr>
          <w:rFonts w:hint="eastAsia" w:ascii="宋体" w:hAnsi="宋体" w:eastAsia="宋体" w:cs="Times New Roman"/>
          <w:szCs w:val="21"/>
        </w:rPr>
      </w:pPr>
      <w:r>
        <w:rPr>
          <w:rFonts w:hint="eastAsia" w:ascii="宋体" w:hAnsi="宋体" w:eastAsia="宋体" w:cs="宋体"/>
          <w:bCs/>
          <w:szCs w:val="21"/>
        </w:rPr>
        <w:t>身份证件复印件</w:t>
      </w:r>
    </w:p>
    <w:tbl>
      <w:tblPr>
        <w:tblStyle w:val="109"/>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1"/>
        <w:gridCol w:w="4701"/>
      </w:tblGrid>
      <w:tr w14:paraId="303B5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701" w:type="dxa"/>
          </w:tcPr>
          <w:p w14:paraId="7570D84A">
            <w:pPr>
              <w:adjustRightInd w:val="0"/>
              <w:snapToGrid w:val="0"/>
              <w:spacing w:line="288" w:lineRule="auto"/>
              <w:rPr>
                <w:rFonts w:hint="eastAsia" w:ascii="宋体" w:hAnsi="宋体" w:eastAsia="宋体" w:cs="宋体"/>
                <w:bCs/>
                <w:szCs w:val="21"/>
              </w:rPr>
            </w:pPr>
            <w:r>
              <w:rPr>
                <w:rFonts w:hint="eastAsia" w:ascii="宋体" w:hAnsi="宋体" w:eastAsia="宋体" w:cs="宋体"/>
                <w:bCs/>
                <w:szCs w:val="21"/>
              </w:rPr>
              <w:t>正面：</w:t>
            </w:r>
          </w:p>
        </w:tc>
        <w:tc>
          <w:tcPr>
            <w:tcW w:w="4701" w:type="dxa"/>
          </w:tcPr>
          <w:p w14:paraId="05267AA2">
            <w:pPr>
              <w:adjustRightInd w:val="0"/>
              <w:snapToGrid w:val="0"/>
              <w:spacing w:line="288" w:lineRule="auto"/>
              <w:rPr>
                <w:rFonts w:hint="eastAsia" w:ascii="宋体" w:hAnsi="宋体" w:eastAsia="宋体" w:cs="宋体"/>
                <w:bCs/>
                <w:szCs w:val="21"/>
              </w:rPr>
            </w:pPr>
            <w:r>
              <w:rPr>
                <w:rFonts w:hint="eastAsia" w:ascii="宋体" w:hAnsi="宋体" w:eastAsia="宋体" w:cs="宋体"/>
                <w:bCs/>
                <w:szCs w:val="21"/>
              </w:rPr>
              <w:t>反面：</w:t>
            </w:r>
          </w:p>
        </w:tc>
      </w:tr>
    </w:tbl>
    <w:p w14:paraId="6F16F6BC">
      <w:pPr>
        <w:adjustRightInd w:val="0"/>
        <w:snapToGrid w:val="0"/>
        <w:spacing w:line="288" w:lineRule="auto"/>
        <w:rPr>
          <w:rFonts w:ascii="Times New Roman" w:hAnsi="Times New Roman" w:eastAsia="宋体" w:cs="Times New Roman"/>
          <w:szCs w:val="21"/>
        </w:rPr>
      </w:pPr>
    </w:p>
    <w:p w14:paraId="5F048374">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4B33EE67">
      <w:pPr>
        <w:adjustRightInd w:val="0"/>
        <w:snapToGrid w:val="0"/>
        <w:spacing w:line="288" w:lineRule="auto"/>
        <w:jc w:val="left"/>
        <w:outlineLvl w:val="2"/>
        <w:rPr>
          <w:rFonts w:hint="eastAsia" w:ascii="宋体" w:hAnsi="宋体" w:eastAsia="宋体" w:cs="Times New Roman"/>
          <w:b/>
          <w:bCs/>
          <w:szCs w:val="21"/>
        </w:rPr>
      </w:pPr>
      <w:r>
        <w:rPr>
          <w:rFonts w:hint="eastAsia" w:ascii="宋体" w:hAnsi="宋体" w:eastAsia="宋体" w:cs="Times New Roman"/>
          <w:b/>
          <w:bCs/>
          <w:szCs w:val="21"/>
        </w:rPr>
        <w:t>附：授权代表社保缴纳证明（2024年1月（含）以后任意一月）</w:t>
      </w:r>
    </w:p>
    <w:p w14:paraId="224DC986">
      <w:pPr>
        <w:rPr>
          <w:rFonts w:ascii="Times New Roman" w:hAnsi="Times New Roman" w:eastAsia="宋体" w:cs="Times New Roman"/>
          <w:szCs w:val="21"/>
        </w:rPr>
      </w:pPr>
    </w:p>
    <w:p w14:paraId="1D38E6EF">
      <w:pPr>
        <w:adjustRightInd w:val="0"/>
        <w:snapToGrid w:val="0"/>
        <w:spacing w:line="288" w:lineRule="auto"/>
        <w:jc w:val="center"/>
        <w:rPr>
          <w:rFonts w:hint="eastAsia" w:ascii="宋体" w:hAnsi="宋体" w:eastAsia="宋体" w:cs="Times New Roman"/>
          <w:b/>
          <w:spacing w:val="-6"/>
          <w:szCs w:val="21"/>
        </w:rPr>
      </w:pPr>
      <w:r>
        <w:rPr>
          <w:rFonts w:ascii="宋体" w:hAnsi="宋体" w:eastAsia="宋体" w:cs="Times New Roman"/>
          <w:b/>
          <w:spacing w:val="-6"/>
          <w:szCs w:val="21"/>
        </w:rPr>
        <w:br w:type="page"/>
      </w:r>
    </w:p>
    <w:p w14:paraId="2B001CB7">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4"/>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0A8F26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E5A73AB">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2F144322">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37604B4A">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4352ADB">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06B9C64A">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合同金额</w:t>
            </w:r>
          </w:p>
          <w:p w14:paraId="1FF8B73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239A5509">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72BD04BF">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586C025B">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采购人联系人</w:t>
            </w:r>
          </w:p>
          <w:p w14:paraId="42A33759">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联系方式</w:t>
            </w:r>
          </w:p>
        </w:tc>
      </w:tr>
      <w:tr w14:paraId="69020A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0C2F0CE">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419CDF4F">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3A2FB6B0">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5380415F">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A58C5A1">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3AA2B5D0">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F25BE03">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35F73D93">
            <w:pPr>
              <w:adjustRightInd w:val="0"/>
              <w:snapToGrid w:val="0"/>
              <w:spacing w:line="288" w:lineRule="auto"/>
              <w:rPr>
                <w:rFonts w:hint="eastAsia" w:ascii="宋体" w:hAnsi="宋体" w:eastAsia="宋体" w:cs="宋体"/>
                <w:b/>
                <w:bCs/>
                <w:szCs w:val="21"/>
              </w:rPr>
            </w:pPr>
          </w:p>
        </w:tc>
      </w:tr>
      <w:tr w14:paraId="15625E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E6C7CE8">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73008075">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754D00D6">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26260728">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1BED5549">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7AED9D7E">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8BFF206">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46B47E69">
            <w:pPr>
              <w:adjustRightInd w:val="0"/>
              <w:snapToGrid w:val="0"/>
              <w:spacing w:line="288" w:lineRule="auto"/>
              <w:rPr>
                <w:rFonts w:hint="eastAsia" w:ascii="宋体" w:hAnsi="宋体" w:eastAsia="宋体" w:cs="宋体"/>
                <w:b/>
                <w:bCs/>
                <w:szCs w:val="21"/>
              </w:rPr>
            </w:pPr>
          </w:p>
        </w:tc>
      </w:tr>
      <w:tr w14:paraId="3784EC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9D9FF6E">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3B291FB0">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33B17F2D">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3B68ABD4">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3994AC9F">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17AF29FA">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35EA29F9">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7358FA3D">
            <w:pPr>
              <w:adjustRightInd w:val="0"/>
              <w:snapToGrid w:val="0"/>
              <w:spacing w:line="288" w:lineRule="auto"/>
              <w:rPr>
                <w:rFonts w:hint="eastAsia" w:ascii="宋体" w:hAnsi="宋体" w:eastAsia="宋体" w:cs="宋体"/>
                <w:b/>
                <w:bCs/>
                <w:szCs w:val="21"/>
              </w:rPr>
            </w:pPr>
          </w:p>
        </w:tc>
      </w:tr>
      <w:tr w14:paraId="7B8EB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1767059">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37C0BEFB">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786B62F2">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4ABFD952">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3D00FEEC">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6A407F4B">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47605F19">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572D2FC7">
            <w:pPr>
              <w:adjustRightInd w:val="0"/>
              <w:snapToGrid w:val="0"/>
              <w:spacing w:line="288" w:lineRule="auto"/>
              <w:rPr>
                <w:rFonts w:hint="eastAsia" w:ascii="宋体" w:hAnsi="宋体" w:eastAsia="宋体" w:cs="宋体"/>
                <w:b/>
                <w:bCs/>
                <w:szCs w:val="21"/>
              </w:rPr>
            </w:pPr>
          </w:p>
        </w:tc>
      </w:tr>
      <w:tr w14:paraId="6210FE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DD45233">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45622D18">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6268BEE5">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6770347A">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569A0BA1">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6EBCFB20">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62FADA15">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4C8D415A">
            <w:pPr>
              <w:adjustRightInd w:val="0"/>
              <w:snapToGrid w:val="0"/>
              <w:spacing w:line="288" w:lineRule="auto"/>
              <w:rPr>
                <w:rFonts w:hint="eastAsia" w:ascii="宋体" w:hAnsi="宋体" w:eastAsia="宋体" w:cs="宋体"/>
                <w:b/>
                <w:bCs/>
                <w:szCs w:val="21"/>
              </w:rPr>
            </w:pPr>
          </w:p>
        </w:tc>
      </w:tr>
    </w:tbl>
    <w:p w14:paraId="410DACEA">
      <w:pPr>
        <w:adjustRightInd w:val="0"/>
        <w:snapToGrid w:val="0"/>
        <w:spacing w:line="288" w:lineRule="auto"/>
        <w:rPr>
          <w:rFonts w:hint="eastAsia" w:ascii="宋体" w:hAnsi="宋体" w:eastAsia="宋体" w:cs="Times New Roman"/>
          <w:szCs w:val="21"/>
        </w:rPr>
      </w:pPr>
    </w:p>
    <w:p w14:paraId="44AF5DEE">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说明：</w:t>
      </w:r>
    </w:p>
    <w:p w14:paraId="16B353E6">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78A64943">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1E557DB6">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50C47806">
      <w:pPr>
        <w:adjustRightInd w:val="0"/>
        <w:snapToGrid w:val="0"/>
        <w:spacing w:line="288" w:lineRule="auto"/>
        <w:rPr>
          <w:rFonts w:hint="eastAsia" w:ascii="宋体" w:hAnsi="宋体" w:eastAsia="宋体" w:cs="Times New Roman"/>
          <w:spacing w:val="-6"/>
          <w:szCs w:val="21"/>
        </w:rPr>
      </w:pPr>
    </w:p>
    <w:p w14:paraId="1C3D4DE8">
      <w:pPr>
        <w:adjustRightInd w:val="0"/>
        <w:snapToGrid w:val="0"/>
        <w:spacing w:line="288" w:lineRule="auto"/>
        <w:rPr>
          <w:rFonts w:hint="eastAsia" w:ascii="宋体" w:hAnsi="宋体" w:eastAsia="宋体" w:cs="Times New Roman"/>
          <w:spacing w:val="-6"/>
          <w:szCs w:val="21"/>
        </w:rPr>
      </w:pPr>
    </w:p>
    <w:p w14:paraId="76E27AF2">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6993828F">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5B049079">
      <w:pPr>
        <w:adjustRightInd w:val="0"/>
        <w:snapToGrid w:val="0"/>
        <w:spacing w:line="288" w:lineRule="auto"/>
        <w:jc w:val="center"/>
        <w:outlineLvl w:val="2"/>
        <w:rPr>
          <w:rFonts w:hint="eastAsia" w:ascii="宋体" w:hAnsi="宋体" w:eastAsia="宋体" w:cs="Times New Roman"/>
          <w:b/>
          <w:szCs w:val="21"/>
        </w:rPr>
      </w:pPr>
      <w:r>
        <w:rPr>
          <w:rFonts w:hint="eastAsia" w:ascii="宋体" w:hAnsi="宋体" w:eastAsia="宋体" w:cs="Times New Roman"/>
          <w:spacing w:val="-6"/>
          <w:szCs w:val="21"/>
        </w:rPr>
        <w:br w:type="page"/>
      </w:r>
    </w:p>
    <w:p w14:paraId="59275AB5">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55CFA90B">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采 购 人：浙江农林大学</w:t>
      </w:r>
    </w:p>
    <w:p w14:paraId="1A94FC4A">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项目名称：山地健康土壤培育子平台</w:t>
      </w:r>
    </w:p>
    <w:p w14:paraId="609F6EEF">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QSZB-Z(H)-B24472(GK)</w:t>
      </w:r>
    </w:p>
    <w:p w14:paraId="5F6FAEAC">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标    项：</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71F24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5A8CF33F">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6C5C8DE7">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35BCC4D7">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25D8319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是否偏离（提供说明）</w:t>
            </w:r>
          </w:p>
        </w:tc>
      </w:tr>
      <w:tr w14:paraId="076C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7049F9E">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采购资金的支付方式、时间、条件</w:t>
            </w:r>
          </w:p>
        </w:tc>
      </w:tr>
      <w:tr w14:paraId="4187E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667D2D8">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4254" w:type="dxa"/>
            <w:vAlign w:val="center"/>
          </w:tcPr>
          <w:p w14:paraId="3810A141">
            <w:pPr>
              <w:adjustRightInd w:val="0"/>
              <w:snapToGrid w:val="0"/>
              <w:spacing w:line="288" w:lineRule="auto"/>
              <w:rPr>
                <w:rFonts w:hint="eastAsia" w:ascii="宋体" w:hAnsi="宋体" w:eastAsia="宋体" w:cs="宋体"/>
                <w:szCs w:val="21"/>
              </w:rPr>
            </w:pPr>
          </w:p>
        </w:tc>
        <w:tc>
          <w:tcPr>
            <w:tcW w:w="2574" w:type="dxa"/>
            <w:vAlign w:val="center"/>
          </w:tcPr>
          <w:p w14:paraId="71070CF5">
            <w:pPr>
              <w:adjustRightInd w:val="0"/>
              <w:snapToGrid w:val="0"/>
              <w:spacing w:line="288" w:lineRule="auto"/>
              <w:rPr>
                <w:rFonts w:hint="eastAsia" w:ascii="宋体" w:hAnsi="宋体" w:eastAsia="宋体" w:cs="宋体"/>
                <w:szCs w:val="21"/>
              </w:rPr>
            </w:pPr>
          </w:p>
        </w:tc>
        <w:tc>
          <w:tcPr>
            <w:tcW w:w="2124" w:type="dxa"/>
            <w:vAlign w:val="center"/>
          </w:tcPr>
          <w:p w14:paraId="368904BF">
            <w:pPr>
              <w:adjustRightInd w:val="0"/>
              <w:snapToGrid w:val="0"/>
              <w:spacing w:line="288" w:lineRule="auto"/>
              <w:rPr>
                <w:rFonts w:hint="eastAsia" w:ascii="宋体" w:hAnsi="宋体" w:eastAsia="宋体" w:cs="宋体"/>
                <w:szCs w:val="21"/>
              </w:rPr>
            </w:pPr>
          </w:p>
        </w:tc>
      </w:tr>
      <w:tr w14:paraId="5B81A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51DAD55">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4254" w:type="dxa"/>
            <w:vAlign w:val="center"/>
          </w:tcPr>
          <w:p w14:paraId="2E8F6049">
            <w:pPr>
              <w:adjustRightInd w:val="0"/>
              <w:snapToGrid w:val="0"/>
              <w:spacing w:line="288" w:lineRule="auto"/>
              <w:rPr>
                <w:rFonts w:hint="eastAsia" w:ascii="宋体" w:hAnsi="宋体" w:eastAsia="宋体" w:cs="宋体"/>
                <w:szCs w:val="21"/>
              </w:rPr>
            </w:pPr>
          </w:p>
        </w:tc>
        <w:tc>
          <w:tcPr>
            <w:tcW w:w="2574" w:type="dxa"/>
            <w:vAlign w:val="center"/>
          </w:tcPr>
          <w:p w14:paraId="4D6D9228">
            <w:pPr>
              <w:adjustRightInd w:val="0"/>
              <w:snapToGrid w:val="0"/>
              <w:spacing w:line="288" w:lineRule="auto"/>
              <w:rPr>
                <w:rFonts w:hint="eastAsia" w:ascii="宋体" w:hAnsi="宋体" w:eastAsia="宋体" w:cs="宋体"/>
                <w:szCs w:val="21"/>
              </w:rPr>
            </w:pPr>
          </w:p>
        </w:tc>
        <w:tc>
          <w:tcPr>
            <w:tcW w:w="2124" w:type="dxa"/>
            <w:vAlign w:val="center"/>
          </w:tcPr>
          <w:p w14:paraId="7F8CE6DD">
            <w:pPr>
              <w:adjustRightInd w:val="0"/>
              <w:snapToGrid w:val="0"/>
              <w:spacing w:line="288" w:lineRule="auto"/>
              <w:rPr>
                <w:rFonts w:hint="eastAsia" w:ascii="宋体" w:hAnsi="宋体" w:eastAsia="宋体" w:cs="宋体"/>
                <w:szCs w:val="21"/>
              </w:rPr>
            </w:pPr>
          </w:p>
        </w:tc>
      </w:tr>
      <w:tr w14:paraId="4DFC0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6F43E0E">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w:t>
            </w:r>
          </w:p>
        </w:tc>
        <w:tc>
          <w:tcPr>
            <w:tcW w:w="4254" w:type="dxa"/>
            <w:vAlign w:val="center"/>
          </w:tcPr>
          <w:p w14:paraId="32FD6B5D">
            <w:pPr>
              <w:adjustRightInd w:val="0"/>
              <w:snapToGrid w:val="0"/>
              <w:spacing w:line="288" w:lineRule="auto"/>
              <w:rPr>
                <w:rFonts w:hint="eastAsia" w:ascii="宋体" w:hAnsi="宋体" w:eastAsia="宋体" w:cs="宋体"/>
                <w:szCs w:val="21"/>
              </w:rPr>
            </w:pPr>
          </w:p>
        </w:tc>
        <w:tc>
          <w:tcPr>
            <w:tcW w:w="2574" w:type="dxa"/>
            <w:vAlign w:val="center"/>
          </w:tcPr>
          <w:p w14:paraId="3F0CA52E">
            <w:pPr>
              <w:adjustRightInd w:val="0"/>
              <w:snapToGrid w:val="0"/>
              <w:spacing w:line="288" w:lineRule="auto"/>
              <w:rPr>
                <w:rFonts w:hint="eastAsia" w:ascii="宋体" w:hAnsi="宋体" w:eastAsia="宋体" w:cs="宋体"/>
                <w:szCs w:val="21"/>
              </w:rPr>
            </w:pPr>
          </w:p>
        </w:tc>
        <w:tc>
          <w:tcPr>
            <w:tcW w:w="2124" w:type="dxa"/>
            <w:vAlign w:val="center"/>
          </w:tcPr>
          <w:p w14:paraId="632999BE">
            <w:pPr>
              <w:adjustRightInd w:val="0"/>
              <w:snapToGrid w:val="0"/>
              <w:spacing w:line="288" w:lineRule="auto"/>
              <w:rPr>
                <w:rFonts w:hint="eastAsia" w:ascii="宋体" w:hAnsi="宋体" w:eastAsia="宋体" w:cs="宋体"/>
                <w:szCs w:val="21"/>
              </w:rPr>
            </w:pPr>
          </w:p>
        </w:tc>
      </w:tr>
      <w:tr w14:paraId="649BA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59531D66">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服务要求</w:t>
            </w:r>
          </w:p>
        </w:tc>
      </w:tr>
      <w:tr w14:paraId="60CCE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2498B6F">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4254" w:type="dxa"/>
            <w:vAlign w:val="center"/>
          </w:tcPr>
          <w:p w14:paraId="1A76F8C5">
            <w:pPr>
              <w:adjustRightInd w:val="0"/>
              <w:snapToGrid w:val="0"/>
              <w:spacing w:line="288" w:lineRule="auto"/>
              <w:jc w:val="left"/>
              <w:rPr>
                <w:rFonts w:hint="eastAsia" w:ascii="宋体" w:hAnsi="宋体" w:eastAsia="宋体" w:cs="宋体"/>
                <w:szCs w:val="21"/>
              </w:rPr>
            </w:pPr>
          </w:p>
        </w:tc>
        <w:tc>
          <w:tcPr>
            <w:tcW w:w="2574" w:type="dxa"/>
            <w:vAlign w:val="center"/>
          </w:tcPr>
          <w:p w14:paraId="61325011">
            <w:pPr>
              <w:adjustRightInd w:val="0"/>
              <w:snapToGrid w:val="0"/>
              <w:spacing w:line="288" w:lineRule="auto"/>
              <w:jc w:val="left"/>
              <w:rPr>
                <w:rFonts w:hint="eastAsia" w:ascii="宋体" w:hAnsi="宋体" w:eastAsia="宋体" w:cs="宋体"/>
                <w:szCs w:val="21"/>
              </w:rPr>
            </w:pPr>
          </w:p>
        </w:tc>
        <w:tc>
          <w:tcPr>
            <w:tcW w:w="2124" w:type="dxa"/>
            <w:vAlign w:val="center"/>
          </w:tcPr>
          <w:p w14:paraId="62368659">
            <w:pPr>
              <w:adjustRightInd w:val="0"/>
              <w:snapToGrid w:val="0"/>
              <w:spacing w:line="288" w:lineRule="auto"/>
              <w:jc w:val="left"/>
              <w:rPr>
                <w:rFonts w:hint="eastAsia" w:ascii="宋体" w:hAnsi="宋体" w:eastAsia="宋体" w:cs="宋体"/>
                <w:szCs w:val="21"/>
              </w:rPr>
            </w:pPr>
          </w:p>
        </w:tc>
      </w:tr>
      <w:tr w14:paraId="52C77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30AA562E">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4254" w:type="dxa"/>
            <w:vAlign w:val="center"/>
          </w:tcPr>
          <w:p w14:paraId="11B8F5E2">
            <w:pPr>
              <w:adjustRightInd w:val="0"/>
              <w:snapToGrid w:val="0"/>
              <w:spacing w:line="288" w:lineRule="auto"/>
              <w:jc w:val="left"/>
              <w:rPr>
                <w:rFonts w:hint="eastAsia" w:ascii="宋体" w:hAnsi="宋体" w:eastAsia="宋体" w:cs="宋体"/>
                <w:szCs w:val="21"/>
              </w:rPr>
            </w:pPr>
          </w:p>
        </w:tc>
        <w:tc>
          <w:tcPr>
            <w:tcW w:w="2574" w:type="dxa"/>
            <w:vAlign w:val="center"/>
          </w:tcPr>
          <w:p w14:paraId="7FBDAA67">
            <w:pPr>
              <w:adjustRightInd w:val="0"/>
              <w:snapToGrid w:val="0"/>
              <w:spacing w:line="288" w:lineRule="auto"/>
              <w:jc w:val="left"/>
              <w:rPr>
                <w:rFonts w:hint="eastAsia" w:ascii="宋体" w:hAnsi="宋体" w:eastAsia="宋体" w:cs="宋体"/>
                <w:szCs w:val="21"/>
              </w:rPr>
            </w:pPr>
          </w:p>
        </w:tc>
        <w:tc>
          <w:tcPr>
            <w:tcW w:w="2124" w:type="dxa"/>
            <w:vAlign w:val="center"/>
          </w:tcPr>
          <w:p w14:paraId="2A3F2050">
            <w:pPr>
              <w:adjustRightInd w:val="0"/>
              <w:snapToGrid w:val="0"/>
              <w:spacing w:line="288" w:lineRule="auto"/>
              <w:jc w:val="left"/>
              <w:rPr>
                <w:rFonts w:hint="eastAsia" w:ascii="宋体" w:hAnsi="宋体" w:eastAsia="宋体" w:cs="宋体"/>
                <w:szCs w:val="21"/>
              </w:rPr>
            </w:pPr>
          </w:p>
        </w:tc>
      </w:tr>
      <w:tr w14:paraId="1031A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82C58F8">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w:t>
            </w:r>
          </w:p>
        </w:tc>
        <w:tc>
          <w:tcPr>
            <w:tcW w:w="4254" w:type="dxa"/>
            <w:vAlign w:val="center"/>
          </w:tcPr>
          <w:p w14:paraId="685E0CDD">
            <w:pPr>
              <w:adjustRightInd w:val="0"/>
              <w:snapToGrid w:val="0"/>
              <w:spacing w:line="288" w:lineRule="auto"/>
              <w:jc w:val="left"/>
              <w:rPr>
                <w:rFonts w:hint="eastAsia" w:ascii="宋体" w:hAnsi="宋体" w:eastAsia="宋体" w:cs="宋体"/>
                <w:szCs w:val="21"/>
              </w:rPr>
            </w:pPr>
          </w:p>
        </w:tc>
        <w:tc>
          <w:tcPr>
            <w:tcW w:w="2574" w:type="dxa"/>
            <w:vAlign w:val="center"/>
          </w:tcPr>
          <w:p w14:paraId="7B207444">
            <w:pPr>
              <w:adjustRightInd w:val="0"/>
              <w:snapToGrid w:val="0"/>
              <w:spacing w:line="288" w:lineRule="auto"/>
              <w:jc w:val="left"/>
              <w:rPr>
                <w:rFonts w:hint="eastAsia" w:ascii="宋体" w:hAnsi="宋体" w:eastAsia="宋体" w:cs="宋体"/>
                <w:szCs w:val="21"/>
              </w:rPr>
            </w:pPr>
          </w:p>
        </w:tc>
        <w:tc>
          <w:tcPr>
            <w:tcW w:w="2124" w:type="dxa"/>
            <w:vAlign w:val="center"/>
          </w:tcPr>
          <w:p w14:paraId="271949D1">
            <w:pPr>
              <w:adjustRightInd w:val="0"/>
              <w:snapToGrid w:val="0"/>
              <w:spacing w:line="288" w:lineRule="auto"/>
              <w:jc w:val="left"/>
              <w:rPr>
                <w:rFonts w:hint="eastAsia" w:ascii="宋体" w:hAnsi="宋体" w:eastAsia="宋体" w:cs="宋体"/>
                <w:szCs w:val="21"/>
              </w:rPr>
            </w:pPr>
          </w:p>
        </w:tc>
      </w:tr>
      <w:tr w14:paraId="45613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5CCD2715">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技术要求</w:t>
            </w:r>
          </w:p>
        </w:tc>
      </w:tr>
      <w:tr w14:paraId="36A57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3C7BC5B2">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4254" w:type="dxa"/>
            <w:vAlign w:val="center"/>
          </w:tcPr>
          <w:p w14:paraId="735C1900">
            <w:pPr>
              <w:adjustRightInd w:val="0"/>
              <w:snapToGrid w:val="0"/>
              <w:spacing w:line="288" w:lineRule="auto"/>
              <w:rPr>
                <w:rFonts w:hint="eastAsia" w:ascii="宋体" w:hAnsi="宋体" w:eastAsia="宋体" w:cs="宋体"/>
                <w:szCs w:val="21"/>
              </w:rPr>
            </w:pPr>
          </w:p>
        </w:tc>
        <w:tc>
          <w:tcPr>
            <w:tcW w:w="2574" w:type="dxa"/>
            <w:vAlign w:val="center"/>
          </w:tcPr>
          <w:p w14:paraId="2F37FEF3">
            <w:pPr>
              <w:adjustRightInd w:val="0"/>
              <w:snapToGrid w:val="0"/>
              <w:spacing w:line="288" w:lineRule="auto"/>
              <w:rPr>
                <w:rFonts w:hint="eastAsia" w:ascii="宋体" w:hAnsi="宋体" w:eastAsia="宋体" w:cs="宋体"/>
                <w:szCs w:val="21"/>
              </w:rPr>
            </w:pPr>
          </w:p>
        </w:tc>
        <w:tc>
          <w:tcPr>
            <w:tcW w:w="2124" w:type="dxa"/>
            <w:vAlign w:val="center"/>
          </w:tcPr>
          <w:p w14:paraId="123C8420">
            <w:pPr>
              <w:adjustRightInd w:val="0"/>
              <w:snapToGrid w:val="0"/>
              <w:spacing w:line="288" w:lineRule="auto"/>
              <w:rPr>
                <w:rFonts w:hint="eastAsia" w:ascii="宋体" w:hAnsi="宋体" w:eastAsia="宋体" w:cs="宋体"/>
                <w:szCs w:val="21"/>
              </w:rPr>
            </w:pPr>
          </w:p>
        </w:tc>
      </w:tr>
      <w:tr w14:paraId="570ED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5B60D2E">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4254" w:type="dxa"/>
            <w:vAlign w:val="center"/>
          </w:tcPr>
          <w:p w14:paraId="34244DF7">
            <w:pPr>
              <w:adjustRightInd w:val="0"/>
              <w:snapToGrid w:val="0"/>
              <w:spacing w:line="288" w:lineRule="auto"/>
              <w:rPr>
                <w:rFonts w:hint="eastAsia" w:ascii="宋体" w:hAnsi="宋体" w:eastAsia="宋体" w:cs="宋体"/>
                <w:szCs w:val="21"/>
              </w:rPr>
            </w:pPr>
          </w:p>
        </w:tc>
        <w:tc>
          <w:tcPr>
            <w:tcW w:w="2574" w:type="dxa"/>
            <w:vAlign w:val="center"/>
          </w:tcPr>
          <w:p w14:paraId="6FCFD5AB">
            <w:pPr>
              <w:adjustRightInd w:val="0"/>
              <w:snapToGrid w:val="0"/>
              <w:spacing w:line="288" w:lineRule="auto"/>
              <w:rPr>
                <w:rFonts w:hint="eastAsia" w:ascii="宋体" w:hAnsi="宋体" w:eastAsia="宋体" w:cs="宋体"/>
                <w:szCs w:val="21"/>
              </w:rPr>
            </w:pPr>
          </w:p>
        </w:tc>
        <w:tc>
          <w:tcPr>
            <w:tcW w:w="2124" w:type="dxa"/>
            <w:vAlign w:val="center"/>
          </w:tcPr>
          <w:p w14:paraId="1344F244">
            <w:pPr>
              <w:adjustRightInd w:val="0"/>
              <w:snapToGrid w:val="0"/>
              <w:spacing w:line="288" w:lineRule="auto"/>
              <w:rPr>
                <w:rFonts w:hint="eastAsia" w:ascii="宋体" w:hAnsi="宋体" w:eastAsia="宋体" w:cs="宋体"/>
                <w:szCs w:val="21"/>
              </w:rPr>
            </w:pPr>
          </w:p>
        </w:tc>
      </w:tr>
      <w:tr w14:paraId="4E8AA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FA679C2">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w:t>
            </w:r>
          </w:p>
        </w:tc>
        <w:tc>
          <w:tcPr>
            <w:tcW w:w="4254" w:type="dxa"/>
            <w:vAlign w:val="center"/>
          </w:tcPr>
          <w:p w14:paraId="6099F53F">
            <w:pPr>
              <w:adjustRightInd w:val="0"/>
              <w:snapToGrid w:val="0"/>
              <w:spacing w:line="288" w:lineRule="auto"/>
              <w:rPr>
                <w:rFonts w:hint="eastAsia" w:ascii="宋体" w:hAnsi="宋体" w:eastAsia="宋体" w:cs="宋体"/>
                <w:szCs w:val="21"/>
              </w:rPr>
            </w:pPr>
          </w:p>
        </w:tc>
        <w:tc>
          <w:tcPr>
            <w:tcW w:w="2574" w:type="dxa"/>
            <w:vAlign w:val="center"/>
          </w:tcPr>
          <w:p w14:paraId="0D624FC6">
            <w:pPr>
              <w:adjustRightInd w:val="0"/>
              <w:snapToGrid w:val="0"/>
              <w:spacing w:line="288" w:lineRule="auto"/>
              <w:rPr>
                <w:rFonts w:hint="eastAsia" w:ascii="宋体" w:hAnsi="宋体" w:eastAsia="宋体" w:cs="宋体"/>
                <w:szCs w:val="21"/>
              </w:rPr>
            </w:pPr>
          </w:p>
        </w:tc>
        <w:tc>
          <w:tcPr>
            <w:tcW w:w="2124" w:type="dxa"/>
            <w:vAlign w:val="center"/>
          </w:tcPr>
          <w:p w14:paraId="0F9B2943">
            <w:pPr>
              <w:adjustRightInd w:val="0"/>
              <w:snapToGrid w:val="0"/>
              <w:spacing w:line="288" w:lineRule="auto"/>
              <w:rPr>
                <w:rFonts w:hint="eastAsia" w:ascii="宋体" w:hAnsi="宋体" w:eastAsia="宋体" w:cs="宋体"/>
                <w:szCs w:val="21"/>
              </w:rPr>
            </w:pPr>
          </w:p>
        </w:tc>
      </w:tr>
    </w:tbl>
    <w:p w14:paraId="38A8F12F">
      <w:pPr>
        <w:adjustRightInd w:val="0"/>
        <w:snapToGrid w:val="0"/>
        <w:spacing w:line="288" w:lineRule="auto"/>
        <w:rPr>
          <w:rFonts w:hint="eastAsia" w:ascii="宋体" w:hAnsi="宋体" w:eastAsia="宋体" w:cs="Times New Roman"/>
          <w:b/>
          <w:bCs/>
          <w:spacing w:val="-6"/>
          <w:szCs w:val="21"/>
        </w:rPr>
      </w:pPr>
    </w:p>
    <w:p w14:paraId="4439657A">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说明：</w:t>
      </w:r>
    </w:p>
    <w:p w14:paraId="68F6C525">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5DF615C0">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44AD4383">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4603CD7C">
      <w:pPr>
        <w:adjustRightInd w:val="0"/>
        <w:snapToGrid w:val="0"/>
        <w:spacing w:line="288" w:lineRule="auto"/>
        <w:rPr>
          <w:rFonts w:hint="eastAsia" w:ascii="宋体" w:hAnsi="宋体" w:eastAsia="宋体" w:cs="Times New Roman"/>
          <w:spacing w:val="-6"/>
          <w:szCs w:val="21"/>
        </w:rPr>
      </w:pPr>
    </w:p>
    <w:p w14:paraId="1AEEE02C">
      <w:pPr>
        <w:adjustRightInd w:val="0"/>
        <w:snapToGrid w:val="0"/>
        <w:spacing w:line="288" w:lineRule="auto"/>
        <w:rPr>
          <w:rFonts w:hint="eastAsia" w:ascii="宋体" w:hAnsi="宋体" w:eastAsia="宋体" w:cs="Times New Roman"/>
          <w:spacing w:val="-6"/>
          <w:szCs w:val="21"/>
        </w:rPr>
      </w:pPr>
    </w:p>
    <w:p w14:paraId="591AAE75">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6FA39A5D">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7265D625">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Times New Roman"/>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5</w:t>
      </w:r>
      <w:r>
        <w:rPr>
          <w:rFonts w:hint="eastAsia" w:ascii="宋体" w:hAnsi="宋体" w:eastAsia="宋体" w:cs="宋体"/>
          <w:b/>
          <w:spacing w:val="-6"/>
          <w:szCs w:val="21"/>
        </w:rPr>
        <w:t>）货物配置清单</w:t>
      </w:r>
      <w:r>
        <w:rPr>
          <w:rFonts w:hint="eastAsia" w:ascii="宋体" w:hAnsi="宋体" w:eastAsia="宋体" w:cs="宋体"/>
          <w:spacing w:val="-6"/>
          <w:szCs w:val="21"/>
        </w:rPr>
        <w:t>（不含报价）</w:t>
      </w:r>
    </w:p>
    <w:p w14:paraId="47D54D17">
      <w:pPr>
        <w:adjustRightInd w:val="0"/>
        <w:snapToGrid w:val="0"/>
        <w:spacing w:line="288" w:lineRule="auto"/>
        <w:rPr>
          <w:rFonts w:hint="eastAsia" w:ascii="宋体" w:hAnsi="宋体" w:eastAsia="宋体" w:cs="宋体"/>
          <w:spacing w:val="-6"/>
          <w:szCs w:val="21"/>
        </w:rPr>
      </w:pPr>
    </w:p>
    <w:tbl>
      <w:tblPr>
        <w:tblStyle w:val="24"/>
        <w:tblW w:w="94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2105"/>
        <w:gridCol w:w="756"/>
        <w:gridCol w:w="1011"/>
        <w:gridCol w:w="2025"/>
      </w:tblGrid>
      <w:tr w14:paraId="11AFE5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CFB4AB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F6F1744">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53DC670A">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品牌</w:t>
            </w: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4969D495">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规格型号</w:t>
            </w:r>
          </w:p>
          <w:p w14:paraId="7C0D2BD2">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2057135F">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78EF58F">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2025" w:type="dxa"/>
            <w:tcBorders>
              <w:top w:val="single" w:color="auto" w:sz="4" w:space="0"/>
              <w:left w:val="single" w:color="auto" w:sz="4" w:space="0"/>
              <w:bottom w:val="single" w:color="auto" w:sz="4" w:space="0"/>
              <w:right w:val="single" w:color="auto" w:sz="4" w:space="0"/>
            </w:tcBorders>
            <w:vAlign w:val="center"/>
          </w:tcPr>
          <w:p w14:paraId="526F44D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配置（可另附页）</w:t>
            </w:r>
          </w:p>
        </w:tc>
      </w:tr>
      <w:tr w14:paraId="475C59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413E946">
            <w:pPr>
              <w:adjustRightInd w:val="0"/>
              <w:snapToGrid w:val="0"/>
              <w:spacing w:line="288"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AE8DCCD">
            <w:pPr>
              <w:adjustRightInd w:val="0"/>
              <w:snapToGrid w:val="0"/>
              <w:spacing w:line="288" w:lineRule="auto"/>
              <w:jc w:val="center"/>
              <w:rPr>
                <w:rFonts w:hint="eastAsia"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26B6B0E">
            <w:pPr>
              <w:adjustRightInd w:val="0"/>
              <w:snapToGrid w:val="0"/>
              <w:spacing w:line="288" w:lineRule="auto"/>
              <w:jc w:val="center"/>
              <w:rPr>
                <w:rFonts w:hint="eastAsia"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2DF6D5F9">
            <w:pPr>
              <w:adjustRightInd w:val="0"/>
              <w:snapToGrid w:val="0"/>
              <w:spacing w:line="288" w:lineRule="auto"/>
              <w:jc w:val="center"/>
              <w:rPr>
                <w:rFonts w:hint="eastAsia"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717B7BC9">
            <w:pPr>
              <w:adjustRightInd w:val="0"/>
              <w:snapToGrid w:val="0"/>
              <w:spacing w:line="288" w:lineRule="auto"/>
              <w:jc w:val="center"/>
              <w:rPr>
                <w:rFonts w:hint="eastAsia"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948AF0E">
            <w:pPr>
              <w:adjustRightInd w:val="0"/>
              <w:snapToGrid w:val="0"/>
              <w:spacing w:line="288" w:lineRule="auto"/>
              <w:jc w:val="center"/>
              <w:rPr>
                <w:rFonts w:hint="eastAsia"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64706840">
            <w:pPr>
              <w:adjustRightInd w:val="0"/>
              <w:snapToGrid w:val="0"/>
              <w:spacing w:line="288" w:lineRule="auto"/>
              <w:jc w:val="center"/>
              <w:rPr>
                <w:rFonts w:hint="eastAsia" w:ascii="宋体" w:hAnsi="宋体" w:eastAsia="宋体" w:cs="宋体"/>
                <w:b/>
                <w:bCs/>
                <w:szCs w:val="21"/>
              </w:rPr>
            </w:pPr>
          </w:p>
        </w:tc>
      </w:tr>
      <w:tr w14:paraId="088325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CF4E041">
            <w:pPr>
              <w:adjustRightInd w:val="0"/>
              <w:snapToGrid w:val="0"/>
              <w:spacing w:line="288"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94BF0F0">
            <w:pPr>
              <w:adjustRightInd w:val="0"/>
              <w:snapToGrid w:val="0"/>
              <w:spacing w:line="288" w:lineRule="auto"/>
              <w:jc w:val="center"/>
              <w:rPr>
                <w:rFonts w:hint="eastAsia"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166DA11">
            <w:pPr>
              <w:adjustRightInd w:val="0"/>
              <w:snapToGrid w:val="0"/>
              <w:spacing w:line="288" w:lineRule="auto"/>
              <w:jc w:val="center"/>
              <w:rPr>
                <w:rFonts w:hint="eastAsia"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31C87E77">
            <w:pPr>
              <w:adjustRightInd w:val="0"/>
              <w:snapToGrid w:val="0"/>
              <w:spacing w:line="288" w:lineRule="auto"/>
              <w:jc w:val="center"/>
              <w:rPr>
                <w:rFonts w:hint="eastAsia"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73A86F39">
            <w:pPr>
              <w:adjustRightInd w:val="0"/>
              <w:snapToGrid w:val="0"/>
              <w:spacing w:line="288" w:lineRule="auto"/>
              <w:jc w:val="center"/>
              <w:rPr>
                <w:rFonts w:hint="eastAsia"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FBFCF4D">
            <w:pPr>
              <w:adjustRightInd w:val="0"/>
              <w:snapToGrid w:val="0"/>
              <w:spacing w:line="288" w:lineRule="auto"/>
              <w:jc w:val="center"/>
              <w:rPr>
                <w:rFonts w:hint="eastAsia"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1C807E8A">
            <w:pPr>
              <w:adjustRightInd w:val="0"/>
              <w:snapToGrid w:val="0"/>
              <w:spacing w:line="288" w:lineRule="auto"/>
              <w:jc w:val="center"/>
              <w:rPr>
                <w:rFonts w:hint="eastAsia" w:ascii="宋体" w:hAnsi="宋体" w:eastAsia="宋体" w:cs="宋体"/>
                <w:b/>
                <w:bCs/>
                <w:szCs w:val="21"/>
              </w:rPr>
            </w:pPr>
          </w:p>
        </w:tc>
      </w:tr>
      <w:tr w14:paraId="5F49F7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A34819D">
            <w:pPr>
              <w:adjustRightInd w:val="0"/>
              <w:snapToGrid w:val="0"/>
              <w:spacing w:line="288"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B5D2BF8">
            <w:pPr>
              <w:adjustRightInd w:val="0"/>
              <w:snapToGrid w:val="0"/>
              <w:spacing w:line="288" w:lineRule="auto"/>
              <w:jc w:val="center"/>
              <w:rPr>
                <w:rFonts w:hint="eastAsia"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06C8AF6">
            <w:pPr>
              <w:adjustRightInd w:val="0"/>
              <w:snapToGrid w:val="0"/>
              <w:spacing w:line="288" w:lineRule="auto"/>
              <w:jc w:val="center"/>
              <w:rPr>
                <w:rFonts w:hint="eastAsia"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5F1BA5E1">
            <w:pPr>
              <w:adjustRightInd w:val="0"/>
              <w:snapToGrid w:val="0"/>
              <w:spacing w:line="288" w:lineRule="auto"/>
              <w:jc w:val="center"/>
              <w:rPr>
                <w:rFonts w:hint="eastAsia"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42B79084">
            <w:pPr>
              <w:adjustRightInd w:val="0"/>
              <w:snapToGrid w:val="0"/>
              <w:spacing w:line="288" w:lineRule="auto"/>
              <w:jc w:val="center"/>
              <w:rPr>
                <w:rFonts w:hint="eastAsia"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72FECDA">
            <w:pPr>
              <w:adjustRightInd w:val="0"/>
              <w:snapToGrid w:val="0"/>
              <w:spacing w:line="288" w:lineRule="auto"/>
              <w:jc w:val="center"/>
              <w:rPr>
                <w:rFonts w:hint="eastAsia"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249E12F5">
            <w:pPr>
              <w:adjustRightInd w:val="0"/>
              <w:snapToGrid w:val="0"/>
              <w:spacing w:line="288" w:lineRule="auto"/>
              <w:jc w:val="center"/>
              <w:rPr>
                <w:rFonts w:hint="eastAsia" w:ascii="宋体" w:hAnsi="宋体" w:eastAsia="宋体" w:cs="宋体"/>
                <w:b/>
                <w:bCs/>
                <w:szCs w:val="21"/>
              </w:rPr>
            </w:pPr>
          </w:p>
        </w:tc>
      </w:tr>
      <w:tr w14:paraId="741C35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3A7DF2F">
            <w:pPr>
              <w:adjustRightInd w:val="0"/>
              <w:snapToGrid w:val="0"/>
              <w:spacing w:line="288"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A29DC13">
            <w:pPr>
              <w:adjustRightInd w:val="0"/>
              <w:snapToGrid w:val="0"/>
              <w:spacing w:line="288" w:lineRule="auto"/>
              <w:jc w:val="center"/>
              <w:rPr>
                <w:rFonts w:hint="eastAsia"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2ECA21D">
            <w:pPr>
              <w:adjustRightInd w:val="0"/>
              <w:snapToGrid w:val="0"/>
              <w:spacing w:line="288" w:lineRule="auto"/>
              <w:jc w:val="center"/>
              <w:rPr>
                <w:rFonts w:hint="eastAsia"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0B140AE1">
            <w:pPr>
              <w:adjustRightInd w:val="0"/>
              <w:snapToGrid w:val="0"/>
              <w:spacing w:line="288" w:lineRule="auto"/>
              <w:jc w:val="center"/>
              <w:rPr>
                <w:rFonts w:hint="eastAsia"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1AF21323">
            <w:pPr>
              <w:adjustRightInd w:val="0"/>
              <w:snapToGrid w:val="0"/>
              <w:spacing w:line="288" w:lineRule="auto"/>
              <w:jc w:val="center"/>
              <w:rPr>
                <w:rFonts w:hint="eastAsia"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53D4DE6F">
            <w:pPr>
              <w:adjustRightInd w:val="0"/>
              <w:snapToGrid w:val="0"/>
              <w:spacing w:line="288" w:lineRule="auto"/>
              <w:jc w:val="center"/>
              <w:rPr>
                <w:rFonts w:hint="eastAsia"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2866356C">
            <w:pPr>
              <w:adjustRightInd w:val="0"/>
              <w:snapToGrid w:val="0"/>
              <w:spacing w:line="288" w:lineRule="auto"/>
              <w:jc w:val="center"/>
              <w:rPr>
                <w:rFonts w:hint="eastAsia" w:ascii="宋体" w:hAnsi="宋体" w:eastAsia="宋体" w:cs="宋体"/>
                <w:b/>
                <w:bCs/>
                <w:szCs w:val="21"/>
              </w:rPr>
            </w:pPr>
          </w:p>
        </w:tc>
      </w:tr>
      <w:tr w14:paraId="3BCBFC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944AFBF">
            <w:pPr>
              <w:adjustRightInd w:val="0"/>
              <w:snapToGrid w:val="0"/>
              <w:spacing w:line="288"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B173AAE">
            <w:pPr>
              <w:adjustRightInd w:val="0"/>
              <w:snapToGrid w:val="0"/>
              <w:spacing w:line="288" w:lineRule="auto"/>
              <w:jc w:val="center"/>
              <w:rPr>
                <w:rFonts w:hint="eastAsia"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5330EA3">
            <w:pPr>
              <w:adjustRightInd w:val="0"/>
              <w:snapToGrid w:val="0"/>
              <w:spacing w:line="288" w:lineRule="auto"/>
              <w:jc w:val="center"/>
              <w:rPr>
                <w:rFonts w:hint="eastAsia"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32C54C7F">
            <w:pPr>
              <w:adjustRightInd w:val="0"/>
              <w:snapToGrid w:val="0"/>
              <w:spacing w:line="288" w:lineRule="auto"/>
              <w:jc w:val="center"/>
              <w:rPr>
                <w:rFonts w:hint="eastAsia"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56147056">
            <w:pPr>
              <w:adjustRightInd w:val="0"/>
              <w:snapToGrid w:val="0"/>
              <w:spacing w:line="288" w:lineRule="auto"/>
              <w:jc w:val="center"/>
              <w:rPr>
                <w:rFonts w:hint="eastAsia"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9268907">
            <w:pPr>
              <w:adjustRightInd w:val="0"/>
              <w:snapToGrid w:val="0"/>
              <w:spacing w:line="288" w:lineRule="auto"/>
              <w:jc w:val="center"/>
              <w:rPr>
                <w:rFonts w:hint="eastAsia"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0663C011">
            <w:pPr>
              <w:adjustRightInd w:val="0"/>
              <w:snapToGrid w:val="0"/>
              <w:spacing w:line="288" w:lineRule="auto"/>
              <w:jc w:val="center"/>
              <w:rPr>
                <w:rFonts w:hint="eastAsia" w:ascii="宋体" w:hAnsi="宋体" w:eastAsia="宋体" w:cs="宋体"/>
                <w:b/>
                <w:bCs/>
                <w:szCs w:val="21"/>
              </w:rPr>
            </w:pPr>
          </w:p>
        </w:tc>
      </w:tr>
      <w:tr w14:paraId="5C39A6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BA5A0A5">
            <w:pPr>
              <w:adjustRightInd w:val="0"/>
              <w:snapToGrid w:val="0"/>
              <w:spacing w:line="288"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C109C7A">
            <w:pPr>
              <w:adjustRightInd w:val="0"/>
              <w:snapToGrid w:val="0"/>
              <w:spacing w:line="288" w:lineRule="auto"/>
              <w:jc w:val="center"/>
              <w:rPr>
                <w:rFonts w:hint="eastAsia"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44FD98C">
            <w:pPr>
              <w:adjustRightInd w:val="0"/>
              <w:snapToGrid w:val="0"/>
              <w:spacing w:line="288" w:lineRule="auto"/>
              <w:jc w:val="center"/>
              <w:rPr>
                <w:rFonts w:hint="eastAsia"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6659B8E8">
            <w:pPr>
              <w:adjustRightInd w:val="0"/>
              <w:snapToGrid w:val="0"/>
              <w:spacing w:line="288" w:lineRule="auto"/>
              <w:jc w:val="center"/>
              <w:rPr>
                <w:rFonts w:hint="eastAsia"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1B178F73">
            <w:pPr>
              <w:adjustRightInd w:val="0"/>
              <w:snapToGrid w:val="0"/>
              <w:spacing w:line="288" w:lineRule="auto"/>
              <w:jc w:val="center"/>
              <w:rPr>
                <w:rFonts w:hint="eastAsia"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1E6E938">
            <w:pPr>
              <w:adjustRightInd w:val="0"/>
              <w:snapToGrid w:val="0"/>
              <w:spacing w:line="288" w:lineRule="auto"/>
              <w:jc w:val="center"/>
              <w:rPr>
                <w:rFonts w:hint="eastAsia"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428DFD42">
            <w:pPr>
              <w:adjustRightInd w:val="0"/>
              <w:snapToGrid w:val="0"/>
              <w:spacing w:line="288" w:lineRule="auto"/>
              <w:jc w:val="center"/>
              <w:rPr>
                <w:rFonts w:hint="eastAsia" w:ascii="宋体" w:hAnsi="宋体" w:eastAsia="宋体" w:cs="宋体"/>
                <w:b/>
                <w:bCs/>
                <w:szCs w:val="21"/>
              </w:rPr>
            </w:pPr>
          </w:p>
        </w:tc>
      </w:tr>
      <w:tr w14:paraId="5248BF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AC17199">
            <w:pPr>
              <w:adjustRightInd w:val="0"/>
              <w:snapToGrid w:val="0"/>
              <w:spacing w:line="288"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A2FD3F8">
            <w:pPr>
              <w:adjustRightInd w:val="0"/>
              <w:snapToGrid w:val="0"/>
              <w:spacing w:line="288" w:lineRule="auto"/>
              <w:jc w:val="center"/>
              <w:rPr>
                <w:rFonts w:hint="eastAsia"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7E3C5AE">
            <w:pPr>
              <w:adjustRightInd w:val="0"/>
              <w:snapToGrid w:val="0"/>
              <w:spacing w:line="288" w:lineRule="auto"/>
              <w:jc w:val="center"/>
              <w:rPr>
                <w:rFonts w:hint="eastAsia"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78239653">
            <w:pPr>
              <w:adjustRightInd w:val="0"/>
              <w:snapToGrid w:val="0"/>
              <w:spacing w:line="288" w:lineRule="auto"/>
              <w:jc w:val="center"/>
              <w:rPr>
                <w:rFonts w:hint="eastAsia"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084AE092">
            <w:pPr>
              <w:adjustRightInd w:val="0"/>
              <w:snapToGrid w:val="0"/>
              <w:spacing w:line="288" w:lineRule="auto"/>
              <w:jc w:val="center"/>
              <w:rPr>
                <w:rFonts w:hint="eastAsia"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B96029A">
            <w:pPr>
              <w:adjustRightInd w:val="0"/>
              <w:snapToGrid w:val="0"/>
              <w:spacing w:line="288" w:lineRule="auto"/>
              <w:jc w:val="center"/>
              <w:rPr>
                <w:rFonts w:hint="eastAsia"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04EEA551">
            <w:pPr>
              <w:adjustRightInd w:val="0"/>
              <w:snapToGrid w:val="0"/>
              <w:spacing w:line="288" w:lineRule="auto"/>
              <w:jc w:val="center"/>
              <w:rPr>
                <w:rFonts w:hint="eastAsia" w:ascii="宋体" w:hAnsi="宋体" w:eastAsia="宋体" w:cs="宋体"/>
                <w:b/>
                <w:bCs/>
                <w:szCs w:val="21"/>
              </w:rPr>
            </w:pPr>
          </w:p>
        </w:tc>
      </w:tr>
      <w:tr w14:paraId="78533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BF9084C">
            <w:pPr>
              <w:adjustRightInd w:val="0"/>
              <w:snapToGrid w:val="0"/>
              <w:spacing w:line="288"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BC033D6">
            <w:pPr>
              <w:adjustRightInd w:val="0"/>
              <w:snapToGrid w:val="0"/>
              <w:spacing w:line="288" w:lineRule="auto"/>
              <w:jc w:val="center"/>
              <w:rPr>
                <w:rFonts w:hint="eastAsia"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791659F">
            <w:pPr>
              <w:adjustRightInd w:val="0"/>
              <w:snapToGrid w:val="0"/>
              <w:spacing w:line="288" w:lineRule="auto"/>
              <w:jc w:val="center"/>
              <w:rPr>
                <w:rFonts w:hint="eastAsia"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6FF4462C">
            <w:pPr>
              <w:adjustRightInd w:val="0"/>
              <w:snapToGrid w:val="0"/>
              <w:spacing w:line="288" w:lineRule="auto"/>
              <w:jc w:val="center"/>
              <w:rPr>
                <w:rFonts w:hint="eastAsia"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0934F5C8">
            <w:pPr>
              <w:adjustRightInd w:val="0"/>
              <w:snapToGrid w:val="0"/>
              <w:spacing w:line="288" w:lineRule="auto"/>
              <w:jc w:val="center"/>
              <w:rPr>
                <w:rFonts w:hint="eastAsia"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FC5AD6E">
            <w:pPr>
              <w:adjustRightInd w:val="0"/>
              <w:snapToGrid w:val="0"/>
              <w:spacing w:line="288" w:lineRule="auto"/>
              <w:jc w:val="center"/>
              <w:rPr>
                <w:rFonts w:hint="eastAsia"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6D9B4281">
            <w:pPr>
              <w:adjustRightInd w:val="0"/>
              <w:snapToGrid w:val="0"/>
              <w:spacing w:line="288" w:lineRule="auto"/>
              <w:jc w:val="center"/>
              <w:rPr>
                <w:rFonts w:hint="eastAsia" w:ascii="宋体" w:hAnsi="宋体" w:eastAsia="宋体" w:cs="宋体"/>
                <w:b/>
                <w:bCs/>
                <w:szCs w:val="21"/>
              </w:rPr>
            </w:pPr>
          </w:p>
        </w:tc>
      </w:tr>
      <w:tr w14:paraId="11BD38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C836E27">
            <w:pPr>
              <w:adjustRightInd w:val="0"/>
              <w:snapToGrid w:val="0"/>
              <w:spacing w:line="288"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92592E1">
            <w:pPr>
              <w:adjustRightInd w:val="0"/>
              <w:snapToGrid w:val="0"/>
              <w:spacing w:line="288" w:lineRule="auto"/>
              <w:jc w:val="center"/>
              <w:rPr>
                <w:rFonts w:hint="eastAsia"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1808ADE">
            <w:pPr>
              <w:adjustRightInd w:val="0"/>
              <w:snapToGrid w:val="0"/>
              <w:spacing w:line="288" w:lineRule="auto"/>
              <w:jc w:val="center"/>
              <w:rPr>
                <w:rFonts w:hint="eastAsia"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7B5C4B46">
            <w:pPr>
              <w:adjustRightInd w:val="0"/>
              <w:snapToGrid w:val="0"/>
              <w:spacing w:line="288" w:lineRule="auto"/>
              <w:jc w:val="center"/>
              <w:rPr>
                <w:rFonts w:hint="eastAsia"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1EC0BA76">
            <w:pPr>
              <w:adjustRightInd w:val="0"/>
              <w:snapToGrid w:val="0"/>
              <w:spacing w:line="288" w:lineRule="auto"/>
              <w:jc w:val="center"/>
              <w:rPr>
                <w:rFonts w:hint="eastAsia"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2BE086C">
            <w:pPr>
              <w:adjustRightInd w:val="0"/>
              <w:snapToGrid w:val="0"/>
              <w:spacing w:line="288" w:lineRule="auto"/>
              <w:jc w:val="center"/>
              <w:rPr>
                <w:rFonts w:hint="eastAsia"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2F5602FC">
            <w:pPr>
              <w:adjustRightInd w:val="0"/>
              <w:snapToGrid w:val="0"/>
              <w:spacing w:line="288" w:lineRule="auto"/>
              <w:jc w:val="center"/>
              <w:rPr>
                <w:rFonts w:hint="eastAsia" w:ascii="宋体" w:hAnsi="宋体" w:eastAsia="宋体" w:cs="宋体"/>
                <w:b/>
                <w:bCs/>
                <w:szCs w:val="21"/>
              </w:rPr>
            </w:pPr>
          </w:p>
        </w:tc>
      </w:tr>
    </w:tbl>
    <w:p w14:paraId="2333B7AA">
      <w:pPr>
        <w:adjustRightInd w:val="0"/>
        <w:snapToGrid w:val="0"/>
        <w:spacing w:line="288" w:lineRule="auto"/>
        <w:rPr>
          <w:rFonts w:hint="eastAsia" w:ascii="宋体" w:hAnsi="宋体" w:eastAsia="宋体" w:cs="宋体"/>
          <w:szCs w:val="21"/>
        </w:rPr>
      </w:pPr>
    </w:p>
    <w:p w14:paraId="1219A96F">
      <w:pPr>
        <w:adjustRightInd w:val="0"/>
        <w:snapToGrid w:val="0"/>
        <w:spacing w:line="288" w:lineRule="auto"/>
        <w:rPr>
          <w:rFonts w:hint="eastAsia" w:ascii="宋体" w:hAnsi="宋体" w:eastAsia="宋体" w:cs="宋体"/>
          <w:spacing w:val="-6"/>
          <w:szCs w:val="21"/>
        </w:rPr>
      </w:pPr>
    </w:p>
    <w:p w14:paraId="7D85D565">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2588E3D">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A556817">
      <w:pPr>
        <w:autoSpaceDE w:val="0"/>
        <w:autoSpaceDN w:val="0"/>
        <w:adjustRightInd w:val="0"/>
        <w:snapToGrid w:val="0"/>
        <w:spacing w:line="288" w:lineRule="auto"/>
        <w:jc w:val="left"/>
        <w:rPr>
          <w:rFonts w:hint="eastAsia" w:ascii="宋体" w:hAnsi="宋体" w:eastAsia="宋体" w:cs="宋体"/>
          <w:spacing w:val="-6"/>
          <w:kern w:val="0"/>
          <w:szCs w:val="21"/>
        </w:rPr>
      </w:pPr>
    </w:p>
    <w:p w14:paraId="69872174">
      <w:pPr>
        <w:adjustRightInd w:val="0"/>
        <w:snapToGrid w:val="0"/>
        <w:spacing w:line="288" w:lineRule="auto"/>
        <w:rPr>
          <w:rFonts w:hint="eastAsia" w:ascii="宋体" w:hAnsi="宋体" w:eastAsia="宋体" w:cs="宋体"/>
          <w:szCs w:val="21"/>
        </w:rPr>
      </w:pPr>
    </w:p>
    <w:p w14:paraId="001B5CF3">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附：产品技术支持材料</w:t>
      </w:r>
    </w:p>
    <w:p w14:paraId="34C988C8">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br w:type="page"/>
      </w:r>
    </w:p>
    <w:p w14:paraId="32912478">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6</w:t>
      </w:r>
      <w:r>
        <w:rPr>
          <w:rFonts w:hint="eastAsia" w:ascii="宋体" w:hAnsi="宋体" w:eastAsia="宋体" w:cs="宋体"/>
          <w:b/>
          <w:spacing w:val="-6"/>
          <w:szCs w:val="21"/>
        </w:rPr>
        <w:t>）技术方案</w:t>
      </w:r>
    </w:p>
    <w:p w14:paraId="0530E038">
      <w:pPr>
        <w:adjustRightInd w:val="0"/>
        <w:snapToGrid w:val="0"/>
        <w:spacing w:line="288" w:lineRule="auto"/>
        <w:rPr>
          <w:rFonts w:hint="eastAsia" w:ascii="宋体" w:hAnsi="宋体" w:eastAsia="宋体" w:cs="宋体"/>
          <w:b/>
          <w:spacing w:val="-6"/>
          <w:szCs w:val="21"/>
        </w:rPr>
      </w:pPr>
    </w:p>
    <w:p w14:paraId="3F1688E7">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7</w:t>
      </w:r>
      <w:r>
        <w:rPr>
          <w:rFonts w:hint="eastAsia" w:ascii="宋体" w:hAnsi="宋体" w:eastAsia="宋体" w:cs="宋体"/>
          <w:b/>
          <w:spacing w:val="-6"/>
          <w:szCs w:val="21"/>
        </w:rPr>
        <w:t>）节能环保产品证明材料</w:t>
      </w:r>
    </w:p>
    <w:p w14:paraId="5E8EE779">
      <w:pPr>
        <w:adjustRightInd w:val="0"/>
        <w:snapToGrid w:val="0"/>
        <w:spacing w:line="288" w:lineRule="auto"/>
        <w:rPr>
          <w:rFonts w:hint="eastAsia" w:ascii="宋体" w:hAnsi="宋体" w:eastAsia="宋体" w:cs="Times New Roman"/>
          <w:b/>
          <w:szCs w:val="21"/>
        </w:rPr>
      </w:pPr>
      <w:r>
        <w:rPr>
          <w:rFonts w:hint="eastAsia" w:ascii="宋体" w:hAnsi="宋体" w:eastAsia="宋体" w:cs="Times New Roman"/>
          <w:b/>
          <w:szCs w:val="21"/>
        </w:rPr>
        <w:t>说明：投标产品属于品目清单范围且提供国家确定的认证机构出具的有效的节能产品、环境标志产品认证证书（扫描件）。</w:t>
      </w:r>
    </w:p>
    <w:p w14:paraId="2B52F9D4">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294710EF">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▲采购人拟采购的产品属于政府强制采购的节能产品品目清单范围的，投标人未按招标文件要求提供国家确定的认证机构出具的、有效的节能产品认证证书的，投标无效。</w:t>
      </w:r>
    </w:p>
    <w:p w14:paraId="26616F47">
      <w:pPr>
        <w:adjustRightInd w:val="0"/>
        <w:snapToGrid w:val="0"/>
        <w:spacing w:line="288" w:lineRule="auto"/>
        <w:rPr>
          <w:rFonts w:hint="eastAsia" w:ascii="宋体" w:hAnsi="宋体" w:eastAsia="宋体" w:cs="Times New Roman"/>
          <w:b/>
          <w:szCs w:val="21"/>
        </w:rPr>
      </w:pPr>
    </w:p>
    <w:p w14:paraId="02F6B117">
      <w:pPr>
        <w:adjustRightInd w:val="0"/>
        <w:snapToGrid w:val="0"/>
        <w:spacing w:line="288" w:lineRule="auto"/>
        <w:rPr>
          <w:rFonts w:hint="eastAsia" w:ascii="宋体" w:hAnsi="宋体" w:eastAsia="宋体" w:cs="Times New Roman"/>
          <w:b/>
          <w:szCs w:val="21"/>
        </w:rPr>
      </w:pPr>
    </w:p>
    <w:p w14:paraId="4CF47EF8">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（8）科技创新相关证明材料</w:t>
      </w:r>
    </w:p>
    <w:p w14:paraId="5AB7D21A">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优先推荐专精特新中小企业、创新产品参加政府采购活动。对省级以上主管部门认定的首台套产品，自纳入《省推广应用指导目录》起三年内参加政府采购活动时视同已具备相应销售业绩，业绩分为满分。</w:t>
      </w:r>
    </w:p>
    <w:p w14:paraId="59041067">
      <w:pPr>
        <w:adjustRightInd w:val="0"/>
        <w:snapToGrid w:val="0"/>
        <w:spacing w:line="288" w:lineRule="auto"/>
        <w:rPr>
          <w:rFonts w:hint="eastAsia" w:ascii="宋体" w:hAnsi="宋体" w:eastAsia="宋体" w:cs="宋体"/>
          <w:b/>
          <w:spacing w:val="-6"/>
          <w:szCs w:val="21"/>
        </w:rPr>
      </w:pPr>
    </w:p>
    <w:p w14:paraId="0BF61AE9">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（9）投标人需要说明的其他文件和材料。</w:t>
      </w:r>
    </w:p>
    <w:p w14:paraId="7B7307CD">
      <w:pPr>
        <w:widowControl/>
        <w:adjustRightInd w:val="0"/>
        <w:snapToGrid w:val="0"/>
        <w:spacing w:line="288" w:lineRule="auto"/>
        <w:jc w:val="left"/>
        <w:rPr>
          <w:rFonts w:hint="eastAsia" w:ascii="宋体" w:hAnsi="宋体" w:eastAsia="宋体" w:cs="宋体"/>
          <w:b/>
          <w:spacing w:val="-6"/>
          <w:szCs w:val="21"/>
        </w:rPr>
      </w:pPr>
    </w:p>
    <w:p w14:paraId="06FF354B">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07AC2E6E">
      <w:pPr>
        <w:overflowPunct w:val="0"/>
        <w:adjustRightInd w:val="0"/>
        <w:snapToGrid w:val="0"/>
        <w:spacing w:line="288" w:lineRule="auto"/>
        <w:jc w:val="center"/>
        <w:outlineLvl w:val="1"/>
        <w:rPr>
          <w:rFonts w:hint="eastAsia"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737DDD91">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3EA9F8F0">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19BFF35F">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采 购 人：浙江农林大学</w:t>
      </w:r>
    </w:p>
    <w:p w14:paraId="73E8315D">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项目名称：山地健康土壤培育子平台</w:t>
      </w:r>
    </w:p>
    <w:p w14:paraId="2DBAC348">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QSZB-Z(H)-B24472(GK)</w:t>
      </w:r>
    </w:p>
    <w:p w14:paraId="70E27CCA">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标    项：</w:t>
      </w:r>
    </w:p>
    <w:tbl>
      <w:tblPr>
        <w:tblStyle w:val="24"/>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14:paraId="523CCE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BDA5735">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42504F9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1E0B1F3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2BB85685">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规格型号</w:t>
            </w:r>
          </w:p>
          <w:p w14:paraId="59DBFD3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678EED97">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13DB14A">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1323" w:type="dxa"/>
            <w:tcBorders>
              <w:top w:val="single" w:color="auto" w:sz="4" w:space="0"/>
              <w:left w:val="single" w:color="auto" w:sz="4" w:space="0"/>
              <w:bottom w:val="single" w:color="auto" w:sz="4" w:space="0"/>
              <w:right w:val="single" w:color="auto" w:sz="4" w:space="0"/>
            </w:tcBorders>
            <w:vAlign w:val="center"/>
          </w:tcPr>
          <w:p w14:paraId="66C75240">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单价（元）</w:t>
            </w:r>
          </w:p>
        </w:tc>
        <w:tc>
          <w:tcPr>
            <w:tcW w:w="1863" w:type="dxa"/>
            <w:tcBorders>
              <w:top w:val="single" w:color="auto" w:sz="4" w:space="0"/>
              <w:left w:val="single" w:color="auto" w:sz="4" w:space="0"/>
              <w:bottom w:val="single" w:color="auto" w:sz="4" w:space="0"/>
              <w:right w:val="single" w:color="auto" w:sz="4" w:space="0"/>
            </w:tcBorders>
            <w:vAlign w:val="center"/>
          </w:tcPr>
          <w:p w14:paraId="07AB5086">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金额（元）</w:t>
            </w:r>
          </w:p>
        </w:tc>
      </w:tr>
      <w:tr w14:paraId="2F9D08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1B939AB">
            <w:pPr>
              <w:adjustRightInd w:val="0"/>
              <w:snapToGrid w:val="0"/>
              <w:spacing w:line="288" w:lineRule="auto"/>
              <w:jc w:val="center"/>
              <w:rPr>
                <w:rFonts w:hint="eastAsia"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39E5F50B">
            <w:pPr>
              <w:adjustRightInd w:val="0"/>
              <w:snapToGrid w:val="0"/>
              <w:spacing w:line="288" w:lineRule="auto"/>
              <w:jc w:val="center"/>
              <w:rPr>
                <w:rFonts w:hint="eastAsia"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45F66903">
            <w:pPr>
              <w:adjustRightInd w:val="0"/>
              <w:snapToGrid w:val="0"/>
              <w:spacing w:line="288" w:lineRule="auto"/>
              <w:jc w:val="center"/>
              <w:rPr>
                <w:rFonts w:hint="eastAsia"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1927638C">
            <w:pPr>
              <w:adjustRightInd w:val="0"/>
              <w:snapToGrid w:val="0"/>
              <w:spacing w:line="288" w:lineRule="auto"/>
              <w:jc w:val="center"/>
              <w:rPr>
                <w:rFonts w:hint="eastAsia"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1722A1F7">
            <w:pPr>
              <w:adjustRightInd w:val="0"/>
              <w:snapToGrid w:val="0"/>
              <w:spacing w:line="288" w:lineRule="auto"/>
              <w:jc w:val="center"/>
              <w:rPr>
                <w:rFonts w:hint="eastAsia"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6AC4BBC">
            <w:pPr>
              <w:adjustRightInd w:val="0"/>
              <w:snapToGrid w:val="0"/>
              <w:spacing w:line="288" w:lineRule="auto"/>
              <w:jc w:val="center"/>
              <w:rPr>
                <w:rFonts w:hint="eastAsia"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3AE23E51">
            <w:pPr>
              <w:adjustRightInd w:val="0"/>
              <w:snapToGrid w:val="0"/>
              <w:spacing w:line="288" w:lineRule="auto"/>
              <w:jc w:val="center"/>
              <w:rPr>
                <w:rFonts w:hint="eastAsia"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147D8D29">
            <w:pPr>
              <w:adjustRightInd w:val="0"/>
              <w:snapToGrid w:val="0"/>
              <w:spacing w:line="288" w:lineRule="auto"/>
              <w:jc w:val="center"/>
              <w:rPr>
                <w:rFonts w:hint="eastAsia" w:ascii="宋体" w:hAnsi="宋体" w:eastAsia="宋体" w:cs="宋体"/>
                <w:b/>
                <w:bCs/>
                <w:szCs w:val="21"/>
              </w:rPr>
            </w:pPr>
          </w:p>
        </w:tc>
      </w:tr>
      <w:tr w14:paraId="2A9472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6546AD5">
            <w:pPr>
              <w:adjustRightInd w:val="0"/>
              <w:snapToGrid w:val="0"/>
              <w:spacing w:line="288" w:lineRule="auto"/>
              <w:jc w:val="center"/>
              <w:rPr>
                <w:rFonts w:hint="eastAsia"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5F9346B1">
            <w:pPr>
              <w:adjustRightInd w:val="0"/>
              <w:snapToGrid w:val="0"/>
              <w:spacing w:line="288" w:lineRule="auto"/>
              <w:jc w:val="center"/>
              <w:rPr>
                <w:rFonts w:hint="eastAsia"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300BE1EC">
            <w:pPr>
              <w:adjustRightInd w:val="0"/>
              <w:snapToGrid w:val="0"/>
              <w:spacing w:line="288" w:lineRule="auto"/>
              <w:jc w:val="center"/>
              <w:rPr>
                <w:rFonts w:hint="eastAsia"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52E6EA9B">
            <w:pPr>
              <w:adjustRightInd w:val="0"/>
              <w:snapToGrid w:val="0"/>
              <w:spacing w:line="288" w:lineRule="auto"/>
              <w:jc w:val="center"/>
              <w:rPr>
                <w:rFonts w:hint="eastAsia"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7FC32E45">
            <w:pPr>
              <w:adjustRightInd w:val="0"/>
              <w:snapToGrid w:val="0"/>
              <w:spacing w:line="288" w:lineRule="auto"/>
              <w:jc w:val="center"/>
              <w:rPr>
                <w:rFonts w:hint="eastAsia"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DD317D5">
            <w:pPr>
              <w:adjustRightInd w:val="0"/>
              <w:snapToGrid w:val="0"/>
              <w:spacing w:line="288" w:lineRule="auto"/>
              <w:jc w:val="center"/>
              <w:rPr>
                <w:rFonts w:hint="eastAsia"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26462F81">
            <w:pPr>
              <w:adjustRightInd w:val="0"/>
              <w:snapToGrid w:val="0"/>
              <w:spacing w:line="288" w:lineRule="auto"/>
              <w:jc w:val="center"/>
              <w:rPr>
                <w:rFonts w:hint="eastAsia"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6D993BB5">
            <w:pPr>
              <w:adjustRightInd w:val="0"/>
              <w:snapToGrid w:val="0"/>
              <w:spacing w:line="288" w:lineRule="auto"/>
              <w:jc w:val="center"/>
              <w:rPr>
                <w:rFonts w:hint="eastAsia" w:ascii="宋体" w:hAnsi="宋体" w:eastAsia="宋体" w:cs="宋体"/>
                <w:b/>
                <w:bCs/>
                <w:szCs w:val="21"/>
              </w:rPr>
            </w:pPr>
          </w:p>
        </w:tc>
      </w:tr>
      <w:tr w14:paraId="696DF4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BF5F01A">
            <w:pPr>
              <w:adjustRightInd w:val="0"/>
              <w:snapToGrid w:val="0"/>
              <w:spacing w:line="288" w:lineRule="auto"/>
              <w:jc w:val="center"/>
              <w:rPr>
                <w:rFonts w:hint="eastAsia"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4508D3A3">
            <w:pPr>
              <w:adjustRightInd w:val="0"/>
              <w:snapToGrid w:val="0"/>
              <w:spacing w:line="288" w:lineRule="auto"/>
              <w:jc w:val="center"/>
              <w:rPr>
                <w:rFonts w:hint="eastAsia"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7EABE4E9">
            <w:pPr>
              <w:adjustRightInd w:val="0"/>
              <w:snapToGrid w:val="0"/>
              <w:spacing w:line="288" w:lineRule="auto"/>
              <w:jc w:val="center"/>
              <w:rPr>
                <w:rFonts w:hint="eastAsia"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2379B08A">
            <w:pPr>
              <w:adjustRightInd w:val="0"/>
              <w:snapToGrid w:val="0"/>
              <w:spacing w:line="288" w:lineRule="auto"/>
              <w:jc w:val="center"/>
              <w:rPr>
                <w:rFonts w:hint="eastAsia"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0E765535">
            <w:pPr>
              <w:adjustRightInd w:val="0"/>
              <w:snapToGrid w:val="0"/>
              <w:spacing w:line="288" w:lineRule="auto"/>
              <w:jc w:val="center"/>
              <w:rPr>
                <w:rFonts w:hint="eastAsia"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CAF9922">
            <w:pPr>
              <w:adjustRightInd w:val="0"/>
              <w:snapToGrid w:val="0"/>
              <w:spacing w:line="288" w:lineRule="auto"/>
              <w:jc w:val="center"/>
              <w:rPr>
                <w:rFonts w:hint="eastAsia"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2792A71D">
            <w:pPr>
              <w:adjustRightInd w:val="0"/>
              <w:snapToGrid w:val="0"/>
              <w:spacing w:line="288" w:lineRule="auto"/>
              <w:jc w:val="center"/>
              <w:rPr>
                <w:rFonts w:hint="eastAsia"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4021BD74">
            <w:pPr>
              <w:adjustRightInd w:val="0"/>
              <w:snapToGrid w:val="0"/>
              <w:spacing w:line="288" w:lineRule="auto"/>
              <w:jc w:val="center"/>
              <w:rPr>
                <w:rFonts w:hint="eastAsia" w:ascii="宋体" w:hAnsi="宋体" w:eastAsia="宋体" w:cs="宋体"/>
                <w:b/>
                <w:bCs/>
                <w:szCs w:val="21"/>
              </w:rPr>
            </w:pPr>
          </w:p>
        </w:tc>
      </w:tr>
      <w:tr w14:paraId="28836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A4F07D4">
            <w:pPr>
              <w:adjustRightInd w:val="0"/>
              <w:snapToGrid w:val="0"/>
              <w:spacing w:line="288" w:lineRule="auto"/>
              <w:jc w:val="center"/>
              <w:rPr>
                <w:rFonts w:hint="eastAsia"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04EC181A">
            <w:pPr>
              <w:adjustRightInd w:val="0"/>
              <w:snapToGrid w:val="0"/>
              <w:spacing w:line="288" w:lineRule="auto"/>
              <w:jc w:val="center"/>
              <w:rPr>
                <w:rFonts w:hint="eastAsia"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706546E1">
            <w:pPr>
              <w:adjustRightInd w:val="0"/>
              <w:snapToGrid w:val="0"/>
              <w:spacing w:line="288" w:lineRule="auto"/>
              <w:jc w:val="center"/>
              <w:rPr>
                <w:rFonts w:hint="eastAsia"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785D10BC">
            <w:pPr>
              <w:adjustRightInd w:val="0"/>
              <w:snapToGrid w:val="0"/>
              <w:spacing w:line="288" w:lineRule="auto"/>
              <w:jc w:val="center"/>
              <w:rPr>
                <w:rFonts w:hint="eastAsia"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2557E4D3">
            <w:pPr>
              <w:adjustRightInd w:val="0"/>
              <w:snapToGrid w:val="0"/>
              <w:spacing w:line="288" w:lineRule="auto"/>
              <w:jc w:val="center"/>
              <w:rPr>
                <w:rFonts w:hint="eastAsia"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7F2351D">
            <w:pPr>
              <w:adjustRightInd w:val="0"/>
              <w:snapToGrid w:val="0"/>
              <w:spacing w:line="288" w:lineRule="auto"/>
              <w:jc w:val="center"/>
              <w:rPr>
                <w:rFonts w:hint="eastAsia"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61EC77CB">
            <w:pPr>
              <w:adjustRightInd w:val="0"/>
              <w:snapToGrid w:val="0"/>
              <w:spacing w:line="288" w:lineRule="auto"/>
              <w:jc w:val="center"/>
              <w:rPr>
                <w:rFonts w:hint="eastAsia"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47BC93EB">
            <w:pPr>
              <w:adjustRightInd w:val="0"/>
              <w:snapToGrid w:val="0"/>
              <w:spacing w:line="288" w:lineRule="auto"/>
              <w:jc w:val="center"/>
              <w:rPr>
                <w:rFonts w:hint="eastAsia" w:ascii="宋体" w:hAnsi="宋体" w:eastAsia="宋体" w:cs="宋体"/>
                <w:b/>
                <w:bCs/>
                <w:szCs w:val="21"/>
              </w:rPr>
            </w:pPr>
          </w:p>
        </w:tc>
      </w:tr>
      <w:tr w14:paraId="4BD21D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4A4F870">
            <w:pPr>
              <w:adjustRightInd w:val="0"/>
              <w:snapToGrid w:val="0"/>
              <w:spacing w:line="288" w:lineRule="auto"/>
              <w:jc w:val="center"/>
              <w:rPr>
                <w:rFonts w:hint="eastAsia"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57DBC2D8">
            <w:pPr>
              <w:adjustRightInd w:val="0"/>
              <w:snapToGrid w:val="0"/>
              <w:spacing w:line="288" w:lineRule="auto"/>
              <w:jc w:val="center"/>
              <w:rPr>
                <w:rFonts w:hint="eastAsia"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24CEB05D">
            <w:pPr>
              <w:adjustRightInd w:val="0"/>
              <w:snapToGrid w:val="0"/>
              <w:spacing w:line="288" w:lineRule="auto"/>
              <w:jc w:val="center"/>
              <w:rPr>
                <w:rFonts w:hint="eastAsia"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285095BC">
            <w:pPr>
              <w:adjustRightInd w:val="0"/>
              <w:snapToGrid w:val="0"/>
              <w:spacing w:line="288" w:lineRule="auto"/>
              <w:jc w:val="center"/>
              <w:rPr>
                <w:rFonts w:hint="eastAsia"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368D1EBF">
            <w:pPr>
              <w:adjustRightInd w:val="0"/>
              <w:snapToGrid w:val="0"/>
              <w:spacing w:line="288" w:lineRule="auto"/>
              <w:jc w:val="center"/>
              <w:rPr>
                <w:rFonts w:hint="eastAsia"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5EE149DF">
            <w:pPr>
              <w:adjustRightInd w:val="0"/>
              <w:snapToGrid w:val="0"/>
              <w:spacing w:line="288" w:lineRule="auto"/>
              <w:jc w:val="center"/>
              <w:rPr>
                <w:rFonts w:hint="eastAsia"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03DBCA9B">
            <w:pPr>
              <w:adjustRightInd w:val="0"/>
              <w:snapToGrid w:val="0"/>
              <w:spacing w:line="288" w:lineRule="auto"/>
              <w:jc w:val="center"/>
              <w:rPr>
                <w:rFonts w:hint="eastAsia"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21F84093">
            <w:pPr>
              <w:adjustRightInd w:val="0"/>
              <w:snapToGrid w:val="0"/>
              <w:spacing w:line="288" w:lineRule="auto"/>
              <w:jc w:val="center"/>
              <w:rPr>
                <w:rFonts w:hint="eastAsia" w:ascii="宋体" w:hAnsi="宋体" w:eastAsia="宋体" w:cs="宋体"/>
                <w:b/>
                <w:bCs/>
                <w:szCs w:val="21"/>
              </w:rPr>
            </w:pPr>
          </w:p>
        </w:tc>
      </w:tr>
      <w:tr w14:paraId="49D47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14:paraId="56D39EE2">
            <w:pPr>
              <w:adjustRightInd w:val="0"/>
              <w:snapToGrid w:val="0"/>
              <w:spacing w:line="288" w:lineRule="auto"/>
              <w:jc w:val="left"/>
              <w:rPr>
                <w:rFonts w:hint="eastAsia" w:ascii="宋体" w:hAnsi="宋体" w:eastAsia="宋体" w:cs="宋体"/>
                <w:b/>
                <w:bCs/>
                <w:szCs w:val="21"/>
              </w:rPr>
            </w:pPr>
            <w:r>
              <w:rPr>
                <w:rFonts w:hint="eastAsia" w:ascii="宋体" w:hAnsi="宋体" w:eastAsia="宋体" w:cs="Times New Roman"/>
                <w:b/>
                <w:spacing w:val="-6"/>
                <w:szCs w:val="21"/>
              </w:rPr>
              <w:t>说明：▲</w:t>
            </w:r>
            <w:r>
              <w:rPr>
                <w:rFonts w:hint="eastAsia" w:ascii="宋体" w:hAnsi="宋体" w:eastAsia="宋体" w:cs="Times New Roman"/>
                <w:bCs/>
                <w:spacing w:val="-6"/>
                <w:szCs w:val="21"/>
              </w:rPr>
              <w:t>采购人将以合同形式有偿取得货物或服务，不接受投标人给予的赠品、回扣或者与采购无关的其他商品、服务</w:t>
            </w:r>
            <w:r>
              <w:rPr>
                <w:rFonts w:ascii="宋体" w:hAnsi="宋体" w:eastAsia="宋体" w:cs="Times New Roman"/>
                <w:bCs/>
                <w:spacing w:val="-6"/>
                <w:szCs w:val="21"/>
              </w:rPr>
              <w:t>。</w:t>
            </w:r>
          </w:p>
          <w:p w14:paraId="0F83395E">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投标总价（人民币元）</w:t>
            </w:r>
          </w:p>
          <w:p w14:paraId="383C88E4">
            <w:pPr>
              <w:adjustRightInd w:val="0"/>
              <w:snapToGrid w:val="0"/>
              <w:spacing w:line="288" w:lineRule="auto"/>
              <w:rPr>
                <w:rFonts w:hint="eastAsia" w:ascii="宋体" w:hAnsi="宋体" w:eastAsia="宋体" w:cs="宋体"/>
                <w:b/>
                <w:bCs/>
                <w:szCs w:val="21"/>
              </w:rPr>
            </w:pPr>
          </w:p>
          <w:p w14:paraId="055C6015">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小写：_________________________</w:t>
            </w:r>
          </w:p>
          <w:p w14:paraId="43DEC385">
            <w:pPr>
              <w:adjustRightInd w:val="0"/>
              <w:snapToGrid w:val="0"/>
              <w:spacing w:line="288" w:lineRule="auto"/>
              <w:rPr>
                <w:rFonts w:hint="eastAsia" w:ascii="宋体" w:hAnsi="宋体" w:eastAsia="宋体" w:cs="宋体"/>
                <w:b/>
                <w:bCs/>
                <w:szCs w:val="21"/>
              </w:rPr>
            </w:pPr>
          </w:p>
          <w:p w14:paraId="53FFA081">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大写：_________________________</w:t>
            </w:r>
          </w:p>
          <w:p w14:paraId="10BD50E1">
            <w:pPr>
              <w:adjustRightInd w:val="0"/>
              <w:snapToGrid w:val="0"/>
              <w:spacing w:line="288" w:lineRule="auto"/>
              <w:rPr>
                <w:rFonts w:hint="eastAsia" w:ascii="宋体" w:hAnsi="宋体" w:eastAsia="宋体" w:cs="宋体"/>
                <w:b/>
                <w:bCs/>
                <w:szCs w:val="21"/>
              </w:rPr>
            </w:pPr>
          </w:p>
        </w:tc>
      </w:tr>
    </w:tbl>
    <w:p w14:paraId="77D83B07">
      <w:pPr>
        <w:adjustRightInd w:val="0"/>
        <w:snapToGrid w:val="0"/>
        <w:spacing w:line="288" w:lineRule="auto"/>
        <w:rPr>
          <w:rFonts w:hint="eastAsia" w:ascii="宋体" w:hAnsi="宋体" w:eastAsia="宋体" w:cs="Times New Roman"/>
          <w:spacing w:val="-6"/>
          <w:szCs w:val="21"/>
        </w:rPr>
      </w:pPr>
    </w:p>
    <w:p w14:paraId="3D5D7AFF">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说明：</w:t>
      </w:r>
    </w:p>
    <w:p w14:paraId="4644616D">
      <w:pPr>
        <w:adjustRightInd w:val="0"/>
        <w:snapToGrid w:val="0"/>
        <w:spacing w:line="288" w:lineRule="auto"/>
        <w:rPr>
          <w:rFonts w:hint="eastAsia" w:ascii="宋体" w:hAnsi="宋体" w:eastAsia="宋体" w:cs="Times New Roman"/>
          <w:bCs/>
          <w:spacing w:val="-6"/>
          <w:szCs w:val="21"/>
        </w:rPr>
      </w:pPr>
      <w:r>
        <w:rPr>
          <w:rFonts w:ascii="宋体" w:hAnsi="宋体" w:eastAsia="宋体" w:cs="Times New Roman"/>
          <w:bCs/>
          <w:spacing w:val="-6"/>
          <w:szCs w:val="21"/>
        </w:rPr>
        <w:t>1.</w:t>
      </w:r>
      <w:r>
        <w:rPr>
          <w:rFonts w:hint="eastAsia" w:ascii="宋体" w:hAnsi="宋体" w:eastAsia="宋体" w:cs="Times New Roman"/>
          <w:bCs/>
          <w:spacing w:val="-6"/>
          <w:szCs w:val="21"/>
        </w:rPr>
        <w:t>此表在不改变格式要求的情况下，可自行增行。</w:t>
      </w:r>
    </w:p>
    <w:p w14:paraId="485A75CD">
      <w:pPr>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Cs/>
          <w:spacing w:val="-6"/>
          <w:szCs w:val="21"/>
        </w:rPr>
        <w:t>2.有关本项目实施所涉及的一切费用均计入报价。</w:t>
      </w:r>
    </w:p>
    <w:p w14:paraId="51662631">
      <w:pPr>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
          <w:spacing w:val="-6"/>
          <w:szCs w:val="21"/>
        </w:rPr>
        <w:t>3.以上表格要求细分项目及报价，在“规格型号（或具体服务）”一栏中，货物类项目填写规格型号，服务类项目填写具体服务。</w:t>
      </w:r>
    </w:p>
    <w:p w14:paraId="56D41525">
      <w:pPr>
        <w:adjustRightInd w:val="0"/>
        <w:snapToGrid w:val="0"/>
        <w:spacing w:line="288" w:lineRule="auto"/>
        <w:rPr>
          <w:rFonts w:hint="eastAsia" w:ascii="宋体" w:hAnsi="宋体" w:eastAsia="宋体" w:cs="Times New Roman"/>
          <w:szCs w:val="21"/>
        </w:rPr>
      </w:pPr>
    </w:p>
    <w:p w14:paraId="213C0323">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6510F43">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EC343FF">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Times New Roman"/>
          <w:bCs/>
          <w:spacing w:val="-6"/>
          <w:szCs w:val="21"/>
        </w:rPr>
        <w:br w:type="page"/>
      </w:r>
    </w:p>
    <w:p w14:paraId="6414727D">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2</w:t>
      </w:r>
      <w:r>
        <w:rPr>
          <w:rFonts w:hint="eastAsia" w:ascii="宋体" w:hAnsi="宋体" w:eastAsia="宋体" w:cs="宋体"/>
          <w:b/>
          <w:spacing w:val="-6"/>
          <w:szCs w:val="21"/>
        </w:rPr>
        <w:t>）</w:t>
      </w:r>
      <w:r>
        <w:rPr>
          <w:rFonts w:ascii="宋体" w:hAnsi="宋体" w:eastAsia="宋体" w:cs="宋体"/>
          <w:b/>
          <w:spacing w:val="-6"/>
          <w:szCs w:val="21"/>
        </w:rPr>
        <w:t>中小企业声明函（货物）</w:t>
      </w:r>
      <w:r>
        <w:rPr>
          <w:rFonts w:hint="eastAsia" w:ascii="宋体" w:hAnsi="宋体" w:eastAsia="宋体" w:cs="宋体"/>
          <w:b/>
          <w:spacing w:val="-6"/>
          <w:szCs w:val="21"/>
        </w:rPr>
        <w:t>（若属于中小企业）（标项一）</w:t>
      </w:r>
    </w:p>
    <w:p w14:paraId="7F7911FA">
      <w:pPr>
        <w:adjustRightInd w:val="0"/>
        <w:snapToGrid w:val="0"/>
        <w:spacing w:line="288" w:lineRule="auto"/>
        <w:ind w:firstLine="498" w:firstLineChars="236"/>
        <w:rPr>
          <w:rFonts w:hint="eastAsia" w:ascii="宋体" w:hAnsi="宋体" w:eastAsia="宋体" w:cs="Times New Roman"/>
          <w:b/>
          <w:szCs w:val="21"/>
        </w:rPr>
      </w:pPr>
    </w:p>
    <w:p w14:paraId="62B3AB97">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hint="eastAsia" w:ascii="宋体" w:hAnsi="宋体" w:eastAsia="宋体" w:cs="Times New Roman"/>
          <w:szCs w:val="21"/>
          <w:u w:val="single"/>
        </w:rPr>
        <w:t>浙江农林大学</w:t>
      </w:r>
      <w:r>
        <w:rPr>
          <w:rFonts w:ascii="宋体" w:hAnsi="宋体" w:eastAsia="宋体" w:cs="Times New Roman"/>
          <w:szCs w:val="21"/>
        </w:rPr>
        <w:t>的</w:t>
      </w:r>
      <w:r>
        <w:rPr>
          <w:rFonts w:hint="eastAsia" w:ascii="宋体" w:hAnsi="宋体" w:eastAsia="宋体" w:cs="Times New Roman"/>
          <w:szCs w:val="21"/>
          <w:u w:val="single"/>
        </w:rPr>
        <w:t>山地健康土壤培育子平台</w:t>
      </w:r>
      <w:r>
        <w:rPr>
          <w:rFonts w:ascii="宋体" w:hAnsi="宋体" w:eastAsia="宋体" w:cs="Times New Roman"/>
          <w:szCs w:val="21"/>
        </w:rPr>
        <w:t>采购活动，提供的货物全部由符合政策要求的中小企业制造。相关企业（含联合体中的中小企业、签订分包意向协议的中小企业）的具体情况如下：</w:t>
      </w:r>
    </w:p>
    <w:p w14:paraId="21CA9ECB">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u w:val="single"/>
        </w:rPr>
        <w:t>1.</w:t>
      </w:r>
      <w:r>
        <w:rPr>
          <w:rFonts w:hint="eastAsia" w:ascii="宋体" w:hAnsi="宋体" w:eastAsia="宋体" w:cs="Times New Roman"/>
          <w:szCs w:val="21"/>
          <w:u w:val="single"/>
        </w:rPr>
        <w:t>电感耦合等离子质谱仪</w:t>
      </w:r>
      <w:r>
        <w:rPr>
          <w:rFonts w:ascii="宋体" w:hAnsi="宋体" w:eastAsia="宋体" w:cs="Times New Roman"/>
          <w:szCs w:val="21"/>
        </w:rPr>
        <w:t>，属于</w:t>
      </w:r>
      <w:r>
        <w:rPr>
          <w:rFonts w:hint="eastAsia" w:ascii="宋体" w:hAnsi="宋体" w:eastAsia="宋体" w:cs="Times New Roman"/>
          <w:szCs w:val="21"/>
          <w:u w:val="single"/>
        </w:rPr>
        <w:t>工业</w:t>
      </w:r>
      <w:r>
        <w:rPr>
          <w:rFonts w:ascii="宋体" w:hAnsi="宋体" w:eastAsia="宋体" w:cs="Times New Roman"/>
          <w:szCs w:val="21"/>
        </w:rPr>
        <w:t>；制造商为</w:t>
      </w:r>
      <w:r>
        <w:rPr>
          <w:rFonts w:ascii="宋体" w:hAnsi="宋体" w:eastAsia="宋体" w:cs="Times New Roman"/>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szCs w:val="21"/>
          <w:u w:val="single"/>
        </w:rPr>
        <w:t>（中型企业、小型企业、微型企业）</w:t>
      </w:r>
      <w:r>
        <w:rPr>
          <w:rFonts w:hint="eastAsia" w:ascii="宋体" w:hAnsi="宋体" w:eastAsia="宋体" w:cs="Times New Roman"/>
          <w:szCs w:val="21"/>
        </w:rPr>
        <w:t>。</w:t>
      </w:r>
    </w:p>
    <w:p w14:paraId="753A8A8A">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14:paraId="61E1C432">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14:paraId="2D3099F1">
      <w:pPr>
        <w:adjustRightInd w:val="0"/>
        <w:snapToGrid w:val="0"/>
        <w:spacing w:line="288" w:lineRule="auto"/>
        <w:ind w:firstLine="495" w:firstLineChars="236"/>
        <w:rPr>
          <w:rFonts w:hint="eastAsia" w:ascii="宋体" w:hAnsi="宋体" w:eastAsia="宋体" w:cs="Times New Roman"/>
          <w:szCs w:val="21"/>
        </w:rPr>
      </w:pPr>
    </w:p>
    <w:p w14:paraId="3C8E7BFB">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企业名称（盖章）：</w:t>
      </w:r>
    </w:p>
    <w:p w14:paraId="41372653">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日期：</w:t>
      </w:r>
    </w:p>
    <w:p w14:paraId="7BC60555">
      <w:pPr>
        <w:adjustRightInd w:val="0"/>
        <w:snapToGrid w:val="0"/>
        <w:spacing w:line="288" w:lineRule="auto"/>
        <w:ind w:firstLine="495" w:firstLineChars="236"/>
        <w:rPr>
          <w:rFonts w:hint="eastAsia" w:ascii="宋体" w:hAnsi="宋体" w:eastAsia="宋体" w:cs="Times New Roman"/>
          <w:szCs w:val="21"/>
        </w:rPr>
      </w:pPr>
    </w:p>
    <w:p w14:paraId="76C77D25">
      <w:pPr>
        <w:adjustRightInd w:val="0"/>
        <w:snapToGrid w:val="0"/>
        <w:spacing w:line="288" w:lineRule="auto"/>
        <w:ind w:firstLine="495" w:firstLineChars="236"/>
        <w:rPr>
          <w:rFonts w:hint="eastAsia" w:ascii="宋体" w:hAnsi="宋体" w:eastAsia="宋体" w:cs="Times New Roman"/>
          <w:szCs w:val="21"/>
        </w:rPr>
      </w:pPr>
      <w:r>
        <w:rPr>
          <w:rFonts w:hint="eastAsia" w:ascii="宋体" w:hAnsi="宋体" w:eastAsia="宋体" w:cs="Times New Roman"/>
          <w:szCs w:val="21"/>
        </w:rPr>
        <w:t>注：</w:t>
      </w:r>
    </w:p>
    <w:p w14:paraId="5E18EA9A">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从业人员、营业收入、资产总额填报上一年度数据，无上一年度数据的新成立企业可不填报。</w:t>
      </w:r>
    </w:p>
    <w:p w14:paraId="7CED0104">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中小企业参加政府采购活动，应当出具财库〔2020〕46号文件规定的《中小企业声明函》，否则不得享受相关中小企业扶持政策。</w:t>
      </w:r>
    </w:p>
    <w:p w14:paraId="2B4CE5F3">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.本项目仅以《中小企业声明函》作为评判供应商是否属于中小企业的唯一依据。</w:t>
      </w:r>
    </w:p>
    <w:p w14:paraId="401E598B">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.供应商提供《中小企业声明函》内容不实的，属于提供虚假材料谋取中标、成交，依照《中华人民共和国政府采购法》等国家有关规定追究相应责任。</w:t>
      </w:r>
    </w:p>
    <w:p w14:paraId="675E0129">
      <w:pPr>
        <w:adjustRightInd w:val="0"/>
        <w:snapToGrid w:val="0"/>
        <w:spacing w:line="288" w:lineRule="auto"/>
        <w:ind w:firstLine="495" w:firstLineChars="236"/>
        <w:rPr>
          <w:rFonts w:hint="eastAsia" w:ascii="宋体" w:hAnsi="宋体" w:eastAsia="宋体"/>
          <w:u w:val="single"/>
        </w:rPr>
      </w:pPr>
      <w:r>
        <w:rPr>
          <w:rFonts w:ascii="宋体" w:hAnsi="宋体" w:eastAsia="宋体" w:cs="Times New Roman"/>
          <w:szCs w:val="21"/>
          <w:u w:val="single"/>
        </w:rPr>
        <w:t>5.</w:t>
      </w:r>
      <w:r>
        <w:rPr>
          <w:rFonts w:hint="eastAsia" w:ascii="宋体" w:hAnsi="宋体" w:eastAsia="宋体" w:cs="Times New Roman"/>
          <w:szCs w:val="21"/>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u w:val="single"/>
        </w:rPr>
        <w:t>不享受中小企业扶持政策。</w:t>
      </w:r>
    </w:p>
    <w:p w14:paraId="1C5F6FAB">
      <w:pPr>
        <w:adjustRightInd w:val="0"/>
        <w:snapToGrid w:val="0"/>
        <w:spacing w:line="288" w:lineRule="auto"/>
        <w:ind w:firstLine="495" w:firstLineChars="236"/>
        <w:rPr>
          <w:rFonts w:hint="eastAsia" w:ascii="宋体" w:hAnsi="宋体" w:eastAsia="宋体" w:cs="宋体"/>
          <w:szCs w:val="21"/>
          <w:u w:val="single"/>
        </w:rPr>
      </w:pPr>
      <w:r>
        <w:rPr>
          <w:rFonts w:hint="eastAsia" w:ascii="宋体" w:hAnsi="宋体" w:eastAsia="宋体" w:cs="Times New Roman"/>
          <w:szCs w:val="21"/>
          <w:u w:val="single"/>
        </w:rPr>
        <w:t>6</w:t>
      </w:r>
      <w:r>
        <w:rPr>
          <w:rFonts w:ascii="宋体" w:hAnsi="宋体" w:eastAsia="宋体" w:cs="Times New Roman"/>
          <w:szCs w:val="21"/>
          <w:u w:val="single"/>
        </w:rPr>
        <w:t>.如项目包含“多件”标的物的，需按标的物项数逐项填写。</w:t>
      </w:r>
    </w:p>
    <w:p w14:paraId="144BAA92">
      <w:pPr>
        <w:widowControl/>
        <w:adjustRightInd w:val="0"/>
        <w:snapToGrid w:val="0"/>
        <w:spacing w:line="288" w:lineRule="auto"/>
        <w:ind w:firstLine="495" w:firstLineChars="236"/>
        <w:jc w:val="left"/>
        <w:rPr>
          <w:rFonts w:hint="eastAsia" w:ascii="宋体" w:hAnsi="宋体" w:eastAsia="宋体" w:cs="Times New Roman"/>
          <w:szCs w:val="21"/>
        </w:rPr>
      </w:pPr>
      <w:r>
        <w:rPr>
          <w:rFonts w:ascii="宋体" w:hAnsi="宋体" w:eastAsia="宋体" w:cs="Times New Roman"/>
          <w:szCs w:val="21"/>
        </w:rPr>
        <w:br w:type="page"/>
      </w:r>
    </w:p>
    <w:p w14:paraId="35DB6667">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2</w:t>
      </w:r>
      <w:r>
        <w:rPr>
          <w:rFonts w:hint="eastAsia" w:ascii="宋体" w:hAnsi="宋体" w:eastAsia="宋体" w:cs="宋体"/>
          <w:b/>
          <w:spacing w:val="-6"/>
          <w:szCs w:val="21"/>
        </w:rPr>
        <w:t>）</w:t>
      </w:r>
      <w:r>
        <w:rPr>
          <w:rFonts w:ascii="宋体" w:hAnsi="宋体" w:eastAsia="宋体" w:cs="宋体"/>
          <w:b/>
          <w:spacing w:val="-6"/>
          <w:szCs w:val="21"/>
        </w:rPr>
        <w:t>中小企业声明函（货物）</w:t>
      </w:r>
      <w:r>
        <w:rPr>
          <w:rFonts w:hint="eastAsia" w:ascii="宋体" w:hAnsi="宋体" w:eastAsia="宋体" w:cs="宋体"/>
          <w:b/>
          <w:spacing w:val="-6"/>
          <w:szCs w:val="21"/>
        </w:rPr>
        <w:t>（若属于中小企业）（标项二）</w:t>
      </w:r>
    </w:p>
    <w:p w14:paraId="3CF43C35">
      <w:pPr>
        <w:adjustRightInd w:val="0"/>
        <w:snapToGrid w:val="0"/>
        <w:spacing w:line="288" w:lineRule="auto"/>
        <w:ind w:firstLine="498" w:firstLineChars="236"/>
        <w:rPr>
          <w:rFonts w:hint="eastAsia" w:ascii="宋体" w:hAnsi="宋体" w:eastAsia="宋体" w:cs="Times New Roman"/>
          <w:b/>
          <w:szCs w:val="21"/>
        </w:rPr>
      </w:pPr>
    </w:p>
    <w:p w14:paraId="00B69F57">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hint="eastAsia" w:ascii="宋体" w:hAnsi="宋体" w:eastAsia="宋体" w:cs="Times New Roman"/>
          <w:szCs w:val="21"/>
          <w:u w:val="single"/>
        </w:rPr>
        <w:t>浙江农林大学</w:t>
      </w:r>
      <w:r>
        <w:rPr>
          <w:rFonts w:ascii="宋体" w:hAnsi="宋体" w:eastAsia="宋体" w:cs="Times New Roman"/>
          <w:szCs w:val="21"/>
        </w:rPr>
        <w:t>的</w:t>
      </w:r>
      <w:r>
        <w:rPr>
          <w:rFonts w:hint="eastAsia" w:ascii="宋体" w:hAnsi="宋体" w:eastAsia="宋体" w:cs="Times New Roman"/>
          <w:szCs w:val="21"/>
          <w:u w:val="single"/>
        </w:rPr>
        <w:t>山地健康土壤培育子平台</w:t>
      </w:r>
      <w:r>
        <w:rPr>
          <w:rFonts w:ascii="宋体" w:hAnsi="宋体" w:eastAsia="宋体" w:cs="Times New Roman"/>
          <w:szCs w:val="21"/>
        </w:rPr>
        <w:t>采购活动，提供的货物全部由符合政策要求的中小企业制造。相关企业（含联合体中的中小企业、签订分包意向协议的中小企业）的具体情况如下：</w:t>
      </w:r>
    </w:p>
    <w:p w14:paraId="47E766B1">
      <w:pPr>
        <w:adjustRightInd w:val="0"/>
        <w:snapToGrid w:val="0"/>
        <w:spacing w:line="288" w:lineRule="auto"/>
        <w:ind w:firstLine="495" w:firstLineChars="236"/>
        <w:rPr>
          <w:rFonts w:hint="eastAsia" w:ascii="宋体" w:hAnsi="宋体" w:eastAsia="宋体" w:cs="Times New Roman"/>
          <w:szCs w:val="21"/>
        </w:rPr>
      </w:pPr>
      <w:r>
        <w:rPr>
          <w:rFonts w:hint="eastAsia" w:ascii="宋体" w:hAnsi="宋体" w:eastAsia="宋体" w:cs="Times New Roman"/>
          <w:szCs w:val="21"/>
          <w:u w:val="single"/>
          <w:lang w:val="en-US" w:eastAsia="zh-CN"/>
        </w:rPr>
        <w:t>1</w:t>
      </w:r>
      <w:r>
        <w:rPr>
          <w:rFonts w:ascii="宋体" w:hAnsi="宋体" w:eastAsia="宋体" w:cs="Times New Roman"/>
          <w:szCs w:val="21"/>
          <w:u w:val="single"/>
        </w:rPr>
        <w:t>.</w:t>
      </w:r>
      <w:r>
        <w:rPr>
          <w:rFonts w:hint="eastAsia" w:ascii="宋体" w:hAnsi="宋体" w:eastAsia="宋体" w:cs="Times New Roman"/>
          <w:szCs w:val="21"/>
          <w:u w:val="single"/>
        </w:rPr>
        <w:t>蜂巢矩阵叶绿素荧光成像系统</w:t>
      </w:r>
      <w:r>
        <w:rPr>
          <w:rFonts w:ascii="宋体" w:hAnsi="宋体" w:eastAsia="宋体" w:cs="Times New Roman"/>
          <w:szCs w:val="21"/>
        </w:rPr>
        <w:t>，属于</w:t>
      </w:r>
      <w:r>
        <w:rPr>
          <w:rFonts w:hint="eastAsia" w:ascii="宋体" w:hAnsi="宋体" w:eastAsia="宋体" w:cs="Times New Roman"/>
          <w:szCs w:val="21"/>
          <w:u w:val="single"/>
        </w:rPr>
        <w:t>工业</w:t>
      </w:r>
      <w:r>
        <w:rPr>
          <w:rFonts w:ascii="宋体" w:hAnsi="宋体" w:eastAsia="宋体" w:cs="Times New Roman"/>
          <w:szCs w:val="21"/>
        </w:rPr>
        <w:t>；制造商为</w:t>
      </w:r>
      <w:r>
        <w:rPr>
          <w:rFonts w:ascii="宋体" w:hAnsi="宋体" w:eastAsia="宋体" w:cs="Times New Roman"/>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szCs w:val="21"/>
          <w:u w:val="single"/>
        </w:rPr>
        <w:t>（中型企业、小型企业、微型企业）</w:t>
      </w:r>
      <w:r>
        <w:rPr>
          <w:rFonts w:hint="eastAsia" w:ascii="宋体" w:hAnsi="宋体" w:eastAsia="宋体" w:cs="Times New Roman"/>
          <w:szCs w:val="21"/>
        </w:rPr>
        <w:t>；</w:t>
      </w:r>
    </w:p>
    <w:p w14:paraId="135B70FD">
      <w:pPr>
        <w:adjustRightInd w:val="0"/>
        <w:snapToGrid w:val="0"/>
        <w:spacing w:line="288" w:lineRule="auto"/>
        <w:ind w:firstLine="495" w:firstLineChars="236"/>
        <w:rPr>
          <w:rFonts w:hint="eastAsia" w:ascii="宋体" w:hAnsi="宋体" w:eastAsia="宋体" w:cs="Times New Roman"/>
          <w:szCs w:val="21"/>
          <w:u w:val="single"/>
        </w:rPr>
      </w:pPr>
      <w:r>
        <w:rPr>
          <w:rFonts w:hint="eastAsia" w:ascii="宋体" w:hAnsi="宋体" w:eastAsia="宋体" w:cs="Times New Roman"/>
          <w:szCs w:val="21"/>
          <w:u w:val="single"/>
          <w:lang w:val="en-US" w:eastAsia="zh-CN"/>
        </w:rPr>
        <w:t>2</w:t>
      </w:r>
      <w:r>
        <w:rPr>
          <w:rFonts w:ascii="宋体" w:hAnsi="宋体" w:eastAsia="宋体" w:cs="Times New Roman"/>
          <w:szCs w:val="21"/>
          <w:u w:val="single"/>
        </w:rPr>
        <w:t>.</w:t>
      </w:r>
      <w:r>
        <w:rPr>
          <w:rFonts w:hint="eastAsia" w:ascii="宋体" w:hAnsi="宋体" w:eastAsia="宋体" w:cs="Times New Roman"/>
          <w:szCs w:val="21"/>
          <w:u w:val="single"/>
        </w:rPr>
        <w:t>实时荧光定量PCR仪</w:t>
      </w:r>
      <w:r>
        <w:rPr>
          <w:rFonts w:ascii="宋体" w:hAnsi="宋体" w:eastAsia="宋体" w:cs="Times New Roman"/>
          <w:szCs w:val="21"/>
        </w:rPr>
        <w:t>，属于</w:t>
      </w:r>
      <w:r>
        <w:rPr>
          <w:rFonts w:hint="eastAsia" w:ascii="宋体" w:hAnsi="宋体" w:eastAsia="宋体" w:cs="Times New Roman"/>
          <w:szCs w:val="21"/>
          <w:u w:val="single"/>
        </w:rPr>
        <w:t>工业</w:t>
      </w:r>
      <w:r>
        <w:rPr>
          <w:rFonts w:ascii="宋体" w:hAnsi="宋体" w:eastAsia="宋体" w:cs="Times New Roman"/>
          <w:szCs w:val="21"/>
        </w:rPr>
        <w:t>；制造商为</w:t>
      </w:r>
      <w:r>
        <w:rPr>
          <w:rFonts w:ascii="宋体" w:hAnsi="宋体" w:eastAsia="宋体" w:cs="Times New Roman"/>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szCs w:val="21"/>
          <w:u w:val="single"/>
        </w:rPr>
        <w:t>（中型企业、小型企业、微型企业）</w:t>
      </w:r>
      <w:r>
        <w:rPr>
          <w:rFonts w:hint="eastAsia" w:ascii="宋体" w:hAnsi="宋体" w:eastAsia="宋体" w:cs="Times New Roman"/>
          <w:szCs w:val="21"/>
          <w:u w:val="single"/>
        </w:rPr>
        <w:t>；</w:t>
      </w:r>
    </w:p>
    <w:p w14:paraId="360A67D6">
      <w:pPr>
        <w:adjustRightInd w:val="0"/>
        <w:snapToGrid w:val="0"/>
        <w:spacing w:line="288" w:lineRule="auto"/>
        <w:ind w:firstLine="495" w:firstLineChars="236"/>
        <w:rPr>
          <w:rFonts w:hint="eastAsia" w:ascii="宋体" w:hAnsi="宋体" w:eastAsia="宋体" w:cs="Times New Roman"/>
          <w:szCs w:val="21"/>
        </w:rPr>
      </w:pPr>
      <w:r>
        <w:rPr>
          <w:rFonts w:hint="eastAsia" w:ascii="宋体" w:hAnsi="宋体" w:eastAsia="宋体" w:cs="Times New Roman"/>
          <w:szCs w:val="21"/>
          <w:u w:val="single"/>
          <w:lang w:val="en-US" w:eastAsia="zh-CN"/>
        </w:rPr>
        <w:t>3</w:t>
      </w:r>
      <w:r>
        <w:rPr>
          <w:rFonts w:ascii="宋体" w:hAnsi="宋体" w:eastAsia="宋体" w:cs="Times New Roman"/>
          <w:szCs w:val="21"/>
          <w:u w:val="single"/>
        </w:rPr>
        <w:t>.</w:t>
      </w:r>
      <w:r>
        <w:rPr>
          <w:rFonts w:hint="eastAsia" w:ascii="宋体" w:hAnsi="宋体" w:eastAsia="宋体" w:cs="Times New Roman"/>
          <w:szCs w:val="21"/>
          <w:u w:val="single"/>
        </w:rPr>
        <w:t>全自动间断化学（土壤）分析仪</w:t>
      </w:r>
      <w:r>
        <w:rPr>
          <w:rFonts w:ascii="宋体" w:hAnsi="宋体" w:eastAsia="宋体" w:cs="Times New Roman"/>
          <w:szCs w:val="21"/>
        </w:rPr>
        <w:t>，属于</w:t>
      </w:r>
      <w:r>
        <w:rPr>
          <w:rFonts w:hint="eastAsia" w:ascii="宋体" w:hAnsi="宋体" w:eastAsia="宋体" w:cs="Times New Roman"/>
          <w:szCs w:val="21"/>
          <w:u w:val="single"/>
        </w:rPr>
        <w:t>工业</w:t>
      </w:r>
      <w:r>
        <w:rPr>
          <w:rFonts w:ascii="宋体" w:hAnsi="宋体" w:eastAsia="宋体" w:cs="Times New Roman"/>
          <w:szCs w:val="21"/>
        </w:rPr>
        <w:t>；制造商为</w:t>
      </w:r>
      <w:r>
        <w:rPr>
          <w:rFonts w:ascii="宋体" w:hAnsi="宋体" w:eastAsia="宋体" w:cs="Times New Roman"/>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szCs w:val="21"/>
          <w:u w:val="single"/>
        </w:rPr>
        <w:t>（中型企业、小型企业、微型企业）</w:t>
      </w:r>
      <w:r>
        <w:rPr>
          <w:rFonts w:hint="eastAsia" w:ascii="宋体" w:hAnsi="宋体" w:eastAsia="宋体" w:cs="Times New Roman"/>
          <w:szCs w:val="21"/>
          <w:u w:val="single"/>
        </w:rPr>
        <w:t>。</w:t>
      </w:r>
    </w:p>
    <w:p w14:paraId="483E52FC">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14:paraId="1A026A03">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14:paraId="69A9AE1C">
      <w:pPr>
        <w:adjustRightInd w:val="0"/>
        <w:snapToGrid w:val="0"/>
        <w:spacing w:line="288" w:lineRule="auto"/>
        <w:ind w:firstLine="495" w:firstLineChars="236"/>
        <w:rPr>
          <w:rFonts w:hint="eastAsia" w:ascii="宋体" w:hAnsi="宋体" w:eastAsia="宋体" w:cs="Times New Roman"/>
          <w:szCs w:val="21"/>
        </w:rPr>
      </w:pPr>
    </w:p>
    <w:p w14:paraId="2D894AC7">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企业名称（盖章）：</w:t>
      </w:r>
    </w:p>
    <w:p w14:paraId="07068FA2">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日期：</w:t>
      </w:r>
    </w:p>
    <w:p w14:paraId="21C0FD70">
      <w:pPr>
        <w:adjustRightInd w:val="0"/>
        <w:snapToGrid w:val="0"/>
        <w:spacing w:line="288" w:lineRule="auto"/>
        <w:ind w:firstLine="495" w:firstLineChars="236"/>
        <w:rPr>
          <w:rFonts w:hint="eastAsia" w:ascii="宋体" w:hAnsi="宋体" w:eastAsia="宋体" w:cs="Times New Roman"/>
          <w:szCs w:val="21"/>
        </w:rPr>
      </w:pPr>
    </w:p>
    <w:p w14:paraId="03C78563">
      <w:pPr>
        <w:adjustRightInd w:val="0"/>
        <w:snapToGrid w:val="0"/>
        <w:spacing w:line="288" w:lineRule="auto"/>
        <w:ind w:firstLine="495" w:firstLineChars="236"/>
        <w:rPr>
          <w:rFonts w:hint="eastAsia" w:ascii="宋体" w:hAnsi="宋体" w:eastAsia="宋体" w:cs="Times New Roman"/>
          <w:szCs w:val="21"/>
        </w:rPr>
      </w:pPr>
      <w:r>
        <w:rPr>
          <w:rFonts w:hint="eastAsia" w:ascii="宋体" w:hAnsi="宋体" w:eastAsia="宋体" w:cs="Times New Roman"/>
          <w:szCs w:val="21"/>
        </w:rPr>
        <w:t>注：</w:t>
      </w:r>
    </w:p>
    <w:p w14:paraId="1854D653">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从业人员、营业收入、资产总额填报上一年度数据，无上一年度数据的新成立企业可不填报。</w:t>
      </w:r>
    </w:p>
    <w:p w14:paraId="09AED9D7">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中小企业参加政府采购活动，应当出具财库〔2020〕46号文件规定的《中小企业声明函》，否则不得享受相关中小企业扶持政策。</w:t>
      </w:r>
    </w:p>
    <w:p w14:paraId="13E7BC9D">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.本项目仅以《中小企业声明函》作为评判供应商是否属于中小企业的唯一依据。</w:t>
      </w:r>
    </w:p>
    <w:p w14:paraId="3C3B8CA8">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.供应商提供《中小企业声明函》内容不实的，属于提供虚假材料谋取中标、成交，依照《中华人民共和国政府采购法》等国家有关规定追究相应责任。</w:t>
      </w:r>
    </w:p>
    <w:p w14:paraId="538FD6A8">
      <w:pPr>
        <w:adjustRightInd w:val="0"/>
        <w:snapToGrid w:val="0"/>
        <w:spacing w:line="288" w:lineRule="auto"/>
        <w:ind w:firstLine="495" w:firstLineChars="236"/>
        <w:rPr>
          <w:rFonts w:hint="eastAsia" w:ascii="宋体" w:hAnsi="宋体" w:eastAsia="宋体"/>
          <w:u w:val="single"/>
        </w:rPr>
      </w:pPr>
      <w:r>
        <w:rPr>
          <w:rFonts w:ascii="宋体" w:hAnsi="宋体" w:eastAsia="宋体" w:cs="Times New Roman"/>
          <w:szCs w:val="21"/>
          <w:u w:val="single"/>
        </w:rPr>
        <w:t>5.</w:t>
      </w:r>
      <w:r>
        <w:rPr>
          <w:rFonts w:hint="eastAsia" w:ascii="宋体" w:hAnsi="宋体" w:eastAsia="宋体" w:cs="Times New Roman"/>
          <w:szCs w:val="21"/>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u w:val="single"/>
        </w:rPr>
        <w:t>不享受中小企业扶持政策。</w:t>
      </w:r>
    </w:p>
    <w:p w14:paraId="502ACBC3">
      <w:pPr>
        <w:adjustRightInd w:val="0"/>
        <w:snapToGrid w:val="0"/>
        <w:spacing w:line="288" w:lineRule="auto"/>
        <w:ind w:firstLine="495" w:firstLineChars="236"/>
        <w:rPr>
          <w:rFonts w:hint="eastAsia" w:ascii="宋体" w:hAnsi="宋体" w:eastAsia="宋体" w:cs="宋体"/>
          <w:szCs w:val="21"/>
          <w:u w:val="single"/>
        </w:rPr>
      </w:pPr>
      <w:r>
        <w:rPr>
          <w:rFonts w:hint="eastAsia" w:ascii="宋体" w:hAnsi="宋体" w:eastAsia="宋体" w:cs="Times New Roman"/>
          <w:szCs w:val="21"/>
          <w:u w:val="single"/>
        </w:rPr>
        <w:t>6</w:t>
      </w:r>
      <w:r>
        <w:rPr>
          <w:rFonts w:ascii="宋体" w:hAnsi="宋体" w:eastAsia="宋体" w:cs="Times New Roman"/>
          <w:szCs w:val="21"/>
          <w:u w:val="single"/>
        </w:rPr>
        <w:t>.如项目包含“多件”标的物的，需按标的物项数逐项填写。</w:t>
      </w:r>
    </w:p>
    <w:p w14:paraId="14D7E4CA">
      <w:pPr>
        <w:adjustRightInd w:val="0"/>
        <w:snapToGrid w:val="0"/>
        <w:spacing w:line="288" w:lineRule="auto"/>
        <w:jc w:val="center"/>
        <w:outlineLvl w:val="2"/>
        <w:rPr>
          <w:rFonts w:hint="eastAsia" w:ascii="宋体" w:hAnsi="宋体" w:eastAsia="宋体" w:cs="宋体"/>
          <w:kern w:val="0"/>
          <w:szCs w:val="21"/>
        </w:rPr>
      </w:pPr>
      <w:r>
        <w:rPr>
          <w:rFonts w:ascii="宋体" w:hAnsi="宋体" w:eastAsia="宋体" w:cs="Times New Roman"/>
          <w:b/>
          <w:bCs/>
          <w:szCs w:val="21"/>
        </w:rPr>
        <w:br w:type="page"/>
      </w: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）属于监狱企业的证明文件（若属于监狱企业）</w:t>
      </w:r>
    </w:p>
    <w:p w14:paraId="3970D0E8">
      <w:pPr>
        <w:adjustRightInd w:val="0"/>
        <w:snapToGrid w:val="0"/>
        <w:spacing w:line="288" w:lineRule="auto"/>
        <w:rPr>
          <w:rFonts w:hint="eastAsia" w:ascii="宋体" w:hAnsi="宋体" w:eastAsia="宋体" w:cs="宋体"/>
          <w:kern w:val="0"/>
          <w:szCs w:val="21"/>
        </w:rPr>
      </w:pPr>
    </w:p>
    <w:p w14:paraId="380B1E9C">
      <w:pPr>
        <w:adjustRightInd w:val="0"/>
        <w:snapToGrid w:val="0"/>
        <w:spacing w:line="288" w:lineRule="auto"/>
        <w:ind w:firstLine="373" w:firstLineChars="177"/>
        <w:rPr>
          <w:rFonts w:hint="eastAsia" w:ascii="宋体" w:hAnsi="宋体" w:eastAsia="宋体"/>
          <w:b/>
          <w:bCs/>
          <w:szCs w:val="21"/>
        </w:rPr>
      </w:pPr>
      <w:r>
        <w:rPr>
          <w:rFonts w:hint="eastAsia" w:ascii="宋体" w:hAnsi="宋体" w:eastAsia="宋体" w:cs="宋体"/>
          <w:b/>
          <w:bCs/>
          <w:kern w:val="0"/>
          <w:szCs w:val="21"/>
        </w:rPr>
        <w:t>监狱企业参加政府采购活动时，应当提供由省级以上监狱管理局、戒毒管理局（含新疆生产建设兵团）出具的属于监狱企业的证明文件。</w:t>
      </w:r>
    </w:p>
    <w:p w14:paraId="1DA227B5">
      <w:pPr>
        <w:adjustRightInd w:val="0"/>
        <w:snapToGrid w:val="0"/>
        <w:spacing w:line="288" w:lineRule="auto"/>
        <w:rPr>
          <w:rFonts w:hint="eastAsia" w:ascii="宋体" w:hAnsi="宋体" w:eastAsia="宋体"/>
          <w:szCs w:val="21"/>
        </w:rPr>
      </w:pPr>
    </w:p>
    <w:p w14:paraId="70DA06D8">
      <w:pPr>
        <w:adjustRightInd w:val="0"/>
        <w:snapToGrid w:val="0"/>
        <w:spacing w:line="288" w:lineRule="auto"/>
        <w:rPr>
          <w:rFonts w:hint="eastAsia" w:ascii="宋体" w:hAnsi="宋体" w:eastAsia="宋体"/>
          <w:b/>
          <w:bCs/>
          <w:szCs w:val="21"/>
        </w:rPr>
      </w:pPr>
      <w:r>
        <w:rPr>
          <w:rFonts w:hint="eastAsia" w:ascii="宋体" w:hAnsi="宋体" w:eastAsia="宋体"/>
          <w:b/>
          <w:bCs/>
          <w:szCs w:val="21"/>
        </w:rPr>
        <w:t>说明：</w:t>
      </w:r>
    </w:p>
    <w:p w14:paraId="7745803B">
      <w:pPr>
        <w:widowControl/>
        <w:shd w:val="clear" w:color="auto" w:fill="FFFFFF"/>
        <w:adjustRightInd w:val="0"/>
        <w:snapToGrid w:val="0"/>
        <w:spacing w:line="288" w:lineRule="auto"/>
        <w:ind w:firstLine="371" w:firstLineChars="177"/>
        <w:jc w:val="left"/>
        <w:rPr>
          <w:rFonts w:hint="eastAsia" w:ascii="宋体" w:hAnsi="宋体" w:eastAsia="宋体" w:cs="宋体"/>
          <w:kern w:val="0"/>
          <w:szCs w:val="21"/>
        </w:rPr>
      </w:pPr>
      <w:r>
        <w:rPr>
          <w:rFonts w:hint="eastAsia" w:ascii="宋体" w:hAnsi="宋体" w:eastAsia="宋体" w:cs="宋体"/>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05549B3">
      <w:pPr>
        <w:widowControl/>
        <w:shd w:val="clear" w:color="auto" w:fill="FFFFFF"/>
        <w:adjustRightInd w:val="0"/>
        <w:snapToGrid w:val="0"/>
        <w:spacing w:line="288" w:lineRule="auto"/>
        <w:ind w:firstLine="371" w:firstLineChars="177"/>
        <w:jc w:val="left"/>
        <w:rPr>
          <w:rFonts w:hint="eastAsia" w:ascii="宋体" w:hAnsi="宋体" w:eastAsia="宋体" w:cs="宋体"/>
          <w:kern w:val="0"/>
          <w:szCs w:val="21"/>
        </w:rPr>
      </w:pPr>
      <w:r>
        <w:rPr>
          <w:rFonts w:hint="eastAsia" w:ascii="宋体" w:hAnsi="宋体" w:eastAsia="宋体" w:cs="宋体"/>
          <w:kern w:val="0"/>
          <w:szCs w:val="21"/>
        </w:rPr>
        <w:t>二、在政府采购活动中，监狱企业视同小型、微型企业，享受预留份额、评审中价格扣除等政府采购促进中小企业发展的政府采购政策。</w:t>
      </w:r>
    </w:p>
    <w:p w14:paraId="22F93205">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4D00A310">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）残疾人福利性单位声明函（若属于残疾人福利性单位）</w:t>
      </w:r>
    </w:p>
    <w:p w14:paraId="2C7C6DF6">
      <w:pPr>
        <w:adjustRightInd w:val="0"/>
        <w:snapToGrid w:val="0"/>
        <w:spacing w:line="288" w:lineRule="auto"/>
        <w:rPr>
          <w:rFonts w:hint="eastAsia" w:ascii="宋体" w:hAnsi="宋体" w:eastAsia="宋体" w:cs="Times New Roman"/>
          <w:b/>
          <w:spacing w:val="6"/>
          <w:szCs w:val="21"/>
        </w:rPr>
      </w:pPr>
    </w:p>
    <w:p w14:paraId="3C934558">
      <w:pPr>
        <w:adjustRightInd w:val="0"/>
        <w:snapToGrid w:val="0"/>
        <w:spacing w:line="288" w:lineRule="auto"/>
        <w:ind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本单位为符合条件的残疾人福利性单位</w:t>
      </w:r>
      <w:r>
        <w:rPr>
          <w:rFonts w:hint="eastAsia" w:ascii="宋体" w:hAnsi="宋体" w:eastAsia="宋体" w:cs="Times New Roman"/>
          <w:spacing w:val="6"/>
          <w:szCs w:val="21"/>
        </w:rPr>
        <w:t>，且本单位参加______（采购人）单位的______（项目名称）项目采购活动提供本单位制造的货物，或者提供其他残疾人福利性单位制造的货物（不包括使用非残疾人福利性单位注册商标的货物）。</w:t>
      </w:r>
    </w:p>
    <w:p w14:paraId="78D805AD">
      <w:pPr>
        <w:adjustRightInd w:val="0"/>
        <w:snapToGrid w:val="0"/>
        <w:spacing w:line="288" w:lineRule="auto"/>
        <w:ind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本单位对上述声明的真实性负责。如有虚假，将依法承担相应责任。</w:t>
      </w:r>
    </w:p>
    <w:p w14:paraId="125EAD58">
      <w:pPr>
        <w:tabs>
          <w:tab w:val="left" w:pos="4860"/>
        </w:tabs>
        <w:adjustRightInd w:val="0"/>
        <w:snapToGrid w:val="0"/>
        <w:spacing w:line="288" w:lineRule="auto"/>
        <w:ind w:right="1560"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单位名称（盖章）：</w:t>
      </w:r>
    </w:p>
    <w:p w14:paraId="552CC73C">
      <w:pPr>
        <w:tabs>
          <w:tab w:val="left" w:pos="4860"/>
        </w:tabs>
        <w:adjustRightInd w:val="0"/>
        <w:snapToGrid w:val="0"/>
        <w:spacing w:line="288" w:lineRule="auto"/>
        <w:ind w:right="1560"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日  期：</w:t>
      </w:r>
    </w:p>
    <w:p w14:paraId="31E42077">
      <w:pPr>
        <w:adjustRightInd w:val="0"/>
        <w:snapToGrid w:val="0"/>
        <w:spacing w:line="288" w:lineRule="auto"/>
        <w:rPr>
          <w:rFonts w:hint="eastAsia" w:ascii="宋体" w:hAnsi="宋体" w:eastAsia="宋体"/>
          <w:szCs w:val="21"/>
        </w:rPr>
      </w:pPr>
    </w:p>
    <w:p w14:paraId="17BE3CA4">
      <w:pPr>
        <w:adjustRightInd w:val="0"/>
        <w:snapToGrid w:val="0"/>
        <w:spacing w:line="288" w:lineRule="auto"/>
        <w:rPr>
          <w:rFonts w:hint="eastAsia" w:ascii="宋体" w:hAnsi="宋体" w:eastAsia="宋体"/>
          <w:b/>
          <w:bCs/>
          <w:szCs w:val="21"/>
        </w:rPr>
      </w:pPr>
      <w:r>
        <w:rPr>
          <w:rFonts w:hint="eastAsia" w:ascii="宋体" w:hAnsi="宋体" w:eastAsia="宋体"/>
          <w:b/>
          <w:bCs/>
          <w:szCs w:val="21"/>
        </w:rPr>
        <w:t>说明：</w:t>
      </w:r>
    </w:p>
    <w:p w14:paraId="78291706">
      <w:pPr>
        <w:pStyle w:val="21"/>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一、享受政府采购支持政策的残疾人福利性单位应当同时满足以下条件：</w:t>
      </w:r>
    </w:p>
    <w:p w14:paraId="5B652AE7">
      <w:pPr>
        <w:pStyle w:val="21"/>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（一）安置的残疾人占本单位在职职工人数的比例不低于25%（含25%），并且安置的残疾人人数不少于10人（含10人）；</w:t>
      </w:r>
    </w:p>
    <w:p w14:paraId="532BC525">
      <w:pPr>
        <w:pStyle w:val="21"/>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（二）依法与安置的每位残疾人签订了一年以上（含一年）的劳动合同或服务协议；</w:t>
      </w:r>
    </w:p>
    <w:p w14:paraId="5137057D">
      <w:pPr>
        <w:pStyle w:val="21"/>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（三）为安置的每位残疾人按月足额缴纳了基本养老保险、基本医疗保险、失业保险、工伤保险和生育保险等社会保险费；</w:t>
      </w:r>
    </w:p>
    <w:p w14:paraId="46DA7F93">
      <w:pPr>
        <w:pStyle w:val="21"/>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（四）通过银行等金融机构向安置的每位残疾人，按月支付了不低于单位所在区县适用的经省级人民政府批准的月最低工资标准的工资；</w:t>
      </w:r>
    </w:p>
    <w:p w14:paraId="475D0B36">
      <w:pPr>
        <w:pStyle w:val="21"/>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（五）提供本单位制造的货物、承担的工程或者服务（以下简称产品），或者提供其他残疾人福利性单位制造的货物（不包括使用非残疾人福利性单位注册商标的货物）。</w:t>
      </w:r>
    </w:p>
    <w:p w14:paraId="5783E42B">
      <w:pPr>
        <w:pStyle w:val="21"/>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9D51F62">
      <w:pPr>
        <w:pStyle w:val="21"/>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二、符合条件的残疾人福利性单位在参加政府采购活动时，应当提供财库</w:t>
      </w:r>
      <w:r>
        <w:rPr>
          <w:sz w:val="21"/>
          <w:szCs w:val="21"/>
        </w:rPr>
        <w:t>[2017]141号</w:t>
      </w:r>
      <w:r>
        <w:rPr>
          <w:rFonts w:hint="eastAsia"/>
          <w:sz w:val="21"/>
          <w:szCs w:val="21"/>
        </w:rPr>
        <w:t>文件规定的《残疾人福利性单位声明函》，并对声明的真实性负责。</w:t>
      </w:r>
    </w:p>
    <w:p w14:paraId="0021E3AC">
      <w:pPr>
        <w:pStyle w:val="21"/>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三、在政府采购活动中，残疾人福利性单位视同小型、微型企业，享受预留份额、评审中价格扣除等促进中小企业发展的政府采购政策。</w:t>
      </w:r>
    </w:p>
    <w:p w14:paraId="2F27F4B5">
      <w:pPr>
        <w:pStyle w:val="21"/>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残疾人福利性单位属于小型、微型企业的，不重复享受政策。</w:t>
      </w:r>
    </w:p>
    <w:p w14:paraId="2AE39893">
      <w:pPr>
        <w:widowControl/>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786118F0">
      <w:pPr>
        <w:adjustRightInd w:val="0"/>
        <w:snapToGrid w:val="0"/>
        <w:spacing w:line="288" w:lineRule="auto"/>
        <w:outlineLvl w:val="2"/>
        <w:rPr>
          <w:rFonts w:hint="eastAsia"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4006B1B7">
      <w:pPr>
        <w:snapToGrid w:val="0"/>
        <w:spacing w:line="288" w:lineRule="auto"/>
        <w:rPr>
          <w:rFonts w:hint="eastAsia" w:ascii="宋体" w:hAnsi="宋体" w:eastAsia="宋体" w:cs="仿宋_GB2312"/>
          <w:szCs w:val="21"/>
          <w:u w:val="single"/>
        </w:rPr>
      </w:pPr>
    </w:p>
    <w:p w14:paraId="5BDC7D24">
      <w:pPr>
        <w:snapToGrid w:val="0"/>
        <w:spacing w:line="288" w:lineRule="auto"/>
        <w:rPr>
          <w:rFonts w:hint="eastAsia" w:ascii="宋体" w:hAnsi="宋体" w:eastAsia="宋体" w:cs="Times New Roman"/>
          <w:szCs w:val="21"/>
        </w:rPr>
      </w:pPr>
      <w:r>
        <w:rPr>
          <w:rFonts w:hint="eastAsia" w:ascii="宋体" w:hAnsi="宋体" w:eastAsia="宋体" w:cs="仿宋_GB2312"/>
          <w:szCs w:val="21"/>
          <w:u w:val="single"/>
        </w:rPr>
        <w:t>（采购人）、（采购代理机构）</w:t>
      </w:r>
    </w:p>
    <w:p w14:paraId="34B9A8BE">
      <w:pPr>
        <w:snapToGrid w:val="0"/>
        <w:spacing w:line="288" w:lineRule="auto"/>
        <w:ind w:firstLine="424" w:firstLineChars="202"/>
        <w:rPr>
          <w:rFonts w:hint="eastAsia"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投标（响应）活动中作如下说明：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518B529F">
      <w:pPr>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特此说明。</w:t>
      </w:r>
    </w:p>
    <w:p w14:paraId="68ED702E">
      <w:pPr>
        <w:snapToGrid w:val="0"/>
        <w:spacing w:line="288" w:lineRule="auto"/>
        <w:ind w:right="480" w:firstLine="424" w:firstLineChars="202"/>
        <w:rPr>
          <w:rFonts w:hint="eastAsia" w:ascii="宋体" w:hAnsi="宋体" w:eastAsia="宋体" w:cs="宋体"/>
          <w:szCs w:val="21"/>
        </w:rPr>
      </w:pPr>
      <w:r>
        <w:rPr>
          <w:rFonts w:hint="eastAsia" w:ascii="宋体" w:hAnsi="宋体" w:eastAsia="宋体" w:cs="宋体"/>
          <w:szCs w:val="21"/>
        </w:rPr>
        <w:t>供应商（法定名称章）：</w:t>
      </w:r>
    </w:p>
    <w:p w14:paraId="77F58D6B">
      <w:pPr>
        <w:snapToGrid w:val="0"/>
        <w:spacing w:line="288" w:lineRule="auto"/>
        <w:ind w:right="1440" w:firstLine="424" w:firstLineChars="202"/>
        <w:rPr>
          <w:rFonts w:hint="eastAsia" w:ascii="宋体" w:hAnsi="宋体" w:eastAsia="宋体" w:cs="宋体"/>
          <w:szCs w:val="21"/>
        </w:rPr>
      </w:pPr>
      <w:r>
        <w:rPr>
          <w:rFonts w:ascii="宋体" w:hAnsi="宋体" w:eastAsia="宋体" w:cs="宋体"/>
          <w:szCs w:val="21"/>
        </w:rPr>
        <w:t>日期：       年     月     日</w:t>
      </w:r>
    </w:p>
    <w:p w14:paraId="223F339D">
      <w:pPr>
        <w:snapToGrid w:val="0"/>
        <w:spacing w:line="288" w:lineRule="auto"/>
        <w:rPr>
          <w:rFonts w:hint="eastAsia" w:ascii="宋体" w:hAnsi="宋体" w:eastAsia="宋体" w:cs="宋体"/>
          <w:b/>
          <w:bCs/>
          <w:szCs w:val="21"/>
        </w:rPr>
      </w:pPr>
    </w:p>
    <w:p w14:paraId="6DABDDAE">
      <w:pPr>
        <w:snapToGrid w:val="0"/>
        <w:spacing w:line="288" w:lineRule="auto"/>
        <w:rPr>
          <w:rFonts w:hint="eastAsia"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75645FA2">
      <w:pPr>
        <w:snapToGrid w:val="0"/>
        <w:spacing w:line="288" w:lineRule="auto"/>
        <w:rPr>
          <w:rFonts w:hint="eastAsia"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26B5BAC5">
      <w:pPr>
        <w:widowControl/>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24CAE738">
      <w:pPr>
        <w:snapToGrid w:val="0"/>
        <w:spacing w:line="288" w:lineRule="auto"/>
        <w:jc w:val="center"/>
        <w:outlineLvl w:val="2"/>
        <w:rPr>
          <w:rFonts w:hint="eastAsia"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14:paraId="1715060B">
      <w:pPr>
        <w:widowControl/>
        <w:snapToGrid w:val="0"/>
        <w:spacing w:line="288" w:lineRule="auto"/>
        <w:ind w:firstLine="424" w:firstLineChars="201"/>
        <w:jc w:val="left"/>
        <w:rPr>
          <w:rFonts w:hint="eastAsia"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14:paraId="1C959E67">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14:paraId="32EA970E">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14:paraId="6CB1D26B">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授权代表根据招标文件规定及投标内容而对采购人、采购代理机构所作的任何合法承诺，包括书面澄清及相应等均对联合投标各方产生约束力。</w:t>
      </w:r>
    </w:p>
    <w:p w14:paraId="7CE24702">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14:paraId="0FCB068C">
      <w:pPr>
        <w:snapToGrid w:val="0"/>
        <w:spacing w:line="288" w:lineRule="auto"/>
        <w:ind w:firstLine="422" w:firstLineChars="201"/>
        <w:rPr>
          <w:rFonts w:hint="eastAsia"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30%以上</w:t>
      </w:r>
      <w:r>
        <w:rPr>
          <w:rFonts w:hint="eastAsia" w:ascii="宋体" w:hAnsi="宋体" w:eastAsia="宋体" w:cs="仿宋_GB2312"/>
          <w:b/>
          <w:kern w:val="0"/>
          <w:szCs w:val="21"/>
          <w:lang w:val="zh-CN"/>
        </w:rPr>
        <w:t>，对联合体报价给予4%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14:paraId="7AC6F535">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14:paraId="3DB9F5FA">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14:paraId="221E5E40">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14:paraId="02127C58">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14:paraId="1A38ED33">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仿宋_GB2312"/>
          <w:kern w:val="0"/>
          <w:szCs w:val="21"/>
          <w:lang w:val="zh-CN"/>
        </w:rPr>
        <w:t>3、本协议提交采购人、</w:t>
      </w:r>
      <w:r>
        <w:rPr>
          <w:rFonts w:hint="eastAsia" w:ascii="宋体" w:hAnsi="宋体" w:eastAsia="宋体" w:cs="仿宋_GB2312"/>
          <w:kern w:val="0"/>
          <w:szCs w:val="21"/>
          <w:lang w:val="zh-CN"/>
        </w:rPr>
        <w:t>采购代理机构</w:t>
      </w:r>
      <w:r>
        <w:rPr>
          <w:rFonts w:ascii="宋体" w:hAnsi="宋体" w:eastAsia="宋体" w:cs="仿宋_GB2312"/>
          <w:kern w:val="0"/>
          <w:szCs w:val="21"/>
          <w:lang w:val="zh-CN"/>
        </w:rPr>
        <w:t>后，联合体各方不得以任何形式对上述内容进行修改或撤销。</w:t>
      </w:r>
    </w:p>
    <w:p w14:paraId="14F07DF9">
      <w:pPr>
        <w:snapToGrid w:val="0"/>
        <w:spacing w:line="288" w:lineRule="auto"/>
        <w:ind w:firstLine="422" w:firstLineChars="201"/>
        <w:rPr>
          <w:rFonts w:hint="eastAsia" w:ascii="宋体" w:hAnsi="宋体" w:eastAsia="宋体" w:cs="仿宋_GB2312"/>
          <w:kern w:val="0"/>
          <w:szCs w:val="21"/>
          <w:lang w:val="zh-CN"/>
        </w:rPr>
      </w:pPr>
    </w:p>
    <w:p w14:paraId="691D65AA">
      <w:pPr>
        <w:snapToGrid w:val="0"/>
        <w:spacing w:line="288" w:lineRule="auto"/>
        <w:ind w:firstLine="422" w:firstLineChars="201"/>
        <w:rPr>
          <w:rFonts w:hint="eastAsia" w:ascii="宋体" w:hAnsi="宋体" w:eastAsia="宋体" w:cs="仿宋_GB2312"/>
          <w:kern w:val="0"/>
          <w:szCs w:val="21"/>
          <w:lang w:val="zh-CN"/>
        </w:rPr>
      </w:pPr>
    </w:p>
    <w:p w14:paraId="27D20B0B">
      <w:pPr>
        <w:snapToGrid w:val="0"/>
        <w:spacing w:line="288" w:lineRule="auto"/>
        <w:ind w:firstLine="424" w:firstLineChars="201"/>
        <w:rPr>
          <w:rFonts w:hint="eastAsia"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14:paraId="3FFE6822">
      <w:pPr>
        <w:snapToGrid w:val="0"/>
        <w:spacing w:line="288" w:lineRule="auto"/>
        <w:ind w:firstLine="424" w:firstLineChars="201"/>
        <w:rPr>
          <w:rFonts w:hint="eastAsia" w:ascii="宋体" w:hAnsi="宋体" w:eastAsia="宋体" w:cs="仿宋_GB2312"/>
          <w:b/>
          <w:bCs/>
          <w:kern w:val="0"/>
          <w:szCs w:val="21"/>
          <w:lang w:val="zh-CN"/>
        </w:rPr>
      </w:pPr>
    </w:p>
    <w:p w14:paraId="1DEDB09A">
      <w:pPr>
        <w:snapToGrid w:val="0"/>
        <w:spacing w:line="288" w:lineRule="auto"/>
        <w:ind w:firstLine="424" w:firstLineChars="201"/>
        <w:rPr>
          <w:rFonts w:hint="eastAsia" w:ascii="宋体" w:hAnsi="宋体" w:eastAsia="宋体" w:cs="Times New Roman"/>
          <w:b/>
          <w:bCs/>
          <w:szCs w:val="21"/>
        </w:rPr>
      </w:pPr>
    </w:p>
    <w:p w14:paraId="429CCC07">
      <w:pPr>
        <w:snapToGrid w:val="0"/>
        <w:spacing w:line="288" w:lineRule="auto"/>
        <w:ind w:firstLine="424" w:firstLineChars="201"/>
        <w:rPr>
          <w:rFonts w:hint="eastAsia"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144BF858">
      <w:pPr>
        <w:widowControl/>
        <w:jc w:val="left"/>
        <w:rPr>
          <w:rFonts w:hint="eastAsia" w:ascii="宋体" w:hAnsi="宋体" w:eastAsia="宋体" w:cs="仿宋_GB2312"/>
          <w:b/>
          <w:kern w:val="0"/>
          <w:szCs w:val="21"/>
        </w:rPr>
      </w:pPr>
      <w:r>
        <w:rPr>
          <w:rFonts w:ascii="宋体" w:hAnsi="宋体" w:eastAsia="宋体" w:cs="仿宋_GB2312"/>
          <w:b/>
          <w:kern w:val="0"/>
          <w:szCs w:val="21"/>
        </w:rPr>
        <w:br w:type="page"/>
      </w:r>
    </w:p>
    <w:p w14:paraId="41830C9A">
      <w:pPr>
        <w:snapToGrid w:val="0"/>
        <w:spacing w:line="288" w:lineRule="auto"/>
        <w:jc w:val="center"/>
        <w:outlineLvl w:val="2"/>
        <w:rPr>
          <w:rFonts w:hint="eastAsia"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14:paraId="5B875878">
      <w:pPr>
        <w:widowControl/>
        <w:snapToGrid w:val="0"/>
        <w:spacing w:line="288" w:lineRule="auto"/>
        <w:ind w:firstLine="422" w:firstLineChars="201"/>
        <w:jc w:val="left"/>
        <w:rPr>
          <w:rFonts w:hint="eastAsia"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14:paraId="7259DC57">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14:paraId="7C66F342">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14:paraId="148F1C59">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14:paraId="513F2F10">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w:t>
      </w:r>
    </w:p>
    <w:p w14:paraId="7FFD6382">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14:paraId="36DF653E">
      <w:pPr>
        <w:snapToGrid w:val="0"/>
        <w:spacing w:line="288" w:lineRule="auto"/>
        <w:ind w:firstLine="422" w:firstLineChars="201"/>
        <w:rPr>
          <w:rFonts w:hint="eastAsia" w:ascii="宋体" w:hAnsi="宋体" w:eastAsia="宋体" w:cs="Times New Roman"/>
          <w:szCs w:val="21"/>
          <w:u w:val="single"/>
        </w:rPr>
      </w:pPr>
      <w:r>
        <w:rPr>
          <w:rFonts w:ascii="宋体" w:hAnsi="宋体" w:eastAsia="宋体" w:cs="Times New Roman"/>
          <w:szCs w:val="21"/>
          <w:u w:val="single"/>
        </w:rPr>
        <w:t xml:space="preserve">                                                                                  </w:t>
      </w:r>
    </w:p>
    <w:p w14:paraId="333BCE78">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三、质量</w:t>
      </w:r>
    </w:p>
    <w:p w14:paraId="186CAE5C">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Times New Roman"/>
          <w:szCs w:val="21"/>
          <w:u w:val="single"/>
        </w:rPr>
        <w:t xml:space="preserve">                                                                                       </w:t>
      </w:r>
    </w:p>
    <w:p w14:paraId="1C69ADF4">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14:paraId="1D433BC4">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Times New Roman"/>
          <w:szCs w:val="21"/>
          <w:u w:val="single"/>
        </w:rPr>
        <w:t xml:space="preserve">                                                                                     </w:t>
      </w:r>
    </w:p>
    <w:p w14:paraId="375884AD">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五、违约责任</w:t>
      </w:r>
    </w:p>
    <w:p w14:paraId="59E6BCB5">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Times New Roman"/>
          <w:szCs w:val="21"/>
          <w:u w:val="single"/>
        </w:rPr>
        <w:t xml:space="preserve">                                                                                     </w:t>
      </w:r>
    </w:p>
    <w:p w14:paraId="03E2601F">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14:paraId="1E8E3C1D">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Times New Roman"/>
          <w:szCs w:val="21"/>
          <w:u w:val="single"/>
        </w:rPr>
        <w:t xml:space="preserve">                                                                                  </w:t>
      </w:r>
    </w:p>
    <w:p w14:paraId="51A4D683">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七、其他</w:t>
      </w:r>
    </w:p>
    <w:p w14:paraId="3BC63F59">
      <w:pPr>
        <w:snapToGrid w:val="0"/>
        <w:spacing w:line="288" w:lineRule="auto"/>
        <w:ind w:firstLine="422" w:firstLineChars="201"/>
        <w:rPr>
          <w:rFonts w:hint="eastAsia" w:ascii="宋体" w:hAnsi="宋体" w:eastAsia="宋体" w:cs="仿宋_GB2312"/>
          <w:b/>
          <w:kern w:val="0"/>
          <w:szCs w:val="21"/>
          <w:lang w:val="zh-CN"/>
        </w:rPr>
      </w:pPr>
      <w:r>
        <w:rPr>
          <w:rFonts w:hint="eastAsia" w:ascii="宋体" w:hAnsi="宋体" w:eastAsia="宋体" w:cs="仿宋_GB2312"/>
          <w:kern w:val="0"/>
          <w:szCs w:val="21"/>
          <w:u w:val="single"/>
        </w:rPr>
        <w:t>（分包供应商名称）提供的货物全部由小微企业制造，</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r>
        <w:rPr>
          <w:rFonts w:hint="eastAsia" w:ascii="宋体" w:hAnsi="宋体" w:eastAsia="宋体" w:cs="仿宋_GB2312"/>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lang w:val="zh-CN"/>
        </w:rPr>
        <w:t>30%以上</w:t>
      </w:r>
      <w:r>
        <w:rPr>
          <w:rFonts w:hint="eastAsia" w:ascii="宋体" w:hAnsi="宋体" w:eastAsia="宋体" w:cs="仿宋_GB2312"/>
          <w:b/>
          <w:kern w:val="0"/>
          <w:szCs w:val="21"/>
          <w:lang w:val="zh-CN"/>
        </w:rPr>
        <w:t>的，对大中型企业的报价给予4%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14:paraId="3F79186B">
      <w:pPr>
        <w:snapToGrid w:val="0"/>
        <w:spacing w:line="288" w:lineRule="auto"/>
        <w:rPr>
          <w:rFonts w:hint="eastAsia" w:ascii="宋体" w:hAnsi="宋体" w:eastAsia="宋体" w:cs="仿宋_GB2312"/>
          <w:kern w:val="0"/>
          <w:szCs w:val="21"/>
          <w:lang w:val="zh-CN"/>
        </w:rPr>
      </w:pPr>
    </w:p>
    <w:p w14:paraId="23AA879B">
      <w:pPr>
        <w:snapToGrid w:val="0"/>
        <w:spacing w:line="288" w:lineRule="auto"/>
        <w:ind w:firstLine="422" w:firstLineChars="200"/>
        <w:rPr>
          <w:rFonts w:hint="eastAsia"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14:paraId="60210AC4">
      <w:pPr>
        <w:snapToGrid w:val="0"/>
        <w:spacing w:line="288" w:lineRule="auto"/>
        <w:ind w:firstLine="424" w:firstLineChars="201"/>
        <w:rPr>
          <w:rFonts w:hint="eastAsia" w:ascii="宋体" w:hAnsi="宋体" w:eastAsia="宋体" w:cs="仿宋_GB2312"/>
          <w:b/>
          <w:bCs/>
          <w:kern w:val="0"/>
          <w:szCs w:val="21"/>
          <w:lang w:val="zh-CN"/>
        </w:rPr>
      </w:pPr>
    </w:p>
    <w:p w14:paraId="6EA6E9A7">
      <w:pPr>
        <w:snapToGrid w:val="0"/>
        <w:spacing w:line="288" w:lineRule="auto"/>
        <w:ind w:firstLine="424" w:firstLineChars="201"/>
        <w:rPr>
          <w:rFonts w:hint="eastAsia"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分包供应商名称（电子签名</w:t>
      </w:r>
      <w:r>
        <w:rPr>
          <w:rFonts w:ascii="宋体" w:hAnsi="宋体" w:eastAsia="宋体" w:cs="仿宋_GB2312"/>
          <w:b/>
          <w:bCs/>
          <w:kern w:val="0"/>
          <w:szCs w:val="21"/>
          <w:lang w:val="zh-CN"/>
        </w:rPr>
        <w:t>/公章）：</w:t>
      </w:r>
    </w:p>
    <w:p w14:paraId="145E8D74">
      <w:pPr>
        <w:snapToGrid w:val="0"/>
        <w:spacing w:line="288" w:lineRule="auto"/>
        <w:rPr>
          <w:rFonts w:hint="eastAsia" w:ascii="宋体" w:hAnsi="宋体" w:eastAsia="宋体" w:cs="仿宋_GB2312"/>
          <w:b/>
          <w:bCs/>
          <w:kern w:val="0"/>
          <w:szCs w:val="21"/>
          <w:lang w:val="zh-CN"/>
        </w:rPr>
      </w:pPr>
    </w:p>
    <w:p w14:paraId="0A655045">
      <w:pPr>
        <w:snapToGrid w:val="0"/>
        <w:spacing w:line="288" w:lineRule="auto"/>
        <w:ind w:firstLine="424" w:firstLineChars="201"/>
        <w:rPr>
          <w:rFonts w:hint="eastAsia"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6BC51239">
      <w:pPr>
        <w:rPr>
          <w:rFonts w:hint="eastAsia" w:ascii="等线" w:hAnsi="等线" w:eastAsia="等线" w:cs="Times New Roman"/>
        </w:rPr>
      </w:pPr>
    </w:p>
    <w:p w14:paraId="02590687">
      <w:pPr>
        <w:adjustRightInd w:val="0"/>
        <w:snapToGrid w:val="0"/>
        <w:spacing w:line="288" w:lineRule="auto"/>
        <w:rPr>
          <w:rFonts w:hint="eastAsia"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Malgun Gothic Semilight">
    <w:panose1 w:val="020B0502040204020203"/>
    <w:charset w:val="86"/>
    <w:family w:val="auto"/>
    <w:pitch w:val="default"/>
    <w:sig w:usb0="900002AF" w:usb1="01D77CFB" w:usb2="00000012" w:usb3="00000000" w:csb0="203E01BD" w:csb1="D7FF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1003D">
    <w:pPr>
      <w:pStyle w:val="17"/>
      <w:jc w:val="center"/>
      <w:rPr>
        <w:rFonts w:hint="eastAsia"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AF673">
    <w:pPr>
      <w:pStyle w:val="17"/>
      <w:jc w:val="center"/>
      <w:rPr>
        <w:rFonts w:hint="eastAsia"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9A158">
    <w:pPr>
      <w:pStyle w:val="17"/>
      <w:jc w:val="center"/>
      <w:rPr>
        <w:rFonts w:hint="eastAsia"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765A0">
    <w:pPr>
      <w:jc w:val="center"/>
      <w:rPr>
        <w:rFonts w:hint="eastAsia"/>
      </w:rPr>
    </w:pPr>
    <w:r>
      <w:rPr>
        <w:rFonts w:hint="eastAsia"/>
      </w:rPr>
      <w:drawing>
        <wp:inline distT="0" distB="0" distL="114300" distR="114300">
          <wp:extent cx="5906770" cy="676910"/>
          <wp:effectExtent l="0" t="0" r="8255"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9E87F20"/>
    <w:multiLevelType w:val="singleLevel"/>
    <w:tmpl w:val="59E87F20"/>
    <w:lvl w:ilvl="0" w:tentative="0">
      <w:start w:val="6"/>
      <w:numFmt w:val="chineseCounting"/>
      <w:suff w:val="nothing"/>
      <w:lvlText w:val="第%1条"/>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1NjJhY2YzNGY0NzY5M2ZmM2Y0ZjcwMmY2ODQ2YT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1B97"/>
    <w:rsid w:val="00022A3E"/>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6420"/>
    <w:rsid w:val="000F2BA0"/>
    <w:rsid w:val="000F4562"/>
    <w:rsid w:val="00103101"/>
    <w:rsid w:val="00103FF5"/>
    <w:rsid w:val="00105EC1"/>
    <w:rsid w:val="00106A4D"/>
    <w:rsid w:val="00110DFB"/>
    <w:rsid w:val="00111418"/>
    <w:rsid w:val="00112A2A"/>
    <w:rsid w:val="001137C8"/>
    <w:rsid w:val="00117EF1"/>
    <w:rsid w:val="001203D7"/>
    <w:rsid w:val="00120781"/>
    <w:rsid w:val="001208EF"/>
    <w:rsid w:val="00121025"/>
    <w:rsid w:val="001273B1"/>
    <w:rsid w:val="00130294"/>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840"/>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07DD"/>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5465"/>
    <w:rsid w:val="002A7085"/>
    <w:rsid w:val="002A799A"/>
    <w:rsid w:val="002B0296"/>
    <w:rsid w:val="002B1048"/>
    <w:rsid w:val="002B4AE9"/>
    <w:rsid w:val="002C3342"/>
    <w:rsid w:val="002C33D1"/>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0DDA"/>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5042"/>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57F1B"/>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635A"/>
    <w:rsid w:val="0076760A"/>
    <w:rsid w:val="007709F6"/>
    <w:rsid w:val="00774D1E"/>
    <w:rsid w:val="007765A6"/>
    <w:rsid w:val="00777132"/>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7757"/>
    <w:rsid w:val="00860FD0"/>
    <w:rsid w:val="008629F4"/>
    <w:rsid w:val="00863A5B"/>
    <w:rsid w:val="00864F96"/>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4F15"/>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4F22"/>
    <w:rsid w:val="0090555B"/>
    <w:rsid w:val="0090768F"/>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FEB"/>
    <w:rsid w:val="009C2D3A"/>
    <w:rsid w:val="009C428B"/>
    <w:rsid w:val="009C5F48"/>
    <w:rsid w:val="009C62B5"/>
    <w:rsid w:val="009D10CF"/>
    <w:rsid w:val="009D1398"/>
    <w:rsid w:val="009D4E08"/>
    <w:rsid w:val="009D5CF6"/>
    <w:rsid w:val="009D79D9"/>
    <w:rsid w:val="009E0216"/>
    <w:rsid w:val="009E0D54"/>
    <w:rsid w:val="009E2C98"/>
    <w:rsid w:val="009E5DE6"/>
    <w:rsid w:val="009E6E7D"/>
    <w:rsid w:val="009E7376"/>
    <w:rsid w:val="009F00CA"/>
    <w:rsid w:val="009F5445"/>
    <w:rsid w:val="009F6E40"/>
    <w:rsid w:val="00A01CA9"/>
    <w:rsid w:val="00A02B70"/>
    <w:rsid w:val="00A02EC0"/>
    <w:rsid w:val="00A0310D"/>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DF7"/>
    <w:rsid w:val="00A5356D"/>
    <w:rsid w:val="00A56E2F"/>
    <w:rsid w:val="00A616FB"/>
    <w:rsid w:val="00A62074"/>
    <w:rsid w:val="00A626B0"/>
    <w:rsid w:val="00A63A9C"/>
    <w:rsid w:val="00A63F72"/>
    <w:rsid w:val="00A66EBD"/>
    <w:rsid w:val="00A72B3B"/>
    <w:rsid w:val="00A73039"/>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0C49"/>
    <w:rsid w:val="00AC2484"/>
    <w:rsid w:val="00AC2AE1"/>
    <w:rsid w:val="00AC729C"/>
    <w:rsid w:val="00AD15D6"/>
    <w:rsid w:val="00AD3A6E"/>
    <w:rsid w:val="00AD4215"/>
    <w:rsid w:val="00AD454A"/>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2463"/>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2C62"/>
    <w:rsid w:val="00CF32A8"/>
    <w:rsid w:val="00CF3576"/>
    <w:rsid w:val="00CF4740"/>
    <w:rsid w:val="00CF4781"/>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26B31"/>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750FB"/>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E85"/>
    <w:rsid w:val="00EE370B"/>
    <w:rsid w:val="00EE3A4F"/>
    <w:rsid w:val="00EE422B"/>
    <w:rsid w:val="00EE6014"/>
    <w:rsid w:val="00EE69E7"/>
    <w:rsid w:val="00EF16BA"/>
    <w:rsid w:val="00EF2298"/>
    <w:rsid w:val="00EF23EC"/>
    <w:rsid w:val="00EF4317"/>
    <w:rsid w:val="00EF50C5"/>
    <w:rsid w:val="00EF560F"/>
    <w:rsid w:val="00EF7767"/>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C5DEB"/>
    <w:rsid w:val="00FD1F23"/>
    <w:rsid w:val="00FD3E41"/>
    <w:rsid w:val="00FD4001"/>
    <w:rsid w:val="00FD4A9E"/>
    <w:rsid w:val="00FD55B1"/>
    <w:rsid w:val="00FD6717"/>
    <w:rsid w:val="00FE0D9E"/>
    <w:rsid w:val="00FE1EE7"/>
    <w:rsid w:val="00FE5A7E"/>
    <w:rsid w:val="00FF3198"/>
    <w:rsid w:val="00FF5A34"/>
    <w:rsid w:val="00FF6F04"/>
    <w:rsid w:val="010033FE"/>
    <w:rsid w:val="01285229"/>
    <w:rsid w:val="014B6C25"/>
    <w:rsid w:val="01DA6BFB"/>
    <w:rsid w:val="01F81427"/>
    <w:rsid w:val="02477D84"/>
    <w:rsid w:val="03295346"/>
    <w:rsid w:val="03F93561"/>
    <w:rsid w:val="05D34727"/>
    <w:rsid w:val="075432FD"/>
    <w:rsid w:val="07650D44"/>
    <w:rsid w:val="07DB5C37"/>
    <w:rsid w:val="08931933"/>
    <w:rsid w:val="09473296"/>
    <w:rsid w:val="0AA066C1"/>
    <w:rsid w:val="0B4A1776"/>
    <w:rsid w:val="0BD50265"/>
    <w:rsid w:val="0BEC010D"/>
    <w:rsid w:val="0C786503"/>
    <w:rsid w:val="0D1A04C9"/>
    <w:rsid w:val="0EF42B54"/>
    <w:rsid w:val="10757130"/>
    <w:rsid w:val="112B34AD"/>
    <w:rsid w:val="11FF5827"/>
    <w:rsid w:val="179737CC"/>
    <w:rsid w:val="17B04902"/>
    <w:rsid w:val="18090C43"/>
    <w:rsid w:val="18FB5F15"/>
    <w:rsid w:val="1B321622"/>
    <w:rsid w:val="1BAC5396"/>
    <w:rsid w:val="1C4A09F5"/>
    <w:rsid w:val="1EEB1A56"/>
    <w:rsid w:val="1F50634F"/>
    <w:rsid w:val="1F9C38D3"/>
    <w:rsid w:val="20767551"/>
    <w:rsid w:val="212705BE"/>
    <w:rsid w:val="21DB64E2"/>
    <w:rsid w:val="221C4C30"/>
    <w:rsid w:val="22A70B6C"/>
    <w:rsid w:val="2398757C"/>
    <w:rsid w:val="23C14303"/>
    <w:rsid w:val="23FF4622"/>
    <w:rsid w:val="27432BC1"/>
    <w:rsid w:val="27F0275A"/>
    <w:rsid w:val="28580092"/>
    <w:rsid w:val="28BC23D4"/>
    <w:rsid w:val="2A845DB8"/>
    <w:rsid w:val="2AA10ED5"/>
    <w:rsid w:val="2ADA0518"/>
    <w:rsid w:val="2BE772F2"/>
    <w:rsid w:val="2C921974"/>
    <w:rsid w:val="2DBE14C9"/>
    <w:rsid w:val="2E2B31E3"/>
    <w:rsid w:val="2F380CDF"/>
    <w:rsid w:val="2F6A64D8"/>
    <w:rsid w:val="30616EA9"/>
    <w:rsid w:val="31A44D82"/>
    <w:rsid w:val="32BE120D"/>
    <w:rsid w:val="32ED6C81"/>
    <w:rsid w:val="330C0EF9"/>
    <w:rsid w:val="33506DE6"/>
    <w:rsid w:val="34004E73"/>
    <w:rsid w:val="35194EAC"/>
    <w:rsid w:val="35A54CED"/>
    <w:rsid w:val="37534CA7"/>
    <w:rsid w:val="37D824F1"/>
    <w:rsid w:val="3B0C4DFA"/>
    <w:rsid w:val="3C4D26C6"/>
    <w:rsid w:val="3D044EFC"/>
    <w:rsid w:val="3E6946AD"/>
    <w:rsid w:val="3EAA422E"/>
    <w:rsid w:val="3EB60CB3"/>
    <w:rsid w:val="3EC436F9"/>
    <w:rsid w:val="3F740895"/>
    <w:rsid w:val="3FB93DC6"/>
    <w:rsid w:val="3FDC5FEB"/>
    <w:rsid w:val="402A691C"/>
    <w:rsid w:val="408A6E37"/>
    <w:rsid w:val="422E66F3"/>
    <w:rsid w:val="4275164D"/>
    <w:rsid w:val="430A3262"/>
    <w:rsid w:val="440D621C"/>
    <w:rsid w:val="45F0276A"/>
    <w:rsid w:val="469A3487"/>
    <w:rsid w:val="46A824B9"/>
    <w:rsid w:val="46BB170B"/>
    <w:rsid w:val="47510906"/>
    <w:rsid w:val="495D70F7"/>
    <w:rsid w:val="498C1364"/>
    <w:rsid w:val="4A4F773C"/>
    <w:rsid w:val="4B7D5F80"/>
    <w:rsid w:val="4BF40741"/>
    <w:rsid w:val="4C5E019B"/>
    <w:rsid w:val="4CAE5BC8"/>
    <w:rsid w:val="4CE96C95"/>
    <w:rsid w:val="4D497A07"/>
    <w:rsid w:val="4F64249F"/>
    <w:rsid w:val="4F6E1200"/>
    <w:rsid w:val="4FEE189E"/>
    <w:rsid w:val="500B7C38"/>
    <w:rsid w:val="502F60D4"/>
    <w:rsid w:val="5345653C"/>
    <w:rsid w:val="53F038EA"/>
    <w:rsid w:val="547C433A"/>
    <w:rsid w:val="54E01333"/>
    <w:rsid w:val="56446D0F"/>
    <w:rsid w:val="569A7D39"/>
    <w:rsid w:val="59BA69E3"/>
    <w:rsid w:val="5A390050"/>
    <w:rsid w:val="5A661DF4"/>
    <w:rsid w:val="5ACF0178"/>
    <w:rsid w:val="5C3E17F9"/>
    <w:rsid w:val="5C483ABC"/>
    <w:rsid w:val="5C4B6194"/>
    <w:rsid w:val="5D2C3FD2"/>
    <w:rsid w:val="5D3A6920"/>
    <w:rsid w:val="5D8135CC"/>
    <w:rsid w:val="5DBD2B5F"/>
    <w:rsid w:val="5ED57F57"/>
    <w:rsid w:val="5F63677E"/>
    <w:rsid w:val="600446EC"/>
    <w:rsid w:val="600D2EE6"/>
    <w:rsid w:val="609777A5"/>
    <w:rsid w:val="621760F6"/>
    <w:rsid w:val="62246B60"/>
    <w:rsid w:val="62B24F88"/>
    <w:rsid w:val="644F1ACD"/>
    <w:rsid w:val="668428C2"/>
    <w:rsid w:val="66DA18A9"/>
    <w:rsid w:val="67060D39"/>
    <w:rsid w:val="67AC6B3C"/>
    <w:rsid w:val="67FF1998"/>
    <w:rsid w:val="680D1D99"/>
    <w:rsid w:val="69431270"/>
    <w:rsid w:val="6A7F4F75"/>
    <w:rsid w:val="6ACA16F9"/>
    <w:rsid w:val="6B16774A"/>
    <w:rsid w:val="6B6B1F3F"/>
    <w:rsid w:val="6ECE2681"/>
    <w:rsid w:val="70A008DA"/>
    <w:rsid w:val="72340F9C"/>
    <w:rsid w:val="745800BA"/>
    <w:rsid w:val="75E3792A"/>
    <w:rsid w:val="774152C9"/>
    <w:rsid w:val="7830135F"/>
    <w:rsid w:val="784C14E3"/>
    <w:rsid w:val="78693F11"/>
    <w:rsid w:val="793070F8"/>
    <w:rsid w:val="79D825C1"/>
    <w:rsid w:val="7B5D131E"/>
    <w:rsid w:val="7D161978"/>
    <w:rsid w:val="7D4C6D3C"/>
    <w:rsid w:val="7DB41B16"/>
    <w:rsid w:val="7DC720AD"/>
    <w:rsid w:val="7DEB79E2"/>
    <w:rsid w:val="7DFC5027"/>
    <w:rsid w:val="7E002D54"/>
    <w:rsid w:val="7ED17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8"/>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9"/>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0"/>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6"/>
    <w:next w:val="1"/>
    <w:qFormat/>
    <w:uiPriority w:val="9"/>
    <w:pPr>
      <w:keepNext/>
      <w:keepLines/>
      <w:widowControl w:val="0"/>
      <w:spacing w:before="240" w:after="64" w:line="320" w:lineRule="auto"/>
      <w:jc w:val="both"/>
      <w:outlineLvl w:val="5"/>
    </w:pPr>
    <w:rPr>
      <w:rFonts w:ascii="Cambria" w:hAnsi="Cambria" w:eastAsiaTheme="minorEastAsia" w:cstheme="minorBidi"/>
      <w:b/>
      <w:bCs/>
      <w:kern w:val="2"/>
      <w:sz w:val="24"/>
      <w:szCs w:val="22"/>
      <w:lang w:val="en-US" w:eastAsia="zh-CN" w:bidi="ar-SA"/>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7">
    <w:name w:val="Normal Indent"/>
    <w:basedOn w:val="1"/>
    <w:link w:val="47"/>
    <w:qFormat/>
    <w:uiPriority w:val="0"/>
    <w:pPr>
      <w:ind w:firstLine="420"/>
    </w:pPr>
    <w:rPr>
      <w:rFonts w:eastAsia="宋体"/>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Document Map"/>
    <w:basedOn w:val="1"/>
    <w:link w:val="44"/>
    <w:unhideWhenUsed/>
    <w:qFormat/>
    <w:uiPriority w:val="99"/>
    <w:rPr>
      <w:rFonts w:ascii="宋体"/>
      <w:sz w:val="18"/>
      <w:szCs w:val="18"/>
    </w:rPr>
  </w:style>
  <w:style w:type="paragraph" w:styleId="10">
    <w:name w:val="annotation text"/>
    <w:basedOn w:val="1"/>
    <w:link w:val="81"/>
    <w:unhideWhenUsed/>
    <w:qFormat/>
    <w:uiPriority w:val="99"/>
    <w:pPr>
      <w:jc w:val="left"/>
    </w:pPr>
  </w:style>
  <w:style w:type="paragraph" w:styleId="11">
    <w:name w:val="Body Text"/>
    <w:basedOn w:val="1"/>
    <w:next w:val="1"/>
    <w:link w:val="84"/>
    <w:unhideWhenUsed/>
    <w:qFormat/>
    <w:uiPriority w:val="99"/>
    <w:pPr>
      <w:spacing w:after="120"/>
    </w:pPr>
    <w:rPr>
      <w:rFonts w:ascii="Times New Roman" w:hAnsi="Times New Roman" w:eastAsia="宋体" w:cs="Times New Roman"/>
      <w:sz w:val="28"/>
      <w:szCs w:val="24"/>
    </w:rPr>
  </w:style>
  <w:style w:type="paragraph" w:styleId="12">
    <w:name w:val="Body Text Indent"/>
    <w:basedOn w:val="1"/>
    <w:link w:val="71"/>
    <w:qFormat/>
    <w:uiPriority w:val="0"/>
    <w:pPr>
      <w:spacing w:line="200" w:lineRule="atLeast"/>
      <w:ind w:firstLine="301"/>
    </w:pPr>
    <w:rPr>
      <w:rFonts w:ascii="宋体" w:hAnsi="Courier New"/>
      <w:spacing w:val="-4"/>
      <w:sz w:val="18"/>
    </w:rPr>
  </w:style>
  <w:style w:type="paragraph" w:styleId="13">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4">
    <w:name w:val="Plain Text"/>
    <w:basedOn w:val="1"/>
    <w:link w:val="56"/>
    <w:qFormat/>
    <w:uiPriority w:val="99"/>
    <w:pPr>
      <w:spacing w:before="156" w:beforeLines="50" w:after="156" w:afterLines="50" w:line="400" w:lineRule="atLeast"/>
    </w:pPr>
    <w:rPr>
      <w:rFonts w:ascii="宋体" w:hAnsi="Courier New"/>
      <w:sz w:val="24"/>
      <w:szCs w:val="24"/>
    </w:rPr>
  </w:style>
  <w:style w:type="paragraph" w:styleId="15">
    <w:name w:val="Date"/>
    <w:basedOn w:val="1"/>
    <w:next w:val="1"/>
    <w:link w:val="87"/>
    <w:qFormat/>
    <w:uiPriority w:val="0"/>
    <w:pPr>
      <w:ind w:left="2500" w:leftChars="2500"/>
    </w:pPr>
    <w:rPr>
      <w:rFonts w:ascii="Times New Roman" w:hAnsi="Times New Roman" w:eastAsia="楷体_GB2312" w:cs="Times New Roman"/>
      <w:sz w:val="32"/>
      <w:szCs w:val="20"/>
    </w:rPr>
  </w:style>
  <w:style w:type="paragraph" w:styleId="16">
    <w:name w:val="Balloon Text"/>
    <w:basedOn w:val="1"/>
    <w:link w:val="85"/>
    <w:qFormat/>
    <w:uiPriority w:val="0"/>
    <w:rPr>
      <w:rFonts w:ascii="Times New Roman" w:hAnsi="Times New Roman" w:eastAsia="宋体" w:cs="Times New Roman"/>
      <w:sz w:val="18"/>
      <w:szCs w:val="18"/>
    </w:rPr>
  </w:style>
  <w:style w:type="paragraph" w:styleId="17">
    <w:name w:val="footer"/>
    <w:basedOn w:val="1"/>
    <w:link w:val="37"/>
    <w:unhideWhenUsed/>
    <w:qFormat/>
    <w:uiPriority w:val="99"/>
    <w:pPr>
      <w:tabs>
        <w:tab w:val="center" w:pos="4153"/>
        <w:tab w:val="right" w:pos="8306"/>
      </w:tabs>
      <w:snapToGrid w:val="0"/>
      <w:jc w:val="left"/>
    </w:pPr>
    <w:rPr>
      <w:sz w:val="18"/>
      <w:szCs w:val="18"/>
    </w:rPr>
  </w:style>
  <w:style w:type="paragraph" w:styleId="18">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List"/>
    <w:basedOn w:val="1"/>
    <w:qFormat/>
    <w:uiPriority w:val="0"/>
    <w:pPr>
      <w:ind w:left="200" w:hanging="200" w:hangingChars="200"/>
    </w:pPr>
    <w:rPr>
      <w:rFonts w:ascii="Times New Roman" w:hAnsi="Times New Roman" w:eastAsia="宋体" w:cs="Times New Roman"/>
      <w:sz w:val="28"/>
      <w:szCs w:val="24"/>
    </w:rPr>
  </w:style>
  <w:style w:type="paragraph" w:styleId="20">
    <w:name w:val="Body Text 2"/>
    <w:basedOn w:val="1"/>
    <w:link w:val="73"/>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1">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2">
    <w:name w:val="annotation subject"/>
    <w:basedOn w:val="10"/>
    <w:next w:val="10"/>
    <w:link w:val="57"/>
    <w:unhideWhenUsed/>
    <w:qFormat/>
    <w:uiPriority w:val="99"/>
    <w:rPr>
      <w:b/>
      <w:bCs/>
      <w:sz w:val="28"/>
      <w:szCs w:val="24"/>
    </w:rPr>
  </w:style>
  <w:style w:type="paragraph" w:styleId="23">
    <w:name w:val="Body Text First Indent 2"/>
    <w:basedOn w:val="12"/>
    <w:link w:val="89"/>
    <w:unhideWhenUsed/>
    <w:qFormat/>
    <w:uiPriority w:val="99"/>
    <w:pPr>
      <w:ind w:firstLine="42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unhideWhenUsed/>
    <w:qFormat/>
    <w:uiPriority w:val="99"/>
    <w:rPr>
      <w:color w:val="5579A7"/>
      <w:u w:val="none"/>
    </w:rPr>
  </w:style>
  <w:style w:type="character" w:styleId="30">
    <w:name w:val="HTML Definition"/>
    <w:unhideWhenUsed/>
    <w:qFormat/>
    <w:uiPriority w:val="99"/>
    <w:rPr>
      <w:i/>
    </w:rPr>
  </w:style>
  <w:style w:type="character" w:styleId="31">
    <w:name w:val="Hyperlink"/>
    <w:qFormat/>
    <w:uiPriority w:val="0"/>
    <w:rPr>
      <w:color w:val="5579A7"/>
      <w:u w:val="none"/>
    </w:rPr>
  </w:style>
  <w:style w:type="character" w:styleId="32">
    <w:name w:val="HTML Code"/>
    <w:unhideWhenUsed/>
    <w:qFormat/>
    <w:uiPriority w:val="99"/>
    <w:rPr>
      <w:rFonts w:ascii="-apple-system" w:hAnsi="-apple-system" w:eastAsia="-apple-system" w:cs="-apple-system"/>
      <w:sz w:val="21"/>
      <w:szCs w:val="21"/>
    </w:rPr>
  </w:style>
  <w:style w:type="character" w:styleId="33">
    <w:name w:val="annotation reference"/>
    <w:unhideWhenUsed/>
    <w:qFormat/>
    <w:uiPriority w:val="99"/>
    <w:rPr>
      <w:sz w:val="21"/>
      <w:szCs w:val="21"/>
    </w:rPr>
  </w:style>
  <w:style w:type="character" w:styleId="34">
    <w:name w:val="HTML Keyboard"/>
    <w:unhideWhenUsed/>
    <w:qFormat/>
    <w:uiPriority w:val="99"/>
    <w:rPr>
      <w:rFonts w:hint="default" w:ascii="-apple-system" w:hAnsi="-apple-system" w:eastAsia="-apple-system" w:cs="-apple-system"/>
      <w:sz w:val="21"/>
      <w:szCs w:val="21"/>
    </w:rPr>
  </w:style>
  <w:style w:type="character" w:styleId="35">
    <w:name w:val="HTML Sample"/>
    <w:unhideWhenUsed/>
    <w:qFormat/>
    <w:uiPriority w:val="99"/>
    <w:rPr>
      <w:rFonts w:hint="default" w:ascii="-apple-system" w:hAnsi="-apple-system" w:eastAsia="-apple-system" w:cs="-apple-system"/>
      <w:sz w:val="21"/>
      <w:szCs w:val="21"/>
    </w:rPr>
  </w:style>
  <w:style w:type="character" w:customStyle="1" w:styleId="36">
    <w:name w:val="页眉 字符"/>
    <w:basedOn w:val="26"/>
    <w:link w:val="18"/>
    <w:qFormat/>
    <w:uiPriority w:val="99"/>
    <w:rPr>
      <w:sz w:val="18"/>
      <w:szCs w:val="18"/>
    </w:rPr>
  </w:style>
  <w:style w:type="character" w:customStyle="1" w:styleId="37">
    <w:name w:val="页脚 字符"/>
    <w:basedOn w:val="26"/>
    <w:link w:val="17"/>
    <w:qFormat/>
    <w:uiPriority w:val="99"/>
    <w:rPr>
      <w:sz w:val="18"/>
      <w:szCs w:val="18"/>
    </w:rPr>
  </w:style>
  <w:style w:type="character" w:customStyle="1" w:styleId="38">
    <w:name w:val="标题 1 字符"/>
    <w:basedOn w:val="26"/>
    <w:link w:val="2"/>
    <w:qFormat/>
    <w:uiPriority w:val="9"/>
    <w:rPr>
      <w:rFonts w:ascii="Times New Roman" w:hAnsi="Times New Roman" w:eastAsia="宋体" w:cs="Times New Roman"/>
      <w:b/>
      <w:bCs/>
      <w:kern w:val="44"/>
      <w:sz w:val="44"/>
      <w:szCs w:val="44"/>
    </w:rPr>
  </w:style>
  <w:style w:type="character" w:customStyle="1" w:styleId="39">
    <w:name w:val="标题 2 字符"/>
    <w:basedOn w:val="26"/>
    <w:link w:val="3"/>
    <w:qFormat/>
    <w:uiPriority w:val="9"/>
    <w:rPr>
      <w:rFonts w:ascii="Cambria" w:hAnsi="Cambria" w:eastAsia="宋体" w:cs="Times New Roman"/>
      <w:b/>
      <w:bCs/>
      <w:sz w:val="32"/>
      <w:szCs w:val="32"/>
    </w:rPr>
  </w:style>
  <w:style w:type="character" w:customStyle="1" w:styleId="40">
    <w:name w:val="标题 3 字符"/>
    <w:basedOn w:val="26"/>
    <w:link w:val="4"/>
    <w:qFormat/>
    <w:uiPriority w:val="9"/>
    <w:rPr>
      <w:rFonts w:ascii="Times New Roman" w:hAnsi="Times New Roman" w:eastAsia="宋体" w:cs="Times New Roman"/>
      <w:b/>
      <w:bCs/>
      <w:sz w:val="32"/>
      <w:szCs w:val="32"/>
    </w:rPr>
  </w:style>
  <w:style w:type="character" w:customStyle="1" w:styleId="41">
    <w:name w:val="jbox-icon-none"/>
    <w:qFormat/>
    <w:uiPriority w:val="0"/>
    <w:rPr>
      <w:vanish/>
    </w:rPr>
  </w:style>
  <w:style w:type="character" w:customStyle="1" w:styleId="42">
    <w:name w:val="z-窗体底端 字符"/>
    <w:link w:val="43"/>
    <w:qFormat/>
    <w:uiPriority w:val="99"/>
    <w:rPr>
      <w:rFonts w:ascii="Arial" w:hAnsi="Arial"/>
      <w:vanish/>
      <w:sz w:val="16"/>
      <w:szCs w:val="16"/>
    </w:rPr>
  </w:style>
  <w:style w:type="paragraph" w:customStyle="1" w:styleId="43">
    <w:name w:val="z-窗体底端1"/>
    <w:basedOn w:val="1"/>
    <w:next w:val="1"/>
    <w:link w:val="42"/>
    <w:unhideWhenUsed/>
    <w:qFormat/>
    <w:uiPriority w:val="99"/>
    <w:pPr>
      <w:widowControl/>
      <w:pBdr>
        <w:top w:val="single" w:color="auto" w:sz="6" w:space="1"/>
      </w:pBdr>
      <w:jc w:val="center"/>
    </w:pPr>
    <w:rPr>
      <w:rFonts w:ascii="Arial" w:hAnsi="Arial"/>
      <w:vanish/>
      <w:sz w:val="16"/>
      <w:szCs w:val="16"/>
    </w:rPr>
  </w:style>
  <w:style w:type="character" w:customStyle="1" w:styleId="44">
    <w:name w:val="文档结构图 字符"/>
    <w:link w:val="9"/>
    <w:qFormat/>
    <w:uiPriority w:val="99"/>
    <w:rPr>
      <w:rFonts w:ascii="宋体"/>
      <w:sz w:val="18"/>
      <w:szCs w:val="18"/>
    </w:rPr>
  </w:style>
  <w:style w:type="character" w:customStyle="1" w:styleId="45">
    <w:name w:val="black601"/>
    <w:qFormat/>
    <w:uiPriority w:val="0"/>
    <w:rPr>
      <w:color w:val="666666"/>
    </w:rPr>
  </w:style>
  <w:style w:type="character" w:customStyle="1" w:styleId="46">
    <w:name w:val="hour_pm"/>
    <w:basedOn w:val="26"/>
    <w:qFormat/>
    <w:uiPriority w:val="0"/>
  </w:style>
  <w:style w:type="character" w:customStyle="1" w:styleId="47">
    <w:name w:val="正文缩进 字符"/>
    <w:link w:val="7"/>
    <w:qFormat/>
    <w:uiPriority w:val="0"/>
    <w:rPr>
      <w:rFonts w:eastAsia="宋体"/>
    </w:rPr>
  </w:style>
  <w:style w:type="character" w:customStyle="1" w:styleId="48">
    <w:name w:val="标题 1 Char Char"/>
    <w:qFormat/>
    <w:uiPriority w:val="0"/>
    <w:rPr>
      <w:rFonts w:eastAsia="宋体"/>
      <w:b/>
      <w:spacing w:val="-2"/>
      <w:sz w:val="24"/>
      <w:lang w:val="en-US" w:eastAsia="zh-CN" w:bidi="ar-SA"/>
    </w:rPr>
  </w:style>
  <w:style w:type="character" w:customStyle="1" w:styleId="49">
    <w:name w:val="jbox-icon-info"/>
    <w:basedOn w:val="26"/>
    <w:qFormat/>
    <w:uiPriority w:val="0"/>
  </w:style>
  <w:style w:type="character" w:customStyle="1" w:styleId="50">
    <w:name w:val="hover9"/>
    <w:qFormat/>
    <w:uiPriority w:val="0"/>
    <w:rPr>
      <w:shd w:val="clear" w:color="auto" w:fill="EEEEEE"/>
    </w:rPr>
  </w:style>
  <w:style w:type="character" w:customStyle="1" w:styleId="51">
    <w:name w:val="maywed421"/>
    <w:qFormat/>
    <w:uiPriority w:val="0"/>
    <w:rPr>
      <w:color w:val="366FB6"/>
      <w:u w:val="none"/>
    </w:rPr>
  </w:style>
  <w:style w:type="character" w:customStyle="1" w:styleId="52">
    <w:name w:val="old"/>
    <w:qFormat/>
    <w:uiPriority w:val="0"/>
    <w:rPr>
      <w:color w:val="999999"/>
    </w:rPr>
  </w:style>
  <w:style w:type="character" w:customStyle="1" w:styleId="53">
    <w:name w:val="jbox-icon-warning"/>
    <w:basedOn w:val="26"/>
    <w:qFormat/>
    <w:uiPriority w:val="0"/>
  </w:style>
  <w:style w:type="character" w:customStyle="1" w:styleId="54">
    <w:name w:val="z-窗体顶端 字符"/>
    <w:link w:val="55"/>
    <w:qFormat/>
    <w:uiPriority w:val="99"/>
    <w:rPr>
      <w:rFonts w:ascii="Arial" w:hAnsi="Arial"/>
      <w:vanish/>
      <w:sz w:val="16"/>
      <w:szCs w:val="16"/>
    </w:rPr>
  </w:style>
  <w:style w:type="paragraph" w:customStyle="1" w:styleId="55">
    <w:name w:val="z-窗体顶端1"/>
    <w:basedOn w:val="1"/>
    <w:next w:val="1"/>
    <w:link w:val="54"/>
    <w:unhideWhenUsed/>
    <w:qFormat/>
    <w:uiPriority w:val="99"/>
    <w:pPr>
      <w:widowControl/>
      <w:pBdr>
        <w:bottom w:val="single" w:color="auto" w:sz="6" w:space="1"/>
      </w:pBdr>
      <w:jc w:val="center"/>
    </w:pPr>
    <w:rPr>
      <w:rFonts w:ascii="Arial" w:hAnsi="Arial"/>
      <w:vanish/>
      <w:sz w:val="16"/>
      <w:szCs w:val="16"/>
    </w:rPr>
  </w:style>
  <w:style w:type="character" w:customStyle="1" w:styleId="56">
    <w:name w:val="纯文本 字符1"/>
    <w:link w:val="14"/>
    <w:qFormat/>
    <w:uiPriority w:val="99"/>
    <w:rPr>
      <w:rFonts w:ascii="宋体" w:hAnsi="Courier New"/>
      <w:sz w:val="24"/>
      <w:szCs w:val="24"/>
    </w:rPr>
  </w:style>
  <w:style w:type="character" w:customStyle="1" w:styleId="57">
    <w:name w:val="批注主题 字符"/>
    <w:link w:val="22"/>
    <w:qFormat/>
    <w:uiPriority w:val="99"/>
    <w:rPr>
      <w:b/>
      <w:bCs/>
      <w:sz w:val="28"/>
      <w:szCs w:val="24"/>
    </w:rPr>
  </w:style>
  <w:style w:type="character" w:customStyle="1" w:styleId="58">
    <w:name w:val="jbox-icon-loading"/>
    <w:basedOn w:val="26"/>
    <w:qFormat/>
    <w:uiPriority w:val="0"/>
  </w:style>
  <w:style w:type="character" w:customStyle="1" w:styleId="59">
    <w:name w:val="正文文本缩进 字符"/>
    <w:qFormat/>
    <w:uiPriority w:val="0"/>
    <w:rPr>
      <w:rFonts w:ascii="宋体" w:hAnsi="Courier New"/>
      <w:spacing w:val="-4"/>
      <w:kern w:val="2"/>
      <w:sz w:val="18"/>
    </w:rPr>
  </w:style>
  <w:style w:type="character" w:customStyle="1" w:styleId="60">
    <w:name w:val="正文文本缩进 字符1"/>
    <w:qFormat/>
    <w:uiPriority w:val="0"/>
    <w:rPr>
      <w:rFonts w:ascii="宋体" w:hAnsi="Courier New"/>
      <w:spacing w:val="-4"/>
      <w:kern w:val="2"/>
      <w:sz w:val="18"/>
    </w:rPr>
  </w:style>
  <w:style w:type="character" w:customStyle="1" w:styleId="61">
    <w:name w:val="纯文本 字符"/>
    <w:qFormat/>
    <w:uiPriority w:val="99"/>
    <w:rPr>
      <w:rFonts w:ascii="宋体" w:hAnsi="Courier New"/>
      <w:kern w:val="2"/>
      <w:sz w:val="24"/>
      <w:szCs w:val="24"/>
    </w:rPr>
  </w:style>
  <w:style w:type="character" w:customStyle="1" w:styleId="62">
    <w:name w:val="jbox-icon-question"/>
    <w:basedOn w:val="26"/>
    <w:qFormat/>
    <w:uiPriority w:val="0"/>
  </w:style>
  <w:style w:type="character" w:customStyle="1" w:styleId="63">
    <w:name w:val="jbox-icon"/>
    <w:basedOn w:val="26"/>
    <w:qFormat/>
    <w:uiPriority w:val="0"/>
  </w:style>
  <w:style w:type="character" w:customStyle="1" w:styleId="64">
    <w:name w:val="纯文本 字符2"/>
    <w:qFormat/>
    <w:uiPriority w:val="99"/>
    <w:rPr>
      <w:rFonts w:ascii="宋体" w:hAnsi="Courier New"/>
      <w:kern w:val="2"/>
      <w:sz w:val="24"/>
      <w:szCs w:val="24"/>
    </w:rPr>
  </w:style>
  <w:style w:type="character" w:customStyle="1" w:styleId="65">
    <w:name w:val="hour_am"/>
    <w:basedOn w:val="26"/>
    <w:qFormat/>
    <w:uiPriority w:val="0"/>
  </w:style>
  <w:style w:type="character" w:customStyle="1" w:styleId="66">
    <w:name w:val="jbox-icon-success"/>
    <w:basedOn w:val="26"/>
    <w:qFormat/>
    <w:uiPriority w:val="0"/>
  </w:style>
  <w:style w:type="character" w:customStyle="1" w:styleId="67">
    <w:name w:val="批注文字 字符"/>
    <w:qFormat/>
    <w:uiPriority w:val="99"/>
    <w:rPr>
      <w:kern w:val="2"/>
      <w:sz w:val="28"/>
      <w:szCs w:val="24"/>
    </w:rPr>
  </w:style>
  <w:style w:type="character" w:customStyle="1" w:styleId="68">
    <w:name w:val="纯文本 Char1"/>
    <w:qFormat/>
    <w:uiPriority w:val="0"/>
    <w:rPr>
      <w:rFonts w:ascii="宋体" w:hAnsi="Courier New"/>
      <w:kern w:val="2"/>
      <w:sz w:val="21"/>
    </w:rPr>
  </w:style>
  <w:style w:type="character" w:customStyle="1" w:styleId="69">
    <w:name w:val="纯文本 Char"/>
    <w:qFormat/>
    <w:uiPriority w:val="99"/>
    <w:rPr>
      <w:rFonts w:ascii="宋体" w:hAnsi="Courier New"/>
      <w:kern w:val="2"/>
      <w:sz w:val="24"/>
      <w:szCs w:val="24"/>
    </w:rPr>
  </w:style>
  <w:style w:type="character" w:customStyle="1" w:styleId="70">
    <w:name w:val="sub_title s0"/>
    <w:basedOn w:val="26"/>
    <w:qFormat/>
    <w:uiPriority w:val="0"/>
  </w:style>
  <w:style w:type="character" w:customStyle="1" w:styleId="71">
    <w:name w:val="正文文本缩进 字符2"/>
    <w:link w:val="12"/>
    <w:qFormat/>
    <w:uiPriority w:val="0"/>
    <w:rPr>
      <w:rFonts w:ascii="宋体" w:hAnsi="Courier New"/>
      <w:spacing w:val="-4"/>
      <w:sz w:val="18"/>
    </w:rPr>
  </w:style>
  <w:style w:type="character" w:customStyle="1" w:styleId="72">
    <w:name w:val="jbox-icon-error"/>
    <w:basedOn w:val="26"/>
    <w:qFormat/>
    <w:uiPriority w:val="0"/>
  </w:style>
  <w:style w:type="character" w:customStyle="1" w:styleId="73">
    <w:name w:val="正文文本 2 字符"/>
    <w:basedOn w:val="26"/>
    <w:link w:val="20"/>
    <w:qFormat/>
    <w:uiPriority w:val="0"/>
    <w:rPr>
      <w:rFonts w:ascii="宋体" w:hAnsi="宋体" w:eastAsia="宋体" w:cs="Times New Roman"/>
      <w:color w:val="000000"/>
      <w:sz w:val="24"/>
      <w:szCs w:val="24"/>
    </w:rPr>
  </w:style>
  <w:style w:type="paragraph" w:customStyle="1" w:styleId="74">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5">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6">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8">
    <w:name w:val="z-窗体顶端 字符1"/>
    <w:basedOn w:val="26"/>
    <w:semiHidden/>
    <w:qFormat/>
    <w:uiPriority w:val="99"/>
    <w:rPr>
      <w:rFonts w:ascii="Arial" w:hAnsi="Arial" w:cs="Arial"/>
      <w:vanish/>
      <w:sz w:val="16"/>
      <w:szCs w:val="16"/>
    </w:rPr>
  </w:style>
  <w:style w:type="paragraph" w:customStyle="1" w:styleId="79">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0">
    <w:name w:val="Default"/>
    <w:next w:val="77"/>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1">
    <w:name w:val="批注文字 字符1"/>
    <w:basedOn w:val="26"/>
    <w:link w:val="10"/>
    <w:semiHidden/>
    <w:qFormat/>
    <w:uiPriority w:val="99"/>
  </w:style>
  <w:style w:type="character" w:customStyle="1" w:styleId="82">
    <w:name w:val="批注主题 字符1"/>
    <w:basedOn w:val="81"/>
    <w:semiHidden/>
    <w:qFormat/>
    <w:uiPriority w:val="99"/>
    <w:rPr>
      <w:b/>
      <w:bCs/>
    </w:rPr>
  </w:style>
  <w:style w:type="character" w:customStyle="1" w:styleId="83">
    <w:name w:val="文档结构图 字符1"/>
    <w:basedOn w:val="26"/>
    <w:semiHidden/>
    <w:qFormat/>
    <w:uiPriority w:val="99"/>
    <w:rPr>
      <w:rFonts w:ascii="Microsoft YaHei UI" w:eastAsia="Microsoft YaHei UI"/>
      <w:sz w:val="18"/>
      <w:szCs w:val="18"/>
    </w:rPr>
  </w:style>
  <w:style w:type="character" w:customStyle="1" w:styleId="84">
    <w:name w:val="正文文本 字符"/>
    <w:basedOn w:val="26"/>
    <w:link w:val="11"/>
    <w:qFormat/>
    <w:uiPriority w:val="99"/>
    <w:rPr>
      <w:rFonts w:ascii="Times New Roman" w:hAnsi="Times New Roman" w:eastAsia="宋体" w:cs="Times New Roman"/>
      <w:sz w:val="28"/>
      <w:szCs w:val="24"/>
    </w:rPr>
  </w:style>
  <w:style w:type="character" w:customStyle="1" w:styleId="85">
    <w:name w:val="批注框文本 字符"/>
    <w:basedOn w:val="26"/>
    <w:link w:val="16"/>
    <w:qFormat/>
    <w:uiPriority w:val="0"/>
    <w:rPr>
      <w:rFonts w:ascii="Times New Roman" w:hAnsi="Times New Roman" w:eastAsia="宋体" w:cs="Times New Roman"/>
      <w:sz w:val="18"/>
      <w:szCs w:val="18"/>
    </w:rPr>
  </w:style>
  <w:style w:type="character" w:customStyle="1" w:styleId="86">
    <w:name w:val="正文文本缩进 字符3"/>
    <w:basedOn w:val="26"/>
    <w:semiHidden/>
    <w:qFormat/>
    <w:uiPriority w:val="99"/>
  </w:style>
  <w:style w:type="character" w:customStyle="1" w:styleId="87">
    <w:name w:val="日期 字符"/>
    <w:basedOn w:val="26"/>
    <w:link w:val="15"/>
    <w:qFormat/>
    <w:uiPriority w:val="0"/>
    <w:rPr>
      <w:rFonts w:ascii="Times New Roman" w:hAnsi="Times New Roman" w:eastAsia="楷体_GB2312" w:cs="Times New Roman"/>
      <w:sz w:val="32"/>
      <w:szCs w:val="20"/>
    </w:rPr>
  </w:style>
  <w:style w:type="character" w:customStyle="1" w:styleId="88">
    <w:name w:val="纯文本 字符3"/>
    <w:basedOn w:val="26"/>
    <w:semiHidden/>
    <w:qFormat/>
    <w:uiPriority w:val="99"/>
    <w:rPr>
      <w:rFonts w:hAnsi="Courier New" w:cs="Courier New" w:asciiTheme="minorEastAsia"/>
    </w:rPr>
  </w:style>
  <w:style w:type="character" w:customStyle="1" w:styleId="89">
    <w:name w:val="正文文本首行缩进 2 字符"/>
    <w:basedOn w:val="86"/>
    <w:link w:val="23"/>
    <w:qFormat/>
    <w:uiPriority w:val="99"/>
    <w:rPr>
      <w:rFonts w:ascii="宋体" w:hAnsi="Courier New"/>
      <w:spacing w:val="-4"/>
      <w:sz w:val="18"/>
    </w:rPr>
  </w:style>
  <w:style w:type="character" w:customStyle="1" w:styleId="90">
    <w:name w:val="z-窗体底端 字符1"/>
    <w:basedOn w:val="26"/>
    <w:semiHidden/>
    <w:qFormat/>
    <w:uiPriority w:val="99"/>
    <w:rPr>
      <w:rFonts w:ascii="Arial" w:hAnsi="Arial" w:cs="Arial"/>
      <w:vanish/>
      <w:sz w:val="16"/>
      <w:szCs w:val="16"/>
    </w:rPr>
  </w:style>
  <w:style w:type="paragraph" w:customStyle="1" w:styleId="91">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2">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3">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5">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6">
    <w:name w:val="Char Char Char Char1"/>
    <w:basedOn w:val="1"/>
    <w:qFormat/>
    <w:uiPriority w:val="0"/>
    <w:rPr>
      <w:rFonts w:ascii="Tahoma" w:hAnsi="Tahoma" w:eastAsia="宋体" w:cs="Times New Roman"/>
      <w:sz w:val="24"/>
      <w:szCs w:val="20"/>
    </w:rPr>
  </w:style>
  <w:style w:type="paragraph" w:customStyle="1" w:styleId="97">
    <w:name w:val="彩色列表 - 强调文字颜色 11"/>
    <w:basedOn w:val="1"/>
    <w:qFormat/>
    <w:uiPriority w:val="34"/>
    <w:pPr>
      <w:ind w:firstLine="420" w:firstLineChars="200"/>
    </w:pPr>
    <w:rPr>
      <w:rFonts w:ascii="Calibri" w:hAnsi="Calibri" w:eastAsia="宋体" w:cs="Times New Roman"/>
    </w:rPr>
  </w:style>
  <w:style w:type="paragraph" w:customStyle="1" w:styleId="98">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9">
    <w:name w:val="正文2"/>
    <w:basedOn w:val="1"/>
    <w:link w:val="108"/>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1">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2">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3">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4">
    <w:name w:val="标题 10"/>
    <w:basedOn w:val="3"/>
    <w:qFormat/>
    <w:uiPriority w:val="0"/>
    <w:pPr>
      <w:jc w:val="center"/>
    </w:pPr>
    <w:rPr>
      <w:kern w:val="0"/>
    </w:rPr>
  </w:style>
  <w:style w:type="character" w:customStyle="1" w:styleId="105">
    <w:name w:val="未处理的提及1"/>
    <w:semiHidden/>
    <w:unhideWhenUsed/>
    <w:qFormat/>
    <w:uiPriority w:val="99"/>
    <w:rPr>
      <w:color w:val="605E5C"/>
      <w:shd w:val="clear" w:color="auto" w:fill="E1DFDD"/>
    </w:rPr>
  </w:style>
  <w:style w:type="character" w:customStyle="1" w:styleId="106">
    <w:name w:val="未处理的提及2"/>
    <w:basedOn w:val="26"/>
    <w:semiHidden/>
    <w:unhideWhenUsed/>
    <w:qFormat/>
    <w:uiPriority w:val="99"/>
    <w:rPr>
      <w:color w:val="605E5C"/>
      <w:shd w:val="clear" w:color="auto" w:fill="E1DFDD"/>
    </w:rPr>
  </w:style>
  <w:style w:type="character" w:customStyle="1" w:styleId="107">
    <w:name w:val="未处理的提及3"/>
    <w:basedOn w:val="26"/>
    <w:semiHidden/>
    <w:unhideWhenUsed/>
    <w:qFormat/>
    <w:uiPriority w:val="99"/>
    <w:rPr>
      <w:color w:val="605E5C"/>
      <w:shd w:val="clear" w:color="auto" w:fill="E1DFDD"/>
    </w:rPr>
  </w:style>
  <w:style w:type="character" w:customStyle="1" w:styleId="108">
    <w:name w:val="正文2 Char Char"/>
    <w:link w:val="99"/>
    <w:qFormat/>
    <w:uiPriority w:val="0"/>
    <w:rPr>
      <w:kern w:val="2"/>
      <w:sz w:val="24"/>
    </w:rPr>
  </w:style>
  <w:style w:type="table" w:customStyle="1" w:styleId="109">
    <w:name w:val="网格型1"/>
    <w:basedOn w:val="2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
    <w:name w:val="修订1"/>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63</Pages>
  <Words>39760</Words>
  <Characters>42979</Characters>
  <Lines>344</Lines>
  <Paragraphs>97</Paragraphs>
  <TotalTime>12</TotalTime>
  <ScaleCrop>false</ScaleCrop>
  <LinksUpToDate>false</LinksUpToDate>
  <CharactersWithSpaces>44967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2024-09-27T11:50:00Z</dcterms:created>
  <dc:creator>hj j</dc:creator>
  <cp:lastModifiedBy>俞炳</cp:lastModifiedBy>
  <cp:lastPrinted>2022-10-31T00:58:00Z</cp:lastPrinted>
  <dcterms:modified xsi:type="dcterms:W3CDTF">2024-09-30T01:35:59Z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B363B45C01FF4C5A8AB2573BD522DAF7</vt:lpwstr>
  </property>
</Properties>
</file>