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仿宋" w:hAnsi="仿宋" w:eastAsia="仿宋" w:cs="仿宋"/>
          <w:b/>
          <w:color w:val="auto"/>
          <w:spacing w:val="-6"/>
          <w:sz w:val="84"/>
          <w:szCs w:val="84"/>
          <w:highlight w:val="none"/>
        </w:rPr>
      </w:pPr>
      <w:r>
        <w:rPr>
          <w:rFonts w:hint="eastAsia" w:ascii="仿宋" w:hAnsi="仿宋" w:eastAsia="仿宋" w:cs="仿宋"/>
          <w:b/>
          <w:color w:val="auto"/>
          <w:spacing w:val="-6"/>
          <w:sz w:val="84"/>
          <w:szCs w:val="84"/>
          <w:highlight w:val="none"/>
        </w:rPr>
        <w:t>浙江工业大学</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电化学工作站</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项目名称：</w:t>
      </w:r>
      <w:r>
        <w:rPr>
          <w:rFonts w:hint="eastAsia" w:ascii="仿宋" w:hAnsi="仿宋" w:eastAsia="仿宋" w:cs="仿宋"/>
          <w:b/>
          <w:color w:val="auto"/>
          <w:spacing w:val="-6"/>
          <w:sz w:val="30"/>
          <w:szCs w:val="30"/>
          <w:highlight w:val="none"/>
          <w:lang w:eastAsia="zh-CN"/>
        </w:rPr>
        <w:t>浙江工业大学电化学工作站</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QSZB-Z(H)-H24167(GK)</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 购 人：浙江工业大学</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lang w:eastAsia="zh-CN"/>
        </w:rPr>
        <w:t>[2024]35717</w:t>
      </w:r>
      <w:r>
        <w:rPr>
          <w:rFonts w:hint="eastAsia" w:ascii="仿宋" w:hAnsi="仿宋" w:eastAsia="仿宋" w:cs="仿宋"/>
          <w:b/>
          <w:color w:val="auto"/>
          <w:spacing w:val="-6"/>
          <w:sz w:val="30"/>
          <w:szCs w:val="30"/>
          <w:highlight w:val="none"/>
        </w:rPr>
        <w:t>号</w:t>
      </w:r>
    </w:p>
    <w:p>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pPr>
        <w:adjustRightInd w:val="0"/>
        <w:snapToGrid w:val="0"/>
        <w:ind w:firstLine="578" w:firstLineChars="200"/>
        <w:rPr>
          <w:rFonts w:ascii="仿宋" w:hAnsi="仿宋" w:eastAsia="仿宋" w:cs="仿宋"/>
          <w:b/>
          <w:color w:val="auto"/>
          <w:spacing w:val="-6"/>
          <w:sz w:val="30"/>
          <w:szCs w:val="30"/>
          <w:highlight w:val="none"/>
        </w:rPr>
      </w:pP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pPr>
        <w:adjustRightInd w:val="0"/>
        <w:snapToGrid w:val="0"/>
        <w:spacing w:line="360" w:lineRule="auto"/>
        <w:ind w:firstLine="578" w:firstLineChars="2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pPr>
              <w:adjustRightInd w:val="0"/>
              <w:snapToGrid w:val="0"/>
              <w:ind w:firstLine="422" w:firstLineChars="200"/>
              <w:rPr>
                <w:rFonts w:ascii="仿宋" w:hAnsi="仿宋" w:eastAsia="仿宋" w:cs="仿宋"/>
                <w:b/>
                <w:color w:val="auto"/>
                <w:szCs w:val="21"/>
                <w:highlight w:val="none"/>
              </w:rPr>
            </w:pPr>
            <w:bookmarkStart w:id="0" w:name="_Toc35393621"/>
            <w:bookmarkStart w:id="1" w:name="_Toc28359079"/>
            <w:bookmarkStart w:id="2" w:name="_Toc28359002"/>
            <w:bookmarkStart w:id="3" w:name="_Toc35393790"/>
            <w:bookmarkStart w:id="4" w:name="_Hlk24379207"/>
            <w:r>
              <w:rPr>
                <w:rFonts w:hint="eastAsia" w:ascii="仿宋" w:hAnsi="仿宋" w:eastAsia="仿宋" w:cs="仿宋"/>
                <w:b/>
                <w:color w:val="auto"/>
                <w:szCs w:val="21"/>
                <w:highlight w:val="none"/>
              </w:rPr>
              <w:t>项目概况</w:t>
            </w:r>
          </w:p>
          <w:p>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浙江工业大学电化学工作站</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2024年09月03日上午09:30:00（北京时间）</w:t>
            </w:r>
            <w:r>
              <w:rPr>
                <w:rFonts w:hint="eastAsia" w:ascii="仿宋" w:hAnsi="仿宋" w:eastAsia="仿宋" w:cs="仿宋"/>
                <w:b/>
                <w:color w:val="auto"/>
                <w:szCs w:val="21"/>
                <w:highlight w:val="none"/>
              </w:rPr>
              <w:t>前递交（上传）投标文件。</w:t>
            </w:r>
          </w:p>
        </w:tc>
      </w:tr>
    </w:tbl>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QSZB-Z(H)-H24167(GK)</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浙江工业大学电化学工作站</w:t>
      </w:r>
    </w:p>
    <w:bookmarkEnd w:id="4"/>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220000</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26"/>
        <w:tblW w:w="9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4"/>
        <w:gridCol w:w="742"/>
        <w:gridCol w:w="742"/>
        <w:gridCol w:w="3277"/>
        <w:gridCol w:w="1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64"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3277"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简要技术需求</w:t>
            </w:r>
          </w:p>
        </w:tc>
        <w:tc>
          <w:tcPr>
            <w:tcW w:w="1591"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是否允许采购</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color w:val="auto"/>
                <w:szCs w:val="21"/>
                <w:highlight w:val="none"/>
              </w:rPr>
              <w:t>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64" w:type="dxa"/>
            <w:tcBorders>
              <w:left w:val="single" w:color="auto" w:sz="4" w:space="0"/>
              <w:right w:val="single" w:color="auto" w:sz="4" w:space="0"/>
              <w:tl2br w:val="nil"/>
              <w:tr2bl w:val="nil"/>
            </w:tcBorders>
            <w:vAlign w:val="center"/>
          </w:tcPr>
          <w:p>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电化学工作站</w:t>
            </w:r>
          </w:p>
        </w:tc>
        <w:tc>
          <w:tcPr>
            <w:tcW w:w="742" w:type="dxa"/>
            <w:tcBorders>
              <w:tl2br w:val="nil"/>
              <w:tr2bl w:val="nil"/>
            </w:tcBorders>
            <w:vAlign w:val="center"/>
          </w:tcPr>
          <w:p>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742" w:type="dxa"/>
            <w:tcBorders>
              <w:tl2br w:val="nil"/>
              <w:tr2bl w:val="nil"/>
            </w:tcBorders>
            <w:vAlign w:val="center"/>
          </w:tcPr>
          <w:p>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套</w:t>
            </w:r>
          </w:p>
        </w:tc>
        <w:tc>
          <w:tcPr>
            <w:tcW w:w="3277" w:type="dxa"/>
            <w:tcBorders>
              <w:right w:val="single" w:color="auto" w:sz="4" w:space="0"/>
              <w:tl2br w:val="nil"/>
              <w:tr2bl w:val="nil"/>
            </w:tcBorders>
            <w:vAlign w:val="center"/>
          </w:tcPr>
          <w:p>
            <w:pPr>
              <w:ind w:left="0" w:leftChars="0" w:right="0" w:rightChars="0" w:firstLine="0" w:firstLineChars="0"/>
              <w:jc w:val="center"/>
              <w:rPr>
                <w:rFonts w:hint="default" w:eastAsia="仿宋"/>
                <w:color w:val="auto"/>
                <w:highlight w:val="none"/>
                <w:lang w:val="en-US" w:eastAsia="zh-CN"/>
              </w:rPr>
            </w:pPr>
            <w:r>
              <w:rPr>
                <w:rFonts w:hint="default" w:eastAsia="仿宋"/>
                <w:color w:val="auto"/>
                <w:highlight w:val="none"/>
                <w:lang w:val="en-US" w:eastAsia="zh-CN"/>
              </w:rPr>
              <w:t>化学工程与材料学院</w:t>
            </w:r>
            <w:r>
              <w:rPr>
                <w:rFonts w:hint="eastAsia" w:eastAsia="仿宋"/>
                <w:color w:val="auto"/>
                <w:highlight w:val="none"/>
                <w:lang w:val="en-US" w:eastAsia="zh-CN"/>
              </w:rPr>
              <w:t>科研配套</w:t>
            </w:r>
          </w:p>
        </w:tc>
        <w:tc>
          <w:tcPr>
            <w:tcW w:w="1591"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否</w:t>
            </w:r>
          </w:p>
        </w:tc>
      </w:tr>
    </w:tbl>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5" w:name="_Toc28359003"/>
      <w:bookmarkStart w:id="6" w:name="_Toc28359080"/>
      <w:bookmarkStart w:id="7" w:name="_Toc35393791"/>
      <w:bookmarkStart w:id="8" w:name="_Toc35393622"/>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r>
        <w:rPr>
          <w:rFonts w:hint="eastAsia" w:ascii="仿宋" w:hAnsi="仿宋" w:eastAsia="仿宋" w:cs="仿宋"/>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合同履约期限：</w:t>
      </w:r>
      <w:r>
        <w:rPr>
          <w:rFonts w:hint="eastAsia" w:ascii="仿宋" w:hAnsi="仿宋" w:eastAsia="仿宋" w:cs="仿宋"/>
          <w:szCs w:val="21"/>
          <w:highlight w:val="none"/>
          <w:lang w:eastAsia="zh-CN"/>
        </w:rPr>
        <w:t>自合同签订生效之日起30天内交付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81"/>
      <w:bookmarkStart w:id="10" w:name="_Toc28359004"/>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kern w:val="0"/>
          <w:szCs w:val="21"/>
          <w:highlight w:val="none"/>
        </w:rPr>
        <w:t>专</w:t>
      </w:r>
      <w:r>
        <w:rPr>
          <w:rFonts w:hint="eastAsia" w:ascii="仿宋" w:hAnsi="仿宋" w:eastAsia="仿宋" w:cs="仿宋"/>
          <w:color w:val="auto"/>
          <w:szCs w:val="21"/>
          <w:highlight w:val="none"/>
        </w:rPr>
        <w:t>门面向中小企业，货物全部由符合政策要求的中小企业制造，提供中小企业声明函。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623"/>
      <w:bookmarkStart w:id="12" w:name="_Toc35393792"/>
      <w:r>
        <w:rPr>
          <w:rFonts w:hint="eastAsia" w:ascii="仿宋" w:hAnsi="仿宋" w:eastAsia="仿宋" w:cs="仿宋"/>
          <w:b/>
          <w:color w:val="auto"/>
          <w:szCs w:val="21"/>
          <w:highlight w:val="none"/>
        </w:rPr>
        <w:t>三、获取招标文件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28359005"/>
      <w:bookmarkStart w:id="14" w:name="_Toc35393793"/>
      <w:bookmarkStart w:id="15" w:name="_Toc28359082"/>
      <w:bookmarkStart w:id="16" w:name="_Toc35393624"/>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2024年</w:t>
      </w:r>
      <w:r>
        <w:rPr>
          <w:rFonts w:hint="eastAsia" w:ascii="仿宋" w:hAnsi="仿宋" w:eastAsia="仿宋" w:cs="仿宋"/>
          <w:color w:val="auto"/>
          <w:szCs w:val="21"/>
          <w:highlight w:val="none"/>
          <w:lang w:val="en-US" w:eastAsia="zh-CN"/>
        </w:rPr>
        <w:t>08</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13</w:t>
      </w:r>
      <w:bookmarkStart w:id="51" w:name="_GoBack"/>
      <w:bookmarkEnd w:id="51"/>
      <w:r>
        <w:rPr>
          <w:rFonts w:hint="eastAsia" w:ascii="仿宋" w:hAnsi="仿宋" w:eastAsia="仿宋" w:cs="仿宋"/>
          <w:color w:val="auto"/>
          <w:szCs w:val="21"/>
          <w:highlight w:val="none"/>
          <w:lang w:eastAsia="zh-CN"/>
        </w:rPr>
        <w:t>日至2024年09月03日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2024年09月03日上午09:30:00（北京时间）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2024年09月03日上午09:30:00（北京时间）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政府采购云平台（https://www.zcygov.cn）/杭州市西湖区玉古路173号中田大厦21楼求是招标会议室</w:t>
      </w:r>
      <w:r>
        <w:rPr>
          <w:rFonts w:hint="eastAsia" w:ascii="仿宋" w:hAnsi="仿宋" w:eastAsia="仿宋" w:cs="仿宋"/>
          <w:color w:val="auto"/>
          <w:szCs w:val="21"/>
          <w:highlight w:val="none"/>
          <w:lang w:val="en-US" w:eastAsia="zh-CN"/>
        </w:rPr>
        <w:t>3</w:t>
      </w:r>
    </w:p>
    <w:bookmarkEnd w:id="17"/>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8" w:name="_Toc28359084"/>
      <w:bookmarkStart w:id="19" w:name="_Toc35393625"/>
      <w:bookmarkStart w:id="20" w:name="_Toc35393794"/>
      <w:bookmarkStart w:id="21" w:name="_Toc28359007"/>
      <w:r>
        <w:rPr>
          <w:rFonts w:hint="eastAsia" w:ascii="仿宋" w:hAnsi="仿宋" w:eastAsia="仿宋" w:cs="仿宋"/>
          <w:b/>
          <w:color w:val="auto"/>
          <w:szCs w:val="21"/>
          <w:highlight w:val="none"/>
        </w:rPr>
        <w:t>五、公告期限</w:t>
      </w:r>
      <w:bookmarkEnd w:id="18"/>
      <w:bookmarkEnd w:id="19"/>
      <w:bookmarkEnd w:id="20"/>
      <w:bookmarkEnd w:id="21"/>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626"/>
      <w:bookmarkStart w:id="23" w:name="_Toc35393795"/>
      <w:r>
        <w:rPr>
          <w:rFonts w:hint="eastAsia" w:ascii="仿宋" w:hAnsi="仿宋" w:eastAsia="仿宋" w:cs="仿宋"/>
          <w:b/>
          <w:color w:val="auto"/>
          <w:szCs w:val="21"/>
          <w:highlight w:val="none"/>
        </w:rPr>
        <w:t>六、其他补充事宜</w:t>
      </w:r>
      <w:bookmarkEnd w:id="22"/>
      <w:bookmarkEnd w:id="23"/>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（1）需要落实的政府采购政策：包括支持科技创新、促进中小企业发展等，具体详见招标文件第三章“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28359085"/>
      <w:bookmarkStart w:id="28" w:name="_Toc35393627"/>
      <w:bookmarkStart w:id="29" w:name="_Toc28359008"/>
      <w:bookmarkStart w:id="30" w:name="_Toc35393796"/>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名称：浙江工业大学</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地址：杭州市潮王路18号</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项目联系人（询问）：蒋</w:t>
      </w:r>
      <w:r>
        <w:rPr>
          <w:rFonts w:hint="eastAsia" w:ascii="仿宋" w:hAnsi="仿宋" w:eastAsia="仿宋" w:cs="仿宋"/>
          <w:color w:val="auto"/>
          <w:szCs w:val="21"/>
          <w:highlight w:val="none"/>
          <w:lang w:val="en-US" w:eastAsia="zh-CN"/>
        </w:rPr>
        <w:t>老师</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项目联系方式（询问）：18268040276</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质疑联系人：马老师</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质疑联系方式：0571-88320626</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杨立凯、元俊仁、符佳慧</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3.该项目由采购人处理采购争议。质疑环节，采购人委托采购代理机构处理的，可由采购代理机构答复。对质疑答复不满意的，向采购人内部设置的采购监督机构反映。</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预算金额未达100万元的采购项目，由采购人处理采购争议。</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03"/>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84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841" w:type="dxa"/>
            <w:vAlign w:val="center"/>
          </w:tcPr>
          <w:p>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841" w:type="dxa"/>
            <w:vAlign w:val="center"/>
          </w:tcPr>
          <w:p>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841" w:type="dxa"/>
            <w:vAlign w:val="center"/>
          </w:tcPr>
          <w:p>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3003" w:type="dxa"/>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政府采购</w:t>
            </w:r>
            <w:r>
              <w:rPr>
                <w:rFonts w:hint="eastAsia" w:ascii="仿宋" w:hAnsi="仿宋" w:eastAsia="仿宋" w:cs="仿宋"/>
                <w:b/>
                <w:bCs/>
                <w:color w:val="auto"/>
                <w:szCs w:val="21"/>
                <w:highlight w:val="none"/>
                <w:lang w:eastAsia="zh-CN"/>
              </w:rPr>
              <w:t>支持科技创新</w:t>
            </w:r>
          </w:p>
        </w:tc>
        <w:tc>
          <w:tcPr>
            <w:tcW w:w="5841" w:type="dxa"/>
            <w:vAlign w:val="center"/>
          </w:tcPr>
          <w:p>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841"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文件”</w:t>
            </w:r>
          </w:p>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w:t>
            </w:r>
            <w:r>
              <w:rPr>
                <w:rFonts w:hint="eastAsia" w:ascii="仿宋" w:hAnsi="仿宋" w:eastAsia="仿宋" w:cs="仿宋"/>
                <w:b/>
                <w:bCs/>
                <w:color w:val="auto"/>
                <w:szCs w:val="21"/>
                <w:highlight w:val="none"/>
              </w:rPr>
              <w:t>货物</w:t>
            </w:r>
          </w:p>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w:t>
            </w:r>
          </w:p>
          <w:p>
            <w:pPr>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841" w:type="dxa"/>
            <w:vAlign w:val="center"/>
          </w:tcPr>
          <w:p>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文件”</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841"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文件”</w:t>
            </w:r>
            <w:r>
              <w:rPr>
                <w:rFonts w:hint="eastAsia" w:ascii="仿宋" w:hAnsi="仿宋" w:eastAsia="仿宋" w:cs="仿宋"/>
                <w:color w:val="auto"/>
                <w:szCs w:val="21"/>
                <w:highlight w:val="none"/>
                <w:lang w:eastAsia="zh-CN"/>
              </w:rPr>
              <w:t>。</w:t>
            </w:r>
          </w:p>
        </w:tc>
      </w:tr>
      <w:bookmarkEnd w:id="31"/>
    </w:tbl>
    <w:p>
      <w:pPr>
        <w:adjustRightInd w:val="0"/>
        <w:snapToGrid w:val="0"/>
        <w:spacing w:line="288" w:lineRule="auto"/>
        <w:rPr>
          <w:rFonts w:ascii="仿宋" w:hAnsi="仿宋" w:eastAsia="仿宋" w:cs="仿宋"/>
          <w:b/>
          <w:color w:val="auto"/>
          <w:spacing w:val="-4"/>
          <w:szCs w:val="21"/>
          <w:highlight w:val="none"/>
        </w:rPr>
      </w:pPr>
    </w:p>
    <w:p>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7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支付时间及条件</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rPr>
              <w:t>合同生效以及具备实施条件后7个工作日内</w:t>
            </w:r>
            <w:r>
              <w:rPr>
                <w:rFonts w:hint="eastAsia" w:ascii="仿宋" w:hAnsi="仿宋" w:eastAsia="仿宋" w:cs="仿宋"/>
                <w:highlight w:val="none"/>
                <w:lang w:eastAsia="zh-CN"/>
              </w:rPr>
              <w:t>，</w:t>
            </w:r>
            <w:r>
              <w:rPr>
                <w:rFonts w:hint="eastAsia" w:ascii="仿宋" w:hAnsi="仿宋" w:eastAsia="仿宋" w:cs="仿宋"/>
                <w:highlight w:val="none"/>
              </w:rPr>
              <w:t>采购人向中标人支付合同总价的40%作为预付款，合同货物送达采购人指定地点，</w:t>
            </w:r>
            <w:r>
              <w:rPr>
                <w:rFonts w:hint="eastAsia" w:ascii="仿宋" w:hAnsi="仿宋" w:eastAsia="仿宋" w:cs="仿宋"/>
                <w:highlight w:val="none"/>
                <w:lang w:eastAsia="zh-CN"/>
              </w:rPr>
              <w:t>安装调试成功并经验收合格且收到中标人开具的增值税专用发票后</w:t>
            </w:r>
            <w:r>
              <w:rPr>
                <w:rFonts w:hint="eastAsia" w:ascii="仿宋" w:hAnsi="仿宋" w:eastAsia="仿宋" w:cs="仿宋"/>
                <w:highlight w:val="none"/>
              </w:rPr>
              <w:t>，采购人于7个工作日内向中标人支付剩余合同价款。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宋体" w:cs="仿宋"/>
                <w:color w:val="auto"/>
                <w:highlight w:val="none"/>
                <w:lang w:eastAsia="zh-CN"/>
              </w:rPr>
            </w:pPr>
            <w:r>
              <w:rPr>
                <w:rFonts w:hint="eastAsia" w:ascii="仿宋" w:hAnsi="仿宋" w:eastAsia="仿宋" w:cs="仿宋"/>
                <w:b/>
                <w:bCs/>
                <w:sz w:val="18"/>
                <w:szCs w:val="18"/>
                <w:highlight w:val="none"/>
              </w:rPr>
              <w:t>备注：在签订合同时，中标人明确表示无需预付款或主动要求降低预付款比例的，</w:t>
            </w:r>
            <w:r>
              <w:rPr>
                <w:rFonts w:hint="eastAsia" w:ascii="仿宋" w:hAnsi="仿宋" w:eastAsia="仿宋" w:cs="仿宋"/>
                <w:b/>
                <w:bCs/>
                <w:sz w:val="18"/>
                <w:szCs w:val="18"/>
                <w:highlight w:val="none"/>
                <w:lang w:eastAsia="zh-CN"/>
              </w:rPr>
              <w:t>可降低预付款比例</w:t>
            </w:r>
            <w:r>
              <w:rPr>
                <w:rFonts w:hint="eastAsia" w:ascii="仿宋" w:hAnsi="仿宋" w:eastAsia="仿宋" w:cs="仿宋"/>
                <w:b/>
                <w:bCs/>
                <w:sz w:val="18"/>
                <w:szCs w:val="1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履约保证金</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1.比例：</w:t>
            </w:r>
            <w:r>
              <w:rPr>
                <w:rFonts w:hint="eastAsia" w:ascii="仿宋" w:hAnsi="仿宋" w:eastAsia="仿宋" w:cs="仿宋"/>
                <w:color w:val="auto"/>
                <w:highlight w:val="none"/>
                <w:lang w:eastAsia="zh-CN"/>
              </w:rPr>
              <w:t>合同金额的1%</w:t>
            </w:r>
            <w:r>
              <w:rPr>
                <w:rFonts w:hint="eastAsia"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2.提交方式：支票、汇票、本票或者金融机构、担保机构出具的保函等非现金形式；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3.提交时间：收到采购人发出的签订合同要约后7天内；</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color w:val="auto"/>
                <w:highlight w:val="none"/>
                <w:lang w:val="en-US"/>
              </w:rPr>
            </w:pPr>
            <w:r>
              <w:rPr>
                <w:rFonts w:hint="eastAsia" w:ascii="仿宋" w:hAnsi="仿宋" w:eastAsia="仿宋" w:cs="仿宋"/>
                <w:color w:val="auto"/>
                <w:highlight w:val="none"/>
              </w:rPr>
              <w:t>4.退还时间及条件：合同履约期间无违约情形的，</w:t>
            </w:r>
            <w:r>
              <w:rPr>
                <w:rFonts w:hint="eastAsia" w:ascii="仿宋" w:hAnsi="仿宋" w:eastAsia="仿宋" w:cs="仿宋"/>
                <w:color w:val="auto"/>
                <w:highlight w:val="none"/>
                <w:lang w:eastAsia="zh-CN"/>
              </w:rPr>
              <w:t>项目经验收合格后</w:t>
            </w:r>
            <w:r>
              <w:rPr>
                <w:rFonts w:hint="eastAsia" w:ascii="仿宋" w:hAnsi="仿宋" w:eastAsia="仿宋" w:cs="仿宋"/>
                <w:color w:val="auto"/>
                <w:highlight w:val="none"/>
                <w:lang w:val="en-US" w:eastAsia="zh-CN"/>
              </w:rPr>
              <w:t>浙江工业大学</w:t>
            </w:r>
            <w:r>
              <w:rPr>
                <w:rFonts w:hint="eastAsia" w:ascii="仿宋" w:hAnsi="仿宋" w:eastAsia="仿宋" w:cs="仿宋"/>
                <w:color w:val="auto"/>
                <w:highlight w:val="none"/>
                <w:lang w:eastAsia="zh-CN"/>
              </w:rPr>
              <w:t>财务部门及时无息退还。如验收未通过，履约保证金不予退还。</w:t>
            </w:r>
          </w:p>
        </w:tc>
      </w:tr>
    </w:tbl>
    <w:p>
      <w:pPr>
        <w:adjustRightInd w:val="0"/>
        <w:snapToGrid w:val="0"/>
        <w:spacing w:line="288" w:lineRule="auto"/>
        <w:rPr>
          <w:rFonts w:ascii="仿宋" w:hAnsi="仿宋" w:eastAsia="仿宋" w:cs="仿宋"/>
          <w:color w:val="auto"/>
          <w:spacing w:val="-4"/>
          <w:szCs w:val="21"/>
          <w:highlight w:val="none"/>
        </w:rPr>
      </w:pPr>
    </w:p>
    <w:p>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7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728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lang w:eastAsia="zh-CN"/>
              </w:rPr>
            </w:pPr>
            <w:r>
              <w:rPr>
                <w:rFonts w:hint="eastAsia" w:ascii="仿宋" w:hAnsi="仿宋" w:eastAsia="仿宋" w:cs="仿宋"/>
                <w:szCs w:val="21"/>
                <w:highlight w:val="none"/>
                <w:lang w:eastAsia="zh-CN"/>
              </w:rPr>
              <w:t>自合同签订生效之日起30天内交付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7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728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eastAsia="zh-CN"/>
              </w:rPr>
              <w:t>项目经验收合格后</w:t>
            </w:r>
            <w:r>
              <w:rPr>
                <w:rFonts w:hint="eastAsia" w:ascii="仿宋" w:hAnsi="仿宋" w:eastAsia="仿宋" w:cs="仿宋"/>
                <w:color w:val="auto"/>
                <w:szCs w:val="21"/>
                <w:highlight w:val="none"/>
              </w:rPr>
              <w:t>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rPr>
              <w:t>1.质量保证：最新生产的符合国家技术规格和质量标准的出厂原装合格产品；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如招标文件中遗漏必备的设备、配件或服务，投标人须在投标文件中指出并提出解决方案供采购人参考；</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中标人须保证采购人产品需求的完整性，如项目实施过程中因缺少必备的设备、配件或服务导致采购人产品无法正常运行的，中标人须补足，费用包含在投标总价中。</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.安装调试（若需要安装调试）</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.1 安装地点：采购人指定地点；</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.2 安装完成时间：接到采购人通知后在规定时间内完成安装和调试，如在规定的时间内由于中标人的原因不能完成安装和调试，中标人应承担由此给采购人造成的损失；</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.3 如中标人委托国内代理（或其他机构）负责安装或配合安装应在签约时指明，但中标人仍要对合同货物及其安装质量负全部责任；</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.4 安装标准：符合我国国家有关技术规范要求和技术标准，所有的软件和硬件必须保证同时安装到位；</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.5 中标人免费提供合同货物的安装服务；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.6 投标人在投标文件中应提供安装调试计划、对安装场地和环境的要求。</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.培训</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.1 中标人应对采购人的操作人员、维修人员免费进行培训</w:t>
            </w:r>
            <w:r>
              <w:rPr>
                <w:rFonts w:hint="eastAsia" w:ascii="仿宋" w:hAnsi="仿宋" w:eastAsia="仿宋" w:cs="仿宋"/>
                <w:szCs w:val="21"/>
                <w:highlight w:val="none"/>
                <w:lang w:eastAsia="zh-CN"/>
              </w:rPr>
              <w:t>，直至能够熟练操作仪器为止</w:t>
            </w:r>
            <w:r>
              <w:rPr>
                <w:rFonts w:hint="eastAsia" w:ascii="仿宋" w:hAnsi="仿宋" w:eastAsia="仿宋" w:cs="仿宋"/>
                <w:szCs w:val="21"/>
                <w:highlight w:val="none"/>
              </w:rPr>
              <w:t>；</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 xml:space="preserve">5.2 </w:t>
            </w:r>
            <w:r>
              <w:rPr>
                <w:rFonts w:hint="eastAsia" w:ascii="仿宋" w:hAnsi="仿宋" w:eastAsia="仿宋" w:cs="仿宋"/>
                <w:szCs w:val="21"/>
                <w:highlight w:val="none"/>
              </w:rPr>
              <w:t>中标人应提供相应的培训计划；</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 xml:space="preserve"> 投标人应对上述内容的实现方式、地点、人数、时间在投标文件中详细说明。</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.售后服务</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 xml:space="preserve">6.1 </w:t>
            </w:r>
            <w:r>
              <w:rPr>
                <w:rFonts w:hint="eastAsia" w:ascii="仿宋" w:hAnsi="仿宋" w:eastAsia="仿宋" w:cs="仿宋"/>
                <w:szCs w:val="21"/>
                <w:highlight w:val="none"/>
              </w:rPr>
              <w:t>质保期内：因不能排除的故障而影响工作的情况每发生一次，其质保期相应延长90天，因货物本身缺陷造成各种故障应由中标人免费予以更换，</w:t>
            </w:r>
            <w:r>
              <w:rPr>
                <w:rFonts w:hint="eastAsia" w:ascii="仿宋" w:hAnsi="仿宋" w:eastAsia="仿宋" w:cs="仿宋"/>
                <w:color w:val="000000"/>
                <w:sz w:val="21"/>
                <w:szCs w:val="21"/>
                <w:highlight w:val="none"/>
                <w:lang w:eastAsia="zh-CN"/>
              </w:rPr>
              <w:t>否则采购人有权按照“违约责任”条款的约定要求中标人承担相应违约责任</w:t>
            </w:r>
            <w:r>
              <w:rPr>
                <w:rFonts w:hint="eastAsia" w:ascii="仿宋" w:hAnsi="仿宋" w:eastAsia="仿宋" w:cs="仿宋"/>
                <w:szCs w:val="21"/>
                <w:highlight w:val="none"/>
              </w:rPr>
              <w:t>；</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 xml:space="preserve"> 质保期外</w:t>
            </w:r>
            <w:r>
              <w:rPr>
                <w:rFonts w:hint="eastAsia" w:ascii="仿宋" w:hAnsi="仿宋" w:eastAsia="仿宋" w:cs="仿宋"/>
                <w:szCs w:val="21"/>
                <w:highlight w:val="none"/>
                <w:lang w:eastAsia="zh-CN"/>
              </w:rPr>
              <w:t>：</w:t>
            </w:r>
            <w:r>
              <w:rPr>
                <w:rFonts w:hint="eastAsia" w:ascii="仿宋" w:hAnsi="仿宋" w:eastAsia="仿宋" w:cs="仿宋"/>
                <w:szCs w:val="21"/>
                <w:highlight w:val="none"/>
              </w:rPr>
              <w:t>实行有偿服务，仅收取成本费</w:t>
            </w:r>
            <w:r>
              <w:rPr>
                <w:rFonts w:hint="eastAsia" w:ascii="仿宋" w:hAnsi="仿宋" w:eastAsia="仿宋" w:cs="仿宋"/>
                <w:szCs w:val="21"/>
                <w:highlight w:val="none"/>
                <w:lang w:eastAsia="zh-CN"/>
              </w:rPr>
              <w:t>（</w:t>
            </w:r>
            <w:r>
              <w:rPr>
                <w:rFonts w:hint="eastAsia" w:ascii="仿宋" w:hAnsi="仿宋" w:eastAsia="仿宋" w:cs="仿宋"/>
                <w:szCs w:val="21"/>
                <w:highlight w:val="none"/>
              </w:rPr>
              <w:t>按一定折扣的优惠价格</w:t>
            </w:r>
            <w:r>
              <w:rPr>
                <w:rFonts w:hint="eastAsia" w:ascii="仿宋" w:hAnsi="仿宋" w:eastAsia="仿宋" w:cs="仿宋"/>
                <w:szCs w:val="21"/>
                <w:highlight w:val="none"/>
                <w:lang w:eastAsia="zh-CN"/>
              </w:rPr>
              <w:t>）</w:t>
            </w:r>
            <w:r>
              <w:rPr>
                <w:rFonts w:hint="eastAsia" w:ascii="仿宋" w:hAnsi="仿宋" w:eastAsia="仿宋" w:cs="仿宋"/>
                <w:szCs w:val="21"/>
                <w:highlight w:val="none"/>
              </w:rPr>
              <w:t>，免人工费、差旅</w:t>
            </w:r>
            <w:r>
              <w:rPr>
                <w:rFonts w:hint="eastAsia" w:ascii="仿宋" w:hAnsi="仿宋" w:eastAsia="仿宋" w:cs="仿宋"/>
                <w:szCs w:val="21"/>
                <w:highlight w:val="none"/>
                <w:lang w:val="en-US" w:eastAsia="zh-CN"/>
              </w:rPr>
              <w:t>费。</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 xml:space="preserve"> 响应时间</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rPr>
              <w:t>1）维修响应时间：接到采购人通知</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小时内</w:t>
            </w:r>
            <w:r>
              <w:rPr>
                <w:rFonts w:hint="eastAsia" w:ascii="仿宋" w:hAnsi="仿宋" w:eastAsia="仿宋" w:cs="仿宋"/>
                <w:szCs w:val="21"/>
                <w:highlight w:val="none"/>
                <w:lang w:val="en-US" w:eastAsia="zh-CN"/>
              </w:rPr>
              <w:t>响应</w:t>
            </w:r>
            <w:r>
              <w:rPr>
                <w:rFonts w:hint="eastAsia" w:ascii="仿宋" w:hAnsi="仿宋" w:eastAsia="仿宋" w:cs="仿宋"/>
                <w:szCs w:val="21"/>
                <w:highlight w:val="none"/>
                <w:lang w:eastAsia="zh-CN"/>
              </w:rPr>
              <w:t>、2日内到达</w:t>
            </w:r>
            <w:r>
              <w:rPr>
                <w:rFonts w:hint="eastAsia" w:ascii="仿宋" w:hAnsi="仿宋" w:eastAsia="仿宋" w:cs="仿宋"/>
                <w:szCs w:val="21"/>
                <w:highlight w:val="none"/>
                <w:lang w:val="en-US" w:eastAsia="zh-CN"/>
              </w:rPr>
              <w:t>采</w:t>
            </w:r>
            <w:r>
              <w:rPr>
                <w:rFonts w:hint="eastAsia" w:ascii="仿宋" w:hAnsi="仿宋" w:eastAsia="仿宋" w:cs="仿宋"/>
                <w:szCs w:val="21"/>
                <w:highlight w:val="none"/>
                <w:lang w:eastAsia="zh-CN"/>
              </w:rPr>
              <w:t>购</w:t>
            </w:r>
            <w:r>
              <w:rPr>
                <w:rFonts w:hint="eastAsia" w:ascii="仿宋" w:hAnsi="仿宋" w:eastAsia="仿宋" w:cs="仿宋"/>
                <w:szCs w:val="21"/>
                <w:highlight w:val="none"/>
                <w:lang w:val="en-US" w:eastAsia="zh-CN"/>
              </w:rPr>
              <w:t>人</w:t>
            </w:r>
            <w:r>
              <w:rPr>
                <w:rFonts w:hint="eastAsia" w:ascii="仿宋" w:hAnsi="仿宋" w:eastAsia="仿宋" w:cs="仿宋"/>
                <w:szCs w:val="21"/>
                <w:highlight w:val="none"/>
                <w:lang w:eastAsia="zh-CN"/>
              </w:rPr>
              <w:t>现场</w:t>
            </w:r>
            <w:r>
              <w:rPr>
                <w:rFonts w:hint="eastAsia" w:ascii="仿宋" w:hAnsi="仿宋" w:eastAsia="仿宋" w:cs="仿宋"/>
                <w:szCs w:val="21"/>
                <w:highlight w:val="none"/>
              </w:rPr>
              <w:t>；</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rPr>
              <w:t>2）解决问题时间：一般问题在48小时内解决</w:t>
            </w:r>
            <w:r>
              <w:rPr>
                <w:rFonts w:hint="eastAsia" w:ascii="仿宋" w:hAnsi="仿宋" w:eastAsia="仿宋" w:cs="仿宋"/>
                <w:szCs w:val="21"/>
                <w:highlight w:val="none"/>
                <w:lang w:eastAsia="zh-CN"/>
              </w:rPr>
              <w:t>、</w:t>
            </w:r>
            <w:r>
              <w:rPr>
                <w:rFonts w:hint="eastAsia" w:ascii="仿宋" w:hAnsi="仿宋" w:eastAsia="仿宋" w:cs="仿宋"/>
                <w:szCs w:val="21"/>
                <w:highlight w:val="none"/>
              </w:rPr>
              <w:t>重大问题或其它无法迅速解决的问题在一周内解决或提出明确的解决方案；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szCs w:val="21"/>
                <w:highlight w:val="none"/>
              </w:rPr>
              <w:t>3）48小时内无法修复的提供解决方案（如提供备机等）。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7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1.技术支持：中标人应及时免费提供合同货物软件的升级，免费提供合同货物新功能和应用的资料；</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2.投标人应提供质保期满后主要零部件报价单、质保期满后维护费、软件升级及其相关服务内容；</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.供货时提供有关的全套技术文件（如产品说明书、参数标准、质量保证书、保修证明、操作维修保养说明、相关配套使用手册等）；</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.保证所提供的货物或与该货物有关的一切权利均不会侵犯任何第三方的知识产权。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.中标人对中标产品使用的安全性、有效性及可靠性承担全部责任，保证在合同验收阶段的性能检验与投标文件明确的技术指标一致；</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.工作条件：投标产品能在采购人所处的条件下正常工作，投标人可通过现场踏勘进行了解；</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环境要求：投标产品安装运行对环境的要求能满足采购人的现有条件，如对环境有特别要求，则在投标文件中进行明确，否则，未适应产品安装运行所要具备的环境条件的营造费用由投标人承担，投标人可通过现场踏勘了解采购人能够提供的现有条件；</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.产品本体：产品在工作条件和环境条件具备的前提下正常运行即能达到投标文件承诺的技术指标及性能，不需要另外配置其他物品；</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随机配送的备品备件、易损件、零配件、专用工具：与产品相关的辅助性物品，为方便采购人使用而提供的、不会影响产品本身正常运行，包括采购人要求随机配送或产品自身随机配送的物品，投标人在投标文件中列出各种随机配送的备品备件、易损件、零配件、专用工具的规格、用途、数量、单价和总价，费用包含在投标总价中；</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选配件及其他：为保证产品长期工作，投标人在投标文件中列举与产品配套的选配件及其他设备的清单，具体包括选配件及其他设备的规格、用途、数量供采购人按需选购，并在今后一段时间内保持供应、价格不上涨，该项费用不包括在本次投标报价内；</w:t>
            </w:r>
          </w:p>
          <w:p>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.工作范围：按国家有关标准及规范完成招标文件规定的所有工作内容，包括完成所有产品供货、履行所有规定服务、产品及服务达到招标文件规定的质量标准及使用要求等。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7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1.验收由采购人负责实施；</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2.验收依据</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2.1 合同、招标文件、投标文件；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2.2 中标人提供的技术规格、经采购人认可的合同货物的有效检验文件；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2.3 中标人投标文件中提供的经采购人认可的合同货物的验收标准（符合中国有关的国家、地方、行业标准）和检测办法及相应检测手段。</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3.中标人应派员在所供货物到采购人指定地点时进行到货验收，有需要时能联系产品制造商到场共同验收，若发现任何损坏及质量问题，中标人负责妥善处理直至采购人满意，由此产生的费用由中标人承担；</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4.验收合格的条件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4.1 所供货物符合产品标准和招标文件及合同的要求；</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4.2 在进行测试和验收过程中发现的问题已被解决并得到采购人的认可；</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4.3 合同中规定的所有货物和材料均已交付；</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4.4 所供货物已通过使用单位组织的验收；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4.5 所有相关的技术文件及资料均已提交并得到接受。</w:t>
            </w:r>
          </w:p>
        </w:tc>
      </w:tr>
    </w:tbl>
    <w:p>
      <w:pPr>
        <w:adjustRightInd w:val="0"/>
        <w:snapToGrid w:val="0"/>
        <w:spacing w:line="288" w:lineRule="auto"/>
        <w:rPr>
          <w:rFonts w:ascii="仿宋" w:hAnsi="仿宋" w:eastAsia="仿宋" w:cs="仿宋"/>
          <w:b/>
          <w:color w:val="auto"/>
          <w:szCs w:val="21"/>
          <w:highlight w:val="none"/>
        </w:rPr>
      </w:pPr>
    </w:p>
    <w:p>
      <w:pPr>
        <w:adjustRightInd w:val="0"/>
        <w:snapToGrid w:val="0"/>
        <w:spacing w:line="288" w:lineRule="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32" w:name="_Hlk45005556"/>
    </w:p>
    <w:bookmarkEnd w:id="32"/>
    <w:p>
      <w:pPr>
        <w:adjustRightInd w:val="0"/>
        <w:snapToGrid w:val="0"/>
        <w:spacing w:line="288" w:lineRule="auto"/>
        <w:rPr>
          <w:rFonts w:hint="eastAsia" w:ascii="仿宋" w:hAnsi="仿宋" w:eastAsia="仿宋" w:cs="仿宋"/>
          <w:b/>
          <w:bCs/>
          <w:color w:val="auto"/>
          <w:szCs w:val="21"/>
          <w:highlight w:val="none"/>
        </w:rPr>
      </w:pPr>
      <w:bookmarkStart w:id="33" w:name="_Hlk92271413"/>
      <w:r>
        <w:rPr>
          <w:rFonts w:hint="eastAsia" w:ascii="仿宋" w:hAnsi="仿宋" w:eastAsia="仿宋" w:cs="仿宋"/>
          <w:b/>
          <w:bCs/>
          <w:color w:val="auto"/>
          <w:szCs w:val="21"/>
          <w:highlight w:val="none"/>
        </w:rPr>
        <w:t>1.需执行的国家相关标准、行业标准、地方标准或者其他标准、规范：</w:t>
      </w:r>
    </w:p>
    <w:p>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 如涉及国家规定的标准及规范、行业标准及规范、其它相关标准及规范，则按最新相关标准及规范执行，上述标准及规范如有不一致，则以更严格者为准；</w:t>
      </w:r>
    </w:p>
    <w:p>
      <w:pPr>
        <w:adjustRightInd w:val="0"/>
        <w:snapToGrid w:val="0"/>
        <w:spacing w:line="288" w:lineRule="auto"/>
        <w:rPr>
          <w:rFonts w:ascii="仿宋" w:hAnsi="仿宋" w:eastAsia="仿宋" w:cs="仿宋"/>
          <w:b w:val="0"/>
          <w:bCs w:val="0"/>
          <w:color w:val="auto"/>
          <w:szCs w:val="21"/>
          <w:highlight w:val="none"/>
        </w:rPr>
      </w:pPr>
      <w:r>
        <w:rPr>
          <w:rFonts w:hint="eastAsia" w:ascii="仿宋" w:hAnsi="仿宋" w:eastAsia="仿宋" w:cs="仿宋"/>
          <w:color w:val="auto"/>
          <w:szCs w:val="21"/>
          <w:highlight w:val="none"/>
        </w:rPr>
        <w:t>1.2 产品本体、零部件、配件产品质量符合中华人民共和国有关质量标准，上述标准如有不一致，则以更严格者为准。</w:t>
      </w:r>
    </w:p>
    <w:bookmarkEnd w:id="33"/>
    <w:p>
      <w:pPr>
        <w:adjustRightInd w:val="0"/>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2.需实现的功能或者目标：</w:t>
      </w:r>
      <w:r>
        <w:rPr>
          <w:rFonts w:hint="default" w:eastAsia="仿宋"/>
          <w:color w:val="auto"/>
          <w:highlight w:val="none"/>
          <w:lang w:val="en-US" w:eastAsia="zh-CN"/>
        </w:rPr>
        <w:t>化学工程与材料学院</w:t>
      </w:r>
      <w:r>
        <w:rPr>
          <w:rFonts w:hint="eastAsia" w:eastAsia="仿宋"/>
          <w:color w:val="auto"/>
          <w:highlight w:val="none"/>
          <w:lang w:val="en-US" w:eastAsia="zh-CN"/>
        </w:rPr>
        <w:t>科研配套；</w:t>
      </w:r>
    </w:p>
    <w:p>
      <w:pPr>
        <w:adjustRightInd w:val="0"/>
        <w:snapToGrid w:val="0"/>
        <w:spacing w:line="288" w:lineRule="auto"/>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3.需满足的质量、安全、技术规格、物理特性等要求：</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585"/>
        <w:gridCol w:w="671"/>
        <w:gridCol w:w="671"/>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585"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671"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671"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6052"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w:t>
            </w:r>
          </w:p>
        </w:tc>
        <w:tc>
          <w:tcPr>
            <w:tcW w:w="1585"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eastAsia="zh-CN"/>
              </w:rPr>
              <w:t>电化学工作站</w:t>
            </w:r>
          </w:p>
        </w:tc>
        <w:tc>
          <w:tcPr>
            <w:tcW w:w="671" w:type="dxa"/>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w:t>
            </w:r>
          </w:p>
        </w:tc>
        <w:tc>
          <w:tcPr>
            <w:tcW w:w="671" w:type="dxa"/>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套</w:t>
            </w:r>
          </w:p>
        </w:tc>
        <w:tc>
          <w:tcPr>
            <w:tcW w:w="60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Cs/>
                <w:sz w:val="21"/>
                <w:szCs w:val="21"/>
                <w:highlight w:val="none"/>
                <w:lang w:val="en-US" w:eastAsia="zh-CN"/>
              </w:rPr>
            </w:pPr>
            <w:r>
              <w:rPr>
                <w:rFonts w:hint="eastAsia" w:ascii="仿宋" w:hAnsi="仿宋" w:eastAsia="仿宋" w:cs="仿宋"/>
                <w:b/>
                <w:bCs/>
                <w:sz w:val="21"/>
                <w:szCs w:val="21"/>
                <w:highlight w:val="none"/>
                <w:lang w:val="en-US" w:eastAsia="zh-CN"/>
              </w:rPr>
              <w:t>备注：</w:t>
            </w:r>
            <w:r>
              <w:rPr>
                <w:rFonts w:hint="eastAsia" w:ascii="仿宋" w:hAnsi="仿宋" w:eastAsia="仿宋" w:cs="仿宋"/>
                <w:b/>
                <w:bCs/>
                <w:sz w:val="21"/>
                <w:szCs w:val="21"/>
                <w:highlight w:val="none"/>
                <w:lang w:eastAsia="zh-CN"/>
              </w:rPr>
              <w:t>标★条款</w:t>
            </w:r>
            <w:r>
              <w:rPr>
                <w:rFonts w:hint="eastAsia" w:ascii="仿宋" w:hAnsi="仿宋" w:eastAsia="仿宋" w:cs="仿宋"/>
                <w:b/>
                <w:bCs/>
                <w:sz w:val="21"/>
                <w:szCs w:val="21"/>
                <w:highlight w:val="none"/>
                <w:lang w:val="en-US" w:eastAsia="zh-CN"/>
              </w:rPr>
              <w:t>附相关佐证材料（产品样本资料或官网上公开的技术参数等，佐证材料有单独要求的以单独要求的为准）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1.恒电位仪</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1.1 </w:t>
            </w:r>
            <w:r>
              <w:rPr>
                <w:rFonts w:hint="eastAsia" w:ascii="仿宋" w:hAnsi="仿宋" w:eastAsia="仿宋" w:cs="仿宋"/>
                <w:b w:val="0"/>
                <w:bCs w:val="0"/>
                <w:color w:val="auto"/>
                <w:sz w:val="21"/>
                <w:szCs w:val="21"/>
                <w:highlight w:val="none"/>
                <w:lang w:eastAsia="zh-CN"/>
              </w:rPr>
              <w:t>零阻电流计；</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1.2 </w:t>
            </w:r>
            <w:r>
              <w:rPr>
                <w:rFonts w:hint="eastAsia" w:ascii="仿宋" w:hAnsi="仿宋" w:eastAsia="仿宋" w:cs="仿宋"/>
                <w:b w:val="0"/>
                <w:bCs w:val="0"/>
                <w:color w:val="auto"/>
                <w:sz w:val="21"/>
                <w:szCs w:val="21"/>
                <w:highlight w:val="none"/>
                <w:lang w:eastAsia="zh-CN"/>
              </w:rPr>
              <w:t>2、3、4电极结构；</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1.3 </w:t>
            </w:r>
            <w:r>
              <w:rPr>
                <w:rFonts w:hint="eastAsia" w:ascii="仿宋" w:hAnsi="仿宋" w:eastAsia="仿宋" w:cs="仿宋"/>
                <w:b w:val="0"/>
                <w:bCs w:val="0"/>
                <w:color w:val="auto"/>
                <w:sz w:val="21"/>
                <w:szCs w:val="21"/>
                <w:highlight w:val="none"/>
                <w:lang w:eastAsia="zh-CN"/>
              </w:rPr>
              <w:t>浮动地线或实地；</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1.4 </w:t>
            </w:r>
            <w:r>
              <w:rPr>
                <w:rFonts w:hint="eastAsia" w:ascii="仿宋" w:hAnsi="仿宋" w:eastAsia="仿宋" w:cs="仿宋"/>
                <w:b w:val="0"/>
                <w:bCs w:val="0"/>
                <w:color w:val="auto"/>
                <w:sz w:val="21"/>
                <w:szCs w:val="21"/>
                <w:highlight w:val="none"/>
                <w:lang w:eastAsia="zh-CN"/>
              </w:rPr>
              <w:t>最大电位范围：-10V~+10V；</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1.5 </w:t>
            </w:r>
            <w:r>
              <w:rPr>
                <w:rFonts w:hint="eastAsia" w:ascii="仿宋" w:hAnsi="仿宋" w:eastAsia="仿宋" w:cs="仿宋"/>
                <w:b w:val="0"/>
                <w:bCs w:val="0"/>
                <w:color w:val="auto"/>
                <w:sz w:val="21"/>
                <w:szCs w:val="21"/>
                <w:highlight w:val="none"/>
                <w:lang w:eastAsia="zh-CN"/>
              </w:rPr>
              <w:t>最大电流：连续≤±250mA，峰值≤±350mA；</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1.6 </w:t>
            </w:r>
            <w:r>
              <w:rPr>
                <w:rFonts w:hint="eastAsia" w:ascii="仿宋" w:hAnsi="仿宋" w:eastAsia="仿宋" w:cs="仿宋"/>
                <w:b w:val="0"/>
                <w:bCs w:val="0"/>
                <w:color w:val="auto"/>
                <w:sz w:val="21"/>
                <w:szCs w:val="21"/>
                <w:highlight w:val="none"/>
                <w:lang w:eastAsia="zh-CN"/>
              </w:rPr>
              <w:t>槽压：±13V；</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1.7 </w:t>
            </w:r>
            <w:r>
              <w:rPr>
                <w:rFonts w:hint="eastAsia" w:ascii="仿宋" w:hAnsi="仿宋" w:eastAsia="仿宋" w:cs="仿宋"/>
                <w:b w:val="0"/>
                <w:bCs w:val="0"/>
                <w:color w:val="auto"/>
                <w:sz w:val="21"/>
                <w:szCs w:val="21"/>
                <w:highlight w:val="none"/>
                <w:lang w:eastAsia="zh-CN"/>
              </w:rPr>
              <w:t>恒电位仪上升时间：0.8~1μs；</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1.8 </w:t>
            </w:r>
            <w:r>
              <w:rPr>
                <w:rFonts w:hint="eastAsia" w:ascii="仿宋" w:hAnsi="仿宋" w:eastAsia="仿宋" w:cs="仿宋"/>
                <w:b w:val="0"/>
                <w:bCs w:val="0"/>
                <w:color w:val="auto"/>
                <w:sz w:val="21"/>
                <w:szCs w:val="21"/>
                <w:highlight w:val="none"/>
                <w:lang w:eastAsia="zh-CN"/>
              </w:rPr>
              <w:t>恒电位仪带宽（-3</w:t>
            </w:r>
            <w:r>
              <w:rPr>
                <w:rFonts w:hint="eastAsia" w:ascii="仿宋" w:hAnsi="仿宋" w:eastAsia="仿宋" w:cs="仿宋"/>
                <w:b w:val="0"/>
                <w:bCs w:val="0"/>
                <w:color w:val="auto"/>
                <w:sz w:val="21"/>
                <w:szCs w:val="21"/>
                <w:highlight w:val="none"/>
                <w:lang w:val="en-US" w:eastAsia="zh-CN"/>
              </w:rPr>
              <w:t>dB）：</w:t>
            </w:r>
            <w:r>
              <w:rPr>
                <w:rFonts w:hint="eastAsia" w:ascii="仿宋" w:hAnsi="仿宋" w:eastAsia="仿宋" w:cs="仿宋"/>
                <w:b w:val="0"/>
                <w:bCs w:val="0"/>
                <w:color w:val="auto"/>
                <w:sz w:val="21"/>
                <w:szCs w:val="21"/>
                <w:highlight w:val="none"/>
                <w:lang w:eastAsia="zh-CN"/>
              </w:rPr>
              <w:t>≥1MHz；</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1.9 </w:t>
            </w:r>
            <w:r>
              <w:rPr>
                <w:rFonts w:hint="eastAsia" w:ascii="仿宋" w:hAnsi="仿宋" w:eastAsia="仿宋" w:cs="仿宋"/>
                <w:b w:val="0"/>
                <w:bCs w:val="0"/>
                <w:color w:val="auto"/>
                <w:sz w:val="21"/>
                <w:szCs w:val="21"/>
                <w:highlight w:val="none"/>
                <w:lang w:eastAsia="zh-CN"/>
              </w:rPr>
              <w:t>所加电位范围：±10mV~±10V；</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1.10 </w:t>
            </w:r>
            <w:r>
              <w:rPr>
                <w:rFonts w:hint="eastAsia" w:ascii="仿宋" w:hAnsi="仿宋" w:eastAsia="仿宋" w:cs="仿宋"/>
                <w:b w:val="0"/>
                <w:bCs w:val="0"/>
                <w:color w:val="auto"/>
                <w:sz w:val="21"/>
                <w:szCs w:val="21"/>
                <w:highlight w:val="none"/>
                <w:lang w:eastAsia="zh-CN"/>
              </w:rPr>
              <w:t>所加电位分辨：≤电位范围的0.0015%；</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1.11 </w:t>
            </w:r>
            <w:r>
              <w:rPr>
                <w:rFonts w:hint="eastAsia" w:ascii="仿宋" w:hAnsi="仿宋" w:eastAsia="仿宋" w:cs="仿宋"/>
                <w:b w:val="0"/>
                <w:bCs w:val="0"/>
                <w:color w:val="auto"/>
                <w:sz w:val="21"/>
                <w:szCs w:val="21"/>
                <w:highlight w:val="none"/>
                <w:lang w:eastAsia="zh-CN"/>
              </w:rPr>
              <w:t>所加电位准确度：≤±1mV，≤±满量程的0.01%；</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1.12 </w:t>
            </w:r>
            <w:r>
              <w:rPr>
                <w:rFonts w:hint="eastAsia" w:ascii="仿宋" w:hAnsi="仿宋" w:eastAsia="仿宋" w:cs="仿宋"/>
                <w:b w:val="0"/>
                <w:bCs w:val="0"/>
                <w:color w:val="auto"/>
                <w:sz w:val="21"/>
                <w:szCs w:val="21"/>
                <w:highlight w:val="none"/>
                <w:lang w:eastAsia="zh-CN"/>
              </w:rPr>
              <w:t>所加电位噪声：</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10μV均方根植；</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1.13 </w:t>
            </w:r>
            <w:r>
              <w:rPr>
                <w:rFonts w:hint="eastAsia" w:ascii="仿宋" w:hAnsi="仿宋" w:eastAsia="仿宋" w:cs="仿宋"/>
                <w:b w:val="0"/>
                <w:bCs w:val="0"/>
                <w:color w:val="auto"/>
                <w:sz w:val="21"/>
                <w:szCs w:val="21"/>
                <w:highlight w:val="none"/>
                <w:lang w:eastAsia="zh-CN"/>
              </w:rPr>
              <w:t>测量电流范围：±10pA~±0.25A，12量程；</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1.14 </w:t>
            </w:r>
            <w:r>
              <w:rPr>
                <w:rFonts w:hint="eastAsia" w:ascii="仿宋" w:hAnsi="仿宋" w:eastAsia="仿宋" w:cs="仿宋"/>
                <w:b w:val="0"/>
                <w:bCs w:val="0"/>
                <w:color w:val="auto"/>
                <w:sz w:val="21"/>
                <w:szCs w:val="21"/>
                <w:highlight w:val="none"/>
                <w:lang w:eastAsia="zh-CN"/>
              </w:rPr>
              <w:t>测量电流分辨：电流量程的0.0015%，≥0.3fA；</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1.15 </w:t>
            </w:r>
            <w:r>
              <w:rPr>
                <w:rFonts w:hint="eastAsia" w:ascii="仿宋" w:hAnsi="仿宋" w:eastAsia="仿宋" w:cs="仿宋"/>
                <w:b w:val="0"/>
                <w:bCs w:val="0"/>
                <w:color w:val="auto"/>
                <w:sz w:val="21"/>
                <w:szCs w:val="21"/>
                <w:highlight w:val="none"/>
                <w:lang w:eastAsia="zh-CN"/>
              </w:rPr>
              <w:t>电流测量准确度：电流灵敏度≥l0</w:t>
            </w:r>
            <w:r>
              <w:rPr>
                <w:rFonts w:hint="eastAsia" w:ascii="仿宋" w:hAnsi="仿宋" w:eastAsia="仿宋" w:cs="仿宋"/>
                <w:b w:val="0"/>
                <w:bCs w:val="0"/>
                <w:color w:val="auto"/>
                <w:sz w:val="21"/>
                <w:szCs w:val="21"/>
                <w:highlight w:val="none"/>
                <w:vertAlign w:val="superscript"/>
                <w:lang w:eastAsia="zh-CN"/>
              </w:rPr>
              <w:t>-6</w:t>
            </w:r>
            <w:r>
              <w:rPr>
                <w:rFonts w:hint="eastAsia" w:ascii="仿宋" w:hAnsi="仿宋" w:eastAsia="仿宋" w:cs="仿宋"/>
                <w:b w:val="0"/>
                <w:bCs w:val="0"/>
                <w:color w:val="auto"/>
                <w:sz w:val="21"/>
                <w:szCs w:val="21"/>
                <w:highlight w:val="none"/>
                <w:lang w:eastAsia="zh-CN"/>
              </w:rPr>
              <w:t>A/V时为0.2%，其他量程1%；</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1.16 </w:t>
            </w:r>
            <w:r>
              <w:rPr>
                <w:rFonts w:hint="eastAsia" w:ascii="仿宋" w:hAnsi="仿宋" w:eastAsia="仿宋" w:cs="仿宋"/>
                <w:b w:val="0"/>
                <w:bCs w:val="0"/>
                <w:color w:val="auto"/>
                <w:sz w:val="21"/>
                <w:szCs w:val="21"/>
                <w:highlight w:val="none"/>
                <w:lang w:eastAsia="zh-CN"/>
              </w:rPr>
              <w:t>输入偏置电流：10~20pA。</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2.实验</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2.1 </w:t>
            </w:r>
            <w:r>
              <w:rPr>
                <w:rFonts w:hint="eastAsia" w:ascii="仿宋" w:hAnsi="仿宋" w:eastAsia="仿宋" w:cs="仿宋"/>
                <w:b w:val="0"/>
                <w:bCs w:val="0"/>
                <w:color w:val="auto"/>
                <w:sz w:val="21"/>
                <w:szCs w:val="21"/>
                <w:highlight w:val="none"/>
                <w:lang w:eastAsia="zh-CN"/>
              </w:rPr>
              <w:t>CV和LSV扫描速度：0.000001~10000V/s；</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2.2 </w:t>
            </w:r>
            <w:r>
              <w:rPr>
                <w:rFonts w:hint="eastAsia" w:ascii="仿宋" w:hAnsi="仿宋" w:eastAsia="仿宋" w:cs="仿宋"/>
                <w:b w:val="0"/>
                <w:bCs w:val="0"/>
                <w:color w:val="auto"/>
                <w:sz w:val="21"/>
                <w:szCs w:val="21"/>
                <w:highlight w:val="none"/>
                <w:lang w:eastAsia="zh-CN"/>
              </w:rPr>
              <w:t>扫描时电位增量：≥0.1mV</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扫速≥1000V/s；</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2.3 </w:t>
            </w:r>
            <w:r>
              <w:rPr>
                <w:rFonts w:hint="eastAsia" w:ascii="仿宋" w:hAnsi="仿宋" w:eastAsia="仿宋" w:cs="仿宋"/>
                <w:b w:val="0"/>
                <w:bCs w:val="0"/>
                <w:color w:val="auto"/>
                <w:sz w:val="21"/>
                <w:szCs w:val="21"/>
                <w:highlight w:val="none"/>
                <w:lang w:eastAsia="zh-CN"/>
              </w:rPr>
              <w:t>CA和CC脉冲宽度：0.0001~1000s；</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2.4 </w:t>
            </w:r>
            <w:r>
              <w:rPr>
                <w:rFonts w:hint="eastAsia" w:ascii="仿宋" w:hAnsi="仿宋" w:eastAsia="仿宋" w:cs="仿宋"/>
                <w:b w:val="0"/>
                <w:bCs w:val="0"/>
                <w:color w:val="auto"/>
                <w:sz w:val="21"/>
                <w:szCs w:val="21"/>
                <w:highlight w:val="none"/>
                <w:lang w:eastAsia="zh-CN"/>
              </w:rPr>
              <w:t>CA和CC最小采样间隔：≥1μs；</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2.5 </w:t>
            </w:r>
            <w:r>
              <w:rPr>
                <w:rFonts w:hint="eastAsia" w:ascii="仿宋" w:hAnsi="仿宋" w:eastAsia="仿宋" w:cs="仿宋"/>
                <w:b w:val="0"/>
                <w:bCs w:val="0"/>
                <w:color w:val="auto"/>
                <w:sz w:val="21"/>
                <w:szCs w:val="21"/>
                <w:highlight w:val="none"/>
                <w:lang w:eastAsia="zh-CN"/>
              </w:rPr>
              <w:t>CC模拟积分器；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2.6 </w:t>
            </w:r>
            <w:r>
              <w:rPr>
                <w:rFonts w:hint="eastAsia" w:ascii="仿宋" w:hAnsi="仿宋" w:eastAsia="仿宋" w:cs="仿宋"/>
                <w:b w:val="0"/>
                <w:bCs w:val="0"/>
                <w:color w:val="auto"/>
                <w:sz w:val="21"/>
                <w:szCs w:val="21"/>
                <w:highlight w:val="none"/>
                <w:lang w:eastAsia="zh-CN"/>
              </w:rPr>
              <w:t>DPV和NPV脉冲宽度：0.001~10s；</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2.7 </w:t>
            </w:r>
            <w:r>
              <w:rPr>
                <w:rFonts w:hint="eastAsia" w:ascii="仿宋" w:hAnsi="仿宋" w:eastAsia="仿宋" w:cs="仿宋"/>
                <w:b w:val="0"/>
                <w:bCs w:val="0"/>
                <w:color w:val="auto"/>
                <w:sz w:val="21"/>
                <w:szCs w:val="21"/>
                <w:highlight w:val="none"/>
                <w:lang w:eastAsia="zh-CN"/>
              </w:rPr>
              <w:t>SWV频率：1~100kHz；</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2.8 </w:t>
            </w:r>
            <w:r>
              <w:rPr>
                <w:rFonts w:hint="eastAsia" w:ascii="仿宋" w:hAnsi="仿宋" w:eastAsia="仿宋" w:cs="仿宋"/>
                <w:b w:val="0"/>
                <w:bCs w:val="0"/>
                <w:color w:val="auto"/>
                <w:sz w:val="21"/>
                <w:szCs w:val="21"/>
                <w:highlight w:val="none"/>
                <w:lang w:eastAsia="zh-CN"/>
              </w:rPr>
              <w:t>i-t最小采样间隔：≤1μs；</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2.9 </w:t>
            </w:r>
            <w:r>
              <w:rPr>
                <w:rFonts w:hint="eastAsia" w:ascii="仿宋" w:hAnsi="仿宋" w:eastAsia="仿宋" w:cs="仿宋"/>
                <w:b w:val="0"/>
                <w:bCs w:val="0"/>
                <w:color w:val="auto"/>
                <w:sz w:val="21"/>
                <w:szCs w:val="21"/>
                <w:highlight w:val="none"/>
                <w:lang w:eastAsia="zh-CN"/>
              </w:rPr>
              <w:t>ACV频率范围：0.1~10kH</w:t>
            </w:r>
            <w:r>
              <w:rPr>
                <w:rFonts w:hint="eastAsia" w:ascii="仿宋" w:hAnsi="仿宋" w:eastAsia="仿宋" w:cs="仿宋"/>
                <w:b w:val="0"/>
                <w:bCs w:val="0"/>
                <w:color w:val="auto"/>
                <w:sz w:val="21"/>
                <w:szCs w:val="21"/>
                <w:highlight w:val="none"/>
                <w:lang w:val="en-US" w:eastAsia="zh-CN"/>
              </w:rPr>
              <w:t>z；</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2.10 </w:t>
            </w:r>
            <w:r>
              <w:rPr>
                <w:rFonts w:hint="eastAsia" w:ascii="仿宋" w:hAnsi="仿宋" w:eastAsia="仿宋" w:cs="仿宋"/>
                <w:b w:val="0"/>
                <w:bCs w:val="0"/>
                <w:color w:val="auto"/>
                <w:sz w:val="21"/>
                <w:szCs w:val="21"/>
                <w:highlight w:val="none"/>
                <w:lang w:eastAsia="zh-CN"/>
              </w:rPr>
              <w:t>SHACV频率范围：0.1~5kHz；</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2.11 </w:t>
            </w:r>
            <w:r>
              <w:rPr>
                <w:rFonts w:hint="eastAsia" w:ascii="仿宋" w:hAnsi="仿宋" w:eastAsia="仿宋" w:cs="仿宋"/>
                <w:b w:val="0"/>
                <w:bCs w:val="0"/>
                <w:color w:val="auto"/>
                <w:sz w:val="21"/>
                <w:szCs w:val="21"/>
                <w:highlight w:val="none"/>
                <w:lang w:eastAsia="zh-CN"/>
              </w:rPr>
              <w:t>FTACV频率范围：0.1~50Hz，可同时获取基波、二次谐波、三次谐波、四次谐波、五次谐波、六次谐波的ACV数据；</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2.12 </w:t>
            </w:r>
            <w:r>
              <w:rPr>
                <w:rFonts w:hint="eastAsia" w:ascii="仿宋" w:hAnsi="仿宋" w:eastAsia="仿宋" w:cs="仿宋"/>
                <w:b w:val="0"/>
                <w:bCs w:val="0"/>
                <w:color w:val="auto"/>
                <w:sz w:val="21"/>
                <w:szCs w:val="21"/>
                <w:highlight w:val="none"/>
                <w:lang w:eastAsia="zh-CN"/>
              </w:rPr>
              <w:t>交流阻抗：0.00001~1MHz；</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2.13 </w:t>
            </w:r>
            <w:r>
              <w:rPr>
                <w:rFonts w:hint="eastAsia" w:ascii="仿宋" w:hAnsi="仿宋" w:eastAsia="仿宋" w:cs="仿宋"/>
                <w:b w:val="0"/>
                <w:bCs w:val="0"/>
                <w:color w:val="auto"/>
                <w:sz w:val="21"/>
                <w:szCs w:val="21"/>
                <w:highlight w:val="none"/>
                <w:lang w:eastAsia="zh-CN"/>
              </w:rPr>
              <w:t>交流阻抗波形幅度：0.00001~0.7V均方根值。</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3.电位计</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3.1 </w:t>
            </w:r>
            <w:r>
              <w:rPr>
                <w:rFonts w:hint="eastAsia" w:ascii="仿宋" w:hAnsi="仿宋" w:eastAsia="仿宋" w:cs="仿宋"/>
                <w:b w:val="0"/>
                <w:bCs w:val="0"/>
                <w:color w:val="auto"/>
                <w:sz w:val="21"/>
                <w:szCs w:val="21"/>
                <w:highlight w:val="none"/>
                <w:lang w:eastAsia="zh-CN"/>
              </w:rPr>
              <w:t>参比电极输入阻抗：</w:t>
            </w:r>
            <w:r>
              <w:rPr>
                <w:rFonts w:hint="eastAsia" w:ascii="仿宋" w:hAnsi="仿宋" w:eastAsia="仿宋" w:cs="仿宋"/>
                <w:color w:val="000000"/>
                <w:kern w:val="0"/>
                <w:szCs w:val="21"/>
                <w:lang w:bidi="ar"/>
              </w:rPr>
              <w:t>l0</w:t>
            </w:r>
            <w:r>
              <w:rPr>
                <w:rFonts w:hint="eastAsia" w:ascii="仿宋" w:hAnsi="仿宋" w:eastAsia="仿宋" w:cs="仿宋"/>
                <w:color w:val="000000"/>
                <w:kern w:val="0"/>
                <w:szCs w:val="21"/>
                <w:vertAlign w:val="superscript"/>
                <w:lang w:bidi="ar"/>
              </w:rPr>
              <w:t>l2</w:t>
            </w:r>
            <w:r>
              <w:rPr>
                <w:rFonts w:hint="eastAsia" w:ascii="仿宋" w:hAnsi="仿宋" w:eastAsia="仿宋" w:cs="仿宋"/>
                <w:b w:val="0"/>
                <w:bCs w:val="0"/>
                <w:color w:val="auto"/>
                <w:sz w:val="21"/>
                <w:szCs w:val="21"/>
                <w:highlight w:val="none"/>
                <w:lang w:val="en-US" w:eastAsia="zh-CN"/>
              </w:rPr>
              <w:t>Ω；</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3.2 </w:t>
            </w:r>
            <w:r>
              <w:rPr>
                <w:rFonts w:hint="eastAsia" w:ascii="仿宋" w:hAnsi="仿宋" w:eastAsia="仿宋" w:cs="仿宋"/>
                <w:b w:val="0"/>
                <w:bCs w:val="0"/>
                <w:color w:val="auto"/>
                <w:sz w:val="21"/>
                <w:szCs w:val="21"/>
                <w:highlight w:val="none"/>
                <w:lang w:eastAsia="zh-CN"/>
              </w:rPr>
              <w:t>参比电极输入带宽：10MHz；</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3.3 </w:t>
            </w:r>
            <w:r>
              <w:rPr>
                <w:rFonts w:hint="eastAsia" w:ascii="仿宋" w:hAnsi="仿宋" w:eastAsia="仿宋" w:cs="仿宋"/>
                <w:b w:val="0"/>
                <w:bCs w:val="0"/>
                <w:color w:val="auto"/>
                <w:sz w:val="21"/>
                <w:szCs w:val="21"/>
                <w:highlight w:val="none"/>
                <w:lang w:eastAsia="zh-CN"/>
              </w:rPr>
              <w:t>参比电极输入偏置电流：≤10pA@25</w:t>
            </w:r>
            <w:r>
              <w:rPr>
                <w:rFonts w:hint="eastAsia" w:ascii="仿宋" w:hAnsi="仿宋" w:eastAsia="仿宋" w:cs="仿宋"/>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4.波形发生和数据获得系统</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4.1 </w:t>
            </w:r>
            <w:r>
              <w:rPr>
                <w:rFonts w:hint="eastAsia" w:ascii="仿宋" w:hAnsi="仿宋" w:eastAsia="仿宋" w:cs="仿宋"/>
                <w:b w:val="0"/>
                <w:bCs w:val="0"/>
                <w:color w:val="auto"/>
                <w:sz w:val="21"/>
                <w:szCs w:val="21"/>
                <w:highlight w:val="none"/>
                <w:lang w:eastAsia="zh-CN"/>
              </w:rPr>
              <w:t>快速信号发生更新速率：≥10MHz，16位分辨；</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4.2 </w:t>
            </w:r>
            <w:r>
              <w:rPr>
                <w:rFonts w:hint="eastAsia" w:ascii="仿宋" w:hAnsi="仿宋" w:eastAsia="仿宋" w:cs="仿宋"/>
                <w:b w:val="0"/>
                <w:bCs w:val="0"/>
                <w:color w:val="auto"/>
                <w:sz w:val="21"/>
                <w:szCs w:val="21"/>
                <w:highlight w:val="none"/>
                <w:lang w:eastAsia="zh-CN"/>
              </w:rPr>
              <w:t>快速数据采集系统：16位分辨，双通道同步采样，采样速率≥1000000点</w:t>
            </w:r>
            <w:r>
              <w:rPr>
                <w:rFonts w:hint="eastAsia" w:ascii="仿宋" w:hAnsi="仿宋" w:eastAsia="仿宋" w:cs="仿宋"/>
                <w:b w:val="0"/>
                <w:bCs w:val="0"/>
                <w:color w:val="auto"/>
                <w:sz w:val="21"/>
                <w:szCs w:val="21"/>
                <w:highlight w:val="none"/>
                <w:lang w:val="en-US" w:eastAsia="zh-CN"/>
              </w:rPr>
              <w:t>/s；</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4.3 </w:t>
            </w:r>
            <w:r>
              <w:rPr>
                <w:rFonts w:hint="eastAsia" w:ascii="仿宋" w:hAnsi="仿宋" w:eastAsia="仿宋" w:cs="仿宋"/>
                <w:b w:val="0"/>
                <w:bCs w:val="0"/>
                <w:color w:val="auto"/>
                <w:sz w:val="21"/>
                <w:szCs w:val="21"/>
                <w:highlight w:val="none"/>
                <w:lang w:eastAsia="zh-CN"/>
              </w:rPr>
              <w:t>外部信号记录通道最高采样速率：≥1MHz。</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5.其他</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5.1 </w:t>
            </w:r>
            <w:r>
              <w:rPr>
                <w:rFonts w:hint="eastAsia" w:ascii="仿宋" w:hAnsi="仿宋" w:eastAsia="仿宋" w:cs="仿宋"/>
                <w:b w:val="0"/>
                <w:bCs w:val="0"/>
                <w:color w:val="auto"/>
                <w:sz w:val="21"/>
                <w:szCs w:val="21"/>
                <w:highlight w:val="none"/>
                <w:lang w:eastAsia="zh-CN"/>
              </w:rPr>
              <w:t>自动或手动iR降补偿；</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5.2 </w:t>
            </w:r>
            <w:r>
              <w:rPr>
                <w:rFonts w:hint="eastAsia" w:ascii="仿宋" w:hAnsi="仿宋" w:eastAsia="仿宋" w:cs="仿宋"/>
                <w:b w:val="0"/>
                <w:bCs w:val="0"/>
                <w:color w:val="auto"/>
                <w:sz w:val="21"/>
                <w:szCs w:val="21"/>
                <w:highlight w:val="none"/>
                <w:lang w:eastAsia="zh-CN"/>
              </w:rPr>
              <w:t>电流测量偏置：满量程，16位分辨，≤0.003%准确度；</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5.3 </w:t>
            </w:r>
            <w:r>
              <w:rPr>
                <w:rFonts w:hint="eastAsia" w:ascii="仿宋" w:hAnsi="仿宋" w:eastAsia="仿宋" w:cs="仿宋"/>
                <w:b w:val="0"/>
                <w:bCs w:val="0"/>
                <w:color w:val="auto"/>
                <w:sz w:val="21"/>
                <w:szCs w:val="21"/>
                <w:highlight w:val="none"/>
                <w:lang w:eastAsia="zh-CN"/>
              </w:rPr>
              <w:t>电位测量偏置：±10V，16位分辨，≤0.003%准确度；</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5.4 </w:t>
            </w:r>
            <w:r>
              <w:rPr>
                <w:rFonts w:hint="eastAsia" w:ascii="仿宋" w:hAnsi="仿宋" w:eastAsia="仿宋" w:cs="仿宋"/>
                <w:b w:val="0"/>
                <w:bCs w:val="0"/>
                <w:color w:val="auto"/>
                <w:sz w:val="21"/>
                <w:szCs w:val="21"/>
                <w:highlight w:val="none"/>
                <w:lang w:eastAsia="zh-CN"/>
              </w:rPr>
              <w:t>外部电位输入；</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5.5 </w:t>
            </w:r>
            <w:r>
              <w:rPr>
                <w:rFonts w:hint="eastAsia" w:ascii="仿宋" w:hAnsi="仿宋" w:eastAsia="仿宋" w:cs="仿宋"/>
                <w:b w:val="0"/>
                <w:bCs w:val="0"/>
                <w:color w:val="auto"/>
                <w:sz w:val="21"/>
                <w:szCs w:val="21"/>
                <w:highlight w:val="none"/>
                <w:lang w:eastAsia="zh-CN"/>
              </w:rPr>
              <w:t>电位和电流模拟输出；</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5.6 </w:t>
            </w:r>
            <w:r>
              <w:rPr>
                <w:rFonts w:hint="eastAsia" w:ascii="仿宋" w:hAnsi="仿宋" w:eastAsia="仿宋" w:cs="仿宋"/>
                <w:b w:val="0"/>
                <w:bCs w:val="0"/>
                <w:color w:val="auto"/>
                <w:sz w:val="21"/>
                <w:szCs w:val="21"/>
                <w:highlight w:val="none"/>
                <w:lang w:eastAsia="zh-CN"/>
              </w:rPr>
              <w:t>可控电位滤波器截止频率：1.5MHz、150</w:t>
            </w:r>
            <w:r>
              <w:rPr>
                <w:rFonts w:hint="eastAsia" w:ascii="仿宋" w:hAnsi="仿宋" w:eastAsia="仿宋" w:cs="仿宋"/>
                <w:b w:val="0"/>
                <w:bCs w:val="0"/>
                <w:color w:val="auto"/>
                <w:sz w:val="21"/>
                <w:szCs w:val="21"/>
                <w:highlight w:val="none"/>
                <w:lang w:val="en-US" w:eastAsia="zh-CN"/>
              </w:rPr>
              <w:t>k</w:t>
            </w:r>
            <w:r>
              <w:rPr>
                <w:rFonts w:hint="eastAsia" w:ascii="仿宋" w:hAnsi="仿宋" w:eastAsia="仿宋" w:cs="仿宋"/>
                <w:b w:val="0"/>
                <w:bCs w:val="0"/>
                <w:color w:val="auto"/>
                <w:sz w:val="21"/>
                <w:szCs w:val="21"/>
                <w:highlight w:val="none"/>
                <w:lang w:eastAsia="zh-CN"/>
              </w:rPr>
              <w:t>Hz、15</w:t>
            </w:r>
            <w:r>
              <w:rPr>
                <w:rFonts w:hint="eastAsia" w:ascii="仿宋" w:hAnsi="仿宋" w:eastAsia="仿宋" w:cs="仿宋"/>
                <w:b w:val="0"/>
                <w:bCs w:val="0"/>
                <w:color w:val="auto"/>
                <w:sz w:val="21"/>
                <w:szCs w:val="21"/>
                <w:highlight w:val="none"/>
                <w:lang w:val="en-US" w:eastAsia="zh-CN"/>
              </w:rPr>
              <w:t>k</w:t>
            </w:r>
            <w:r>
              <w:rPr>
                <w:rFonts w:hint="eastAsia" w:ascii="仿宋" w:hAnsi="仿宋" w:eastAsia="仿宋" w:cs="仿宋"/>
                <w:b w:val="0"/>
                <w:bCs w:val="0"/>
                <w:color w:val="auto"/>
                <w:sz w:val="21"/>
                <w:szCs w:val="21"/>
                <w:highlight w:val="none"/>
                <w:lang w:eastAsia="zh-CN"/>
              </w:rPr>
              <w:t>Hz、1.5</w:t>
            </w:r>
            <w:r>
              <w:rPr>
                <w:rFonts w:hint="eastAsia" w:ascii="仿宋" w:hAnsi="仿宋" w:eastAsia="仿宋" w:cs="仿宋"/>
                <w:b w:val="0"/>
                <w:bCs w:val="0"/>
                <w:color w:val="auto"/>
                <w:sz w:val="21"/>
                <w:szCs w:val="21"/>
                <w:highlight w:val="none"/>
                <w:lang w:val="en-US" w:eastAsia="zh-CN"/>
              </w:rPr>
              <w:t>k</w:t>
            </w:r>
            <w:r>
              <w:rPr>
                <w:rFonts w:hint="eastAsia" w:ascii="仿宋" w:hAnsi="仿宋" w:eastAsia="仿宋" w:cs="仿宋"/>
                <w:b w:val="0"/>
                <w:bCs w:val="0"/>
                <w:color w:val="auto"/>
                <w:sz w:val="21"/>
                <w:szCs w:val="21"/>
                <w:highlight w:val="none"/>
                <w:lang w:eastAsia="zh-CN"/>
              </w:rPr>
              <w:t>Hz、150Hz、15Hz、1.5Hz、0.15Hz；</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5.7 </w:t>
            </w:r>
            <w:r>
              <w:rPr>
                <w:rFonts w:hint="eastAsia" w:ascii="仿宋" w:hAnsi="仿宋" w:eastAsia="仿宋" w:cs="仿宋"/>
                <w:b w:val="0"/>
                <w:bCs w:val="0"/>
                <w:color w:val="auto"/>
                <w:sz w:val="21"/>
                <w:szCs w:val="21"/>
                <w:highlight w:val="none"/>
                <w:lang w:eastAsia="zh-CN"/>
              </w:rPr>
              <w:t>可控信号滤波器截止频率：1.5MHz、150</w:t>
            </w:r>
            <w:r>
              <w:rPr>
                <w:rFonts w:hint="eastAsia" w:ascii="仿宋" w:hAnsi="仿宋" w:eastAsia="仿宋" w:cs="仿宋"/>
                <w:b w:val="0"/>
                <w:bCs w:val="0"/>
                <w:color w:val="auto"/>
                <w:sz w:val="21"/>
                <w:szCs w:val="21"/>
                <w:highlight w:val="none"/>
                <w:lang w:val="en-US" w:eastAsia="zh-CN"/>
              </w:rPr>
              <w:t>k</w:t>
            </w:r>
            <w:r>
              <w:rPr>
                <w:rFonts w:hint="eastAsia" w:ascii="仿宋" w:hAnsi="仿宋" w:eastAsia="仿宋" w:cs="仿宋"/>
                <w:b w:val="0"/>
                <w:bCs w:val="0"/>
                <w:color w:val="auto"/>
                <w:sz w:val="21"/>
                <w:szCs w:val="21"/>
                <w:highlight w:val="none"/>
                <w:lang w:eastAsia="zh-CN"/>
              </w:rPr>
              <w:t>Hz、15</w:t>
            </w:r>
            <w:r>
              <w:rPr>
                <w:rFonts w:hint="eastAsia" w:ascii="仿宋" w:hAnsi="仿宋" w:eastAsia="仿宋" w:cs="仿宋"/>
                <w:b w:val="0"/>
                <w:bCs w:val="0"/>
                <w:color w:val="auto"/>
                <w:sz w:val="21"/>
                <w:szCs w:val="21"/>
                <w:highlight w:val="none"/>
                <w:lang w:val="en-US" w:eastAsia="zh-CN"/>
              </w:rPr>
              <w:t>k</w:t>
            </w:r>
            <w:r>
              <w:rPr>
                <w:rFonts w:hint="eastAsia" w:ascii="仿宋" w:hAnsi="仿宋" w:eastAsia="仿宋" w:cs="仿宋"/>
                <w:b w:val="0"/>
                <w:bCs w:val="0"/>
                <w:color w:val="auto"/>
                <w:sz w:val="21"/>
                <w:szCs w:val="21"/>
                <w:highlight w:val="none"/>
                <w:lang w:eastAsia="zh-CN"/>
              </w:rPr>
              <w:t>Hz、1.5</w:t>
            </w:r>
            <w:r>
              <w:rPr>
                <w:rFonts w:hint="eastAsia" w:ascii="仿宋" w:hAnsi="仿宋" w:eastAsia="仿宋" w:cs="仿宋"/>
                <w:b w:val="0"/>
                <w:bCs w:val="0"/>
                <w:color w:val="auto"/>
                <w:sz w:val="21"/>
                <w:szCs w:val="21"/>
                <w:highlight w:val="none"/>
                <w:lang w:val="en-US" w:eastAsia="zh-CN"/>
              </w:rPr>
              <w:t>k</w:t>
            </w:r>
            <w:r>
              <w:rPr>
                <w:rFonts w:hint="eastAsia" w:ascii="仿宋" w:hAnsi="仿宋" w:eastAsia="仿宋" w:cs="仿宋"/>
                <w:b w:val="0"/>
                <w:bCs w:val="0"/>
                <w:color w:val="auto"/>
                <w:sz w:val="21"/>
                <w:szCs w:val="21"/>
                <w:highlight w:val="none"/>
                <w:lang w:eastAsia="zh-CN"/>
              </w:rPr>
              <w:t>Hz、150Hz、15Hz、1.5Hz、0.15Hz；</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5.8 </w:t>
            </w:r>
            <w:r>
              <w:rPr>
                <w:rFonts w:hint="eastAsia" w:ascii="仿宋" w:hAnsi="仿宋" w:eastAsia="仿宋" w:cs="仿宋"/>
                <w:b w:val="0"/>
                <w:bCs w:val="0"/>
                <w:color w:val="auto"/>
                <w:sz w:val="21"/>
                <w:szCs w:val="21"/>
                <w:highlight w:val="none"/>
                <w:lang w:eastAsia="zh-CN"/>
              </w:rPr>
              <w:t>旋转电极控制电压输出：0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10V对用于0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10000rpm的转速，16位分辨，0.003%准确度，需某些旋转电极装置才能工作；</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5.9 </w:t>
            </w:r>
            <w:r>
              <w:rPr>
                <w:rFonts w:hint="eastAsia" w:ascii="仿宋" w:hAnsi="仿宋" w:eastAsia="仿宋" w:cs="仿宋"/>
                <w:b w:val="0"/>
                <w:bCs w:val="0"/>
                <w:color w:val="auto"/>
                <w:sz w:val="21"/>
                <w:szCs w:val="21"/>
                <w:highlight w:val="none"/>
                <w:lang w:eastAsia="zh-CN"/>
              </w:rPr>
              <w:t>通过宏命令可控制数字输入输出线；</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5.10 </w:t>
            </w:r>
            <w:r>
              <w:rPr>
                <w:rFonts w:hint="eastAsia" w:ascii="仿宋" w:hAnsi="仿宋" w:eastAsia="仿宋" w:cs="仿宋"/>
                <w:b w:val="0"/>
                <w:bCs w:val="0"/>
                <w:color w:val="auto"/>
                <w:sz w:val="21"/>
                <w:szCs w:val="21"/>
                <w:highlight w:val="none"/>
                <w:lang w:eastAsia="zh-CN"/>
              </w:rPr>
              <w:t>内闪存储器可迅速更新程序；</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5.11 </w:t>
            </w:r>
            <w:r>
              <w:rPr>
                <w:rFonts w:hint="eastAsia" w:ascii="仿宋" w:hAnsi="仿宋" w:eastAsia="仿宋" w:cs="仿宋"/>
                <w:b w:val="0"/>
                <w:bCs w:val="0"/>
                <w:color w:val="auto"/>
                <w:sz w:val="21"/>
                <w:szCs w:val="21"/>
                <w:highlight w:val="none"/>
                <w:lang w:eastAsia="zh-CN"/>
              </w:rPr>
              <w:t>串行口或USB口数据通讯；</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5.12 </w:t>
            </w:r>
            <w:r>
              <w:rPr>
                <w:rFonts w:hint="eastAsia" w:ascii="仿宋" w:hAnsi="仿宋" w:eastAsia="仿宋" w:cs="仿宋"/>
                <w:b w:val="0"/>
                <w:bCs w:val="0"/>
                <w:color w:val="auto"/>
                <w:sz w:val="21"/>
                <w:szCs w:val="21"/>
                <w:highlight w:val="none"/>
                <w:lang w:eastAsia="zh-CN"/>
              </w:rPr>
              <w:t>电解池控制：通氮、搅拌、敲击（需特殊电解池系统）；</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5.13 </w:t>
            </w:r>
            <w:r>
              <w:rPr>
                <w:rFonts w:hint="eastAsia" w:ascii="仿宋" w:hAnsi="仿宋" w:eastAsia="仿宋" w:cs="仿宋"/>
                <w:b w:val="0"/>
                <w:bCs w:val="0"/>
                <w:color w:val="auto"/>
                <w:sz w:val="21"/>
                <w:szCs w:val="21"/>
                <w:highlight w:val="none"/>
                <w:lang w:eastAsia="zh-CN"/>
              </w:rPr>
              <w:t>CV数字模拟器和拟合器，用户定义反应机理或预定义反应机理；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5.14 </w:t>
            </w:r>
            <w:r>
              <w:rPr>
                <w:rFonts w:hint="eastAsia" w:ascii="仿宋" w:hAnsi="仿宋" w:eastAsia="仿宋" w:cs="仿宋"/>
                <w:b w:val="0"/>
                <w:bCs w:val="0"/>
                <w:color w:val="auto"/>
                <w:sz w:val="21"/>
                <w:szCs w:val="21"/>
                <w:highlight w:val="none"/>
                <w:lang w:eastAsia="zh-CN"/>
              </w:rPr>
              <w:t>交流阻抗模拟器和拟合器；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5.15 </w:t>
            </w:r>
            <w:r>
              <w:rPr>
                <w:rFonts w:hint="eastAsia" w:ascii="仿宋" w:hAnsi="仿宋" w:eastAsia="仿宋" w:cs="仿宋"/>
                <w:b w:val="0"/>
                <w:bCs w:val="0"/>
                <w:color w:val="auto"/>
                <w:sz w:val="21"/>
                <w:szCs w:val="21"/>
                <w:highlight w:val="none"/>
                <w:lang w:eastAsia="zh-CN"/>
              </w:rPr>
              <w:t>最大数据长度：256~16384K；</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5.16 </w:t>
            </w:r>
            <w:r>
              <w:rPr>
                <w:rFonts w:hint="eastAsia" w:ascii="仿宋" w:hAnsi="仿宋" w:eastAsia="仿宋" w:cs="仿宋"/>
                <w:b w:val="0"/>
                <w:bCs w:val="0"/>
                <w:color w:val="auto"/>
                <w:sz w:val="21"/>
                <w:szCs w:val="21"/>
                <w:highlight w:val="none"/>
                <w:lang w:eastAsia="zh-CN"/>
              </w:rPr>
              <w:t>提供可适用扫描电化学显微镜的定制电解池系统电解测试池；</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5.17 </w:t>
            </w:r>
            <w:r>
              <w:rPr>
                <w:rFonts w:hint="eastAsia" w:ascii="仿宋" w:hAnsi="仿宋" w:eastAsia="仿宋" w:cs="仿宋"/>
                <w:b w:val="0"/>
                <w:bCs w:val="0"/>
                <w:color w:val="auto"/>
                <w:sz w:val="21"/>
                <w:szCs w:val="21"/>
                <w:highlight w:val="none"/>
                <w:lang w:eastAsia="zh-CN"/>
              </w:rPr>
              <w:t>测量方法至少包括流体力学调制伏安法（HMV）、多电位阶跃方法（STEP）、扫描-阶跃混合方法（SSF）；</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★6.</w:t>
            </w:r>
            <w:r>
              <w:rPr>
                <w:rFonts w:hint="eastAsia" w:ascii="仿宋" w:hAnsi="仿宋" w:eastAsia="仿宋" w:cs="仿宋"/>
                <w:b w:val="0"/>
                <w:bCs w:val="0"/>
                <w:color w:val="auto"/>
                <w:sz w:val="21"/>
                <w:szCs w:val="21"/>
                <w:highlight w:val="none"/>
                <w:lang w:eastAsia="zh-CN"/>
              </w:rPr>
              <w:t>预留拓展升级扫描电化学显微镜功能</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6.1 </w:t>
            </w:r>
            <w:r>
              <w:rPr>
                <w:rFonts w:hint="eastAsia" w:ascii="仿宋" w:hAnsi="仿宋" w:eastAsia="仿宋" w:cs="仿宋"/>
                <w:b w:val="0"/>
                <w:bCs w:val="0"/>
                <w:color w:val="auto"/>
                <w:sz w:val="21"/>
                <w:szCs w:val="21"/>
                <w:highlight w:val="none"/>
                <w:lang w:eastAsia="zh-CN"/>
              </w:rPr>
              <w:t>步进电机XYZ分辨率：8nm；</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6.2 </w:t>
            </w:r>
            <w:r>
              <w:rPr>
                <w:rFonts w:hint="eastAsia" w:ascii="仿宋" w:hAnsi="仿宋" w:eastAsia="仿宋" w:cs="仿宋"/>
                <w:b w:val="0"/>
                <w:bCs w:val="0"/>
                <w:color w:val="auto"/>
                <w:sz w:val="21"/>
                <w:szCs w:val="21"/>
                <w:highlight w:val="none"/>
                <w:lang w:eastAsia="zh-CN"/>
              </w:rPr>
              <w:t>步进电机加闭环压电晶体；</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6.3 </w:t>
            </w:r>
            <w:r>
              <w:rPr>
                <w:rFonts w:hint="eastAsia" w:ascii="仿宋" w:hAnsi="仿宋" w:eastAsia="仿宋" w:cs="仿宋"/>
                <w:b w:val="0"/>
                <w:bCs w:val="0"/>
                <w:color w:val="auto"/>
                <w:sz w:val="21"/>
                <w:szCs w:val="21"/>
                <w:highlight w:val="none"/>
                <w:lang w:eastAsia="zh-CN"/>
              </w:rPr>
              <w:t>XYZ分辨率：1.6nm；</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6.4 </w:t>
            </w:r>
            <w:r>
              <w:rPr>
                <w:rFonts w:hint="eastAsia" w:ascii="仿宋" w:hAnsi="仿宋" w:eastAsia="仿宋" w:cs="仿宋"/>
                <w:b w:val="0"/>
                <w:bCs w:val="0"/>
                <w:color w:val="auto"/>
                <w:sz w:val="21"/>
                <w:szCs w:val="21"/>
                <w:highlight w:val="none"/>
                <w:lang w:eastAsia="zh-CN"/>
              </w:rPr>
              <w:t>XYZ移动距离：50mm；</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6.5 </w:t>
            </w:r>
            <w:r>
              <w:rPr>
                <w:rFonts w:hint="eastAsia" w:ascii="仿宋" w:hAnsi="仿宋" w:eastAsia="仿宋" w:cs="仿宋"/>
                <w:b w:val="0"/>
                <w:bCs w:val="0"/>
                <w:color w:val="auto"/>
                <w:sz w:val="21"/>
                <w:szCs w:val="21"/>
                <w:highlight w:val="none"/>
                <w:lang w:eastAsia="zh-CN"/>
              </w:rPr>
              <w:t>提供电化学组联用系统开发。</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7.品牌数据处理系统</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7.1 </w:t>
            </w:r>
            <w:r>
              <w:rPr>
                <w:rFonts w:hint="eastAsia" w:ascii="仿宋" w:hAnsi="仿宋" w:eastAsia="仿宋" w:cs="仿宋"/>
                <w:b w:val="0"/>
                <w:bCs w:val="0"/>
                <w:color w:val="auto"/>
                <w:sz w:val="21"/>
                <w:szCs w:val="21"/>
                <w:highlight w:val="none"/>
                <w:lang w:eastAsia="zh-CN"/>
              </w:rPr>
              <w:t>处理器i5或优于；</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7.2 ≥</w:t>
            </w:r>
            <w:r>
              <w:rPr>
                <w:rFonts w:hint="eastAsia" w:ascii="仿宋" w:hAnsi="仿宋" w:eastAsia="仿宋" w:cs="仿宋"/>
                <w:b w:val="0"/>
                <w:bCs w:val="0"/>
                <w:color w:val="auto"/>
                <w:sz w:val="21"/>
                <w:szCs w:val="21"/>
                <w:highlight w:val="none"/>
                <w:lang w:eastAsia="zh-CN"/>
              </w:rPr>
              <w:t>8GB内存容量；</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7.3 ≥</w:t>
            </w:r>
            <w:r>
              <w:rPr>
                <w:rFonts w:hint="eastAsia" w:ascii="仿宋" w:hAnsi="仿宋" w:eastAsia="仿宋" w:cs="仿宋"/>
                <w:b w:val="0"/>
                <w:bCs w:val="0"/>
                <w:color w:val="auto"/>
                <w:sz w:val="21"/>
                <w:szCs w:val="21"/>
                <w:highlight w:val="none"/>
                <w:lang w:eastAsia="zh-CN"/>
              </w:rPr>
              <w:t>512GB固态硬盘；</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7.4 ≥</w:t>
            </w:r>
            <w:r>
              <w:rPr>
                <w:rFonts w:hint="eastAsia" w:ascii="仿宋" w:hAnsi="仿宋" w:eastAsia="仿宋" w:cs="仿宋"/>
                <w:b w:val="0"/>
                <w:bCs w:val="0"/>
                <w:color w:val="auto"/>
                <w:sz w:val="21"/>
                <w:szCs w:val="21"/>
                <w:highlight w:val="none"/>
                <w:lang w:eastAsia="zh-CN"/>
              </w:rPr>
              <w:t>21.5英寸显示器。</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单套配置：主机1台、软件光盘1张、电源线1根、通讯线1根、电极线1束、电解测试池1套、用户手册1份、合格证1份、质保卡1份、送货清单1份、品牌数据处理系统1台</w:t>
            </w:r>
          </w:p>
        </w:tc>
      </w:tr>
    </w:tbl>
    <w:p>
      <w:pPr>
        <w:adjustRightInd w:val="0"/>
        <w:snapToGrid w:val="0"/>
        <w:spacing w:line="288" w:lineRule="auto"/>
        <w:ind w:left="0" w:leftChars="0" w:right="0" w:rightChars="0" w:firstLine="0" w:firstLineChars="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600"/>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370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3704" w:type="pct"/>
            <w:vAlign w:val="center"/>
          </w:tcPr>
          <w:p>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浙江工业大学电化学工作站</w:t>
            </w:r>
            <w:r>
              <w:rPr>
                <w:rFonts w:hint="eastAsia" w:ascii="仿宋" w:hAnsi="仿宋" w:eastAsia="仿宋" w:cs="仿宋"/>
                <w:color w:val="auto"/>
                <w:sz w:val="18"/>
                <w:szCs w:val="18"/>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3704" w:type="pct"/>
            <w:vAlign w:val="center"/>
          </w:tcPr>
          <w:p>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w:t>
            </w:r>
          </w:p>
          <w:tbl>
            <w:tblPr>
              <w:tblStyle w:val="26"/>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062"/>
              <w:gridCol w:w="33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32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1.05（不足</w:t>
                  </w:r>
                  <w:r>
                    <w:rPr>
                      <w:rFonts w:hint="eastAsia" w:ascii="仿宋" w:hAnsi="仿宋" w:eastAsia="仿宋" w:cs="仿宋"/>
                      <w:color w:val="auto"/>
                      <w:sz w:val="18"/>
                      <w:szCs w:val="18"/>
                      <w:highlight w:val="none"/>
                      <w:lang w:eastAsia="zh-CN"/>
                    </w:rPr>
                    <w:t>叁仟元</w:t>
                  </w:r>
                  <w:r>
                    <w:rPr>
                      <w:rFonts w:hint="eastAsia" w:ascii="仿宋" w:hAnsi="仿宋" w:eastAsia="仿宋" w:cs="仿宋"/>
                      <w:color w:val="auto"/>
                      <w:sz w:val="18"/>
                      <w:szCs w:val="18"/>
                      <w:highlight w:val="none"/>
                    </w:rPr>
                    <w:t>按</w:t>
                  </w:r>
                  <w:r>
                    <w:rPr>
                      <w:rFonts w:hint="eastAsia" w:ascii="仿宋" w:hAnsi="仿宋" w:eastAsia="仿宋" w:cs="仿宋"/>
                      <w:color w:val="auto"/>
                      <w:sz w:val="18"/>
                      <w:szCs w:val="18"/>
                      <w:highlight w:val="none"/>
                      <w:lang w:eastAsia="zh-CN"/>
                    </w:rPr>
                    <w:t>叁仟元</w:t>
                  </w:r>
                  <w:r>
                    <w:rPr>
                      <w:rFonts w:hint="eastAsia" w:ascii="仿宋" w:hAnsi="仿宋" w:eastAsia="仿宋" w:cs="仿宋"/>
                      <w:color w:val="auto"/>
                      <w:sz w:val="18"/>
                      <w:szCs w:val="18"/>
                      <w:highlight w:val="none"/>
                    </w:rPr>
                    <w:t>收取）</w:t>
                  </w:r>
                </w:p>
              </w:tc>
            </w:tr>
          </w:tbl>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[2024年1月（含）至今任意一月]</w:t>
            </w:r>
            <w:r>
              <w:rPr>
                <w:rFonts w:hint="eastAsia" w:ascii="仿宋" w:hAnsi="仿宋" w:eastAsia="仿宋" w:cs="仿宋"/>
                <w:color w:val="auto"/>
                <w:sz w:val="18"/>
                <w:szCs w:val="18"/>
                <w:highlight w:val="none"/>
              </w:rPr>
              <w:t>证明；</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2.本项目允许分包，可以分包履行的（非主体、非关键性的工作）具体内容、金额或者比例：运输。</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6"/>
                <w:sz w:val="18"/>
                <w:szCs w:val="18"/>
                <w:highlight w:val="none"/>
                <w:lang w:val="en-US" w:eastAsia="zh-CN"/>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370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sz w:val="18"/>
                <w:szCs w:val="18"/>
                <w:highlight w:val="none"/>
              </w:rPr>
            </w:pPr>
            <w:r>
              <w:rPr>
                <w:rFonts w:hint="eastAsia" w:ascii="仿宋" w:hAnsi="仿宋" w:eastAsia="仿宋" w:cs="仿宋"/>
                <w:sz w:val="18"/>
                <w:szCs w:val="18"/>
                <w:highlight w:val="none"/>
              </w:rPr>
              <w:t>5.1 报价应按招标文件要求的格式编制、填写报价内容（可自行增行），未按招标文件要求编制、填写的投标文件可能被拒绝；</w:t>
            </w:r>
          </w:p>
          <w:p>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sz w:val="18"/>
                <w:szCs w:val="18"/>
                <w:highlight w:val="none"/>
              </w:rPr>
            </w:pPr>
            <w:r>
              <w:rPr>
                <w:rFonts w:hint="eastAsia" w:ascii="仿宋" w:hAnsi="仿宋" w:eastAsia="仿宋" w:cs="仿宋"/>
                <w:bCs/>
                <w:color w:val="auto"/>
                <w:sz w:val="18"/>
                <w:szCs w:val="18"/>
                <w:highlight w:val="none"/>
              </w:rPr>
              <w:t>5.2 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bCs/>
                <w:color w:val="auto"/>
                <w:sz w:val="18"/>
                <w:szCs w:val="18"/>
                <w:highlight w:val="none"/>
                <w:lang w:eastAsia="zh-CN"/>
              </w:rPr>
              <w:t>全部费用；</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sz w:val="18"/>
                <w:szCs w:val="18"/>
                <w:highlight w:val="none"/>
              </w:rPr>
              <w:t>▲5.</w:t>
            </w:r>
            <w:r>
              <w:rPr>
                <w:rFonts w:hint="eastAsia" w:ascii="仿宋" w:hAnsi="仿宋" w:eastAsia="仿宋" w:cs="仿宋"/>
                <w:sz w:val="18"/>
                <w:szCs w:val="18"/>
                <w:highlight w:val="none"/>
                <w:lang w:val="en-US" w:eastAsia="zh-CN"/>
              </w:rPr>
              <w:t xml:space="preserve">3 </w:t>
            </w:r>
            <w:r>
              <w:rPr>
                <w:rFonts w:hint="eastAsia" w:ascii="仿宋" w:hAnsi="仿宋" w:eastAsia="仿宋" w:cs="仿宋"/>
                <w:sz w:val="18"/>
                <w:szCs w:val="18"/>
                <w:highlight w:val="none"/>
              </w:rPr>
              <w:t>采购人将以合同形式有偿取得货物，不接受投标人给予的赠品、回扣或者与采购无关的其他商品、服务。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3704" w:type="pct"/>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3）落实政府采购政策需满足的资格要求</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pacing w:val="-6"/>
                <w:sz w:val="18"/>
                <w:szCs w:val="18"/>
                <w:highlight w:val="none"/>
              </w:rPr>
            </w:pPr>
            <w:r>
              <w:rPr>
                <w:rFonts w:hint="eastAsia" w:ascii="仿宋" w:hAnsi="仿宋" w:eastAsia="仿宋" w:cs="仿宋"/>
                <w:b/>
                <w:bCs/>
                <w:color w:val="auto"/>
                <w:sz w:val="18"/>
                <w:szCs w:val="18"/>
                <w:highlight w:val="none"/>
                <w:lang w:val="en-US" w:eastAsia="zh-CN"/>
              </w:rPr>
              <w:t>4）</w:t>
            </w:r>
            <w:r>
              <w:rPr>
                <w:rFonts w:hint="eastAsia" w:ascii="仿宋" w:hAnsi="仿宋" w:eastAsia="仿宋" w:cs="仿宋"/>
                <w:b/>
                <w:bCs/>
                <w:color w:val="auto"/>
                <w:sz w:val="18"/>
                <w:szCs w:val="18"/>
                <w:highlight w:val="none"/>
              </w:rPr>
              <w:t>联合协议（若联合体投标）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评标方法和评标标准</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浙江工业大学电化学工作站</w:t>
      </w:r>
      <w:r>
        <w:rPr>
          <w:rFonts w:hint="eastAsia" w:ascii="仿宋" w:hAnsi="仿宋" w:eastAsia="仿宋" w:cs="仿宋"/>
          <w:color w:val="auto"/>
          <w:spacing w:val="-6"/>
          <w:szCs w:val="21"/>
          <w:highlight w:val="none"/>
        </w:rPr>
        <w:t>的招标、评标、定标、验收、合同履约、付款等（法律、法规另有规定的，从其规定）。</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.“采购人”系指浙江工业大学；</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5"/>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w:t>
      </w:r>
    </w:p>
    <w:tbl>
      <w:tblPr>
        <w:tblStyle w:val="26"/>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3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3322" w:type="dxa"/>
            <w:tcMar>
              <w:top w:w="0" w:type="dxa"/>
              <w:left w:w="108" w:type="dxa"/>
              <w:bottom w:w="0" w:type="dxa"/>
              <w:right w:w="108" w:type="dxa"/>
            </w:tcMar>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100以下</w:t>
            </w:r>
          </w:p>
        </w:tc>
        <w:tc>
          <w:tcPr>
            <w:tcW w:w="3322" w:type="dxa"/>
            <w:tcMar>
              <w:top w:w="0" w:type="dxa"/>
              <w:left w:w="108" w:type="dxa"/>
              <w:bottom w:w="0" w:type="dxa"/>
              <w:right w:w="108" w:type="dxa"/>
            </w:tcMar>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1.05（不足</w:t>
            </w:r>
            <w:r>
              <w:rPr>
                <w:rFonts w:hint="eastAsia" w:ascii="仿宋" w:hAnsi="仿宋" w:eastAsia="仿宋" w:cs="仿宋"/>
                <w:color w:val="auto"/>
                <w:szCs w:val="21"/>
                <w:highlight w:val="none"/>
                <w:lang w:eastAsia="zh-CN"/>
              </w:rPr>
              <w:t>叁仟元</w:t>
            </w:r>
            <w:r>
              <w:rPr>
                <w:rFonts w:hint="eastAsia" w:ascii="仿宋" w:hAnsi="仿宋" w:eastAsia="仿宋" w:cs="仿宋"/>
                <w:color w:val="auto"/>
                <w:szCs w:val="21"/>
                <w:highlight w:val="none"/>
              </w:rPr>
              <w:t>按</w:t>
            </w:r>
            <w:r>
              <w:rPr>
                <w:rFonts w:hint="eastAsia" w:ascii="仿宋" w:hAnsi="仿宋" w:eastAsia="仿宋" w:cs="仿宋"/>
                <w:color w:val="auto"/>
                <w:szCs w:val="21"/>
                <w:highlight w:val="none"/>
                <w:lang w:eastAsia="zh-CN"/>
              </w:rPr>
              <w:t>叁仟元</w:t>
            </w:r>
            <w:r>
              <w:rPr>
                <w:rFonts w:hint="eastAsia" w:ascii="仿宋" w:hAnsi="仿宋" w:eastAsia="仿宋" w:cs="仿宋"/>
                <w:color w:val="auto"/>
                <w:szCs w:val="21"/>
                <w:highlight w:val="none"/>
              </w:rPr>
              <w:t>收取）</w:t>
            </w:r>
          </w:p>
        </w:tc>
      </w:tr>
    </w:tbl>
    <w:p>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.投标保证金：无</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[2024年1月（含）至今任意一月]</w:t>
      </w:r>
      <w:r>
        <w:rPr>
          <w:rFonts w:hint="eastAsia" w:ascii="仿宋" w:hAnsi="仿宋" w:eastAsia="仿宋" w:cs="仿宋"/>
          <w:color w:val="auto"/>
          <w:spacing w:val="-6"/>
          <w:szCs w:val="21"/>
          <w:highlight w:val="none"/>
        </w:rPr>
        <w:t>证明；</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本项目不允许转包；</w:t>
      </w:r>
    </w:p>
    <w:p>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2.本项目允许分包，可以分包履行的（非主体、非关键性的工作）具体内容、金额或者比例：</w:t>
      </w:r>
      <w:r>
        <w:rPr>
          <w:rFonts w:hint="eastAsia" w:ascii="仿宋" w:hAnsi="仿宋" w:eastAsia="仿宋" w:cs="仿宋"/>
          <w:spacing w:val="-6"/>
          <w:szCs w:val="21"/>
          <w:highlight w:val="none"/>
        </w:rPr>
        <w:t>运输。</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7"/>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1.</w:t>
      </w:r>
      <w:r>
        <w:rPr>
          <w:rFonts w:hint="eastAsia" w:ascii="仿宋" w:hAnsi="仿宋" w:eastAsia="仿宋" w:cs="仿宋"/>
          <w:b/>
          <w:bCs/>
          <w:color w:val="auto"/>
          <w:spacing w:val="-6"/>
          <w:szCs w:val="21"/>
          <w:highlight w:val="none"/>
        </w:rPr>
        <w:t>本项目</w:t>
      </w:r>
      <w:r>
        <w:rPr>
          <w:rFonts w:hint="eastAsia" w:ascii="仿宋" w:hAnsi="仿宋" w:eastAsia="仿宋" w:cs="仿宋"/>
          <w:b/>
          <w:bCs/>
          <w:color w:val="auto"/>
          <w:spacing w:val="-6"/>
          <w:szCs w:val="21"/>
          <w:highlight w:val="none"/>
          <w:lang w:val="en-US" w:eastAsia="zh-CN"/>
        </w:rPr>
        <w:t>原则上</w:t>
      </w:r>
      <w:r>
        <w:rPr>
          <w:rFonts w:hint="eastAsia" w:ascii="仿宋" w:hAnsi="仿宋" w:eastAsia="仿宋" w:cs="仿宋"/>
          <w:b/>
          <w:bCs/>
          <w:color w:val="auto"/>
          <w:spacing w:val="-6"/>
          <w:szCs w:val="21"/>
          <w:highlight w:val="none"/>
        </w:rPr>
        <w:t>采购本国生产的货物</w:t>
      </w:r>
      <w:r>
        <w:rPr>
          <w:rFonts w:hint="eastAsia" w:ascii="仿宋" w:hAnsi="仿宋" w:eastAsia="仿宋" w:cs="仿宋"/>
          <w:b/>
          <w:bCs/>
          <w:color w:val="auto"/>
          <w:spacing w:val="-6"/>
          <w:szCs w:val="21"/>
          <w:highlight w:val="none"/>
          <w:lang w:eastAsia="zh-CN"/>
        </w:rPr>
        <w:t>，不允许采购进口产品</w:t>
      </w:r>
      <w:r>
        <w:rPr>
          <w:rFonts w:hint="eastAsia" w:ascii="仿宋" w:hAnsi="仿宋" w:eastAsia="仿宋" w:cs="仿宋"/>
          <w:b/>
          <w:bCs/>
          <w:color w:val="auto"/>
          <w:spacing w:val="-6"/>
          <w:szCs w:val="21"/>
          <w:highlight w:val="none"/>
        </w:rPr>
        <w:t>；</w:t>
      </w:r>
    </w:p>
    <w:p>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支持科技创新</w:t>
      </w:r>
    </w:p>
    <w:p>
      <w:pPr>
        <w:adjustRightInd w:val="0"/>
        <w:snapToGrid w:val="0"/>
        <w:spacing w:line="288" w:lineRule="auto"/>
        <w:ind w:firstLine="396" w:firstLineChars="200"/>
        <w:jc w:val="left"/>
        <w:rPr>
          <w:rFonts w:hint="eastAsia" w:ascii="仿宋" w:hAnsi="仿宋" w:eastAsia="仿宋" w:cs="仿宋"/>
          <w:b/>
          <w:bCs/>
          <w:spacing w:val="-6"/>
          <w:szCs w:val="21"/>
          <w:highlight w:val="none"/>
        </w:rPr>
      </w:pPr>
      <w:r>
        <w:rPr>
          <w:rFonts w:hint="eastAsia" w:ascii="仿宋" w:hAnsi="仿宋" w:eastAsia="仿宋" w:cs="仿宋"/>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3.</w:t>
      </w:r>
      <w:r>
        <w:rPr>
          <w:rFonts w:hint="eastAsia" w:ascii="仿宋" w:hAnsi="仿宋" w:eastAsia="仿宋" w:cs="仿宋"/>
          <w:b/>
          <w:bCs/>
          <w:spacing w:val="-6"/>
          <w:szCs w:val="21"/>
          <w:highlight w:val="none"/>
        </w:rPr>
        <w:t>支持中小企业发展</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在政府采购活动中，投标人提供的货物符合下列情形的，享受中小企业扶持政策：货物由中小企业制造，即货物由中小企业生产且使用该中小企业商号或者注册商标。</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投标人提供的货物既有中小企业制造货物，也有大型企业制造货物的，不享受中小企业扶持政策。</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依法承担法律责任。</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rPr>
        <w:t>政府采购支持监狱企业发展</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政府采购促进残疾人就业</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8"/>
    <w:p>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9"/>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41"/>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ascii="仿宋" w:hAnsi="仿宋" w:eastAsia="仿宋" w:cs="仿宋"/>
          <w:sz w:val="21"/>
          <w:szCs w:val="21"/>
          <w:highlight w:val="none"/>
        </w:rPr>
      </w:pPr>
      <w:bookmarkStart w:id="42" w:name="_Hlk94018664"/>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.报价应按招标文件要求的格式编制、填写报价内容（可自行增行），未按招标文件要求编制、填写的投标文件可能被拒绝；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sz w:val="21"/>
          <w:szCs w:val="21"/>
          <w:highlight w:val="none"/>
          <w:lang w:eastAsia="zh-CN"/>
        </w:rPr>
        <w:t>全部费用；</w:t>
      </w:r>
    </w:p>
    <w:p>
      <w:pPr>
        <w:adjustRightInd w:val="0"/>
        <w:snapToGrid w:val="0"/>
        <w:spacing w:line="288" w:lineRule="auto"/>
        <w:ind w:firstLine="420"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.采购人将以合同形式有偿取得货物，不接受投标人给予的赠品、回扣或者与采购无关的其他商品、服务。</w:t>
      </w:r>
    </w:p>
    <w:bookmarkEnd w:id="42"/>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p>
    <w:p>
      <w:pPr>
        <w:pStyle w:val="10"/>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提供《中小企业声明函》内容不实的</w:t>
      </w:r>
      <w:r>
        <w:rPr>
          <w:rFonts w:hint="eastAsia" w:ascii="仿宋" w:hAnsi="仿宋" w:eastAsia="仿宋" w:cs="仿宋"/>
          <w:color w:val="auto"/>
          <w:spacing w:val="-6"/>
          <w:szCs w:val="21"/>
          <w:highlight w:val="none"/>
          <w:lang w:val="en-US" w:eastAsia="zh-CN"/>
        </w:rPr>
        <w:t>或</w:t>
      </w:r>
      <w:r>
        <w:rPr>
          <w:rFonts w:hint="eastAsia" w:ascii="仿宋" w:hAnsi="仿宋" w:eastAsia="仿宋" w:cs="仿宋"/>
          <w:color w:val="auto"/>
          <w:spacing w:val="-6"/>
          <w:szCs w:val="21"/>
          <w:highlight w:val="none"/>
        </w:rPr>
        <w:t>《中小企业声明函》填写不全（从业人员、营业收入、资产总额在中小企业划型标准规定中不涉及的除外）</w:t>
      </w:r>
      <w:r>
        <w:rPr>
          <w:rFonts w:hint="eastAsia" w:ascii="仿宋" w:hAnsi="仿宋" w:eastAsia="仿宋" w:cs="仿宋"/>
          <w:color w:val="auto"/>
          <w:spacing w:val="-6"/>
          <w:szCs w:val="21"/>
          <w:highlight w:val="none"/>
          <w:lang w:val="en-US" w:eastAsia="zh-CN"/>
        </w:rPr>
        <w:t>的</w:t>
      </w:r>
      <w:r>
        <w:rPr>
          <w:rFonts w:hint="eastAsia" w:ascii="仿宋" w:hAnsi="仿宋" w:eastAsia="仿宋" w:cs="仿宋"/>
          <w:color w:val="auto"/>
          <w:spacing w:val="-6"/>
          <w:szCs w:val="21"/>
          <w:highlight w:val="none"/>
        </w:rPr>
        <w:t>或未按照《中小企业声明函》要求填写</w:t>
      </w:r>
      <w:r>
        <w:rPr>
          <w:rFonts w:hint="eastAsia" w:ascii="仿宋" w:hAnsi="仿宋" w:eastAsia="仿宋" w:cs="仿宋"/>
          <w:color w:val="auto"/>
          <w:spacing w:val="-6"/>
          <w:szCs w:val="21"/>
          <w:highlight w:val="none"/>
          <w:lang w:val="en-US" w:eastAsia="zh-CN"/>
        </w:rPr>
        <w:t>的</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未提供或未如实提供采购需求偏离表的</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质保期不满足招标文件要求的</w:t>
      </w:r>
    </w:p>
    <w:p>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6.产品响应</w:t>
      </w:r>
      <w:r>
        <w:rPr>
          <w:rFonts w:hint="eastAsia" w:ascii="仿宋" w:hAnsi="仿宋" w:eastAsia="仿宋" w:cs="仿宋"/>
          <w:b w:val="0"/>
          <w:bCs w:val="0"/>
          <w:sz w:val="21"/>
          <w:szCs w:val="21"/>
          <w:highlight w:val="none"/>
          <w:lang w:val="en-US" w:eastAsia="zh-CN"/>
        </w:rPr>
        <w:t>累计负偏离≥14项（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投标技术方案不明确（存在一个或一个以上备选/替代投标方案）的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投标文件含有采购人不能接受的附加条件的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未按照招标文件标明的币种报价的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w:t>
      </w:r>
      <w:r>
        <w:rPr>
          <w:rFonts w:hint="eastAsia" w:ascii="仿宋" w:hAnsi="仿宋" w:eastAsia="仿宋" w:cs="仿宋"/>
          <w:color w:val="auto"/>
          <w:spacing w:val="-6"/>
          <w:szCs w:val="21"/>
          <w:highlight w:val="none"/>
          <w:lang w:val="en-US" w:eastAsia="zh-CN"/>
        </w:rPr>
        <w:t>预算金额或者</w:t>
      </w:r>
      <w:r>
        <w:rPr>
          <w:rFonts w:hint="eastAsia" w:ascii="仿宋" w:hAnsi="仿宋" w:eastAsia="仿宋" w:cs="仿宋"/>
          <w:color w:val="auto"/>
          <w:spacing w:val="-6"/>
          <w:szCs w:val="21"/>
          <w:highlight w:val="none"/>
        </w:rPr>
        <w:t>最高限价的</w:t>
      </w:r>
    </w:p>
    <w:p>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3"/>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val="0"/>
        <w:snapToGrid w:val="0"/>
        <w:spacing w:line="288" w:lineRule="auto"/>
        <w:ind w:firstLine="398" w:firstLineChars="200"/>
        <w:rPr>
          <w:rFonts w:ascii="仿宋" w:hAnsi="仿宋" w:eastAsia="仿宋" w:cs="仿宋"/>
          <w:b/>
          <w:bCs/>
          <w:color w:val="auto"/>
          <w:spacing w:val="-6"/>
          <w:szCs w:val="21"/>
          <w:highlight w:val="none"/>
        </w:rPr>
      </w:pPr>
    </w:p>
    <w:p>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6"/>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665"/>
        <w:gridCol w:w="7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66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7525" w:type="dxa"/>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8" w:type="dxa"/>
            <w:gridSpan w:val="3"/>
            <w:vAlign w:val="center"/>
          </w:tcPr>
          <w:p>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40</w:t>
            </w:r>
          </w:p>
        </w:tc>
        <w:tc>
          <w:tcPr>
            <w:tcW w:w="75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pPr>
              <w:rPr>
                <w:rFonts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40</w:t>
            </w:r>
            <w:r>
              <w:rPr>
                <w:rFonts w:hint="eastAsia" w:ascii="仿宋" w:hAnsi="仿宋" w:eastAsia="仿宋" w:cs="仿宋"/>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8" w:type="dxa"/>
            <w:gridSpan w:val="3"/>
            <w:vAlign w:val="center"/>
          </w:tcPr>
          <w:p>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7525" w:type="dxa"/>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color w:val="auto"/>
                <w:szCs w:val="21"/>
                <w:highlight w:val="none"/>
              </w:rPr>
              <w:t>满足招标文件要求基础上每延长1年得</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最高</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分），延长时间不足1年不计入得分，不满足招标文件要求投标无效。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业绩</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525" w:type="dxa"/>
            <w:vAlign w:val="center"/>
          </w:tcPr>
          <w:p>
            <w:pPr>
              <w:rPr>
                <w:rFonts w:hint="default"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b w:val="0"/>
                <w:bCs w:val="0"/>
                <w:color w:val="auto"/>
                <w:sz w:val="21"/>
                <w:szCs w:val="21"/>
                <w:highlight w:val="none"/>
              </w:rPr>
              <w:t>投标人自</w:t>
            </w:r>
            <w:r>
              <w:rPr>
                <w:rFonts w:hint="eastAsia" w:ascii="仿宋" w:hAnsi="仿宋" w:eastAsia="仿宋" w:cs="仿宋"/>
                <w:b w:val="0"/>
                <w:bCs w:val="0"/>
                <w:color w:val="auto"/>
                <w:sz w:val="21"/>
                <w:szCs w:val="21"/>
                <w:highlight w:val="none"/>
                <w:lang w:val="en-US" w:eastAsia="zh-CN"/>
              </w:rPr>
              <w:t>2021</w:t>
            </w:r>
            <w:r>
              <w:rPr>
                <w:rFonts w:hint="eastAsia" w:ascii="仿宋" w:hAnsi="仿宋" w:eastAsia="仿宋" w:cs="仿宋"/>
                <w:b w:val="0"/>
                <w:bCs w:val="0"/>
                <w:color w:val="auto"/>
                <w:sz w:val="21"/>
                <w:szCs w:val="21"/>
                <w:highlight w:val="none"/>
              </w:rPr>
              <w:t>年1月1日以来（以合同签订时间为准）</w:t>
            </w:r>
            <w:r>
              <w:rPr>
                <w:rFonts w:hint="eastAsia" w:ascii="仿宋" w:hAnsi="仿宋" w:eastAsia="仿宋" w:cs="仿宋"/>
                <w:b w:val="0"/>
                <w:bCs w:val="0"/>
                <w:color w:val="auto"/>
                <w:sz w:val="21"/>
                <w:szCs w:val="21"/>
                <w:highlight w:val="none"/>
                <w:lang w:eastAsia="zh-CN"/>
              </w:rPr>
              <w:t>与采购标的同品类</w:t>
            </w:r>
            <w:r>
              <w:rPr>
                <w:rFonts w:hint="eastAsia" w:ascii="仿宋" w:hAnsi="仿宋" w:eastAsia="仿宋" w:cs="仿宋"/>
                <w:b w:val="0"/>
                <w:bCs w:val="0"/>
                <w:color w:val="auto"/>
                <w:sz w:val="21"/>
                <w:szCs w:val="21"/>
                <w:highlight w:val="none"/>
                <w:lang w:val="en-US" w:eastAsia="zh-CN"/>
              </w:rPr>
              <w:t>产品</w:t>
            </w:r>
            <w:r>
              <w:rPr>
                <w:rFonts w:hint="eastAsia" w:ascii="仿宋" w:hAnsi="仿宋" w:eastAsia="仿宋" w:cs="仿宋"/>
                <w:b w:val="0"/>
                <w:bCs w:val="0"/>
                <w:color w:val="auto"/>
                <w:sz w:val="21"/>
                <w:szCs w:val="21"/>
                <w:highlight w:val="none"/>
              </w:rPr>
              <w:t>业绩（</w:t>
            </w:r>
            <w:r>
              <w:rPr>
                <w:rFonts w:hint="eastAsia" w:ascii="仿宋" w:hAnsi="仿宋" w:eastAsia="仿宋" w:cs="仿宋"/>
                <w:b w:val="0"/>
                <w:bCs w:val="0"/>
                <w:color w:val="auto"/>
                <w:sz w:val="21"/>
                <w:szCs w:val="21"/>
                <w:highlight w:val="none"/>
                <w:lang w:eastAsia="zh-CN"/>
              </w:rPr>
              <w:t>最高</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分）：1分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份</w:t>
            </w:r>
            <w:r>
              <w:rPr>
                <w:rFonts w:hint="eastAsia" w:ascii="仿宋" w:hAnsi="仿宋" w:eastAsia="仿宋" w:cs="仿宋"/>
                <w:b w:val="0"/>
                <w:bCs w:val="0"/>
                <w:color w:val="auto"/>
                <w:sz w:val="21"/>
                <w:szCs w:val="21"/>
                <w:highlight w:val="none"/>
                <w:lang w:val="en-US" w:eastAsia="zh-CN"/>
              </w:rPr>
              <w:t>（以</w:t>
            </w:r>
            <w:r>
              <w:rPr>
                <w:rFonts w:hint="eastAsia" w:ascii="仿宋" w:hAnsi="仿宋" w:eastAsia="仿宋" w:cs="仿宋"/>
                <w:b w:val="0"/>
                <w:bCs w:val="0"/>
                <w:color w:val="auto"/>
                <w:sz w:val="21"/>
                <w:szCs w:val="21"/>
                <w:highlight w:val="none"/>
              </w:rPr>
              <w:t>合同及对应验收报告扫描件或省级以上主管部门认定的首台套产品相关证明材料</w:t>
            </w:r>
            <w:r>
              <w:rPr>
                <w:rFonts w:hint="eastAsia" w:ascii="仿宋" w:hAnsi="仿宋" w:eastAsia="仿宋" w:cs="仿宋"/>
                <w:b w:val="0"/>
                <w:bCs w:val="0"/>
                <w:color w:val="auto"/>
                <w:sz w:val="21"/>
                <w:szCs w:val="21"/>
                <w:highlight w:val="none"/>
                <w:lang w:val="en-US"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8" w:type="dxa"/>
            <w:gridSpan w:val="3"/>
            <w:vAlign w:val="center"/>
          </w:tcPr>
          <w:p>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产品响应</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32</w:t>
            </w:r>
          </w:p>
        </w:tc>
        <w:tc>
          <w:tcPr>
            <w:tcW w:w="7525" w:type="dxa"/>
            <w:vAlign w:val="center"/>
          </w:tcPr>
          <w:p>
            <w:pPr>
              <w:rPr>
                <w:rFonts w:hint="default" w:ascii="仿宋" w:hAnsi="仿宋" w:eastAsia="仿宋" w:cs="仿宋"/>
                <w:b w:val="0"/>
                <w:bCs w:val="0"/>
                <w:color w:val="auto"/>
                <w:szCs w:val="21"/>
                <w:highlight w:val="none"/>
                <w:lang w:val="en-US"/>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b w:val="0"/>
                <w:bCs w:val="0"/>
                <w:color w:val="auto"/>
                <w:szCs w:val="21"/>
                <w:highlight w:val="none"/>
              </w:rPr>
              <w:t>满足</w:t>
            </w:r>
            <w:r>
              <w:rPr>
                <w:rFonts w:hint="eastAsia" w:ascii="仿宋" w:hAnsi="仿宋" w:eastAsia="仿宋" w:cs="仿宋"/>
                <w:b w:val="0"/>
                <w:bCs w:val="0"/>
                <w:color w:val="auto"/>
                <w:szCs w:val="21"/>
                <w:highlight w:val="none"/>
                <w:lang w:val="en-US" w:eastAsia="zh-CN"/>
              </w:rPr>
              <w:t>或优于</w:t>
            </w:r>
            <w:r>
              <w:rPr>
                <w:rFonts w:hint="eastAsia" w:ascii="仿宋" w:hAnsi="仿宋" w:eastAsia="仿宋" w:cs="仿宋"/>
                <w:b w:val="0"/>
                <w:bCs w:val="0"/>
                <w:color w:val="auto"/>
                <w:szCs w:val="21"/>
                <w:highlight w:val="none"/>
              </w:rPr>
              <w:t>招标文件明确的全部技术条款</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配置除外</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要求得</w:t>
            </w:r>
            <w:r>
              <w:rPr>
                <w:rFonts w:hint="eastAsia" w:ascii="仿宋" w:hAnsi="仿宋" w:eastAsia="仿宋" w:cs="仿宋"/>
                <w:b w:val="0"/>
                <w:bCs w:val="0"/>
                <w:color w:val="auto"/>
                <w:szCs w:val="21"/>
                <w:highlight w:val="none"/>
                <w:lang w:val="en-US" w:eastAsia="zh-CN"/>
              </w:rPr>
              <w:t>32分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sz w:val="21"/>
                <w:szCs w:val="21"/>
                <w:highlight w:val="none"/>
              </w:rPr>
              <w:t>标★</w:t>
            </w:r>
            <w:r>
              <w:rPr>
                <w:rFonts w:hint="eastAsia" w:ascii="仿宋" w:hAnsi="仿宋" w:eastAsia="仿宋" w:cs="仿宋"/>
                <w:b w:val="0"/>
                <w:bCs w:val="0"/>
                <w:sz w:val="21"/>
                <w:szCs w:val="21"/>
                <w:highlight w:val="none"/>
                <w:lang w:val="en-US" w:eastAsia="zh-CN"/>
              </w:rPr>
              <w:t>条款</w:t>
            </w:r>
            <w:r>
              <w:rPr>
                <w:rFonts w:hint="eastAsia" w:ascii="仿宋" w:hAnsi="仿宋" w:eastAsia="仿宋" w:cs="仿宋"/>
                <w:b w:val="0"/>
                <w:bCs w:val="0"/>
                <w:sz w:val="21"/>
                <w:szCs w:val="21"/>
                <w:highlight w:val="none"/>
              </w:rPr>
              <w:t>低于技术要求（负偏离）</w:t>
            </w:r>
            <w:r>
              <w:rPr>
                <w:rFonts w:hint="eastAsia" w:ascii="仿宋" w:hAnsi="仿宋" w:eastAsia="仿宋" w:cs="仿宋"/>
                <w:b w:val="0"/>
                <w:bCs w:val="0"/>
                <w:sz w:val="21"/>
                <w:szCs w:val="21"/>
                <w:highlight w:val="none"/>
                <w:lang w:val="en-US" w:eastAsia="zh-CN"/>
              </w:rPr>
              <w:t>或未</w:t>
            </w:r>
            <w:r>
              <w:rPr>
                <w:rFonts w:hint="eastAsia" w:ascii="仿宋" w:hAnsi="仿宋" w:eastAsia="仿宋" w:cs="仿宋"/>
                <w:b w:val="0"/>
                <w:bCs w:val="0"/>
                <w:sz w:val="21"/>
                <w:szCs w:val="21"/>
                <w:highlight w:val="none"/>
              </w:rPr>
              <w:t>附相关佐证材料</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视同负偏离</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rPr>
              <w:t>扣</w:t>
            </w:r>
            <w:r>
              <w:rPr>
                <w:rFonts w:hint="eastAsia" w:ascii="仿宋" w:hAnsi="仿宋" w:eastAsia="仿宋" w:cs="仿宋"/>
                <w:b w:val="0"/>
                <w:bCs w:val="0"/>
                <w:color w:val="auto"/>
                <w:szCs w:val="21"/>
                <w:highlight w:val="none"/>
                <w:lang w:val="en-US" w:eastAsia="zh-CN"/>
              </w:rPr>
              <w:t>2分</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项（</w:t>
            </w:r>
            <w:r>
              <w:rPr>
                <w:rFonts w:hint="eastAsia" w:ascii="仿宋" w:hAnsi="仿宋" w:eastAsia="仿宋" w:cs="仿宋"/>
                <w:b w:val="0"/>
                <w:bCs w:val="0"/>
                <w:color w:val="auto"/>
                <w:szCs w:val="21"/>
                <w:highlight w:val="none"/>
                <w:lang w:val="en-US" w:eastAsia="zh-CN"/>
              </w:rPr>
              <w:t>32分</w:t>
            </w:r>
            <w:r>
              <w:rPr>
                <w:rFonts w:hint="eastAsia" w:ascii="仿宋" w:hAnsi="仿宋" w:eastAsia="仿宋" w:cs="仿宋"/>
                <w:b w:val="0"/>
                <w:bCs w:val="0"/>
                <w:sz w:val="21"/>
                <w:szCs w:val="21"/>
                <w:highlight w:val="none"/>
                <w:lang w:val="en-US" w:eastAsia="zh-CN"/>
              </w:rPr>
              <w:t>起扣）、非</w:t>
            </w:r>
            <w:r>
              <w:rPr>
                <w:rFonts w:hint="eastAsia" w:ascii="仿宋" w:hAnsi="仿宋" w:eastAsia="仿宋" w:cs="仿宋"/>
                <w:b w:val="0"/>
                <w:bCs w:val="0"/>
                <w:sz w:val="21"/>
                <w:szCs w:val="21"/>
                <w:highlight w:val="none"/>
              </w:rPr>
              <w:t>标★</w:t>
            </w:r>
            <w:r>
              <w:rPr>
                <w:rFonts w:hint="eastAsia" w:ascii="仿宋" w:hAnsi="仿宋" w:eastAsia="仿宋" w:cs="仿宋"/>
                <w:b w:val="0"/>
                <w:bCs w:val="0"/>
                <w:sz w:val="21"/>
                <w:szCs w:val="21"/>
                <w:highlight w:val="none"/>
                <w:lang w:val="en-US" w:eastAsia="zh-CN"/>
              </w:rPr>
              <w:t>条款</w:t>
            </w:r>
            <w:r>
              <w:rPr>
                <w:rFonts w:hint="eastAsia" w:ascii="仿宋" w:hAnsi="仿宋" w:eastAsia="仿宋" w:cs="仿宋"/>
                <w:b w:val="0"/>
                <w:bCs w:val="0"/>
                <w:sz w:val="21"/>
                <w:szCs w:val="21"/>
                <w:highlight w:val="none"/>
              </w:rPr>
              <w:t>低于技术要求（负偏离）扣</w:t>
            </w:r>
            <w:r>
              <w:rPr>
                <w:rFonts w:hint="eastAsia" w:ascii="仿宋" w:hAnsi="仿宋" w:eastAsia="仿宋" w:cs="仿宋"/>
                <w:b w:val="0"/>
                <w:bCs w:val="0"/>
                <w:color w:val="auto"/>
                <w:szCs w:val="21"/>
                <w:highlight w:val="none"/>
                <w:lang w:val="en-US" w:eastAsia="zh-CN"/>
              </w:rPr>
              <w:t>1分</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项（</w:t>
            </w:r>
            <w:r>
              <w:rPr>
                <w:rFonts w:hint="eastAsia" w:ascii="仿宋" w:hAnsi="仿宋" w:eastAsia="仿宋" w:cs="仿宋"/>
                <w:b w:val="0"/>
                <w:bCs w:val="0"/>
                <w:color w:val="auto"/>
                <w:szCs w:val="21"/>
                <w:highlight w:val="none"/>
                <w:lang w:val="en-US" w:eastAsia="zh-CN"/>
              </w:rPr>
              <w:t>32分</w:t>
            </w:r>
            <w:r>
              <w:rPr>
                <w:rFonts w:hint="eastAsia" w:ascii="仿宋" w:hAnsi="仿宋" w:eastAsia="仿宋" w:cs="仿宋"/>
                <w:b w:val="0"/>
                <w:bCs w:val="0"/>
                <w:sz w:val="21"/>
                <w:szCs w:val="21"/>
                <w:highlight w:val="none"/>
                <w:lang w:val="en-US" w:eastAsia="zh-CN"/>
              </w:rPr>
              <w:t>起扣），累计负偏离≥14项（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b w:val="0"/>
                <w:bCs w:val="0"/>
                <w:sz w:val="21"/>
                <w:szCs w:val="21"/>
                <w:highlight w:val="none"/>
                <w:lang w:val="en-US" w:eastAsia="zh-CN"/>
              </w:rPr>
              <w:t>投标无效。</w:t>
            </w:r>
          </w:p>
          <w:p>
            <w:pPr>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说明：非标★条款与技术方案中相关材料不一致</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低于技术要求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可视为负偏离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restart"/>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7525" w:type="dxa"/>
            <w:vAlign w:val="center"/>
          </w:tcPr>
          <w:p>
            <w:pPr>
              <w:rPr>
                <w:rFonts w:hint="default" w:ascii="仿宋" w:hAnsi="仿宋" w:eastAsia="仿宋" w:cs="仿宋"/>
                <w:color w:val="auto"/>
                <w:szCs w:val="21"/>
                <w:highlight w:val="none"/>
                <w:lang w:val="en-US" w:eastAsia="zh-CN"/>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color w:val="auto"/>
                <w:szCs w:val="21"/>
                <w:highlight w:val="none"/>
                <w:lang w:eastAsia="zh-CN"/>
              </w:rPr>
              <w:t>电化学工作站</w:t>
            </w:r>
            <w:r>
              <w:rPr>
                <w:rFonts w:hint="eastAsia" w:ascii="仿宋" w:hAnsi="仿宋" w:eastAsia="仿宋" w:cs="仿宋"/>
                <w:b w:val="0"/>
                <w:bCs w:val="0"/>
                <w:szCs w:val="21"/>
                <w:highlight w:val="none"/>
                <w:lang w:val="en-US" w:eastAsia="zh-CN"/>
              </w:rPr>
              <w:t>结构（内部、外部）、配置[根据产品</w:t>
            </w:r>
            <w:r>
              <w:rPr>
                <w:rFonts w:hint="eastAsia" w:ascii="仿宋" w:hAnsi="仿宋" w:eastAsia="仿宋" w:cs="仿宋"/>
                <w:b w:val="0"/>
                <w:bCs w:val="0"/>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Cs w:val="21"/>
                <w:highlight w:val="none"/>
                <w:lang w:val="en-US" w:eastAsia="zh-CN"/>
              </w:rPr>
              <w:t>配置清单等评审]：专业、全面、详尽、</w:t>
            </w:r>
            <w:r>
              <w:rPr>
                <w:rFonts w:hint="eastAsia" w:ascii="仿宋" w:hAnsi="仿宋" w:eastAsia="仿宋" w:cs="仿宋"/>
                <w:szCs w:val="21"/>
                <w:highlight w:val="none"/>
              </w:rPr>
              <w:t>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配套程度高</w:t>
            </w:r>
            <w:r>
              <w:rPr>
                <w:rFonts w:hint="eastAsia" w:ascii="仿宋" w:hAnsi="仿宋" w:eastAsia="仿宋" w:cs="仿宋"/>
                <w:b/>
                <w:bCs/>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continue"/>
            <w:vAlign w:val="center"/>
          </w:tcPr>
          <w:p>
            <w:pPr>
              <w:jc w:val="center"/>
              <w:rPr>
                <w:rFonts w:hint="eastAsia" w:ascii="仿宋" w:hAnsi="仿宋" w:eastAsia="仿宋" w:cs="仿宋"/>
                <w:b/>
                <w:bCs/>
                <w:color w:val="auto"/>
                <w:szCs w:val="21"/>
                <w:highlight w:val="none"/>
              </w:rPr>
            </w:pP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7525" w:type="dxa"/>
            <w:vAlign w:val="center"/>
          </w:tcPr>
          <w:p>
            <w:pPr>
              <w:rPr>
                <w:rFonts w:hint="default" w:ascii="仿宋" w:hAnsi="仿宋" w:eastAsia="仿宋" w:cs="仿宋"/>
                <w:color w:val="auto"/>
                <w:szCs w:val="21"/>
                <w:highlight w:val="none"/>
                <w:lang w:val="en-US" w:eastAsia="zh-CN"/>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color w:val="auto"/>
                <w:szCs w:val="21"/>
                <w:highlight w:val="none"/>
                <w:lang w:eastAsia="zh-CN"/>
              </w:rPr>
              <w:t>电化学工作站</w:t>
            </w:r>
            <w:r>
              <w:rPr>
                <w:rFonts w:hint="eastAsia" w:ascii="仿宋" w:hAnsi="仿宋" w:eastAsia="仿宋" w:cs="仿宋"/>
                <w:b w:val="0"/>
                <w:bCs w:val="0"/>
                <w:szCs w:val="21"/>
                <w:highlight w:val="none"/>
                <w:lang w:val="en-US" w:eastAsia="zh-CN"/>
              </w:rPr>
              <w:t>扩展升级、软件功能[根据产品</w:t>
            </w:r>
            <w:r>
              <w:rPr>
                <w:rFonts w:hint="eastAsia" w:ascii="仿宋" w:hAnsi="仿宋" w:eastAsia="仿宋" w:cs="仿宋"/>
                <w:b w:val="0"/>
                <w:bCs w:val="0"/>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Cs w:val="21"/>
                <w:highlight w:val="none"/>
                <w:lang w:val="en-US" w:eastAsia="zh-CN"/>
              </w:rPr>
              <w:t>功能界面（含软件）截图等评审]：专业、全面、</w:t>
            </w:r>
            <w:r>
              <w:rPr>
                <w:rFonts w:hint="eastAsia" w:ascii="仿宋" w:hAnsi="仿宋" w:eastAsia="仿宋" w:cs="仿宋"/>
                <w:b w:val="0"/>
                <w:bCs w:val="0"/>
                <w:szCs w:val="21"/>
                <w:highlight w:val="none"/>
              </w:rPr>
              <w:t>针对采购需求及实际特点</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配套程度高</w:t>
            </w:r>
            <w:r>
              <w:rPr>
                <w:rFonts w:hint="eastAsia" w:ascii="仿宋" w:hAnsi="仿宋" w:eastAsia="仿宋" w:cs="仿宋"/>
                <w:b/>
                <w:bCs/>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continue"/>
            <w:vAlign w:val="center"/>
          </w:tcPr>
          <w:p>
            <w:pPr>
              <w:jc w:val="center"/>
              <w:rPr>
                <w:rFonts w:hint="eastAsia" w:ascii="仿宋" w:hAnsi="仿宋" w:eastAsia="仿宋" w:cs="仿宋"/>
                <w:b/>
                <w:bCs/>
                <w:color w:val="auto"/>
                <w:szCs w:val="21"/>
                <w:highlight w:val="none"/>
              </w:rPr>
            </w:pPr>
          </w:p>
        </w:tc>
        <w:tc>
          <w:tcPr>
            <w:tcW w:w="665" w:type="dxa"/>
            <w:vAlign w:val="center"/>
          </w:tcPr>
          <w:p>
            <w:pPr>
              <w:jc w:val="center"/>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3</w:t>
            </w:r>
          </w:p>
        </w:tc>
        <w:tc>
          <w:tcPr>
            <w:tcW w:w="7525" w:type="dxa"/>
            <w:vAlign w:val="center"/>
          </w:tcPr>
          <w:p>
            <w:pP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color w:val="auto"/>
                <w:szCs w:val="21"/>
                <w:highlight w:val="none"/>
                <w:lang w:eastAsia="zh-CN"/>
              </w:rPr>
              <w:t>电化学工作站</w:t>
            </w:r>
            <w:r>
              <w:rPr>
                <w:rFonts w:hint="eastAsia" w:ascii="仿宋" w:hAnsi="仿宋" w:eastAsia="仿宋" w:cs="仿宋"/>
                <w:b w:val="0"/>
                <w:bCs w:val="0"/>
                <w:szCs w:val="21"/>
                <w:highlight w:val="none"/>
                <w:lang w:val="en-US" w:eastAsia="zh-CN"/>
              </w:rPr>
              <w:t>技术路线</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原理、核心）[根据产品</w:t>
            </w:r>
            <w:r>
              <w:rPr>
                <w:rFonts w:hint="eastAsia" w:ascii="仿宋" w:hAnsi="仿宋" w:eastAsia="仿宋" w:cs="仿宋"/>
                <w:b w:val="0"/>
                <w:bCs w:val="0"/>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Cs w:val="21"/>
                <w:highlight w:val="none"/>
                <w:lang w:val="en-US" w:eastAsia="zh-CN"/>
              </w:rPr>
              <w:t>等评审]：专业、成熟、</w:t>
            </w:r>
            <w:r>
              <w:rPr>
                <w:rFonts w:hint="eastAsia" w:ascii="仿宋" w:hAnsi="仿宋" w:eastAsia="仿宋" w:cs="仿宋"/>
                <w:szCs w:val="21"/>
                <w:highlight w:val="none"/>
              </w:rPr>
              <w:t>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配套程度高</w:t>
            </w:r>
            <w:r>
              <w:rPr>
                <w:rFonts w:hint="eastAsia" w:ascii="仿宋" w:hAnsi="仿宋" w:eastAsia="仿宋" w:cs="仿宋"/>
                <w:b/>
                <w:bCs/>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continue"/>
            <w:vAlign w:val="center"/>
          </w:tcPr>
          <w:p>
            <w:pPr>
              <w:jc w:val="center"/>
              <w:rPr>
                <w:rFonts w:hint="eastAsia" w:ascii="仿宋" w:hAnsi="仿宋" w:eastAsia="仿宋" w:cs="仿宋"/>
                <w:b/>
                <w:bCs/>
                <w:color w:val="auto"/>
                <w:szCs w:val="21"/>
                <w:highlight w:val="none"/>
              </w:rPr>
            </w:pPr>
          </w:p>
        </w:tc>
        <w:tc>
          <w:tcPr>
            <w:tcW w:w="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52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szCs w:val="21"/>
                <w:highlight w:val="none"/>
                <w:lang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szCs w:val="21"/>
                <w:highlight w:val="none"/>
                <w:lang w:eastAsia="zh-CN"/>
              </w:rPr>
              <w:t>]</w:t>
            </w:r>
            <w:r>
              <w:rPr>
                <w:rFonts w:hint="eastAsia" w:ascii="仿宋" w:hAnsi="仿宋" w:eastAsia="仿宋" w:cs="仿宋"/>
                <w:color w:val="auto"/>
                <w:szCs w:val="21"/>
                <w:highlight w:val="none"/>
                <w:lang w:eastAsia="zh-CN"/>
              </w:rPr>
              <w:t>安装、调试</w:t>
            </w:r>
            <w:r>
              <w:rPr>
                <w:rFonts w:hint="eastAsia" w:ascii="仿宋" w:hAnsi="仿宋" w:eastAsia="仿宋" w:cs="仿宋"/>
                <w:color w:val="auto"/>
                <w:szCs w:val="21"/>
                <w:highlight w:val="none"/>
              </w:rPr>
              <w:t>方法或</w:t>
            </w:r>
            <w:r>
              <w:rPr>
                <w:rFonts w:hint="eastAsia" w:ascii="仿宋" w:hAnsi="仿宋" w:eastAsia="仿宋" w:cs="仿宋"/>
                <w:color w:val="auto"/>
                <w:szCs w:val="21"/>
                <w:highlight w:val="none"/>
                <w:lang w:eastAsia="zh-CN"/>
              </w:rPr>
              <w:t>方案：</w:t>
            </w:r>
            <w:r>
              <w:rPr>
                <w:rFonts w:hint="eastAsia" w:ascii="仿宋" w:hAnsi="仿宋" w:eastAsia="仿宋" w:cs="仿宋"/>
                <w:szCs w:val="21"/>
                <w:highlight w:val="none"/>
                <w:lang w:val="en-US" w:eastAsia="zh-CN"/>
              </w:rPr>
              <w:t>专业、全面、</w:t>
            </w:r>
            <w:r>
              <w:rPr>
                <w:rFonts w:hint="eastAsia" w:ascii="仿宋" w:hAnsi="仿宋" w:eastAsia="仿宋" w:cs="仿宋"/>
                <w:szCs w:val="21"/>
                <w:highlight w:val="none"/>
              </w:rPr>
              <w:t>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有利于</w:t>
            </w:r>
            <w:r>
              <w:rPr>
                <w:rFonts w:hint="eastAsia" w:ascii="仿宋" w:hAnsi="仿宋" w:eastAsia="仿宋" w:cs="仿宋"/>
                <w:szCs w:val="21"/>
                <w:highlight w:val="none"/>
              </w:rPr>
              <w:t>采购标的实现及</w:t>
            </w:r>
            <w:r>
              <w:rPr>
                <w:rFonts w:hint="eastAsia" w:ascii="仿宋" w:hAnsi="仿宋" w:eastAsia="仿宋" w:cs="仿宋"/>
                <w:szCs w:val="21"/>
                <w:highlight w:val="none"/>
                <w:lang w:val="en-US" w:eastAsia="zh-CN"/>
              </w:rPr>
              <w:t>合同</w:t>
            </w:r>
            <w:r>
              <w:rPr>
                <w:rFonts w:hint="eastAsia" w:ascii="仿宋" w:hAnsi="仿宋" w:eastAsia="仿宋" w:cs="仿宋"/>
                <w:szCs w:val="21"/>
                <w:highlight w:val="none"/>
              </w:rPr>
              <w:t>履约</w:t>
            </w:r>
            <w:r>
              <w:rPr>
                <w:rFonts w:hint="eastAsia" w:ascii="仿宋" w:hAnsi="仿宋" w:eastAsia="仿宋" w:cs="仿宋"/>
                <w:b/>
                <w:bCs/>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continue"/>
            <w:vAlign w:val="center"/>
          </w:tcPr>
          <w:p>
            <w:pPr>
              <w:jc w:val="center"/>
              <w:rPr>
                <w:rFonts w:hint="eastAsia" w:ascii="仿宋" w:hAnsi="仿宋" w:eastAsia="仿宋" w:cs="仿宋"/>
                <w:b/>
                <w:bCs/>
                <w:color w:val="auto"/>
                <w:szCs w:val="21"/>
                <w:highlight w:val="none"/>
              </w:rPr>
            </w:pPr>
          </w:p>
        </w:tc>
        <w:tc>
          <w:tcPr>
            <w:tcW w:w="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752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szCs w:val="21"/>
                <w:highlight w:val="none"/>
                <w:lang w:eastAsia="zh-CN"/>
              </w:rPr>
              <w:t>]</w:t>
            </w:r>
            <w:r>
              <w:rPr>
                <w:rFonts w:hint="eastAsia" w:ascii="仿宋" w:hAnsi="仿宋" w:eastAsia="仿宋" w:cs="仿宋"/>
                <w:b w:val="0"/>
                <w:bCs w:val="0"/>
                <w:szCs w:val="21"/>
                <w:highlight w:val="none"/>
                <w:lang w:eastAsia="zh-CN"/>
              </w:rPr>
              <w:t>日常运行</w:t>
            </w:r>
            <w:r>
              <w:rPr>
                <w:rFonts w:hint="eastAsia" w:ascii="仿宋" w:hAnsi="仿宋" w:eastAsia="仿宋" w:cs="仿宋"/>
                <w:b w:val="0"/>
                <w:bCs w:val="0"/>
                <w:szCs w:val="21"/>
                <w:highlight w:val="none"/>
                <w:lang w:val="en-US" w:eastAsia="zh-CN"/>
              </w:rPr>
              <w:t>及</w:t>
            </w:r>
            <w:r>
              <w:rPr>
                <w:rFonts w:hint="eastAsia" w:ascii="仿宋" w:hAnsi="仿宋" w:eastAsia="仿宋" w:cs="仿宋"/>
                <w:b w:val="0"/>
                <w:bCs w:val="0"/>
                <w:szCs w:val="21"/>
                <w:highlight w:val="none"/>
                <w:lang w:eastAsia="zh-CN"/>
              </w:rPr>
              <w:t>保养方案：</w:t>
            </w:r>
            <w:r>
              <w:rPr>
                <w:rFonts w:hint="eastAsia" w:ascii="仿宋" w:hAnsi="仿宋" w:eastAsia="仿宋" w:cs="仿宋"/>
                <w:szCs w:val="21"/>
                <w:highlight w:val="none"/>
                <w:lang w:val="en-US" w:eastAsia="zh-CN"/>
              </w:rPr>
              <w:t>专业、全面、</w:t>
            </w:r>
            <w:r>
              <w:rPr>
                <w:rFonts w:hint="eastAsia" w:ascii="仿宋" w:hAnsi="仿宋" w:eastAsia="仿宋" w:cs="仿宋"/>
                <w:szCs w:val="21"/>
                <w:highlight w:val="none"/>
              </w:rPr>
              <w:t>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有利于</w:t>
            </w:r>
            <w:r>
              <w:rPr>
                <w:rFonts w:hint="eastAsia" w:ascii="仿宋" w:hAnsi="仿宋" w:eastAsia="仿宋" w:cs="仿宋"/>
                <w:szCs w:val="21"/>
                <w:highlight w:val="none"/>
              </w:rPr>
              <w:t>采购标的实现及</w:t>
            </w:r>
            <w:r>
              <w:rPr>
                <w:rFonts w:hint="eastAsia" w:ascii="仿宋" w:hAnsi="仿宋" w:eastAsia="仿宋" w:cs="仿宋"/>
                <w:szCs w:val="21"/>
                <w:highlight w:val="none"/>
                <w:lang w:val="en-US" w:eastAsia="zh-CN"/>
              </w:rPr>
              <w:t>合同</w:t>
            </w:r>
            <w:r>
              <w:rPr>
                <w:rFonts w:hint="eastAsia" w:ascii="仿宋" w:hAnsi="仿宋" w:eastAsia="仿宋" w:cs="仿宋"/>
                <w:szCs w:val="21"/>
                <w:highlight w:val="none"/>
              </w:rPr>
              <w:t>履约</w:t>
            </w:r>
            <w:r>
              <w:rPr>
                <w:rFonts w:hint="eastAsia" w:ascii="仿宋" w:hAnsi="仿宋" w:eastAsia="仿宋" w:cs="仿宋"/>
                <w:b/>
                <w:bCs/>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技术培训</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525" w:type="dxa"/>
            <w:vAlign w:val="center"/>
          </w:tcPr>
          <w:p>
            <w:pPr>
              <w:rPr>
                <w:rFonts w:ascii="仿宋" w:hAnsi="仿宋" w:eastAsia="仿宋" w:cs="仿宋"/>
                <w:color w:val="auto"/>
                <w:szCs w:val="21"/>
                <w:highlight w:val="none"/>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szCs w:val="21"/>
                <w:highlight w:val="none"/>
              </w:rPr>
              <w:t>培训计划</w:t>
            </w:r>
            <w:r>
              <w:rPr>
                <w:rFonts w:hint="eastAsia" w:ascii="仿宋" w:hAnsi="仿宋" w:eastAsia="仿宋" w:cs="仿宋"/>
                <w:szCs w:val="21"/>
                <w:highlight w:val="none"/>
                <w:lang w:eastAsia="zh-CN"/>
              </w:rPr>
              <w:t>（</w:t>
            </w:r>
            <w:r>
              <w:rPr>
                <w:rFonts w:hint="eastAsia" w:ascii="仿宋" w:hAnsi="仿宋" w:eastAsia="仿宋" w:cs="仿宋"/>
                <w:szCs w:val="21"/>
                <w:highlight w:val="none"/>
              </w:rPr>
              <w:t>包括培训流程、培训方式、培训对象、培训内容、培训日程等</w:t>
            </w:r>
            <w:r>
              <w:rPr>
                <w:rFonts w:hint="eastAsia" w:ascii="仿宋" w:hAnsi="仿宋" w:eastAsia="仿宋" w:cs="仿宋"/>
                <w:szCs w:val="21"/>
                <w:highlight w:val="none"/>
                <w:lang w:eastAsia="zh-CN"/>
              </w:rPr>
              <w:t>）：</w:t>
            </w:r>
            <w:r>
              <w:rPr>
                <w:rFonts w:hint="eastAsia" w:ascii="仿宋" w:hAnsi="仿宋" w:eastAsia="仿宋" w:cs="仿宋"/>
                <w:szCs w:val="21"/>
                <w:highlight w:val="none"/>
              </w:rPr>
              <w:t>全面、针对采购需求及实际特点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有利于</w:t>
            </w:r>
            <w:r>
              <w:rPr>
                <w:rFonts w:hint="eastAsia" w:ascii="仿宋" w:hAnsi="仿宋" w:eastAsia="仿宋" w:cs="仿宋"/>
                <w:szCs w:val="21"/>
                <w:highlight w:val="none"/>
              </w:rPr>
              <w:t>采购标的实现及</w:t>
            </w:r>
            <w:r>
              <w:rPr>
                <w:rFonts w:hint="eastAsia" w:ascii="仿宋" w:hAnsi="仿宋" w:eastAsia="仿宋" w:cs="仿宋"/>
                <w:szCs w:val="21"/>
                <w:highlight w:val="none"/>
                <w:lang w:val="en-US" w:eastAsia="zh-CN"/>
              </w:rPr>
              <w:t>合同</w:t>
            </w:r>
            <w:r>
              <w:rPr>
                <w:rFonts w:hint="eastAsia" w:ascii="仿宋" w:hAnsi="仿宋" w:eastAsia="仿宋" w:cs="仿宋"/>
                <w:szCs w:val="21"/>
                <w:highlight w:val="none"/>
              </w:rPr>
              <w:t>履约</w:t>
            </w:r>
            <w:r>
              <w:rPr>
                <w:rFonts w:hint="eastAsia" w:ascii="仿宋" w:hAnsi="仿宋" w:eastAsia="仿宋" w:cs="仿宋"/>
                <w:b/>
                <w:bCs/>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restart"/>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szCs w:val="21"/>
                <w:highlight w:val="none"/>
                <w:lang w:val="en-US" w:eastAsia="zh-CN"/>
              </w:rPr>
              <w:t>3</w:t>
            </w:r>
          </w:p>
        </w:tc>
        <w:tc>
          <w:tcPr>
            <w:tcW w:w="7525" w:type="dxa"/>
            <w:vAlign w:val="center"/>
          </w:tcPr>
          <w:p>
            <w:pPr>
              <w:rPr>
                <w:rFonts w:ascii="仿宋" w:hAnsi="仿宋" w:eastAsia="仿宋" w:cs="仿宋"/>
                <w:color w:val="auto"/>
                <w:szCs w:val="21"/>
                <w:highlight w:val="none"/>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szCs w:val="21"/>
                <w:highlight w:val="none"/>
              </w:rPr>
              <w:t>售后服务方案</w:t>
            </w:r>
            <w:r>
              <w:rPr>
                <w:rFonts w:hint="eastAsia" w:ascii="仿宋" w:hAnsi="仿宋" w:eastAsia="仿宋" w:cs="仿宋"/>
                <w:szCs w:val="21"/>
                <w:highlight w:val="none"/>
                <w:lang w:eastAsia="zh-CN"/>
              </w:rPr>
              <w:t>（</w:t>
            </w:r>
            <w:r>
              <w:rPr>
                <w:rFonts w:hint="eastAsia" w:ascii="仿宋" w:hAnsi="仿宋" w:eastAsia="仿宋" w:cs="仿宋"/>
                <w:szCs w:val="21"/>
                <w:highlight w:val="none"/>
              </w:rPr>
              <w:t>包括</w:t>
            </w:r>
            <w:r>
              <w:rPr>
                <w:rFonts w:hint="eastAsia" w:ascii="仿宋" w:hAnsi="仿宋" w:eastAsia="仿宋" w:cs="仿宋"/>
                <w:szCs w:val="21"/>
                <w:highlight w:val="none"/>
                <w:lang w:eastAsia="zh-CN"/>
              </w:rPr>
              <w:t>服务机构、服务内容、服务承诺</w:t>
            </w:r>
            <w:r>
              <w:rPr>
                <w:rFonts w:hint="eastAsia" w:ascii="仿宋" w:hAnsi="仿宋" w:eastAsia="仿宋" w:cs="仿宋"/>
                <w:szCs w:val="21"/>
                <w:highlight w:val="none"/>
              </w:rPr>
              <w:t>、响应时间、服务方式、人员配备</w:t>
            </w:r>
            <w:r>
              <w:rPr>
                <w:rFonts w:hint="eastAsia" w:ascii="仿宋" w:hAnsi="仿宋" w:eastAsia="仿宋" w:cs="仿宋"/>
                <w:szCs w:val="21"/>
                <w:highlight w:val="none"/>
                <w:lang w:eastAsia="zh-CN"/>
              </w:rPr>
              <w:t>、</w:t>
            </w:r>
            <w:r>
              <w:rPr>
                <w:rFonts w:hint="eastAsia" w:ascii="仿宋" w:hAnsi="仿宋" w:eastAsia="仿宋" w:cs="仿宋"/>
                <w:szCs w:val="21"/>
                <w:highlight w:val="none"/>
              </w:rPr>
              <w:t>应急服务等</w:t>
            </w:r>
            <w:r>
              <w:rPr>
                <w:rFonts w:hint="eastAsia" w:ascii="仿宋" w:hAnsi="仿宋" w:eastAsia="仿宋" w:cs="仿宋"/>
                <w:szCs w:val="21"/>
                <w:highlight w:val="none"/>
                <w:lang w:eastAsia="zh-CN"/>
              </w:rPr>
              <w:t>）：</w:t>
            </w:r>
            <w:r>
              <w:rPr>
                <w:rFonts w:hint="eastAsia" w:ascii="仿宋" w:hAnsi="仿宋" w:eastAsia="仿宋" w:cs="仿宋"/>
                <w:szCs w:val="21"/>
                <w:highlight w:val="none"/>
              </w:rPr>
              <w:t>全面、针对采购需求及实际特点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有利于</w:t>
            </w:r>
            <w:r>
              <w:rPr>
                <w:rFonts w:hint="eastAsia" w:ascii="仿宋" w:hAnsi="仿宋" w:eastAsia="仿宋" w:cs="仿宋"/>
                <w:szCs w:val="21"/>
                <w:highlight w:val="none"/>
              </w:rPr>
              <w:t>采购标的实现及</w:t>
            </w:r>
            <w:r>
              <w:rPr>
                <w:rFonts w:hint="eastAsia" w:ascii="仿宋" w:hAnsi="仿宋" w:eastAsia="仿宋" w:cs="仿宋"/>
                <w:szCs w:val="21"/>
                <w:highlight w:val="none"/>
                <w:lang w:val="en-US" w:eastAsia="zh-CN"/>
              </w:rPr>
              <w:t>合同</w:t>
            </w:r>
            <w:r>
              <w:rPr>
                <w:rFonts w:hint="eastAsia" w:ascii="仿宋" w:hAnsi="仿宋" w:eastAsia="仿宋" w:cs="仿宋"/>
                <w:szCs w:val="21"/>
                <w:highlight w:val="none"/>
              </w:rPr>
              <w:t>履约</w:t>
            </w:r>
            <w:r>
              <w:rPr>
                <w:rFonts w:hint="eastAsia" w:ascii="仿宋" w:hAnsi="仿宋" w:eastAsia="仿宋" w:cs="仿宋"/>
                <w:b/>
                <w:bCs/>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continue"/>
            <w:vAlign w:val="center"/>
          </w:tcPr>
          <w:p>
            <w:pPr>
              <w:jc w:val="center"/>
              <w:rPr>
                <w:rFonts w:ascii="仿宋" w:hAnsi="仿宋" w:eastAsia="仿宋" w:cs="仿宋"/>
                <w:b/>
                <w:bCs/>
                <w:color w:val="auto"/>
                <w:szCs w:val="21"/>
                <w:highlight w:val="none"/>
              </w:rPr>
            </w:pPr>
          </w:p>
        </w:tc>
        <w:tc>
          <w:tcPr>
            <w:tcW w:w="665" w:type="dxa"/>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szCs w:val="21"/>
                <w:highlight w:val="none"/>
                <w:lang w:val="en-US" w:eastAsia="zh-CN"/>
              </w:rPr>
              <w:t>2</w:t>
            </w:r>
          </w:p>
        </w:tc>
        <w:tc>
          <w:tcPr>
            <w:tcW w:w="7525" w:type="dxa"/>
            <w:vAlign w:val="center"/>
          </w:tcPr>
          <w:p>
            <w:pPr>
              <w:rPr>
                <w:rFonts w:ascii="仿宋" w:hAnsi="仿宋" w:eastAsia="仿宋" w:cs="仿宋"/>
                <w:color w:val="auto"/>
                <w:szCs w:val="21"/>
                <w:highlight w:val="none"/>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b w:val="0"/>
                <w:bCs w:val="0"/>
                <w:szCs w:val="21"/>
                <w:highlight w:val="none"/>
                <w:lang w:val="en-US" w:eastAsia="zh-CN"/>
              </w:rPr>
              <w:t>随机标准附件、备品备件、专用检修工具等</w:t>
            </w:r>
            <w:r>
              <w:rPr>
                <w:rFonts w:hint="eastAsia" w:ascii="仿宋" w:hAnsi="仿宋" w:eastAsia="仿宋" w:cs="仿宋"/>
                <w:b w:val="0"/>
                <w:bCs w:val="0"/>
                <w:szCs w:val="21"/>
                <w:highlight w:val="none"/>
              </w:rPr>
              <w:t>准备和保障措施</w:t>
            </w:r>
            <w:r>
              <w:rPr>
                <w:rFonts w:hint="eastAsia" w:ascii="仿宋" w:hAnsi="仿宋" w:eastAsia="仿宋" w:cs="仿宋"/>
                <w:b w:val="0"/>
                <w:bCs w:val="0"/>
                <w:szCs w:val="21"/>
                <w:highlight w:val="none"/>
                <w:lang w:val="en-US" w:eastAsia="zh-CN"/>
              </w:rPr>
              <w:t>及所需选配件、维修配件、易耗件、年度运行维护费用购买折扣：措施充分、折扣力度大且合理</w:t>
            </w:r>
            <w:r>
              <w:rPr>
                <w:rFonts w:hint="eastAsia" w:ascii="仿宋" w:hAnsi="仿宋" w:eastAsia="仿宋" w:cs="仿宋"/>
                <w:b/>
                <w:bCs/>
                <w:szCs w:val="21"/>
                <w:highlight w:val="none"/>
                <w:lang w:val="en-US" w:eastAsia="zh-CN"/>
              </w:rPr>
              <w:t>（评分范围：2,1.5,1,0.5,0）</w:t>
            </w:r>
          </w:p>
        </w:tc>
      </w:tr>
    </w:tbl>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p>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ascii="仿宋" w:hAnsi="仿宋" w:eastAsia="仿宋" w:cs="仿宋"/>
          <w:b/>
          <w:color w:val="auto"/>
          <w:sz w:val="18"/>
          <w:szCs w:val="18"/>
          <w:highlight w:val="none"/>
        </w:rPr>
      </w:pPr>
      <w:r>
        <w:rPr>
          <w:rFonts w:hint="eastAsia" w:ascii="仿宋" w:hAnsi="仿宋" w:eastAsia="仿宋" w:cs="仿宋"/>
          <w:b/>
          <w:bCs/>
          <w:color w:val="auto"/>
          <w:spacing w:val="-6"/>
          <w:szCs w:val="21"/>
          <w:highlight w:val="none"/>
        </w:rPr>
        <w:t>说明：本项目专门面向中小企业采购，不再执行价格评审优惠的扶持政策。</w:t>
      </w:r>
    </w:p>
    <w:p>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pPr>
        <w:spacing w:line="288" w:lineRule="auto"/>
        <w:ind w:left="0" w:leftChars="0" w:right="0" w:rightChars="0" w:firstLine="0" w:firstLineChars="0"/>
        <w:jc w:val="center"/>
        <w:outlineLvl w:val="1"/>
        <w:rPr>
          <w:rFonts w:hint="eastAsia" w:ascii="仿宋" w:hAnsi="仿宋" w:eastAsia="仿宋" w:cs="仿宋"/>
          <w:color w:val="auto"/>
          <w:spacing w:val="-6"/>
          <w:sz w:val="24"/>
          <w:highlight w:val="none"/>
          <w:lang w:eastAsia="zh-CN"/>
        </w:rPr>
      </w:pPr>
      <w:r>
        <w:rPr>
          <w:rFonts w:hint="eastAsia" w:ascii="仿宋" w:hAnsi="仿宋" w:eastAsia="仿宋" w:cs="仿宋"/>
          <w:b/>
          <w:color w:val="auto"/>
          <w:spacing w:val="-6"/>
          <w:sz w:val="24"/>
          <w:highlight w:val="none"/>
        </w:rPr>
        <w:t>浙江工业大学采购合同</w:t>
      </w:r>
    </w:p>
    <w:p>
      <w:pPr>
        <w:spacing w:line="288" w:lineRule="auto"/>
        <w:ind w:left="0" w:leftChars="0" w:right="0" w:rightChars="0" w:firstLine="0" w:firstLineChars="0"/>
        <w:jc w:val="center"/>
        <w:rPr>
          <w:rFonts w:ascii="仿宋" w:hAnsi="仿宋" w:eastAsia="仿宋" w:cs="仿宋"/>
          <w:color w:val="auto"/>
          <w:spacing w:val="-6"/>
          <w:szCs w:val="21"/>
          <w:highlight w:val="none"/>
        </w:rPr>
      </w:pPr>
      <w:r>
        <w:rPr>
          <w:rFonts w:hint="eastAsia" w:ascii="仿宋" w:hAnsi="仿宋" w:eastAsia="仿宋" w:cs="仿宋"/>
          <w:spacing w:val="-6"/>
          <w:sz w:val="18"/>
          <w:szCs w:val="18"/>
          <w:highlight w:val="none"/>
        </w:rPr>
        <w:t>（本合同为合同样稿，最终稿由甲乙丙三方协商后确定，合同实质性内容不得更改；签订合同时删除此行）</w:t>
      </w:r>
    </w:p>
    <w:p>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QSZB-Z(H)-H24167(GK)</w:t>
      </w:r>
    </w:p>
    <w:p>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确认书号：</w:t>
      </w:r>
      <w:r>
        <w:rPr>
          <w:rFonts w:hint="eastAsia" w:ascii="仿宋" w:hAnsi="仿宋" w:eastAsia="仿宋" w:cs="仿宋"/>
          <w:color w:val="auto"/>
          <w:szCs w:val="21"/>
          <w:highlight w:val="none"/>
          <w:lang w:eastAsia="zh-CN"/>
        </w:rPr>
        <w:t>[2024]35717</w:t>
      </w:r>
      <w:r>
        <w:rPr>
          <w:rFonts w:hint="eastAsia" w:ascii="仿宋" w:hAnsi="仿宋" w:eastAsia="仿宋" w:cs="仿宋"/>
          <w:color w:val="auto"/>
          <w:szCs w:val="21"/>
          <w:highlight w:val="none"/>
        </w:rPr>
        <w:t>号</w:t>
      </w:r>
    </w:p>
    <w:p>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委托编号：ZJGDZC（W）-</w:t>
      </w:r>
      <w:r>
        <w:rPr>
          <w:rFonts w:hint="eastAsia" w:ascii="仿宋" w:hAnsi="仿宋" w:eastAsia="仿宋" w:cs="仿宋"/>
          <w:color w:val="auto"/>
          <w:szCs w:val="21"/>
          <w:highlight w:val="none"/>
          <w:lang w:eastAsia="zh-CN"/>
        </w:rPr>
        <w:t>202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-QS</w:t>
      </w:r>
      <w:r>
        <w:rPr>
          <w:rFonts w:hint="eastAsia" w:ascii="仿宋" w:hAnsi="仿宋" w:eastAsia="仿宋" w:cs="仿宋"/>
          <w:color w:val="auto"/>
          <w:szCs w:val="21"/>
          <w:highlight w:val="none"/>
          <w:lang w:val="en-US" w:eastAsia="zh-CN"/>
        </w:rPr>
        <w:t>036</w:t>
      </w:r>
    </w:p>
    <w:p>
      <w:pPr>
        <w:spacing w:line="288"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浙江工业大学电化学工作站</w:t>
      </w:r>
    </w:p>
    <w:p>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甲方（采购方）：浙江工业大学</w:t>
      </w:r>
    </w:p>
    <w:p>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乙方（供应方）：</w:t>
      </w:r>
    </w:p>
    <w:p>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丙方（使用方）：</w:t>
      </w:r>
    </w:p>
    <w:p>
      <w:pPr>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pacing w:val="-6"/>
          <w:sz w:val="21"/>
          <w:szCs w:val="21"/>
          <w:highlight w:val="none"/>
        </w:rPr>
        <w:t>采购代理机构（鉴证方）：浙江求是招标代理有限公司</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甲、乙、丙三方根据浙江求是招标代理有限公司关于</w:t>
      </w:r>
      <w:r>
        <w:rPr>
          <w:rFonts w:hint="eastAsia" w:ascii="仿宋" w:hAnsi="仿宋" w:eastAsia="仿宋" w:cs="仿宋"/>
          <w:color w:val="auto"/>
          <w:sz w:val="21"/>
          <w:szCs w:val="21"/>
          <w:highlight w:val="none"/>
          <w:lang w:eastAsia="zh-CN"/>
        </w:rPr>
        <w:t>浙江工业大学电化学工作站</w:t>
      </w:r>
      <w:r>
        <w:rPr>
          <w:rFonts w:hint="eastAsia" w:ascii="仿宋" w:hAnsi="仿宋" w:eastAsia="仿宋" w:cs="仿宋"/>
          <w:color w:val="auto"/>
          <w:sz w:val="21"/>
          <w:szCs w:val="21"/>
          <w:highlight w:val="none"/>
        </w:rPr>
        <w:t>项目公开招标的结果，签署本合同。</w:t>
      </w:r>
    </w:p>
    <w:p>
      <w:pPr>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一、货物内容</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乙方保证本合同中所供应的国产商品是2024年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日以后生产的符合国家技术规格和质量标准的出厂原装合格产品。如发生所供商品与合同不符，甲方有权拒收或退货，由此产生的一切责任和后果由乙方承担。</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1.货物名称：</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2.型号规格：</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3.技术参数：</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4.数量（单位）：</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（注：商品型号、数量、配置等要求等详见附件清单）</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二、合同金额</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本合同金额为人民币（大写）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注：以上合同总价包括运抵各使用单位的运费及安装调试费等相关费用。</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三、技术资料</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1.乙方应向</w:t>
      </w:r>
      <w:r>
        <w:rPr>
          <w:rFonts w:hint="eastAsia" w:ascii="仿宋" w:hAnsi="仿宋" w:eastAsia="仿宋" w:cs="仿宋"/>
          <w:sz w:val="21"/>
          <w:szCs w:val="21"/>
          <w:highlight w:val="none"/>
          <w:lang w:val="en-US" w:eastAsia="zh-CN"/>
        </w:rPr>
        <w:t>丙</w:t>
      </w:r>
      <w:r>
        <w:rPr>
          <w:rFonts w:hint="eastAsia" w:ascii="仿宋" w:hAnsi="仿宋" w:eastAsia="仿宋" w:cs="仿宋"/>
          <w:sz w:val="21"/>
          <w:szCs w:val="21"/>
          <w:highlight w:val="none"/>
        </w:rPr>
        <w:t>方提供使用货物的有关技术资料。</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四、知识产权</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乙方应保证所提供的货物或其任何一部分均不会侵犯任何第三方的知识产权。</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五、产权担保</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乙方保证所交付的货物所有权完全属于乙方且无任何抵押、查封等产权瑕疵。</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六、履约保证金</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1.比例：合同金额的1%，即人民币（大写）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2.提交方式：支票、汇票、本票或者金融机构、担保机构出具的保函等非现金形式。</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3.提交时间：收到甲方发出的签订合同要约后7天内。</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4.退还时间及条件：合同履约期间无违约情形的，项目经</w:t>
      </w:r>
      <w:r>
        <w:rPr>
          <w:rFonts w:hint="eastAsia" w:ascii="仿宋" w:hAnsi="仿宋" w:eastAsia="仿宋" w:cs="仿宋"/>
          <w:sz w:val="21"/>
          <w:szCs w:val="21"/>
          <w:highlight w:val="none"/>
          <w:lang w:eastAsia="zh-CN"/>
        </w:rPr>
        <w:t>验收</w:t>
      </w:r>
      <w:r>
        <w:rPr>
          <w:rFonts w:hint="eastAsia" w:ascii="仿宋" w:hAnsi="仿宋" w:eastAsia="仿宋" w:cs="仿宋"/>
          <w:sz w:val="21"/>
          <w:szCs w:val="21"/>
          <w:highlight w:val="none"/>
        </w:rPr>
        <w:t>合格后甲方财务部门及时无息退还。如</w:t>
      </w:r>
      <w:r>
        <w:rPr>
          <w:rFonts w:hint="eastAsia" w:ascii="仿宋" w:hAnsi="仿宋" w:eastAsia="仿宋" w:cs="仿宋"/>
          <w:sz w:val="21"/>
          <w:szCs w:val="21"/>
          <w:highlight w:val="none"/>
          <w:lang w:eastAsia="zh-CN"/>
        </w:rPr>
        <w:t>验收</w:t>
      </w:r>
      <w:r>
        <w:rPr>
          <w:rFonts w:hint="eastAsia" w:ascii="仿宋" w:hAnsi="仿宋" w:eastAsia="仿宋" w:cs="仿宋"/>
          <w:sz w:val="21"/>
          <w:szCs w:val="21"/>
          <w:highlight w:val="none"/>
        </w:rPr>
        <w:t>未通过，履约保证金不予退还。</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七、转包或分包</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1.本合同范围的货物，应由乙方直接供应，不得转让他人供应。</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2.除非得到甲方的书面同意，乙方不得将本合同范围的货物全部或部分分包给他人供应。</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3.如有转让和未经甲方同意的分包行为，甲方有权解除合同，并追究乙方的违约责任。</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八、交货期、交货方式及交货地点</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1.交货期：</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2.交货方式：</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3.交货地点：浙江工业大学丙方指定地点</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九、货款支付</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1.付款方式：合同生效以及具备实施条件后7个工作日内，甲方向乙方支付合同总价的40%作为预付款，合同货物送达</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指定地点，安装调试成功并经</w:t>
      </w:r>
      <w:r>
        <w:rPr>
          <w:rFonts w:hint="eastAsia" w:ascii="仿宋" w:hAnsi="仿宋" w:eastAsia="仿宋" w:cs="仿宋"/>
          <w:sz w:val="21"/>
          <w:szCs w:val="21"/>
          <w:highlight w:val="none"/>
          <w:lang w:eastAsia="zh-CN"/>
        </w:rPr>
        <w:t>验收</w:t>
      </w:r>
      <w:r>
        <w:rPr>
          <w:rFonts w:hint="eastAsia" w:ascii="仿宋" w:hAnsi="仿宋" w:eastAsia="仿宋" w:cs="仿宋"/>
          <w:sz w:val="21"/>
          <w:szCs w:val="21"/>
          <w:highlight w:val="none"/>
        </w:rPr>
        <w:t>合格且收到乙方开具的增值税专用发票后，甲方于7个工作日内向乙方支付剩余合同价款。</w:t>
      </w:r>
    </w:p>
    <w:p>
      <w:pPr>
        <w:keepNext w:val="0"/>
        <w:keepLines w:val="0"/>
        <w:pageBreakBefore w:val="0"/>
        <w:widowControl w:val="0"/>
        <w:kinsoku/>
        <w:wordWrap/>
        <w:overflowPunct/>
        <w:topLinePunct w:val="0"/>
        <w:bidi w:val="0"/>
        <w:snapToGrid/>
        <w:spacing w:line="288" w:lineRule="auto"/>
        <w:ind w:left="0" w:leftChars="0" w:firstLine="361"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18"/>
          <w:szCs w:val="18"/>
          <w:highlight w:val="none"/>
        </w:rPr>
        <w:t>备注：在签订合同时，乙方明确表示无需预付款或主动要求降低预付款比例的，可降低预付款比例。</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2.当采购数量与实际使用数量不一致时，乙方应根据实际使用量供货，合同的最终结算金额按实际使用量乘以合同单价进行计算。</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十、税费</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本合同执行中相关的一切税费均由乙方负担。</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十一、质量保证及售后服务</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1.乙方应按</w:t>
      </w:r>
      <w:bookmarkStart w:id="48" w:name="_Hlk117089330"/>
      <w:r>
        <w:rPr>
          <w:rFonts w:hint="eastAsia" w:ascii="仿宋" w:hAnsi="仿宋" w:eastAsia="仿宋" w:cs="仿宋"/>
          <w:sz w:val="21"/>
          <w:szCs w:val="21"/>
          <w:highlight w:val="none"/>
        </w:rPr>
        <w:t>合同附件</w:t>
      </w:r>
      <w:bookmarkEnd w:id="48"/>
      <w:r>
        <w:rPr>
          <w:rFonts w:hint="eastAsia" w:ascii="仿宋" w:hAnsi="仿宋" w:eastAsia="仿宋" w:cs="仿宋"/>
          <w:sz w:val="21"/>
          <w:szCs w:val="21"/>
          <w:highlight w:val="none"/>
        </w:rPr>
        <w:t>规定的货物性能、技术要求、质量标准向</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提供未经使用的全新产品。</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2.乙方提供的货物在质保期内因货物本身的质量问题发生故障，乙方应负责免费维修更换。</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3.如在使用过程中发生质量问题，乙方在接到</w:t>
      </w:r>
      <w:r>
        <w:rPr>
          <w:rFonts w:hint="eastAsia" w:ascii="仿宋" w:hAnsi="仿宋" w:eastAsia="仿宋" w:cs="仿宋"/>
          <w:sz w:val="21"/>
          <w:szCs w:val="21"/>
          <w:highlight w:val="none"/>
          <w:lang w:val="en-US" w:eastAsia="zh-CN"/>
        </w:rPr>
        <w:t>丙</w:t>
      </w:r>
      <w:r>
        <w:rPr>
          <w:rFonts w:hint="eastAsia" w:ascii="仿宋" w:hAnsi="仿宋" w:eastAsia="仿宋" w:cs="仿宋"/>
          <w:sz w:val="21"/>
          <w:szCs w:val="21"/>
          <w:highlight w:val="none"/>
        </w:rPr>
        <w:t>方通知后，</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小时内到达</w:t>
      </w:r>
      <w:r>
        <w:rPr>
          <w:rFonts w:hint="eastAsia" w:ascii="仿宋" w:hAnsi="仿宋" w:eastAsia="仿宋" w:cs="仿宋"/>
          <w:sz w:val="21"/>
          <w:szCs w:val="21"/>
          <w:highlight w:val="none"/>
          <w:lang w:val="en-US" w:eastAsia="zh-CN"/>
        </w:rPr>
        <w:t>丙</w:t>
      </w:r>
      <w:r>
        <w:rPr>
          <w:rFonts w:hint="eastAsia" w:ascii="仿宋" w:hAnsi="仿宋" w:eastAsia="仿宋" w:cs="仿宋"/>
          <w:sz w:val="21"/>
          <w:szCs w:val="21"/>
          <w:highlight w:val="none"/>
        </w:rPr>
        <w:t>方现场予以维修服务。</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4.在质保期内，乙方应对货物出现的质量及安全问题负责处理解决并承担一切费用。</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5.货物的质保期为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年（项目经</w:t>
      </w:r>
      <w:r>
        <w:rPr>
          <w:rFonts w:hint="eastAsia" w:ascii="仿宋" w:hAnsi="仿宋" w:eastAsia="仿宋" w:cs="仿宋"/>
          <w:sz w:val="21"/>
          <w:szCs w:val="21"/>
          <w:highlight w:val="none"/>
          <w:lang w:eastAsia="zh-CN"/>
        </w:rPr>
        <w:t>验收</w:t>
      </w:r>
      <w:r>
        <w:rPr>
          <w:rFonts w:hint="eastAsia" w:ascii="仿宋" w:hAnsi="仿宋" w:eastAsia="仿宋" w:cs="仿宋"/>
          <w:sz w:val="21"/>
          <w:szCs w:val="21"/>
          <w:highlight w:val="none"/>
        </w:rPr>
        <w:t>合格后开始计算），因人为因素出现的故障不在免费保修范围内。超过质保期的货物，终身维修，维修时只收部件成本费。</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十二、调试和验收</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bookmarkStart w:id="49" w:name="_Hlk117089422"/>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对乙方提交的货物依据合同附件中的技术规格要求和国家有关质量标准进行现场初步验收，外观、说明书符合合同附件技术要求的，给予签收，初步验收不合格的不予签收。货到后，</w:t>
      </w:r>
      <w:r>
        <w:rPr>
          <w:rFonts w:hint="eastAsia" w:ascii="仿宋" w:hAnsi="仿宋" w:eastAsia="仿宋" w:cs="仿宋"/>
          <w:sz w:val="21"/>
          <w:szCs w:val="21"/>
          <w:highlight w:val="none"/>
          <w:lang w:val="en-US" w:eastAsia="zh-CN"/>
        </w:rPr>
        <w:t>丙</w:t>
      </w:r>
      <w:r>
        <w:rPr>
          <w:rFonts w:hint="eastAsia" w:ascii="仿宋" w:hAnsi="仿宋" w:eastAsia="仿宋" w:cs="仿宋"/>
          <w:sz w:val="21"/>
          <w:szCs w:val="21"/>
          <w:highlight w:val="none"/>
        </w:rPr>
        <w:t>方需在五个工作日内组织初验收。</w:t>
      </w:r>
    </w:p>
    <w:bookmarkEnd w:id="49"/>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2.乙方交货前应对产品作出全面检查和对验收文件进行整理，并列出清单，作为</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收货验收和使用的技术条件依据，检验的结果应随货物交</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对乙方提供的货物在使用前进行调试时，乙方需负责安装并培训</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的使用操作人员，并协助</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十三、货物包装、发运及运输</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1.乙方应在货物发运前对其进行满足运输距离、防潮、防震、防锈和防破损装卸等要求包装，以保证货物安全运达</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指定地点。</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2.使用说明书、质量检验证明书、随配附件和工具以及清单一并附于货物内。</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3.乙方在货物发运手续办理完毕后二十四小时内，或者货到</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四十八小时前通知</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，以准备接货。</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4.货物在交付</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前发生的风险均由乙方负责。</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5.货物在规定的交付期限内由乙方送达</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指定的地点视为交付，乙方同时需通知</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货物已送达。</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十四、违约责任</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1.甲方无正当理由拒收货物的，甲方向乙方偿付拒收货款总值的百分之十的违约金。</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2.甲方无故逾期验收和办理货款支付手续的,甲方应按逾期付款总额每日万分之五向乙方支付违约金。</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4.乙方所交的货物品种、型号、规格、技术参数、质量不符合合同规定及招标文件规定标准的，</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十五、不可抗力事件处理</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2.不可抗力事件发生后，应立即通知对方，并寄送有关权威机构出具的证明。</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3.不可抗力事件延续一百二十天以上，双方应通过友好协商，确定是否继续履行合同。</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十六、争议的解决</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甲乙</w:t>
      </w:r>
      <w:r>
        <w:rPr>
          <w:rFonts w:hint="eastAsia" w:ascii="仿宋" w:hAnsi="仿宋" w:eastAsia="仿宋" w:cs="仿宋"/>
          <w:sz w:val="21"/>
          <w:szCs w:val="21"/>
          <w:highlight w:val="none"/>
        </w:rPr>
        <w:t>双方在执行合同中所发生的一切争议，通过协商解决。如协商不成，由杭州仲裁委员会按该会仲裁规则裁决。</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十七、合同生效及其它</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1.合同经四方法定代表人或授权代表签字并加盖单位公章后生效。</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3.本合同未尽事宜，甲乙丙三方协商一致可以另行签订补充协议解决，或者遵照《中华人民共和国民法典》有关条文执行。</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4.本合同正本一式柒份，具有同等法律效力，甲乙丙三方各执贰份，采购代理机构执壹份。</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5.本合同附件及招标文件、投标文件、书面澄清（承诺）等系本合同的组成部分。</w:t>
      </w:r>
    </w:p>
    <w:p>
      <w:pPr>
        <w:pStyle w:val="2"/>
        <w:keepNext w:val="0"/>
        <w:keepLines w:val="0"/>
        <w:pageBreakBefore w:val="0"/>
        <w:widowControl w:val="0"/>
        <w:kinsoku/>
        <w:wordWrap/>
        <w:overflowPunct/>
        <w:topLinePunct w:val="0"/>
        <w:bidi w:val="0"/>
        <w:snapToGrid/>
        <w:spacing w:line="288" w:lineRule="auto"/>
        <w:ind w:left="0" w:leftChars="0"/>
        <w:jc w:val="center"/>
        <w:textAlignment w:val="auto"/>
        <w:rPr>
          <w:rFonts w:hint="eastAsia" w:ascii="仿宋" w:hAnsi="仿宋" w:eastAsia="仿宋" w:cs="仿宋"/>
          <w:b/>
          <w:bCs/>
          <w:color w:val="auto"/>
          <w:sz w:val="21"/>
          <w:szCs w:val="21"/>
          <w:highlight w:val="none"/>
        </w:rPr>
      </w:pPr>
    </w:p>
    <w:p>
      <w:pPr>
        <w:pStyle w:val="2"/>
        <w:keepNext w:val="0"/>
        <w:keepLines w:val="0"/>
        <w:pageBreakBefore w:val="0"/>
        <w:widowControl w:val="0"/>
        <w:kinsoku/>
        <w:wordWrap/>
        <w:overflowPunct/>
        <w:topLinePunct w:val="0"/>
        <w:bidi w:val="0"/>
        <w:snapToGrid/>
        <w:spacing w:line="288" w:lineRule="auto"/>
        <w:ind w:left="0" w:leftChars="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下无正文</w:t>
      </w:r>
    </w:p>
    <w:tbl>
      <w:tblPr>
        <w:tblStyle w:val="26"/>
        <w:tblW w:w="9628" w:type="dxa"/>
        <w:jc w:val="center"/>
        <w:tblLayout w:type="fixed"/>
        <w:tblCellMar>
          <w:top w:w="0" w:type="dxa"/>
          <w:left w:w="108" w:type="dxa"/>
          <w:bottom w:w="0" w:type="dxa"/>
          <w:right w:w="108" w:type="dxa"/>
        </w:tblCellMar>
      </w:tblPr>
      <w:tblGrid>
        <w:gridCol w:w="4814"/>
        <w:gridCol w:w="19"/>
        <w:gridCol w:w="4795"/>
      </w:tblGrid>
      <w:tr>
        <w:trPr>
          <w:trHeight w:val="397" w:hRule="atLeast"/>
          <w:jc w:val="center"/>
        </w:trPr>
        <w:tc>
          <w:tcPr>
            <w:tcW w:w="4814" w:type="dxa"/>
            <w:vAlign w:val="center"/>
          </w:tcPr>
          <w:p>
            <w:pPr>
              <w:rPr>
                <w:rFonts w:hint="eastAsia" w:ascii="仿宋" w:hAnsi="仿宋" w:eastAsia="仿宋" w:cs="仿宋"/>
                <w:b/>
                <w:bCs/>
                <w:highlight w:val="none"/>
              </w:rPr>
            </w:pPr>
            <w:r>
              <w:rPr>
                <w:rFonts w:hint="eastAsia" w:ascii="仿宋" w:hAnsi="仿宋" w:eastAsia="仿宋" w:cs="仿宋"/>
                <w:b/>
                <w:bCs/>
                <w:highlight w:val="none"/>
              </w:rPr>
              <w:t>甲方（盖章）：</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tc>
        <w:tc>
          <w:tcPr>
            <w:tcW w:w="4814" w:type="dxa"/>
            <w:gridSpan w:val="2"/>
            <w:vAlign w:val="center"/>
          </w:tcPr>
          <w:p>
            <w:pPr>
              <w:rPr>
                <w:rFonts w:hint="eastAsia" w:ascii="仿宋" w:hAnsi="仿宋" w:eastAsia="仿宋" w:cs="仿宋"/>
                <w:b/>
                <w:bCs/>
                <w:highlight w:val="none"/>
              </w:rPr>
            </w:pPr>
            <w:r>
              <w:rPr>
                <w:rFonts w:hint="eastAsia" w:ascii="仿宋" w:hAnsi="仿宋" w:eastAsia="仿宋" w:cs="仿宋"/>
                <w:b/>
                <w:bCs/>
                <w:highlight w:val="none"/>
              </w:rPr>
              <w:t>乙方（盖章）：</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法定代表人或受委托人：</w:t>
            </w:r>
          </w:p>
          <w:p>
            <w:pPr>
              <w:rPr>
                <w:rFonts w:hint="eastAsia" w:ascii="仿宋" w:hAnsi="仿宋" w:eastAsia="仿宋" w:cs="仿宋"/>
                <w:highlight w:val="none"/>
              </w:rPr>
            </w:pPr>
            <w:r>
              <w:rPr>
                <w:rFonts w:hint="eastAsia" w:ascii="仿宋" w:hAnsi="仿宋" w:eastAsia="仿宋" w:cs="仿宋"/>
                <w:highlight w:val="none"/>
              </w:rPr>
              <w:t>（签字）</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法定代表人或受委托人：</w:t>
            </w:r>
          </w:p>
          <w:p>
            <w:pPr>
              <w:rPr>
                <w:rFonts w:hint="eastAsia" w:ascii="仿宋" w:hAnsi="仿宋" w:eastAsia="仿宋" w:cs="仿宋"/>
                <w:highlight w:val="none"/>
              </w:rPr>
            </w:pPr>
            <w:r>
              <w:rPr>
                <w:rFonts w:hint="eastAsia" w:ascii="仿宋" w:hAnsi="仿宋" w:eastAsia="仿宋" w:cs="仿宋"/>
                <w:highlight w:val="none"/>
              </w:rPr>
              <w:t>（签字）</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地址：</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地址：</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邮编：</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邮编：</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电话：</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电话：</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传真：</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传真：</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开户银行：农业银行杭州朝晖支行</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开户银行</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必填</w:t>
            </w:r>
            <w:r>
              <w:rPr>
                <w:rFonts w:hint="eastAsia" w:ascii="仿宋" w:hAnsi="仿宋" w:eastAsia="仿宋" w:cs="仿宋"/>
                <w:highlight w:val="none"/>
                <w:lang w:eastAsia="zh-CN"/>
              </w:rPr>
              <w:t>）</w:t>
            </w:r>
            <w:r>
              <w:rPr>
                <w:rFonts w:hint="eastAsia" w:ascii="仿宋" w:hAnsi="仿宋" w:eastAsia="仿宋" w:cs="仿宋"/>
                <w:highlight w:val="none"/>
              </w:rPr>
              <w:t>：</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帐号：19015601040001412</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帐号</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必填</w:t>
            </w:r>
            <w:r>
              <w:rPr>
                <w:rFonts w:hint="eastAsia" w:ascii="仿宋" w:hAnsi="仿宋" w:eastAsia="仿宋" w:cs="仿宋"/>
                <w:highlight w:val="none"/>
                <w:lang w:eastAsia="zh-CN"/>
              </w:rPr>
              <w:t>）</w:t>
            </w:r>
            <w:r>
              <w:rPr>
                <w:rFonts w:hint="eastAsia" w:ascii="仿宋" w:hAnsi="仿宋" w:eastAsia="仿宋" w:cs="仿宋"/>
                <w:highlight w:val="none"/>
              </w:rPr>
              <w:t>：</w:t>
            </w:r>
          </w:p>
        </w:tc>
      </w:tr>
      <w:tr>
        <w:tblPrEx>
          <w:tblCellMar>
            <w:top w:w="0" w:type="dxa"/>
            <w:left w:w="108" w:type="dxa"/>
            <w:bottom w:w="0" w:type="dxa"/>
            <w:right w:w="108" w:type="dxa"/>
          </w:tblCellMar>
        </w:tblPrEx>
        <w:trPr>
          <w:trHeight w:val="397" w:hRule="atLeast"/>
          <w:jc w:val="center"/>
        </w:trPr>
        <w:tc>
          <w:tcPr>
            <w:tcW w:w="9628" w:type="dxa"/>
            <w:gridSpan w:val="3"/>
            <w:vAlign w:val="center"/>
          </w:tcPr>
          <w:p>
            <w:pPr>
              <w:rPr>
                <w:rFonts w:hint="eastAsia" w:ascii="仿宋" w:hAnsi="仿宋" w:eastAsia="仿宋" w:cs="仿宋"/>
                <w:highlight w:val="none"/>
              </w:rPr>
            </w:pPr>
            <w:r>
              <w:rPr>
                <w:rFonts w:hint="eastAsia" w:ascii="仿宋" w:hAnsi="仿宋" w:eastAsia="仿宋" w:cs="仿宋"/>
                <w:highlight w:val="none"/>
              </w:rPr>
              <w:t>签约地点：浙江工业大学朝晖校区                                  签订时间：     年   月   日</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highlight w:val="none"/>
              </w:rPr>
            </w:pPr>
            <w:r>
              <w:rPr>
                <w:rFonts w:hint="eastAsia" w:ascii="仿宋" w:hAnsi="仿宋" w:eastAsia="仿宋" w:cs="仿宋"/>
                <w:b/>
                <w:bCs/>
                <w:highlight w:val="none"/>
              </w:rPr>
              <w:t>丙方（盖章）：</w:t>
            </w:r>
          </w:p>
        </w:tc>
        <w:tc>
          <w:tcPr>
            <w:tcW w:w="4795" w:type="dxa"/>
            <w:vAlign w:val="center"/>
          </w:tcPr>
          <w:p>
            <w:pPr>
              <w:rPr>
                <w:rFonts w:hint="eastAsia" w:ascii="仿宋" w:hAnsi="仿宋" w:eastAsia="仿宋" w:cs="仿宋"/>
                <w:highlight w:val="none"/>
              </w:rPr>
            </w:pPr>
            <w:r>
              <w:rPr>
                <w:rFonts w:hint="eastAsia" w:ascii="仿宋" w:hAnsi="仿宋" w:eastAsia="仿宋" w:cs="仿宋"/>
                <w:b/>
                <w:bCs/>
                <w:highlight w:val="none"/>
              </w:rPr>
              <w:t>鉴证方（盖章）：浙江求是招标代理有限公司</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highlight w:val="none"/>
              </w:rPr>
            </w:pPr>
            <w:r>
              <w:rPr>
                <w:rFonts w:hint="eastAsia" w:ascii="仿宋" w:hAnsi="仿宋" w:eastAsia="仿宋" w:cs="仿宋"/>
                <w:highlight w:val="none"/>
                <w:lang w:eastAsia="zh-CN"/>
              </w:rPr>
              <w:t>负责人</w:t>
            </w:r>
            <w:r>
              <w:rPr>
                <w:rFonts w:hint="eastAsia" w:ascii="仿宋" w:hAnsi="仿宋" w:eastAsia="仿宋" w:cs="仿宋"/>
                <w:highlight w:val="none"/>
              </w:rPr>
              <w:t>：</w:t>
            </w:r>
          </w:p>
          <w:p>
            <w:pPr>
              <w:rPr>
                <w:rFonts w:hint="eastAsia" w:ascii="仿宋" w:hAnsi="仿宋" w:eastAsia="仿宋" w:cs="仿宋"/>
                <w:highlight w:val="none"/>
              </w:rPr>
            </w:pPr>
            <w:r>
              <w:rPr>
                <w:rFonts w:hint="eastAsia" w:ascii="仿宋" w:hAnsi="仿宋" w:eastAsia="仿宋" w:cs="仿宋"/>
                <w:highlight w:val="none"/>
              </w:rPr>
              <w:t>（签字）</w:t>
            </w:r>
          </w:p>
        </w:tc>
        <w:tc>
          <w:tcPr>
            <w:tcW w:w="4795" w:type="dxa"/>
            <w:vAlign w:val="center"/>
          </w:tcPr>
          <w:p>
            <w:pPr>
              <w:rPr>
                <w:rFonts w:hint="eastAsia" w:ascii="仿宋" w:hAnsi="仿宋" w:eastAsia="仿宋" w:cs="仿宋"/>
                <w:highlight w:val="none"/>
              </w:rPr>
            </w:pPr>
            <w:r>
              <w:rPr>
                <w:rFonts w:hint="eastAsia" w:ascii="仿宋" w:hAnsi="仿宋" w:eastAsia="仿宋" w:cs="仿宋"/>
                <w:highlight w:val="none"/>
              </w:rPr>
              <w:t>法定代表人或受委托人：</w:t>
            </w:r>
          </w:p>
          <w:p>
            <w:pPr>
              <w:rPr>
                <w:rFonts w:hint="eastAsia" w:ascii="仿宋" w:hAnsi="仿宋" w:eastAsia="仿宋" w:cs="仿宋"/>
                <w:highlight w:val="none"/>
              </w:rPr>
            </w:pPr>
            <w:r>
              <w:rPr>
                <w:rFonts w:hint="eastAsia" w:ascii="仿宋" w:hAnsi="仿宋" w:eastAsia="仿宋" w:cs="仿宋"/>
                <w:highlight w:val="none"/>
              </w:rPr>
              <w:t>（签字）</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highlight w:val="none"/>
              </w:rPr>
            </w:pPr>
            <w:r>
              <w:rPr>
                <w:rFonts w:hint="eastAsia" w:ascii="仿宋" w:hAnsi="仿宋" w:eastAsia="仿宋" w:cs="仿宋"/>
                <w:highlight w:val="none"/>
              </w:rPr>
              <w:t>地址：</w:t>
            </w:r>
          </w:p>
        </w:tc>
        <w:tc>
          <w:tcPr>
            <w:tcW w:w="4795" w:type="dxa"/>
            <w:vAlign w:val="center"/>
          </w:tcPr>
          <w:p>
            <w:pPr>
              <w:rPr>
                <w:rFonts w:hint="eastAsia" w:ascii="仿宋" w:hAnsi="仿宋" w:eastAsia="仿宋" w:cs="仿宋"/>
                <w:highlight w:val="none"/>
              </w:rPr>
            </w:pPr>
            <w:r>
              <w:rPr>
                <w:rFonts w:hint="eastAsia" w:ascii="仿宋" w:hAnsi="仿宋" w:eastAsia="仿宋" w:cs="仿宋"/>
                <w:highlight w:val="none"/>
              </w:rPr>
              <w:t>地址：杭州市西湖区玉古路173号中田大厦21楼</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highlight w:val="none"/>
              </w:rPr>
            </w:pPr>
          </w:p>
        </w:tc>
        <w:tc>
          <w:tcPr>
            <w:tcW w:w="4795" w:type="dxa"/>
            <w:vAlign w:val="center"/>
          </w:tcPr>
          <w:p>
            <w:pPr>
              <w:rPr>
                <w:rFonts w:hint="eastAsia" w:ascii="仿宋" w:hAnsi="仿宋" w:eastAsia="仿宋" w:cs="仿宋"/>
                <w:highlight w:val="none"/>
              </w:rPr>
            </w:pPr>
            <w:r>
              <w:rPr>
                <w:rFonts w:hint="eastAsia" w:ascii="仿宋" w:hAnsi="仿宋" w:eastAsia="仿宋" w:cs="仿宋"/>
                <w:highlight w:val="none"/>
              </w:rPr>
              <w:t>电话：0571-87679349</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highlight w:val="none"/>
              </w:rPr>
            </w:pPr>
          </w:p>
        </w:tc>
        <w:tc>
          <w:tcPr>
            <w:tcW w:w="4795" w:type="dxa"/>
            <w:vAlign w:val="center"/>
          </w:tcPr>
          <w:p>
            <w:pPr>
              <w:rPr>
                <w:rFonts w:hint="eastAsia" w:ascii="仿宋" w:hAnsi="仿宋" w:eastAsia="仿宋" w:cs="仿宋"/>
                <w:highlight w:val="none"/>
              </w:rPr>
            </w:pPr>
            <w:r>
              <w:rPr>
                <w:rFonts w:hint="eastAsia" w:ascii="仿宋" w:hAnsi="仿宋" w:eastAsia="仿宋" w:cs="仿宋"/>
                <w:highlight w:val="none"/>
              </w:rPr>
              <w:t>鉴证时间：     年   月   日</w:t>
            </w:r>
          </w:p>
        </w:tc>
      </w:tr>
    </w:tbl>
    <w:p>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pPr>
        <w:adjustRightInd w:val="0"/>
        <w:snapToGrid w:val="0"/>
        <w:spacing w:line="360" w:lineRule="auto"/>
        <w:rPr>
          <w:rFonts w:ascii="仿宋" w:hAnsi="仿宋" w:eastAsia="仿宋" w:cs="仿宋"/>
          <w:b/>
          <w:bCs/>
          <w:color w:val="auto"/>
          <w:spacing w:val="-6"/>
          <w:sz w:val="24"/>
          <w:szCs w:val="24"/>
          <w:highlight w:val="none"/>
        </w:rPr>
      </w:pPr>
    </w:p>
    <w:p>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pPr>
        <w:adjustRightInd w:val="0"/>
        <w:snapToGrid w:val="0"/>
        <w:spacing w:line="360" w:lineRule="auto"/>
        <w:rPr>
          <w:rFonts w:ascii="仿宋" w:hAnsi="仿宋" w:eastAsia="仿宋" w:cs="仿宋"/>
          <w:b/>
          <w:bCs/>
          <w:color w:val="auto"/>
          <w:spacing w:val="-6"/>
          <w:sz w:val="24"/>
          <w:szCs w:val="24"/>
          <w:highlight w:val="none"/>
        </w:rPr>
      </w:pPr>
    </w:p>
    <w:p>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1）有效的法人或者其他组织的营业执照等证明文件/自然人的身份证明</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2）符合参加政府采购活动应当具备的一般条件的承诺函</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（3</w:t>
      </w:r>
      <w:r>
        <w:rPr>
          <w:rFonts w:hint="eastAsia" w:ascii="仿宋" w:hAnsi="仿宋" w:eastAsia="仿宋" w:cs="仿宋"/>
          <w:b/>
          <w:color w:val="auto"/>
          <w:spacing w:val="-6"/>
          <w:szCs w:val="21"/>
          <w:highlight w:val="none"/>
        </w:rPr>
        <w:t>）落实政府采购政策需满足的资格要求</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（4）</w:t>
      </w:r>
      <w:r>
        <w:rPr>
          <w:rFonts w:hint="eastAsia" w:ascii="仿宋" w:hAnsi="仿宋" w:eastAsia="仿宋" w:cs="仿宋"/>
          <w:b/>
          <w:color w:val="auto"/>
          <w:spacing w:val="-6"/>
          <w:szCs w:val="21"/>
          <w:highlight w:val="none"/>
        </w:rPr>
        <w:t>联合协议（若联合体投标）</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1）投标函</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pPr>
        <w:adjustRightInd w:val="0"/>
        <w:snapToGrid w:val="0"/>
        <w:spacing w:line="360" w:lineRule="auto"/>
        <w:ind w:firstLine="735" w:firstLineChars="350"/>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2024年1月（含）至今任意一月</w:t>
      </w:r>
      <w:r>
        <w:rPr>
          <w:rFonts w:hint="eastAsia" w:ascii="仿宋" w:hAnsi="仿宋" w:eastAsia="仿宋" w:cs="仿宋"/>
          <w:color w:val="auto"/>
          <w:spacing w:val="-6"/>
          <w:szCs w:val="21"/>
          <w:highlight w:val="none"/>
        </w:rPr>
        <w:t>投标授权代表社保缴纳证明</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3）采购需求偏离表</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4）标★条款相关佐证材料</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lang w:eastAsia="zh-CN"/>
        </w:rPr>
        <w:t>投标人同类合同实施情况一览表</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）货物配置清单</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技术方案</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）培训计划</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）售后服务方案</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（10）随机标准附件、备品备件、专用检修工具等</w:t>
      </w:r>
    </w:p>
    <w:p>
      <w:pPr>
        <w:adjustRightInd w:val="0"/>
        <w:snapToGrid w:val="0"/>
        <w:spacing w:line="360"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（11）所需选配件、维修配件、易耗件、年度运行维护费用一览表</w:t>
      </w:r>
    </w:p>
    <w:p>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1）开标一览表</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Cs w:val="21"/>
          <w:highlight w:val="none"/>
        </w:rPr>
      </w:pPr>
      <w:bookmarkStart w:id="50" w:name="_Hlk94097338"/>
      <w:r>
        <w:rPr>
          <w:rFonts w:hint="eastAsia" w:ascii="仿宋" w:hAnsi="仿宋" w:eastAsia="仿宋" w:cs="仿宋"/>
          <w:b/>
          <w:bCs/>
          <w:color w:val="auto"/>
          <w:sz w:val="24"/>
          <w:szCs w:val="24"/>
          <w:highlight w:val="none"/>
        </w:rPr>
        <w:t>资格审查要求的资格证明材料（均需加盖公章）</w:t>
      </w:r>
      <w:bookmarkEnd w:id="50"/>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zCs w:val="21"/>
          <w:highlight w:val="none"/>
        </w:rPr>
      </w:pP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致：浙江工业大学、浙江求是招标代理有限公司</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浙江工业大学电化学工作站</w:t>
      </w:r>
      <w:r>
        <w:rPr>
          <w:rFonts w:hint="eastAsia" w:ascii="仿宋" w:hAnsi="仿宋" w:eastAsia="仿宋" w:cs="仿宋"/>
          <w:color w:val="auto"/>
          <w:spacing w:val="-6"/>
          <w:szCs w:val="21"/>
          <w:highlight w:val="none"/>
        </w:rPr>
        <w:t>项目的采购活动并承诺如下：</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360" w:lineRule="auto"/>
        <w:ind w:left="0" w:leftChars="0" w:right="0" w:rightChars="0" w:firstLine="0" w:firstLineChars="0"/>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落实政府采购政策需满足的资格要求</w:t>
      </w:r>
    </w:p>
    <w:p>
      <w:pPr>
        <w:spacing w:line="360" w:lineRule="auto"/>
        <w:ind w:left="0" w:leftChars="0" w:right="0" w:rightChars="0" w:firstLine="0" w:firstLineChars="0"/>
        <w:jc w:val="center"/>
        <w:outlineLvl w:val="3"/>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rPr>
        <w:t>浙江工业大学</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电化学工作站</w:t>
      </w:r>
      <w:r>
        <w:rPr>
          <w:rFonts w:hint="eastAsia" w:ascii="仿宋" w:hAnsi="仿宋" w:eastAsia="仿宋" w:cs="仿宋"/>
          <w:color w:val="auto"/>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360" w:lineRule="auto"/>
        <w:ind w:firstLine="420" w:firstLineChars="200"/>
        <w:rPr>
          <w:rFonts w:hint="eastAsia" w:ascii="仿宋" w:hAnsi="仿宋" w:eastAsia="仿宋" w:cs="仿宋"/>
          <w:b/>
          <w:bCs/>
          <w:szCs w:val="21"/>
          <w:highlight w:val="none"/>
          <w:lang w:val="en-US" w:eastAsia="zh-CN"/>
        </w:rPr>
      </w:pPr>
      <w:r>
        <w:rPr>
          <w:rFonts w:hint="eastAsia" w:ascii="仿宋" w:hAnsi="仿宋" w:eastAsia="仿宋" w:cs="仿宋"/>
          <w:szCs w:val="21"/>
          <w:highlight w:val="none"/>
        </w:rPr>
        <w:t>电化学工作站，属于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1.中小企业参加政府采购活动，应当出具财库[2020]46号文件规定的《中小企业声明函》，否则不得享受相关中小企业扶持政策;</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p>
    <w:p>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3.《中小企业声明函》填写不全（从业人员、营业收入、资产总额在中小企业划型标准规定中不涉及的除外）或未按照《中小企业声明函》要求填写的，视为未提供《中小企业声明函》</w:t>
      </w:r>
      <w:r>
        <w:rPr>
          <w:rFonts w:hint="eastAsia" w:ascii="仿宋" w:hAnsi="仿宋" w:eastAsia="仿宋" w:cs="仿宋"/>
          <w:b/>
          <w:bCs/>
          <w:color w:val="auto"/>
          <w:sz w:val="18"/>
          <w:szCs w:val="18"/>
          <w:highlight w:val="none"/>
          <w:lang w:eastAsia="zh-CN"/>
        </w:rPr>
        <w:t>；</w:t>
      </w:r>
    </w:p>
    <w:p>
      <w:pPr>
        <w:adjustRightInd w:val="0"/>
        <w:snapToGrid w:val="0"/>
        <w:spacing w:line="360" w:lineRule="auto"/>
        <w:ind w:firstLine="361" w:firstLineChars="200"/>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rPr>
        <w:t>4.</w:t>
      </w:r>
      <w:r>
        <w:rPr>
          <w:rFonts w:hint="eastAsia" w:ascii="仿宋" w:hAnsi="仿宋" w:eastAsia="仿宋" w:cs="仿宋"/>
          <w:b/>
          <w:bCs/>
          <w:color w:val="auto"/>
          <w:sz w:val="18"/>
          <w:szCs w:val="18"/>
          <w:highlight w:val="none"/>
          <w:lang w:val="en-US" w:eastAsia="zh-CN"/>
        </w:rPr>
        <w:t>非联合体投标、非中标后以分包方式履行合同的可删除“（）”中相应内容；</w:t>
      </w:r>
    </w:p>
    <w:p>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5.</w:t>
      </w:r>
      <w:r>
        <w:rPr>
          <w:rFonts w:hint="eastAsia" w:ascii="仿宋" w:hAnsi="仿宋" w:eastAsia="仿宋" w:cs="仿宋"/>
          <w:b/>
          <w:bCs/>
          <w:color w:val="auto"/>
          <w:sz w:val="18"/>
          <w:szCs w:val="18"/>
          <w:highlight w:val="none"/>
        </w:rPr>
        <w:t>投标人提供《中小企业声明函》内容不实的，属于提供虚假材料谋取中标，依照《中华人民共和国政府采购法》等国家有关规定追究相应责任;</w:t>
      </w:r>
    </w:p>
    <w:p>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6</w:t>
      </w:r>
      <w:r>
        <w:rPr>
          <w:rFonts w:hint="eastAsia" w:ascii="仿宋" w:hAnsi="仿宋" w:eastAsia="仿宋" w:cs="仿宋"/>
          <w:b/>
          <w:bCs/>
          <w:color w:val="auto"/>
          <w:sz w:val="18"/>
          <w:szCs w:val="18"/>
          <w:highlight w:val="none"/>
        </w:rPr>
        <w:t>.本项目仅以《中小企业声明函》作为评判投标人是否属于中小企业的唯一依据。</w:t>
      </w:r>
    </w:p>
    <w:p>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pPr>
        <w:spacing w:line="360" w:lineRule="auto"/>
        <w:ind w:left="0" w:leftChars="0" w:right="0" w:rightChars="0" w:firstLine="0" w:firstLineChars="0"/>
        <w:jc w:val="center"/>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spacing w:line="360" w:lineRule="auto"/>
        <w:ind w:left="0" w:leftChars="0" w:right="0" w:rightChars="0" w:firstLine="0" w:firstLineChars="0"/>
        <w:jc w:val="center"/>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rPr>
        <w:t>浙江工业大学</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电化学工作站</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p>
    <w:p>
      <w:pPr>
        <w:pStyle w:val="24"/>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pPr>
        <w:ind w:left="0" w:leftChars="0" w:right="0" w:rightChars="0" w:firstLine="0" w:firstLineChars="0"/>
        <w:jc w:val="center"/>
        <w:rPr>
          <w:rFonts w:hint="eastAsia"/>
          <w:highlight w:val="none"/>
        </w:rPr>
      </w:pPr>
      <w:r>
        <w:rPr>
          <w:rFonts w:hint="eastAsia" w:ascii="仿宋" w:hAnsi="仿宋" w:eastAsia="仿宋" w:cs="仿宋"/>
          <w:b/>
          <w:bCs/>
          <w:color w:val="auto"/>
          <w:sz w:val="18"/>
          <w:szCs w:val="18"/>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说明：格式见附件2</w:t>
      </w:r>
    </w:p>
    <w:p>
      <w:pPr>
        <w:ind w:left="0" w:leftChars="0" w:right="0" w:rightChars="0" w:firstLine="0" w:firstLineChars="0"/>
        <w:jc w:val="center"/>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致：浙江工业大学、浙江求是招标代理有限公司</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浙江工业大学电化学工作站</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QSZB-Z(H)-H24167(GK)]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pPr>
              <w:jc w:val="cente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浙江工业大学</w:t>
      </w:r>
      <w:r>
        <w:rPr>
          <w:rFonts w:hint="eastAsia" w:ascii="仿宋" w:hAnsi="仿宋" w:eastAsia="仿宋" w:cs="仿宋"/>
          <w:b/>
          <w:color w:val="auto"/>
          <w:spacing w:val="-6"/>
          <w:szCs w:val="21"/>
          <w:highlight w:val="none"/>
        </w:rPr>
        <w:t>、浙江求是招标代理有限公司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浙江工业大学电化学工作站</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QSZB-Z(H)-H24167(GK)]</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ind w:left="0" w:leftChars="0" w:right="0" w:rightChars="0" w:firstLine="0" w:firstLineChars="0"/>
        <w:jc w:val="both"/>
        <w:rPr>
          <w:rFonts w:hint="eastAsia" w:ascii="仿宋" w:hAnsi="仿宋" w:eastAsia="仿宋" w:cs="仿宋"/>
          <w:b/>
          <w:bCs/>
          <w:color w:val="auto"/>
          <w:sz w:val="24"/>
          <w:szCs w:val="24"/>
          <w:highlight w:val="none"/>
        </w:rPr>
      </w:pPr>
    </w:p>
    <w:p>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2024年1月（含）至今任意一月</w:t>
      </w:r>
      <w:r>
        <w:rPr>
          <w:rFonts w:hint="eastAsia" w:ascii="仿宋" w:hAnsi="仿宋" w:eastAsia="仿宋" w:cs="仿宋"/>
          <w:b/>
          <w:bCs/>
          <w:color w:val="auto"/>
          <w:sz w:val="24"/>
          <w:szCs w:val="24"/>
          <w:highlight w:val="none"/>
        </w:rPr>
        <w:t>投标授权代表社保缴纳证明</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人：浙江工业大学</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浙江工业大学电化学工作站</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QSZB-Z(H)-H24167(GK)</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5"/>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adjustRightInd w:val="0"/>
        <w:snapToGrid w:val="0"/>
        <w:spacing w:line="360" w:lineRule="auto"/>
        <w:jc w:val="center"/>
        <w:outlineLvl w:val="2"/>
        <w:rPr>
          <w:rFonts w:hint="eastAsia"/>
          <w:highlight w:val="none"/>
        </w:rPr>
      </w:pPr>
      <w:r>
        <w:rPr>
          <w:rFonts w:hint="eastAsia" w:ascii="仿宋" w:hAnsi="仿宋" w:eastAsia="仿宋" w:cs="仿宋"/>
          <w:b/>
          <w:bCs/>
          <w:sz w:val="24"/>
          <w:szCs w:val="24"/>
          <w:highlight w:val="none"/>
        </w:rPr>
        <w:t>标★条款相关佐证材料</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highlight w:val="none"/>
        </w:rPr>
      </w:pPr>
      <w:r>
        <w:rPr>
          <w:rFonts w:hint="eastAsia" w:ascii="仿宋" w:hAnsi="仿宋" w:eastAsia="仿宋" w:cs="仿宋"/>
          <w:b/>
          <w:color w:val="auto"/>
          <w:spacing w:val="-6"/>
          <w:sz w:val="18"/>
          <w:szCs w:val="18"/>
          <w:highlight w:val="none"/>
          <w:lang w:val="en-US" w:eastAsia="zh-CN"/>
        </w:rPr>
        <w:t>说明：标★条款在相关佐证材料中标注清晰，如因未标注清晰导致评标委员会漏看、错看造成的评标风险由投标人自行承担。</w:t>
      </w:r>
    </w:p>
    <w:p>
      <w:pPr>
        <w:ind w:left="0" w:leftChars="0" w:right="0" w:rightChars="0" w:firstLine="0" w:firstLineChars="0"/>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szCs w:val="21"/>
                <w:highlight w:val="none"/>
              </w:rPr>
            </w:pPr>
          </w:p>
        </w:tc>
      </w:tr>
    </w:tbl>
    <w:p>
      <w:pPr>
        <w:pStyle w:val="22"/>
        <w:spacing w:line="360" w:lineRule="auto"/>
        <w:ind w:left="420" w:hanging="420"/>
        <w:rPr>
          <w:rFonts w:ascii="仿宋" w:hAnsi="仿宋" w:eastAsia="仿宋" w:cs="仿宋"/>
          <w:color w:val="auto"/>
          <w:sz w:val="21"/>
          <w:szCs w:val="21"/>
          <w:highlight w:val="none"/>
        </w:rPr>
      </w:pP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1.投标人须提供上述业绩合同及对应验收报告扫描件</w:t>
      </w:r>
      <w:r>
        <w:rPr>
          <w:rFonts w:hint="eastAsia" w:ascii="仿宋" w:hAnsi="仿宋" w:eastAsia="仿宋" w:cs="仿宋"/>
          <w:b/>
          <w:color w:val="auto"/>
          <w:spacing w:val="-6"/>
          <w:sz w:val="18"/>
          <w:szCs w:val="18"/>
          <w:highlight w:val="none"/>
          <w:lang w:val="en-US" w:eastAsia="zh-CN"/>
        </w:rPr>
        <w:t>或</w:t>
      </w:r>
      <w:r>
        <w:rPr>
          <w:rFonts w:hint="eastAsia" w:ascii="仿宋" w:hAnsi="仿宋" w:eastAsia="仿宋" w:cs="仿宋"/>
          <w:b/>
          <w:color w:val="auto"/>
          <w:spacing w:val="-6"/>
          <w:sz w:val="18"/>
          <w:szCs w:val="18"/>
          <w:highlight w:val="none"/>
        </w:rPr>
        <w:t>省级以上主管部门认定的首台套产品</w:t>
      </w:r>
      <w:r>
        <w:rPr>
          <w:rFonts w:hint="eastAsia" w:ascii="仿宋" w:hAnsi="仿宋" w:eastAsia="仿宋" w:cs="仿宋"/>
          <w:b/>
          <w:color w:val="auto"/>
          <w:spacing w:val="-6"/>
          <w:sz w:val="18"/>
          <w:szCs w:val="18"/>
          <w:highlight w:val="none"/>
          <w:lang w:val="en-US" w:eastAsia="zh-CN"/>
        </w:rPr>
        <w:t>相关证明材料</w:t>
      </w:r>
      <w:r>
        <w:rPr>
          <w:rFonts w:hint="eastAsia" w:ascii="仿宋" w:hAnsi="仿宋" w:eastAsia="仿宋" w:cs="仿宋"/>
          <w:b/>
          <w:color w:val="auto"/>
          <w:spacing w:val="-6"/>
          <w:sz w:val="18"/>
          <w:szCs w:val="18"/>
          <w:highlight w:val="none"/>
        </w:rPr>
        <w:t>；</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5"/>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adjustRightInd w:val="0"/>
        <w:snapToGrid w:val="0"/>
        <w:spacing w:line="360" w:lineRule="auto"/>
        <w:jc w:val="center"/>
        <w:outlineLvl w:val="2"/>
        <w:rPr>
          <w:rFonts w:ascii="仿宋" w:hAnsi="仿宋" w:eastAsia="仿宋" w:cs="仿宋"/>
          <w:spacing w:val="-6"/>
          <w:szCs w:val="21"/>
          <w:highlight w:val="none"/>
        </w:rPr>
      </w:pPr>
      <w:r>
        <w:rPr>
          <w:rFonts w:hint="eastAsia" w:ascii="仿宋" w:hAnsi="仿宋" w:eastAsia="仿宋" w:cs="仿宋"/>
          <w:b/>
          <w:bCs/>
          <w:sz w:val="24"/>
          <w:szCs w:val="24"/>
          <w:highlight w:val="none"/>
        </w:rPr>
        <w:t>货物配置清单</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74"/>
        <w:gridCol w:w="1029"/>
        <w:gridCol w:w="2143"/>
        <w:gridCol w:w="770"/>
        <w:gridCol w:w="1029"/>
        <w:gridCol w:w="2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品牌</w:t>
            </w: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规格型号</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10"/>
        <w:spacing w:line="360" w:lineRule="auto"/>
        <w:ind w:left="0"/>
        <w:rPr>
          <w:rFonts w:ascii="仿宋" w:hAnsi="仿宋" w:eastAsia="仿宋" w:cs="仿宋"/>
          <w:color w:val="auto"/>
          <w:spacing w:val="-6"/>
          <w:sz w:val="24"/>
          <w:highlight w:val="none"/>
        </w:rPr>
      </w:pPr>
      <w:r>
        <w:rPr>
          <w:rFonts w:hint="eastAsia" w:ascii="仿宋" w:hAnsi="仿宋" w:eastAsia="仿宋" w:cs="仿宋"/>
          <w:b/>
          <w:bCs/>
          <w:color w:val="auto"/>
          <w:spacing w:val="-6"/>
          <w:szCs w:val="21"/>
          <w:highlight w:val="none"/>
        </w:rPr>
        <w:t>日期：     年   月   日</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技术方案</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1.电化学工作站制造商公开发布的印刷资料（官网材料、彩页、Datasheet）或由有关政府部门或检测机构合法出具的文件或报告、功能界面（含软件）截图等</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2.安装、调试方法或方案</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3.日常运行及保养方案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培训计划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24"/>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提供和编写（格式自拟），包括但不仅限于培训流程、培训方式、培训对象、培训内容、培训日程等。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w:t>
      </w:r>
      <w:r>
        <w:rPr>
          <w:rFonts w:hint="eastAsia" w:ascii="仿宋" w:hAnsi="仿宋" w:eastAsia="仿宋" w:cs="仿宋"/>
          <w:b/>
          <w:color w:val="auto"/>
          <w:spacing w:val="-6"/>
          <w:sz w:val="18"/>
          <w:szCs w:val="18"/>
          <w:highlight w:val="none"/>
          <w:lang w:eastAsia="zh-CN"/>
        </w:rPr>
        <w:t>服务机构、服务内容、服务承诺、响应时间、服务方式</w:t>
      </w:r>
      <w:r>
        <w:rPr>
          <w:rFonts w:hint="eastAsia" w:ascii="仿宋" w:hAnsi="仿宋" w:eastAsia="仿宋" w:cs="仿宋"/>
          <w:b/>
          <w:color w:val="auto"/>
          <w:spacing w:val="-6"/>
          <w:sz w:val="18"/>
          <w:szCs w:val="18"/>
          <w:highlight w:val="none"/>
        </w:rPr>
        <w:t>、人员配备、应急服务等</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b/>
          <w:color w:val="auto"/>
          <w:spacing w:val="-6"/>
          <w:sz w:val="18"/>
          <w:szCs w:val="18"/>
          <w:highlight w:val="none"/>
        </w:rPr>
        <w:t>2.随机标准附件、备品备件、专用检修工具等保障措施</w:t>
      </w:r>
    </w:p>
    <w:p>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随机标准附件、备品备件、专用检修工具等</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仿宋" w:hAnsi="仿宋" w:eastAsia="仿宋" w:cs="仿宋"/>
          <w:b/>
          <w:spacing w:val="-6"/>
          <w:sz w:val="21"/>
          <w:szCs w:val="21"/>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费用包含在投标总价内</w:t>
      </w:r>
      <w:r>
        <w:rPr>
          <w:rFonts w:hint="eastAsia" w:ascii="仿宋" w:hAnsi="仿宋" w:eastAsia="仿宋" w:cs="仿宋"/>
          <w:b/>
          <w:spacing w:val="-6"/>
          <w:sz w:val="21"/>
          <w:szCs w:val="21"/>
          <w:highlight w:val="none"/>
          <w:lang w:eastAsia="zh-CN"/>
        </w:rPr>
        <w:t>）</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416"/>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w:t>
            </w:r>
            <w:r>
              <w:rPr>
                <w:rFonts w:hint="eastAsia" w:ascii="仿宋" w:hAnsi="仿宋" w:eastAsia="仿宋" w:cs="仿宋"/>
                <w:b/>
                <w:bCs/>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bl>
    <w:p>
      <w:pPr>
        <w:rPr>
          <w:rFonts w:hint="eastAsia" w:ascii="仿宋" w:hAnsi="仿宋" w:eastAsia="仿宋" w:cs="仿宋"/>
          <w:b/>
          <w:spacing w:val="-6"/>
          <w:sz w:val="24"/>
          <w:highlight w:val="none"/>
        </w:rPr>
      </w:pPr>
      <w:r>
        <w:rPr>
          <w:rFonts w:hint="eastAsia" w:ascii="仿宋" w:hAnsi="仿宋" w:eastAsia="仿宋" w:cs="仿宋"/>
          <w:b/>
          <w:spacing w:val="-6"/>
          <w:sz w:val="24"/>
          <w:highlight w:val="none"/>
        </w:rPr>
        <w:br w:type="page"/>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所需选配件、维修配件、易耗件、年度运行维护费用一览表</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default" w:ascii="仿宋" w:hAnsi="仿宋" w:eastAsia="仿宋" w:cs="仿宋"/>
          <w:b/>
          <w:spacing w:val="-6"/>
          <w:sz w:val="24"/>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费用不包含在投标总价内</w:t>
      </w:r>
      <w:r>
        <w:rPr>
          <w:rFonts w:hint="eastAsia" w:ascii="仿宋" w:hAnsi="仿宋" w:eastAsia="仿宋" w:cs="仿宋"/>
          <w:b/>
          <w:spacing w:val="-6"/>
          <w:sz w:val="21"/>
          <w:szCs w:val="21"/>
          <w:highlight w:val="none"/>
          <w:lang w:eastAsia="zh-CN"/>
        </w:rPr>
        <w:t>）</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227"/>
        <w:gridCol w:w="16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购买折扣数（%）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1.折扣数90%即9折</w:t>
            </w:r>
          </w:p>
          <w:p>
            <w:pPr>
              <w:keepNext w:val="0"/>
              <w:keepLines w:val="0"/>
              <w:pageBreakBefore w:val="0"/>
              <w:widowControl w:val="0"/>
              <w:kinsoku/>
              <w:wordWrap/>
              <w:overflowPunct/>
              <w:topLinePunct w:val="0"/>
              <w:autoSpaceDE/>
              <w:autoSpaceDN/>
              <w:bidi w:val="0"/>
              <w:adjustRightInd/>
              <w:snapToGrid w:val="0"/>
              <w:jc w:val="both"/>
              <w:textAlignment w:val="auto"/>
              <w:rPr>
                <w:rFonts w:ascii="仿宋" w:hAnsi="仿宋" w:eastAsia="仿宋" w:cs="仿宋"/>
                <w:b/>
                <w:bCs/>
                <w:color w:val="auto"/>
                <w:szCs w:val="21"/>
                <w:highlight w:val="none"/>
              </w:rPr>
            </w:pPr>
            <w:r>
              <w:rPr>
                <w:rFonts w:hint="eastAsia" w:ascii="仿宋" w:hAnsi="仿宋" w:eastAsia="仿宋" w:cs="仿宋"/>
                <w:b/>
                <w:bCs/>
                <w:color w:val="auto"/>
                <w:sz w:val="18"/>
                <w:szCs w:val="18"/>
                <w:highlight w:val="none"/>
              </w:rPr>
              <w:t>2.列出易损件清单（包括名称、安装部位、更换周期和价格）</w:t>
            </w:r>
          </w:p>
        </w:tc>
      </w:tr>
    </w:tbl>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人：浙江工业大学</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浙江工业大学电化学工作站</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QSZB-Z(H)-H24167(GK)</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785"/>
        <w:gridCol w:w="688"/>
        <w:gridCol w:w="1652"/>
        <w:gridCol w:w="734"/>
        <w:gridCol w:w="981"/>
        <w:gridCol w:w="1285"/>
        <w:gridCol w:w="1808"/>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名称</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品牌</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产地</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数量</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单价（元）</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rPr>
              <w:t>▲说明：采购人将以合同形式有偿取得货物，不接受投标人给予的赠品、回扣或者与采购无关的其他商品、服务。</w:t>
            </w:r>
          </w:p>
          <w:p>
            <w:pPr>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pPr>
              <w:adjustRightInd w:val="0"/>
              <w:snapToGrid w:val="0"/>
              <w:spacing w:line="288" w:lineRule="auto"/>
              <w:rPr>
                <w:rFonts w:ascii="仿宋" w:hAnsi="仿宋" w:eastAsia="仿宋" w:cs="仿宋"/>
                <w:b/>
                <w:bCs/>
                <w:color w:val="auto"/>
                <w:szCs w:val="21"/>
                <w:highlight w:val="none"/>
              </w:rPr>
            </w:pPr>
          </w:p>
          <w:p>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pPr>
              <w:adjustRightInd w:val="0"/>
              <w:snapToGrid w:val="0"/>
              <w:spacing w:line="288" w:lineRule="auto"/>
              <w:rPr>
                <w:rFonts w:ascii="仿宋" w:hAnsi="仿宋" w:eastAsia="仿宋" w:cs="仿宋"/>
                <w:b/>
                <w:bCs/>
                <w:color w:val="auto"/>
                <w:szCs w:val="21"/>
                <w:highlight w:val="none"/>
              </w:rPr>
            </w:pPr>
          </w:p>
          <w:p>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pPr>
              <w:adjustRightInd w:val="0"/>
              <w:snapToGrid w:val="0"/>
              <w:spacing w:line="288" w:lineRule="auto"/>
              <w:rPr>
                <w:rFonts w:ascii="仿宋" w:hAnsi="仿宋" w:eastAsia="仿宋" w:cs="仿宋"/>
                <w:b/>
                <w:bCs/>
                <w:color w:val="auto"/>
                <w:szCs w:val="21"/>
                <w:highlight w:val="none"/>
              </w:rPr>
            </w:pPr>
          </w:p>
        </w:tc>
      </w:tr>
    </w:tbl>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1.此表在不改变格式要求的情况下可自行增行；</w:t>
      </w:r>
    </w:p>
    <w:p>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2.有关本项目实施所涉及的一切费用均计入报价；</w:t>
      </w:r>
    </w:p>
    <w:p>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3.以上表格要求细分项目及报价。</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rPr>
        <w:t>浙江工业大学、浙江求是招标代理有限公司</w:t>
      </w:r>
    </w:p>
    <w:p>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浙江工业大学电化学工作站</w:t>
      </w: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QSZB-Z(H)-H24167(GK)]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pPr>
        <w:snapToGrid w:val="0"/>
        <w:spacing w:line="360" w:lineRule="auto"/>
        <w:ind w:firstLine="424" w:firstLineChars="202"/>
        <w:rPr>
          <w:rFonts w:ascii="仿宋" w:hAnsi="仿宋" w:eastAsia="仿宋" w:cs="仿宋"/>
          <w:color w:val="auto"/>
          <w:szCs w:val="21"/>
          <w:highlight w:val="none"/>
        </w:rPr>
      </w:pP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pPr>
        <w:snapToGrid w:val="0"/>
        <w:spacing w:line="360" w:lineRule="auto"/>
        <w:rPr>
          <w:rFonts w:ascii="仿宋" w:hAnsi="仿宋" w:eastAsia="仿宋" w:cs="仿宋"/>
          <w:b/>
          <w:bCs/>
          <w:color w:val="auto"/>
          <w:szCs w:val="21"/>
          <w:highlight w:val="none"/>
        </w:rPr>
      </w:pP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pPr>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浙江工业大学电化学工作站</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QSZB-Z(H)-H24167(GK)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color w:val="auto"/>
          <w:kern w:val="0"/>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color w:val="auto"/>
          <w:kern w:val="0"/>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spacing w:val="-6"/>
          <w:szCs w:val="21"/>
          <w:highlight w:val="none"/>
        </w:rPr>
        <w:t>日期：     年   月   日</w:t>
      </w:r>
    </w:p>
    <w:p>
      <w:pPr>
        <w:widowControl/>
        <w:ind w:left="0" w:leftChars="0" w:right="0" w:rightChars="0" w:firstLine="0" w:firstLineChars="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分包意向协议</w:t>
      </w:r>
    </w:p>
    <w:p>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（中标后以分包方式履行合同的提供分包意向协议</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采购人不同意分包或中标后不以分包方式履行合同的则不需要提供）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lang w:eastAsia="zh-CN"/>
        </w:rPr>
        <w:t>浙江工业大学电化学工作站</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QSZB-Z(H)-H24167(GK)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的中标</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XX工作内容</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szCs w:val="21"/>
          <w:highlight w:val="none"/>
          <w:u w:val="single"/>
        </w:rPr>
        <w:t>XX工作内容</w:t>
      </w:r>
      <w:r>
        <w:rPr>
          <w:rFonts w:hint="eastAsia" w:ascii="仿宋" w:hAnsi="仿宋" w:eastAsia="仿宋" w:cs="仿宋"/>
          <w:color w:val="auto"/>
          <w:kern w:val="0"/>
          <w:szCs w:val="21"/>
          <w:highlight w:val="none"/>
          <w:lang w:val="zh-CN"/>
        </w:rPr>
        <w:t>相应资质条件且不得再次分包；</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u w:val="none"/>
        </w:rPr>
        <w:t>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分包供应商名称：（电子签名/公章）：</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E81FFF"/>
    <w:rsid w:val="01F81427"/>
    <w:rsid w:val="02012A20"/>
    <w:rsid w:val="0255631B"/>
    <w:rsid w:val="025A1D16"/>
    <w:rsid w:val="02675FA2"/>
    <w:rsid w:val="029858A5"/>
    <w:rsid w:val="02B01928"/>
    <w:rsid w:val="03E17F2F"/>
    <w:rsid w:val="03F93561"/>
    <w:rsid w:val="04932572"/>
    <w:rsid w:val="05156760"/>
    <w:rsid w:val="05362D79"/>
    <w:rsid w:val="05702602"/>
    <w:rsid w:val="059E7BA9"/>
    <w:rsid w:val="05D34727"/>
    <w:rsid w:val="05D66602"/>
    <w:rsid w:val="05F3515E"/>
    <w:rsid w:val="06495BAA"/>
    <w:rsid w:val="067A5D0F"/>
    <w:rsid w:val="06887ED4"/>
    <w:rsid w:val="068E57D3"/>
    <w:rsid w:val="06D0191A"/>
    <w:rsid w:val="08931933"/>
    <w:rsid w:val="08A42702"/>
    <w:rsid w:val="08E550FE"/>
    <w:rsid w:val="09F27F75"/>
    <w:rsid w:val="0A270D93"/>
    <w:rsid w:val="0A6F7309"/>
    <w:rsid w:val="0A754277"/>
    <w:rsid w:val="0B1110DC"/>
    <w:rsid w:val="0B4A1776"/>
    <w:rsid w:val="0B71123C"/>
    <w:rsid w:val="0C1214DA"/>
    <w:rsid w:val="0C525A8C"/>
    <w:rsid w:val="0C786503"/>
    <w:rsid w:val="0CC22B69"/>
    <w:rsid w:val="0CE9115E"/>
    <w:rsid w:val="0D1A04C9"/>
    <w:rsid w:val="0D3C08AB"/>
    <w:rsid w:val="0D3E3F80"/>
    <w:rsid w:val="0D60217F"/>
    <w:rsid w:val="0E3A13A6"/>
    <w:rsid w:val="0F3516D1"/>
    <w:rsid w:val="0F583081"/>
    <w:rsid w:val="10757130"/>
    <w:rsid w:val="10C446C9"/>
    <w:rsid w:val="11116365"/>
    <w:rsid w:val="112A7CC0"/>
    <w:rsid w:val="112B34AD"/>
    <w:rsid w:val="11FF5827"/>
    <w:rsid w:val="12425AC4"/>
    <w:rsid w:val="12532F3F"/>
    <w:rsid w:val="13220891"/>
    <w:rsid w:val="13C67CD0"/>
    <w:rsid w:val="140A4210"/>
    <w:rsid w:val="14DF4CF8"/>
    <w:rsid w:val="14E34758"/>
    <w:rsid w:val="156C32AB"/>
    <w:rsid w:val="157E0164"/>
    <w:rsid w:val="15D06A51"/>
    <w:rsid w:val="15E05F5F"/>
    <w:rsid w:val="15E74DD8"/>
    <w:rsid w:val="166F0578"/>
    <w:rsid w:val="17176AAE"/>
    <w:rsid w:val="177A7EAB"/>
    <w:rsid w:val="179F160C"/>
    <w:rsid w:val="17A11E41"/>
    <w:rsid w:val="18070575"/>
    <w:rsid w:val="18090C43"/>
    <w:rsid w:val="180F13CC"/>
    <w:rsid w:val="18185587"/>
    <w:rsid w:val="188F1B48"/>
    <w:rsid w:val="18FB5F15"/>
    <w:rsid w:val="19477B5C"/>
    <w:rsid w:val="19770184"/>
    <w:rsid w:val="1A7148DF"/>
    <w:rsid w:val="1A996F8F"/>
    <w:rsid w:val="1B066372"/>
    <w:rsid w:val="1B321622"/>
    <w:rsid w:val="1D4A6188"/>
    <w:rsid w:val="1DAA2193"/>
    <w:rsid w:val="1E511B62"/>
    <w:rsid w:val="1EA9678E"/>
    <w:rsid w:val="1EBA3927"/>
    <w:rsid w:val="1F3E36B9"/>
    <w:rsid w:val="1F9C38D3"/>
    <w:rsid w:val="20767551"/>
    <w:rsid w:val="215A3673"/>
    <w:rsid w:val="21DB64E2"/>
    <w:rsid w:val="221C4C30"/>
    <w:rsid w:val="22A70B6C"/>
    <w:rsid w:val="23C14303"/>
    <w:rsid w:val="23CB4DD1"/>
    <w:rsid w:val="23FF4622"/>
    <w:rsid w:val="24086AFE"/>
    <w:rsid w:val="2489326F"/>
    <w:rsid w:val="250138AE"/>
    <w:rsid w:val="257C56A5"/>
    <w:rsid w:val="26096519"/>
    <w:rsid w:val="26612121"/>
    <w:rsid w:val="26B15F84"/>
    <w:rsid w:val="27432BC1"/>
    <w:rsid w:val="27791A74"/>
    <w:rsid w:val="27F0275A"/>
    <w:rsid w:val="28580092"/>
    <w:rsid w:val="28757D97"/>
    <w:rsid w:val="28BC23D4"/>
    <w:rsid w:val="28D03787"/>
    <w:rsid w:val="28F563E3"/>
    <w:rsid w:val="290578B9"/>
    <w:rsid w:val="29293308"/>
    <w:rsid w:val="29822826"/>
    <w:rsid w:val="29D9700E"/>
    <w:rsid w:val="2A407C2A"/>
    <w:rsid w:val="2AA10ED5"/>
    <w:rsid w:val="2ADA0518"/>
    <w:rsid w:val="2AF05838"/>
    <w:rsid w:val="2B087B04"/>
    <w:rsid w:val="2B4A2EDD"/>
    <w:rsid w:val="2B8D1B43"/>
    <w:rsid w:val="2C921974"/>
    <w:rsid w:val="2D242B88"/>
    <w:rsid w:val="2D4F2439"/>
    <w:rsid w:val="2DAE7AA9"/>
    <w:rsid w:val="2DBE14C9"/>
    <w:rsid w:val="2E084AD9"/>
    <w:rsid w:val="2E251D02"/>
    <w:rsid w:val="2EB035A9"/>
    <w:rsid w:val="2ECE0839"/>
    <w:rsid w:val="2F1B5E2A"/>
    <w:rsid w:val="2F6A64D8"/>
    <w:rsid w:val="2FA10B9C"/>
    <w:rsid w:val="30362265"/>
    <w:rsid w:val="30393F2D"/>
    <w:rsid w:val="30616EA9"/>
    <w:rsid w:val="30F2130F"/>
    <w:rsid w:val="31085620"/>
    <w:rsid w:val="31A44D82"/>
    <w:rsid w:val="31F950A2"/>
    <w:rsid w:val="320609C3"/>
    <w:rsid w:val="32B70A61"/>
    <w:rsid w:val="32BE120D"/>
    <w:rsid w:val="32D2015C"/>
    <w:rsid w:val="330C0EF9"/>
    <w:rsid w:val="33261E23"/>
    <w:rsid w:val="33291024"/>
    <w:rsid w:val="33506DE6"/>
    <w:rsid w:val="33A9206B"/>
    <w:rsid w:val="33FA529D"/>
    <w:rsid w:val="341A4047"/>
    <w:rsid w:val="3517359F"/>
    <w:rsid w:val="351F03F9"/>
    <w:rsid w:val="355F0FC1"/>
    <w:rsid w:val="359615AC"/>
    <w:rsid w:val="359A6216"/>
    <w:rsid w:val="35A54CED"/>
    <w:rsid w:val="37203345"/>
    <w:rsid w:val="37534CA7"/>
    <w:rsid w:val="37D824F1"/>
    <w:rsid w:val="388A0A03"/>
    <w:rsid w:val="38F0685B"/>
    <w:rsid w:val="3923276A"/>
    <w:rsid w:val="392C1E69"/>
    <w:rsid w:val="39331197"/>
    <w:rsid w:val="396E5D7C"/>
    <w:rsid w:val="39E42CC8"/>
    <w:rsid w:val="3A172FBE"/>
    <w:rsid w:val="3A29071D"/>
    <w:rsid w:val="3A3F6146"/>
    <w:rsid w:val="3B0C4DFA"/>
    <w:rsid w:val="3B972F43"/>
    <w:rsid w:val="3C022D13"/>
    <w:rsid w:val="3C4D26C6"/>
    <w:rsid w:val="3D044EFC"/>
    <w:rsid w:val="3D476A8F"/>
    <w:rsid w:val="3D6C15E5"/>
    <w:rsid w:val="3E062677"/>
    <w:rsid w:val="3E3C3E33"/>
    <w:rsid w:val="3E6946AD"/>
    <w:rsid w:val="3EB60CB3"/>
    <w:rsid w:val="3EBE0D9B"/>
    <w:rsid w:val="3EC436F9"/>
    <w:rsid w:val="3EC47F7D"/>
    <w:rsid w:val="3EFB063C"/>
    <w:rsid w:val="3F740895"/>
    <w:rsid w:val="3F7F04F6"/>
    <w:rsid w:val="3FB93DC6"/>
    <w:rsid w:val="40253F4D"/>
    <w:rsid w:val="402A691C"/>
    <w:rsid w:val="40B956E1"/>
    <w:rsid w:val="40C31DD9"/>
    <w:rsid w:val="41200E1E"/>
    <w:rsid w:val="417D6BDB"/>
    <w:rsid w:val="419104D9"/>
    <w:rsid w:val="41C24ED2"/>
    <w:rsid w:val="41D90132"/>
    <w:rsid w:val="41EF252B"/>
    <w:rsid w:val="41FD6F9C"/>
    <w:rsid w:val="422E66F3"/>
    <w:rsid w:val="42395211"/>
    <w:rsid w:val="4275164D"/>
    <w:rsid w:val="430A3262"/>
    <w:rsid w:val="438A27C8"/>
    <w:rsid w:val="43E47456"/>
    <w:rsid w:val="441309F0"/>
    <w:rsid w:val="44310C44"/>
    <w:rsid w:val="44644583"/>
    <w:rsid w:val="4484575B"/>
    <w:rsid w:val="44AF0CED"/>
    <w:rsid w:val="45572A56"/>
    <w:rsid w:val="45675BEC"/>
    <w:rsid w:val="457E42F3"/>
    <w:rsid w:val="46101B39"/>
    <w:rsid w:val="46A824B9"/>
    <w:rsid w:val="46BB170B"/>
    <w:rsid w:val="47510906"/>
    <w:rsid w:val="47567AEE"/>
    <w:rsid w:val="47882EEC"/>
    <w:rsid w:val="495D70F7"/>
    <w:rsid w:val="4A262AF4"/>
    <w:rsid w:val="4ADD244D"/>
    <w:rsid w:val="4B0A4380"/>
    <w:rsid w:val="4B414A2E"/>
    <w:rsid w:val="4B4C5A72"/>
    <w:rsid w:val="4B642F54"/>
    <w:rsid w:val="4B7074E5"/>
    <w:rsid w:val="4B716301"/>
    <w:rsid w:val="4B7D5F80"/>
    <w:rsid w:val="4BF40741"/>
    <w:rsid w:val="4C5E019B"/>
    <w:rsid w:val="4C7A3E2A"/>
    <w:rsid w:val="4E397895"/>
    <w:rsid w:val="4E475085"/>
    <w:rsid w:val="4E6179A5"/>
    <w:rsid w:val="4F54289B"/>
    <w:rsid w:val="4F64249F"/>
    <w:rsid w:val="4F6E1200"/>
    <w:rsid w:val="4FCF3A38"/>
    <w:rsid w:val="4FEE189E"/>
    <w:rsid w:val="4FF5727D"/>
    <w:rsid w:val="50945995"/>
    <w:rsid w:val="50E02600"/>
    <w:rsid w:val="50EB6E9C"/>
    <w:rsid w:val="510113CF"/>
    <w:rsid w:val="51070878"/>
    <w:rsid w:val="5148519A"/>
    <w:rsid w:val="52121B0D"/>
    <w:rsid w:val="527D4949"/>
    <w:rsid w:val="52DA5B1C"/>
    <w:rsid w:val="53121571"/>
    <w:rsid w:val="532332A7"/>
    <w:rsid w:val="539F2EE7"/>
    <w:rsid w:val="53F038EA"/>
    <w:rsid w:val="543F264E"/>
    <w:rsid w:val="54E160E1"/>
    <w:rsid w:val="55473849"/>
    <w:rsid w:val="554930D2"/>
    <w:rsid w:val="55C15F0B"/>
    <w:rsid w:val="55C43C6A"/>
    <w:rsid w:val="56724FD9"/>
    <w:rsid w:val="56C65928"/>
    <w:rsid w:val="56C972A1"/>
    <w:rsid w:val="57045AA2"/>
    <w:rsid w:val="57793602"/>
    <w:rsid w:val="58055B79"/>
    <w:rsid w:val="58D41D8A"/>
    <w:rsid w:val="5948194C"/>
    <w:rsid w:val="595A333D"/>
    <w:rsid w:val="59BA69E3"/>
    <w:rsid w:val="5A063425"/>
    <w:rsid w:val="5A417035"/>
    <w:rsid w:val="5A4B453D"/>
    <w:rsid w:val="5A522A93"/>
    <w:rsid w:val="5A661DF4"/>
    <w:rsid w:val="5A7F74DE"/>
    <w:rsid w:val="5A935F96"/>
    <w:rsid w:val="5ACF0178"/>
    <w:rsid w:val="5B0C5D54"/>
    <w:rsid w:val="5B2402E4"/>
    <w:rsid w:val="5B763444"/>
    <w:rsid w:val="5C3E17F9"/>
    <w:rsid w:val="5C537D21"/>
    <w:rsid w:val="5CFA53B0"/>
    <w:rsid w:val="5D3A6920"/>
    <w:rsid w:val="5D4A02A9"/>
    <w:rsid w:val="5D8135CC"/>
    <w:rsid w:val="5DA64C8A"/>
    <w:rsid w:val="5DEB03AE"/>
    <w:rsid w:val="5E002DDD"/>
    <w:rsid w:val="5E071F26"/>
    <w:rsid w:val="5E23788C"/>
    <w:rsid w:val="5E551C67"/>
    <w:rsid w:val="5E566CF4"/>
    <w:rsid w:val="5E6C7908"/>
    <w:rsid w:val="5EED05F3"/>
    <w:rsid w:val="5F064C35"/>
    <w:rsid w:val="600446EC"/>
    <w:rsid w:val="600D2EE6"/>
    <w:rsid w:val="601E7EAA"/>
    <w:rsid w:val="6091207C"/>
    <w:rsid w:val="61BE6360"/>
    <w:rsid w:val="61D0464C"/>
    <w:rsid w:val="61DB5D3A"/>
    <w:rsid w:val="621760F6"/>
    <w:rsid w:val="62246B60"/>
    <w:rsid w:val="62E36EC5"/>
    <w:rsid w:val="62E81FE8"/>
    <w:rsid w:val="62E97B13"/>
    <w:rsid w:val="636F54EC"/>
    <w:rsid w:val="644F1ACD"/>
    <w:rsid w:val="64A8372F"/>
    <w:rsid w:val="64C035B4"/>
    <w:rsid w:val="653F3838"/>
    <w:rsid w:val="658D6058"/>
    <w:rsid w:val="65FC336D"/>
    <w:rsid w:val="66007761"/>
    <w:rsid w:val="662D19F1"/>
    <w:rsid w:val="66A53123"/>
    <w:rsid w:val="66F85BDC"/>
    <w:rsid w:val="671F2FEE"/>
    <w:rsid w:val="67897CFE"/>
    <w:rsid w:val="679F25C0"/>
    <w:rsid w:val="67A212D9"/>
    <w:rsid w:val="67EA44FC"/>
    <w:rsid w:val="67FF1998"/>
    <w:rsid w:val="680C374A"/>
    <w:rsid w:val="680D1D99"/>
    <w:rsid w:val="681A7759"/>
    <w:rsid w:val="6840613C"/>
    <w:rsid w:val="6876068B"/>
    <w:rsid w:val="68A64F76"/>
    <w:rsid w:val="68C97848"/>
    <w:rsid w:val="68E7433A"/>
    <w:rsid w:val="68E86ABE"/>
    <w:rsid w:val="69056BF9"/>
    <w:rsid w:val="691E67B1"/>
    <w:rsid w:val="69431270"/>
    <w:rsid w:val="6A7F4F75"/>
    <w:rsid w:val="6ACA16F9"/>
    <w:rsid w:val="6AFF00CA"/>
    <w:rsid w:val="6B16774A"/>
    <w:rsid w:val="6BAB2FCD"/>
    <w:rsid w:val="6C492D55"/>
    <w:rsid w:val="6C8178B4"/>
    <w:rsid w:val="6C84727C"/>
    <w:rsid w:val="6E2D30BE"/>
    <w:rsid w:val="6E2F78A7"/>
    <w:rsid w:val="6E8509EA"/>
    <w:rsid w:val="6EB54E50"/>
    <w:rsid w:val="6ECE2681"/>
    <w:rsid w:val="6EF77006"/>
    <w:rsid w:val="6F656567"/>
    <w:rsid w:val="6F9441FC"/>
    <w:rsid w:val="6FB9715F"/>
    <w:rsid w:val="6FC96403"/>
    <w:rsid w:val="700D4ACD"/>
    <w:rsid w:val="702836CD"/>
    <w:rsid w:val="708A3C8C"/>
    <w:rsid w:val="70A12054"/>
    <w:rsid w:val="71030383"/>
    <w:rsid w:val="71197B42"/>
    <w:rsid w:val="720811E2"/>
    <w:rsid w:val="72340F9C"/>
    <w:rsid w:val="72686EF1"/>
    <w:rsid w:val="729965A8"/>
    <w:rsid w:val="72B65B08"/>
    <w:rsid w:val="72F52C2C"/>
    <w:rsid w:val="72FA70AF"/>
    <w:rsid w:val="73087812"/>
    <w:rsid w:val="731E5707"/>
    <w:rsid w:val="737238D8"/>
    <w:rsid w:val="73AB63BB"/>
    <w:rsid w:val="73C623CD"/>
    <w:rsid w:val="73D4787E"/>
    <w:rsid w:val="746F4A04"/>
    <w:rsid w:val="74BD630E"/>
    <w:rsid w:val="74CB259B"/>
    <w:rsid w:val="75EF44CC"/>
    <w:rsid w:val="76056734"/>
    <w:rsid w:val="762D38BA"/>
    <w:rsid w:val="76741247"/>
    <w:rsid w:val="76F21D7B"/>
    <w:rsid w:val="774152C9"/>
    <w:rsid w:val="78C15396"/>
    <w:rsid w:val="793070F8"/>
    <w:rsid w:val="79347CC6"/>
    <w:rsid w:val="796F195D"/>
    <w:rsid w:val="79D825C1"/>
    <w:rsid w:val="7A3F6AB2"/>
    <w:rsid w:val="7A5D1027"/>
    <w:rsid w:val="7A8555FE"/>
    <w:rsid w:val="7A971B46"/>
    <w:rsid w:val="7ADC408A"/>
    <w:rsid w:val="7B133128"/>
    <w:rsid w:val="7B1959FC"/>
    <w:rsid w:val="7B1C502C"/>
    <w:rsid w:val="7B3202D1"/>
    <w:rsid w:val="7B52681B"/>
    <w:rsid w:val="7B5D131E"/>
    <w:rsid w:val="7BC44ABA"/>
    <w:rsid w:val="7BF60D85"/>
    <w:rsid w:val="7D7C4AB4"/>
    <w:rsid w:val="7D7D75C8"/>
    <w:rsid w:val="7DB41B16"/>
    <w:rsid w:val="7DEB79E2"/>
    <w:rsid w:val="7DFC5027"/>
    <w:rsid w:val="7E002D54"/>
    <w:rsid w:val="7E1A04DD"/>
    <w:rsid w:val="7E74358B"/>
    <w:rsid w:val="7F0F534D"/>
    <w:rsid w:val="7F600D62"/>
    <w:rsid w:val="7FB5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2"/>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3"/>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4"/>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autoRedefine/>
    <w:qFormat/>
    <w:uiPriority w:val="9"/>
    <w:pPr>
      <w:keepNext/>
      <w:keepLines/>
      <w:spacing w:before="280" w:after="290"/>
      <w:outlineLvl w:val="3"/>
    </w:pPr>
    <w:rPr>
      <w:rFonts w:ascii="Calibri Light" w:hAnsi="Calibri Light" w:eastAsia="微软雅黑"/>
      <w:b/>
      <w:bCs/>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9">
    <w:name w:val="Normal Indent"/>
    <w:basedOn w:val="1"/>
    <w:next w:val="10"/>
    <w:link w:val="51"/>
    <w:autoRedefine/>
    <w:qFormat/>
    <w:uiPriority w:val="0"/>
    <w:pPr>
      <w:ind w:firstLine="420"/>
    </w:pPr>
    <w:rPr>
      <w:rFonts w:eastAsia="宋体"/>
    </w:rPr>
  </w:style>
  <w:style w:type="paragraph" w:styleId="10">
    <w:name w:val="Plain Text"/>
    <w:basedOn w:val="1"/>
    <w:link w:val="60"/>
    <w:autoRedefine/>
    <w:qFormat/>
    <w:uiPriority w:val="99"/>
    <w:pPr>
      <w:spacing w:before="156" w:beforeLines="50" w:after="156" w:afterLines="50" w:line="400" w:lineRule="atLeast"/>
    </w:pPr>
    <w:rPr>
      <w:rFonts w:ascii="宋体" w:hAnsi="Courier New"/>
      <w:sz w:val="24"/>
      <w:szCs w:val="24"/>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Document Map"/>
    <w:basedOn w:val="1"/>
    <w:link w:val="48"/>
    <w:autoRedefine/>
    <w:unhideWhenUsed/>
    <w:qFormat/>
    <w:uiPriority w:val="99"/>
    <w:rPr>
      <w:rFonts w:ascii="宋体"/>
      <w:sz w:val="18"/>
      <w:szCs w:val="18"/>
    </w:rPr>
  </w:style>
  <w:style w:type="paragraph" w:styleId="13">
    <w:name w:val="annotation text"/>
    <w:basedOn w:val="1"/>
    <w:link w:val="83"/>
    <w:autoRedefine/>
    <w:unhideWhenUsed/>
    <w:qFormat/>
    <w:uiPriority w:val="99"/>
    <w:pPr>
      <w:jc w:val="left"/>
    </w:pPr>
  </w:style>
  <w:style w:type="paragraph" w:styleId="14">
    <w:name w:val="Body Text"/>
    <w:basedOn w:val="1"/>
    <w:next w:val="1"/>
    <w:link w:val="86"/>
    <w:autoRedefine/>
    <w:unhideWhenUsed/>
    <w:qFormat/>
    <w:uiPriority w:val="99"/>
    <w:pPr>
      <w:spacing w:after="120"/>
    </w:pPr>
    <w:rPr>
      <w:rFonts w:ascii="Times New Roman" w:hAnsi="Times New Roman" w:eastAsia="宋体" w:cs="Times New Roman"/>
      <w:sz w:val="28"/>
      <w:szCs w:val="24"/>
    </w:rPr>
  </w:style>
  <w:style w:type="paragraph" w:styleId="15">
    <w:name w:val="Body Text Indent"/>
    <w:basedOn w:val="1"/>
    <w:next w:val="16"/>
    <w:link w:val="75"/>
    <w:autoRedefine/>
    <w:qFormat/>
    <w:uiPriority w:val="0"/>
    <w:pPr>
      <w:spacing w:line="200" w:lineRule="atLeast"/>
      <w:ind w:firstLine="301"/>
    </w:pPr>
    <w:rPr>
      <w:rFonts w:ascii="宋体" w:hAnsi="Courier New"/>
      <w:spacing w:val="-4"/>
      <w:sz w:val="18"/>
    </w:rPr>
  </w:style>
  <w:style w:type="paragraph" w:styleId="16">
    <w:name w:val="Body Text First Indent 2"/>
    <w:basedOn w:val="15"/>
    <w:link w:val="91"/>
    <w:autoRedefine/>
    <w:unhideWhenUsed/>
    <w:qFormat/>
    <w:uiPriority w:val="99"/>
    <w:pPr>
      <w:ind w:firstLine="420"/>
    </w:pPr>
  </w:style>
  <w:style w:type="paragraph" w:styleId="17">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8">
    <w:name w:val="Date"/>
    <w:basedOn w:val="1"/>
    <w:next w:val="1"/>
    <w:link w:val="89"/>
    <w:autoRedefine/>
    <w:qFormat/>
    <w:uiPriority w:val="0"/>
    <w:pPr>
      <w:ind w:left="2500" w:leftChars="2500"/>
    </w:pPr>
    <w:rPr>
      <w:rFonts w:ascii="Times New Roman" w:hAnsi="Times New Roman" w:eastAsia="楷体_GB2312" w:cs="Times New Roman"/>
      <w:sz w:val="32"/>
      <w:szCs w:val="20"/>
    </w:rPr>
  </w:style>
  <w:style w:type="paragraph" w:styleId="19">
    <w:name w:val="Balloon Text"/>
    <w:basedOn w:val="1"/>
    <w:link w:val="87"/>
    <w:autoRedefine/>
    <w:qFormat/>
    <w:uiPriority w:val="0"/>
    <w:rPr>
      <w:rFonts w:ascii="Times New Roman" w:hAnsi="Times New Roman" w:eastAsia="宋体" w:cs="Times New Roman"/>
      <w:sz w:val="18"/>
      <w:szCs w:val="18"/>
    </w:rPr>
  </w:style>
  <w:style w:type="paragraph" w:styleId="20">
    <w:name w:val="footer"/>
    <w:basedOn w:val="1"/>
    <w:link w:val="41"/>
    <w:autoRedefine/>
    <w:unhideWhenUsed/>
    <w:qFormat/>
    <w:uiPriority w:val="99"/>
    <w:pPr>
      <w:tabs>
        <w:tab w:val="center" w:pos="4153"/>
        <w:tab w:val="right" w:pos="8306"/>
      </w:tabs>
      <w:snapToGrid w:val="0"/>
      <w:jc w:val="left"/>
    </w:pPr>
    <w:rPr>
      <w:sz w:val="18"/>
      <w:szCs w:val="18"/>
    </w:rPr>
  </w:style>
  <w:style w:type="paragraph" w:styleId="21">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3">
    <w:name w:val="Body Text 2"/>
    <w:basedOn w:val="1"/>
    <w:link w:val="77"/>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4">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5">
    <w:name w:val="annotation subject"/>
    <w:basedOn w:val="13"/>
    <w:next w:val="13"/>
    <w:link w:val="61"/>
    <w:autoRedefine/>
    <w:unhideWhenUsed/>
    <w:qFormat/>
    <w:uiPriority w:val="99"/>
    <w:rPr>
      <w:b/>
      <w:bCs/>
      <w:sz w:val="28"/>
      <w:szCs w:val="24"/>
    </w:r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autoRedefine/>
    <w:unhideWhenUsed/>
    <w:qFormat/>
    <w:uiPriority w:val="99"/>
    <w:rPr>
      <w:color w:val="5579A7"/>
      <w:u w:val="none"/>
    </w:rPr>
  </w:style>
  <w:style w:type="character" w:styleId="32">
    <w:name w:val="Emphasis"/>
    <w:basedOn w:val="28"/>
    <w:autoRedefine/>
    <w:qFormat/>
    <w:uiPriority w:val="20"/>
    <w:rPr>
      <w:i/>
    </w:rPr>
  </w:style>
  <w:style w:type="character" w:styleId="33">
    <w:name w:val="HTML Definition"/>
    <w:autoRedefine/>
    <w:unhideWhenUsed/>
    <w:qFormat/>
    <w:uiPriority w:val="99"/>
    <w:rPr>
      <w:i/>
    </w:rPr>
  </w:style>
  <w:style w:type="character" w:styleId="34">
    <w:name w:val="Hyperlink"/>
    <w:autoRedefine/>
    <w:qFormat/>
    <w:uiPriority w:val="0"/>
    <w:rPr>
      <w:color w:val="5579A7"/>
      <w:u w:val="none"/>
    </w:rPr>
  </w:style>
  <w:style w:type="character" w:styleId="35">
    <w:name w:val="HTML Code"/>
    <w:autoRedefine/>
    <w:unhideWhenUsed/>
    <w:qFormat/>
    <w:uiPriority w:val="99"/>
    <w:rPr>
      <w:rFonts w:ascii="-apple-system" w:hAnsi="-apple-system" w:eastAsia="-apple-system" w:cs="-apple-system"/>
      <w:sz w:val="21"/>
      <w:szCs w:val="21"/>
    </w:rPr>
  </w:style>
  <w:style w:type="character" w:styleId="36">
    <w:name w:val="annotation reference"/>
    <w:autoRedefine/>
    <w:unhideWhenUsed/>
    <w:qFormat/>
    <w:uiPriority w:val="99"/>
    <w:rPr>
      <w:sz w:val="21"/>
      <w:szCs w:val="21"/>
    </w:rPr>
  </w:style>
  <w:style w:type="character" w:styleId="37">
    <w:name w:val="HTML Keyboard"/>
    <w:autoRedefine/>
    <w:unhideWhenUsed/>
    <w:qFormat/>
    <w:uiPriority w:val="99"/>
    <w:rPr>
      <w:rFonts w:hint="default" w:ascii="-apple-system" w:hAnsi="-apple-system" w:eastAsia="-apple-system" w:cs="-apple-system"/>
      <w:sz w:val="21"/>
      <w:szCs w:val="21"/>
    </w:rPr>
  </w:style>
  <w:style w:type="character" w:styleId="38">
    <w:name w:val="HTML Sample"/>
    <w:autoRedefine/>
    <w:unhideWhenUsed/>
    <w:qFormat/>
    <w:uiPriority w:val="99"/>
    <w:rPr>
      <w:rFonts w:hint="default" w:ascii="-apple-system" w:hAnsi="-apple-system" w:eastAsia="-apple-system" w:cs="-apple-system"/>
      <w:sz w:val="21"/>
      <w:szCs w:val="21"/>
    </w:rPr>
  </w:style>
  <w:style w:type="paragraph" w:customStyle="1" w:styleId="39">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0">
    <w:name w:val="页眉 字符"/>
    <w:basedOn w:val="28"/>
    <w:link w:val="21"/>
    <w:autoRedefine/>
    <w:qFormat/>
    <w:uiPriority w:val="99"/>
    <w:rPr>
      <w:sz w:val="18"/>
      <w:szCs w:val="18"/>
    </w:rPr>
  </w:style>
  <w:style w:type="character" w:customStyle="1" w:styleId="41">
    <w:name w:val="页脚 字符"/>
    <w:basedOn w:val="28"/>
    <w:link w:val="20"/>
    <w:autoRedefine/>
    <w:qFormat/>
    <w:uiPriority w:val="99"/>
    <w:rPr>
      <w:sz w:val="18"/>
      <w:szCs w:val="18"/>
    </w:rPr>
  </w:style>
  <w:style w:type="character" w:customStyle="1" w:styleId="42">
    <w:name w:val="标题 1 字符"/>
    <w:basedOn w:val="28"/>
    <w:link w:val="4"/>
    <w:autoRedefine/>
    <w:qFormat/>
    <w:uiPriority w:val="9"/>
    <w:rPr>
      <w:rFonts w:ascii="Times New Roman" w:hAnsi="Times New Roman" w:eastAsia="宋体" w:cs="Times New Roman"/>
      <w:b/>
      <w:bCs/>
      <w:kern w:val="44"/>
      <w:sz w:val="44"/>
      <w:szCs w:val="44"/>
    </w:rPr>
  </w:style>
  <w:style w:type="character" w:customStyle="1" w:styleId="43">
    <w:name w:val="标题 2 字符"/>
    <w:basedOn w:val="28"/>
    <w:link w:val="5"/>
    <w:autoRedefine/>
    <w:qFormat/>
    <w:uiPriority w:val="9"/>
    <w:rPr>
      <w:rFonts w:ascii="Cambria" w:hAnsi="Cambria" w:eastAsia="宋体" w:cs="Times New Roman"/>
      <w:b/>
      <w:bCs/>
      <w:sz w:val="32"/>
      <w:szCs w:val="32"/>
    </w:rPr>
  </w:style>
  <w:style w:type="character" w:customStyle="1" w:styleId="44">
    <w:name w:val="标题 3 字符"/>
    <w:basedOn w:val="28"/>
    <w:link w:val="6"/>
    <w:autoRedefine/>
    <w:qFormat/>
    <w:uiPriority w:val="9"/>
    <w:rPr>
      <w:rFonts w:ascii="Times New Roman" w:hAnsi="Times New Roman" w:eastAsia="宋体" w:cs="Times New Roman"/>
      <w:b/>
      <w:bCs/>
      <w:sz w:val="32"/>
      <w:szCs w:val="32"/>
    </w:rPr>
  </w:style>
  <w:style w:type="character" w:customStyle="1" w:styleId="45">
    <w:name w:val="jbox-icon-none"/>
    <w:autoRedefine/>
    <w:qFormat/>
    <w:uiPriority w:val="0"/>
    <w:rPr>
      <w:vanish/>
    </w:rPr>
  </w:style>
  <w:style w:type="character" w:customStyle="1" w:styleId="46">
    <w:name w:val="z-窗体底端 字符"/>
    <w:link w:val="47"/>
    <w:autoRedefine/>
    <w:qFormat/>
    <w:uiPriority w:val="99"/>
    <w:rPr>
      <w:rFonts w:ascii="Arial" w:hAnsi="Arial"/>
      <w:vanish/>
      <w:sz w:val="16"/>
      <w:szCs w:val="16"/>
    </w:rPr>
  </w:style>
  <w:style w:type="paragraph" w:customStyle="1" w:styleId="47">
    <w:name w:val="z-窗体底端1"/>
    <w:basedOn w:val="1"/>
    <w:next w:val="1"/>
    <w:link w:val="46"/>
    <w:autoRedefine/>
    <w:unhideWhenUsed/>
    <w:qFormat/>
    <w:uiPriority w:val="99"/>
    <w:pPr>
      <w:widowControl/>
      <w:pBdr>
        <w:top w:val="single" w:color="auto" w:sz="6" w:space="1"/>
      </w:pBdr>
      <w:jc w:val="center"/>
    </w:pPr>
    <w:rPr>
      <w:rFonts w:ascii="Arial" w:hAnsi="Arial"/>
      <w:vanish/>
      <w:sz w:val="16"/>
      <w:szCs w:val="16"/>
    </w:rPr>
  </w:style>
  <w:style w:type="character" w:customStyle="1" w:styleId="48">
    <w:name w:val="文档结构图 字符"/>
    <w:link w:val="12"/>
    <w:autoRedefine/>
    <w:qFormat/>
    <w:uiPriority w:val="99"/>
    <w:rPr>
      <w:rFonts w:ascii="宋体"/>
      <w:sz w:val="18"/>
      <w:szCs w:val="18"/>
    </w:rPr>
  </w:style>
  <w:style w:type="character" w:customStyle="1" w:styleId="49">
    <w:name w:val="black601"/>
    <w:autoRedefine/>
    <w:qFormat/>
    <w:uiPriority w:val="0"/>
    <w:rPr>
      <w:color w:val="666666"/>
    </w:rPr>
  </w:style>
  <w:style w:type="character" w:customStyle="1" w:styleId="50">
    <w:name w:val="hour_pm"/>
    <w:basedOn w:val="28"/>
    <w:autoRedefine/>
    <w:qFormat/>
    <w:uiPriority w:val="0"/>
  </w:style>
  <w:style w:type="character" w:customStyle="1" w:styleId="51">
    <w:name w:val="正文缩进 字符"/>
    <w:link w:val="9"/>
    <w:autoRedefine/>
    <w:qFormat/>
    <w:uiPriority w:val="0"/>
    <w:rPr>
      <w:rFonts w:eastAsia="宋体"/>
    </w:rPr>
  </w:style>
  <w:style w:type="character" w:customStyle="1" w:styleId="52">
    <w:name w:val="标题 1 Char Char"/>
    <w:autoRedefine/>
    <w:qFormat/>
    <w:uiPriority w:val="0"/>
    <w:rPr>
      <w:rFonts w:eastAsia="宋体"/>
      <w:b/>
      <w:spacing w:val="-2"/>
      <w:sz w:val="24"/>
      <w:lang w:val="en-US" w:eastAsia="zh-CN" w:bidi="ar-SA"/>
    </w:rPr>
  </w:style>
  <w:style w:type="character" w:customStyle="1" w:styleId="53">
    <w:name w:val="jbox-icon-info"/>
    <w:basedOn w:val="28"/>
    <w:autoRedefine/>
    <w:qFormat/>
    <w:uiPriority w:val="0"/>
  </w:style>
  <w:style w:type="character" w:customStyle="1" w:styleId="54">
    <w:name w:val="hover9"/>
    <w:autoRedefine/>
    <w:qFormat/>
    <w:uiPriority w:val="0"/>
    <w:rPr>
      <w:shd w:val="clear" w:color="auto" w:fill="EEEEEE"/>
    </w:rPr>
  </w:style>
  <w:style w:type="character" w:customStyle="1" w:styleId="55">
    <w:name w:val="maywed421"/>
    <w:autoRedefine/>
    <w:qFormat/>
    <w:uiPriority w:val="0"/>
    <w:rPr>
      <w:color w:val="366FB6"/>
      <w:u w:val="none"/>
    </w:rPr>
  </w:style>
  <w:style w:type="character" w:customStyle="1" w:styleId="56">
    <w:name w:val="old"/>
    <w:autoRedefine/>
    <w:qFormat/>
    <w:uiPriority w:val="0"/>
    <w:rPr>
      <w:color w:val="999999"/>
    </w:rPr>
  </w:style>
  <w:style w:type="character" w:customStyle="1" w:styleId="57">
    <w:name w:val="jbox-icon-warning"/>
    <w:basedOn w:val="28"/>
    <w:autoRedefine/>
    <w:qFormat/>
    <w:uiPriority w:val="0"/>
  </w:style>
  <w:style w:type="character" w:customStyle="1" w:styleId="58">
    <w:name w:val="z-窗体顶端 字符"/>
    <w:link w:val="59"/>
    <w:autoRedefine/>
    <w:qFormat/>
    <w:uiPriority w:val="99"/>
    <w:rPr>
      <w:rFonts w:ascii="Arial" w:hAnsi="Arial"/>
      <w:vanish/>
      <w:sz w:val="16"/>
      <w:szCs w:val="16"/>
    </w:rPr>
  </w:style>
  <w:style w:type="paragraph" w:customStyle="1" w:styleId="59">
    <w:name w:val="z-窗体顶端1"/>
    <w:basedOn w:val="1"/>
    <w:next w:val="1"/>
    <w:link w:val="58"/>
    <w:autoRedefine/>
    <w:unhideWhenUsed/>
    <w:qFormat/>
    <w:uiPriority w:val="99"/>
    <w:pPr>
      <w:widowControl/>
      <w:pBdr>
        <w:bottom w:val="single" w:color="auto" w:sz="6" w:space="1"/>
      </w:pBdr>
      <w:jc w:val="center"/>
    </w:pPr>
    <w:rPr>
      <w:rFonts w:ascii="Arial" w:hAnsi="Arial"/>
      <w:vanish/>
      <w:sz w:val="16"/>
      <w:szCs w:val="16"/>
    </w:rPr>
  </w:style>
  <w:style w:type="character" w:customStyle="1" w:styleId="60">
    <w:name w:val="纯文本 字符1"/>
    <w:link w:val="10"/>
    <w:autoRedefine/>
    <w:qFormat/>
    <w:uiPriority w:val="99"/>
    <w:rPr>
      <w:rFonts w:ascii="宋体" w:hAnsi="Courier New"/>
      <w:sz w:val="24"/>
      <w:szCs w:val="24"/>
    </w:rPr>
  </w:style>
  <w:style w:type="character" w:customStyle="1" w:styleId="61">
    <w:name w:val="批注主题 字符"/>
    <w:link w:val="25"/>
    <w:autoRedefine/>
    <w:qFormat/>
    <w:uiPriority w:val="99"/>
    <w:rPr>
      <w:b/>
      <w:bCs/>
      <w:sz w:val="28"/>
      <w:szCs w:val="24"/>
    </w:rPr>
  </w:style>
  <w:style w:type="character" w:customStyle="1" w:styleId="62">
    <w:name w:val="jbox-icon-loading"/>
    <w:basedOn w:val="28"/>
    <w:autoRedefine/>
    <w:qFormat/>
    <w:uiPriority w:val="0"/>
  </w:style>
  <w:style w:type="character" w:customStyle="1" w:styleId="63">
    <w:name w:val="正文文本缩进 字符"/>
    <w:autoRedefine/>
    <w:qFormat/>
    <w:uiPriority w:val="0"/>
    <w:rPr>
      <w:rFonts w:ascii="宋体" w:hAnsi="Courier New"/>
      <w:spacing w:val="-4"/>
      <w:kern w:val="2"/>
      <w:sz w:val="18"/>
    </w:rPr>
  </w:style>
  <w:style w:type="character" w:customStyle="1" w:styleId="64">
    <w:name w:val="正文文本缩进 字符1"/>
    <w:autoRedefine/>
    <w:qFormat/>
    <w:uiPriority w:val="0"/>
    <w:rPr>
      <w:rFonts w:ascii="宋体" w:hAnsi="Courier New"/>
      <w:spacing w:val="-4"/>
      <w:kern w:val="2"/>
      <w:sz w:val="18"/>
    </w:rPr>
  </w:style>
  <w:style w:type="character" w:customStyle="1" w:styleId="65">
    <w:name w:val="纯文本 字符"/>
    <w:autoRedefine/>
    <w:qFormat/>
    <w:uiPriority w:val="99"/>
    <w:rPr>
      <w:rFonts w:ascii="宋体" w:hAnsi="Courier New"/>
      <w:kern w:val="2"/>
      <w:sz w:val="24"/>
      <w:szCs w:val="24"/>
    </w:rPr>
  </w:style>
  <w:style w:type="character" w:customStyle="1" w:styleId="66">
    <w:name w:val="jbox-icon-question"/>
    <w:basedOn w:val="28"/>
    <w:autoRedefine/>
    <w:qFormat/>
    <w:uiPriority w:val="0"/>
  </w:style>
  <w:style w:type="character" w:customStyle="1" w:styleId="67">
    <w:name w:val="jbox-icon"/>
    <w:basedOn w:val="28"/>
    <w:autoRedefine/>
    <w:qFormat/>
    <w:uiPriority w:val="0"/>
  </w:style>
  <w:style w:type="character" w:customStyle="1" w:styleId="68">
    <w:name w:val="纯文本 字符2"/>
    <w:autoRedefine/>
    <w:qFormat/>
    <w:uiPriority w:val="99"/>
    <w:rPr>
      <w:rFonts w:ascii="宋体" w:hAnsi="Courier New"/>
      <w:kern w:val="2"/>
      <w:sz w:val="24"/>
      <w:szCs w:val="24"/>
    </w:rPr>
  </w:style>
  <w:style w:type="character" w:customStyle="1" w:styleId="69">
    <w:name w:val="hour_am"/>
    <w:basedOn w:val="28"/>
    <w:autoRedefine/>
    <w:qFormat/>
    <w:uiPriority w:val="0"/>
  </w:style>
  <w:style w:type="character" w:customStyle="1" w:styleId="70">
    <w:name w:val="jbox-icon-success"/>
    <w:basedOn w:val="28"/>
    <w:autoRedefine/>
    <w:qFormat/>
    <w:uiPriority w:val="0"/>
  </w:style>
  <w:style w:type="character" w:customStyle="1" w:styleId="71">
    <w:name w:val="批注文字 字符"/>
    <w:autoRedefine/>
    <w:qFormat/>
    <w:uiPriority w:val="99"/>
    <w:rPr>
      <w:kern w:val="2"/>
      <w:sz w:val="28"/>
      <w:szCs w:val="24"/>
    </w:rPr>
  </w:style>
  <w:style w:type="character" w:customStyle="1" w:styleId="72">
    <w:name w:val="纯文本 Char1"/>
    <w:autoRedefine/>
    <w:qFormat/>
    <w:uiPriority w:val="0"/>
    <w:rPr>
      <w:rFonts w:ascii="宋体" w:hAnsi="Courier New"/>
      <w:kern w:val="2"/>
      <w:sz w:val="21"/>
    </w:rPr>
  </w:style>
  <w:style w:type="character" w:customStyle="1" w:styleId="73">
    <w:name w:val="纯文本 Char"/>
    <w:autoRedefine/>
    <w:qFormat/>
    <w:uiPriority w:val="99"/>
    <w:rPr>
      <w:rFonts w:ascii="宋体" w:hAnsi="Courier New"/>
      <w:kern w:val="2"/>
      <w:sz w:val="24"/>
      <w:szCs w:val="24"/>
    </w:rPr>
  </w:style>
  <w:style w:type="character" w:customStyle="1" w:styleId="74">
    <w:name w:val="sub_title s0"/>
    <w:basedOn w:val="28"/>
    <w:autoRedefine/>
    <w:qFormat/>
    <w:uiPriority w:val="0"/>
  </w:style>
  <w:style w:type="character" w:customStyle="1" w:styleId="75">
    <w:name w:val="正文文本缩进 字符2"/>
    <w:link w:val="15"/>
    <w:autoRedefine/>
    <w:qFormat/>
    <w:uiPriority w:val="0"/>
    <w:rPr>
      <w:rFonts w:ascii="宋体" w:hAnsi="Courier New"/>
      <w:spacing w:val="-4"/>
      <w:sz w:val="18"/>
    </w:rPr>
  </w:style>
  <w:style w:type="character" w:customStyle="1" w:styleId="76">
    <w:name w:val="jbox-icon-error"/>
    <w:basedOn w:val="28"/>
    <w:autoRedefine/>
    <w:qFormat/>
    <w:uiPriority w:val="0"/>
  </w:style>
  <w:style w:type="character" w:customStyle="1" w:styleId="77">
    <w:name w:val="正文文本 2 字符"/>
    <w:basedOn w:val="28"/>
    <w:link w:val="23"/>
    <w:autoRedefine/>
    <w:qFormat/>
    <w:uiPriority w:val="0"/>
    <w:rPr>
      <w:rFonts w:ascii="宋体" w:hAnsi="宋体" w:eastAsia="宋体" w:cs="Times New Roman"/>
      <w:color w:val="000000"/>
      <w:sz w:val="24"/>
      <w:szCs w:val="24"/>
    </w:rPr>
  </w:style>
  <w:style w:type="paragraph" w:customStyle="1" w:styleId="78">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0">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1">
    <w:name w:val="z-窗体顶端 字符1"/>
    <w:basedOn w:val="28"/>
    <w:autoRedefine/>
    <w:semiHidden/>
    <w:qFormat/>
    <w:uiPriority w:val="99"/>
    <w:rPr>
      <w:rFonts w:ascii="Arial" w:hAnsi="Arial" w:cs="Arial"/>
      <w:vanish/>
      <w:sz w:val="16"/>
      <w:szCs w:val="16"/>
    </w:rPr>
  </w:style>
  <w:style w:type="paragraph" w:customStyle="1" w:styleId="82">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3">
    <w:name w:val="批注文字 字符1"/>
    <w:basedOn w:val="28"/>
    <w:link w:val="13"/>
    <w:autoRedefine/>
    <w:semiHidden/>
    <w:qFormat/>
    <w:uiPriority w:val="99"/>
  </w:style>
  <w:style w:type="character" w:customStyle="1" w:styleId="84">
    <w:name w:val="批注主题 字符1"/>
    <w:basedOn w:val="83"/>
    <w:autoRedefine/>
    <w:semiHidden/>
    <w:qFormat/>
    <w:uiPriority w:val="99"/>
    <w:rPr>
      <w:b/>
      <w:bCs/>
    </w:rPr>
  </w:style>
  <w:style w:type="character" w:customStyle="1" w:styleId="85">
    <w:name w:val="文档结构图 字符1"/>
    <w:basedOn w:val="28"/>
    <w:autoRedefine/>
    <w:semiHidden/>
    <w:qFormat/>
    <w:uiPriority w:val="99"/>
    <w:rPr>
      <w:rFonts w:ascii="Microsoft YaHei UI" w:eastAsia="Microsoft YaHei UI"/>
      <w:sz w:val="18"/>
      <w:szCs w:val="18"/>
    </w:rPr>
  </w:style>
  <w:style w:type="character" w:customStyle="1" w:styleId="86">
    <w:name w:val="正文文本 字符"/>
    <w:basedOn w:val="28"/>
    <w:link w:val="14"/>
    <w:autoRedefine/>
    <w:qFormat/>
    <w:uiPriority w:val="99"/>
    <w:rPr>
      <w:rFonts w:ascii="Times New Roman" w:hAnsi="Times New Roman" w:eastAsia="宋体" w:cs="Times New Roman"/>
      <w:sz w:val="28"/>
      <w:szCs w:val="24"/>
    </w:rPr>
  </w:style>
  <w:style w:type="character" w:customStyle="1" w:styleId="87">
    <w:name w:val="批注框文本 字符"/>
    <w:basedOn w:val="28"/>
    <w:link w:val="19"/>
    <w:autoRedefine/>
    <w:qFormat/>
    <w:uiPriority w:val="0"/>
    <w:rPr>
      <w:rFonts w:ascii="Times New Roman" w:hAnsi="Times New Roman" w:eastAsia="宋体" w:cs="Times New Roman"/>
      <w:sz w:val="18"/>
      <w:szCs w:val="18"/>
    </w:rPr>
  </w:style>
  <w:style w:type="character" w:customStyle="1" w:styleId="88">
    <w:name w:val="正文文本缩进 字符3"/>
    <w:basedOn w:val="28"/>
    <w:autoRedefine/>
    <w:semiHidden/>
    <w:qFormat/>
    <w:uiPriority w:val="99"/>
  </w:style>
  <w:style w:type="character" w:customStyle="1" w:styleId="89">
    <w:name w:val="日期 字符"/>
    <w:basedOn w:val="28"/>
    <w:link w:val="18"/>
    <w:autoRedefine/>
    <w:qFormat/>
    <w:uiPriority w:val="0"/>
    <w:rPr>
      <w:rFonts w:ascii="Times New Roman" w:hAnsi="Times New Roman" w:eastAsia="楷体_GB2312" w:cs="Times New Roman"/>
      <w:sz w:val="32"/>
      <w:szCs w:val="20"/>
    </w:rPr>
  </w:style>
  <w:style w:type="character" w:customStyle="1" w:styleId="90">
    <w:name w:val="纯文本 字符3"/>
    <w:basedOn w:val="28"/>
    <w:autoRedefine/>
    <w:semiHidden/>
    <w:qFormat/>
    <w:uiPriority w:val="99"/>
    <w:rPr>
      <w:rFonts w:hAnsi="Courier New" w:cs="Courier New" w:asciiTheme="minorEastAsia"/>
    </w:rPr>
  </w:style>
  <w:style w:type="character" w:customStyle="1" w:styleId="91">
    <w:name w:val="正文文本首行缩进 2 字符"/>
    <w:basedOn w:val="88"/>
    <w:link w:val="16"/>
    <w:autoRedefine/>
    <w:qFormat/>
    <w:uiPriority w:val="99"/>
    <w:rPr>
      <w:rFonts w:ascii="宋体" w:hAnsi="Courier New"/>
      <w:spacing w:val="-4"/>
      <w:sz w:val="18"/>
    </w:rPr>
  </w:style>
  <w:style w:type="character" w:customStyle="1" w:styleId="92">
    <w:name w:val="z-窗体底端 字符1"/>
    <w:basedOn w:val="28"/>
    <w:autoRedefine/>
    <w:semiHidden/>
    <w:qFormat/>
    <w:uiPriority w:val="99"/>
    <w:rPr>
      <w:rFonts w:ascii="Arial" w:hAnsi="Arial" w:cs="Arial"/>
      <w:vanish/>
      <w:sz w:val="16"/>
      <w:szCs w:val="16"/>
    </w:rPr>
  </w:style>
  <w:style w:type="paragraph" w:customStyle="1" w:styleId="93">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autoRedefine/>
    <w:qFormat/>
    <w:uiPriority w:val="0"/>
    <w:rPr>
      <w:rFonts w:ascii="Tahoma" w:hAnsi="Tahoma" w:eastAsia="宋体" w:cs="Times New Roman"/>
      <w:sz w:val="24"/>
      <w:szCs w:val="20"/>
    </w:rPr>
  </w:style>
  <w:style w:type="paragraph" w:customStyle="1" w:styleId="98">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9">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5">
    <w:name w:val="标题 10"/>
    <w:basedOn w:val="5"/>
    <w:autoRedefine/>
    <w:qFormat/>
    <w:uiPriority w:val="0"/>
    <w:pPr>
      <w:jc w:val="center"/>
    </w:pPr>
    <w:rPr>
      <w:kern w:val="0"/>
    </w:rPr>
  </w:style>
  <w:style w:type="character" w:customStyle="1" w:styleId="106">
    <w:name w:val="未处理的提及1"/>
    <w:autoRedefine/>
    <w:semiHidden/>
    <w:unhideWhenUsed/>
    <w:qFormat/>
    <w:uiPriority w:val="99"/>
    <w:rPr>
      <w:color w:val="605E5C"/>
      <w:shd w:val="clear" w:color="auto" w:fill="E1DFDD"/>
    </w:rPr>
  </w:style>
  <w:style w:type="character" w:customStyle="1" w:styleId="107">
    <w:name w:val="未处理的提及2"/>
    <w:basedOn w:val="28"/>
    <w:autoRedefine/>
    <w:semiHidden/>
    <w:unhideWhenUsed/>
    <w:qFormat/>
    <w:uiPriority w:val="99"/>
    <w:rPr>
      <w:color w:val="605E5C"/>
      <w:shd w:val="clear" w:color="auto" w:fill="E1DFDD"/>
    </w:rPr>
  </w:style>
  <w:style w:type="character" w:customStyle="1" w:styleId="108">
    <w:name w:val="未处理的提及3"/>
    <w:basedOn w:val="28"/>
    <w:autoRedefine/>
    <w:semiHidden/>
    <w:unhideWhenUsed/>
    <w:qFormat/>
    <w:uiPriority w:val="99"/>
    <w:rPr>
      <w:color w:val="605E5C"/>
      <w:shd w:val="clear" w:color="auto" w:fill="E1DFDD"/>
    </w:rPr>
  </w:style>
  <w:style w:type="character" w:customStyle="1" w:styleId="109">
    <w:name w:val="正文2 Char Char"/>
    <w:link w:val="100"/>
    <w:autoRedefine/>
    <w:qFormat/>
    <w:uiPriority w:val="0"/>
    <w:rPr>
      <w:kern w:val="2"/>
      <w:sz w:val="24"/>
    </w:rPr>
  </w:style>
  <w:style w:type="paragraph" w:customStyle="1" w:styleId="110">
    <w:name w:val="TOC 72"/>
    <w:next w:val="1"/>
    <w:autoRedefine/>
    <w:qFormat/>
    <w:uiPriority w:val="0"/>
    <w:pPr>
      <w:wordWrap w:val="0"/>
      <w:ind w:left="2550"/>
      <w:jc w:val="both"/>
    </w:pPr>
    <w:rPr>
      <w:rFonts w:ascii="Calibri" w:hAnsi="Calibri" w:eastAsia="宋体" w:cs="Times New Roman"/>
      <w:sz w:val="21"/>
      <w:szCs w:val="22"/>
      <w:lang w:val="en-US" w:eastAsia="zh-CN" w:bidi="ar-SA"/>
    </w:rPr>
  </w:style>
  <w:style w:type="table" w:customStyle="1" w:styleId="111">
    <w:name w:val="网格型1"/>
    <w:basedOn w:val="26"/>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Normal Indent1"/>
    <w:autoRedefine/>
    <w:qFormat/>
    <w:uiPriority w:val="0"/>
    <w:pPr>
      <w:ind w:firstLine="420"/>
    </w:pPr>
    <w:rPr>
      <w:rFonts w:ascii="Times New Roman" w:hAnsi="Times New Roman" w:eastAsia="仿宋_GB2312" w:cs="宋体"/>
      <w:b/>
      <w:bCs/>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31757</Words>
  <Characters>33590</Characters>
  <Lines>32</Lines>
  <Paragraphs>64</Paragraphs>
  <TotalTime>0</TotalTime>
  <ScaleCrop>false</ScaleCrop>
  <LinksUpToDate>false</LinksUpToDate>
  <CharactersWithSpaces>34264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WPS_1657520795</cp:lastModifiedBy>
  <dcterms:modified xsi:type="dcterms:W3CDTF">2024-08-13T05:02:35Z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B363B45C01FF4C5A8AB2573BD522DAF7</vt:lpwstr>
  </property>
</Properties>
</file>