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宋体" w:hAnsi="宋体" w:cs="宋体"/>
          <w:b/>
          <w:sz w:val="36"/>
          <w:szCs w:val="36"/>
          <w:highlight w:val="none"/>
        </w:rPr>
      </w:pPr>
    </w:p>
    <w:p>
      <w:pPr>
        <w:snapToGrid w:val="0"/>
        <w:spacing w:line="288" w:lineRule="auto"/>
        <w:jc w:val="center"/>
        <w:rPr>
          <w:rFonts w:ascii="宋体" w:hAnsi="宋体" w:cs="宋体"/>
          <w:b/>
          <w:sz w:val="36"/>
          <w:szCs w:val="36"/>
          <w:highlight w:val="none"/>
        </w:rPr>
      </w:pPr>
    </w:p>
    <w:p>
      <w:pPr>
        <w:snapToGrid w:val="0"/>
        <w:spacing w:line="288" w:lineRule="auto"/>
        <w:jc w:val="center"/>
        <w:rPr>
          <w:rFonts w:ascii="宋体" w:hAnsi="宋体" w:cs="宋体"/>
          <w:b/>
          <w:color w:val="auto"/>
          <w:sz w:val="36"/>
          <w:szCs w:val="36"/>
          <w:highlight w:val="none"/>
        </w:rPr>
      </w:pPr>
    </w:p>
    <w:p>
      <w:pPr>
        <w:snapToGrid w:val="0"/>
        <w:spacing w:line="288" w:lineRule="auto"/>
        <w:jc w:val="center"/>
        <w:rPr>
          <w:rFonts w:ascii="宋体" w:hAnsi="宋体" w:cs="宋体"/>
          <w:b/>
          <w:color w:val="auto"/>
          <w:sz w:val="36"/>
          <w:szCs w:val="36"/>
          <w:highlight w:val="none"/>
        </w:rPr>
      </w:pPr>
    </w:p>
    <w:p>
      <w:pPr>
        <w:snapToGrid w:val="0"/>
        <w:spacing w:line="288" w:lineRule="auto"/>
        <w:jc w:val="center"/>
        <w:rPr>
          <w:rFonts w:ascii="宋体" w:hAnsi="宋体" w:cs="宋体"/>
          <w:b/>
          <w:color w:val="auto"/>
          <w:sz w:val="36"/>
          <w:szCs w:val="36"/>
          <w:highlight w:val="none"/>
        </w:rPr>
      </w:pPr>
    </w:p>
    <w:p>
      <w:pPr>
        <w:snapToGrid w:val="0"/>
        <w:spacing w:line="288"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标识标牌及导视设施采购项目（文化设计采购项目）</w:t>
      </w:r>
    </w:p>
    <w:p>
      <w:pPr>
        <w:snapToGrid w:val="0"/>
        <w:spacing w:line="288"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招标文件</w:t>
      </w:r>
    </w:p>
    <w:p>
      <w:pPr>
        <w:snapToGrid w:val="0"/>
        <w:spacing w:line="288"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（电子招投标）</w:t>
      </w:r>
    </w:p>
    <w:p>
      <w:pPr>
        <w:snapToGrid w:val="0"/>
        <w:spacing w:line="288"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编号:</w:t>
      </w:r>
      <w:r>
        <w:rPr>
          <w:rFonts w:hint="eastAsia" w:ascii="宋体" w:hAnsi="宋体" w:cs="宋体"/>
          <w:color w:val="auto"/>
          <w:sz w:val="36"/>
          <w:szCs w:val="36"/>
          <w:highlight w:val="none"/>
          <w:lang w:eastAsia="zh-CN"/>
        </w:rPr>
        <w:t>QTCG-GK-2024-175</w:t>
      </w:r>
    </w:p>
    <w:p>
      <w:pPr>
        <w:snapToGrid w:val="0"/>
        <w:spacing w:line="288" w:lineRule="auto"/>
        <w:rPr>
          <w:rFonts w:ascii="宋体" w:hAnsi="宋体" w:cs="宋体"/>
          <w:color w:val="auto"/>
          <w:sz w:val="36"/>
          <w:szCs w:val="36"/>
          <w:highlight w:val="none"/>
        </w:rPr>
      </w:pPr>
    </w:p>
    <w:p>
      <w:pPr>
        <w:snapToGrid w:val="0"/>
        <w:spacing w:line="288"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napToGrid w:val="0"/>
        <w:spacing w:line="288" w:lineRule="auto"/>
        <w:jc w:val="center"/>
        <w:rPr>
          <w:rFonts w:ascii="宋体" w:hAnsi="宋体" w:cs="宋体"/>
          <w:b/>
          <w:color w:val="auto"/>
          <w:sz w:val="36"/>
          <w:szCs w:val="36"/>
          <w:highlight w:val="none"/>
        </w:rPr>
      </w:pPr>
    </w:p>
    <w:p>
      <w:pPr>
        <w:snapToGrid w:val="0"/>
        <w:spacing w:line="288" w:lineRule="auto"/>
        <w:jc w:val="center"/>
        <w:rPr>
          <w:rFonts w:ascii="宋体" w:hAnsi="宋体" w:cs="宋体"/>
          <w:color w:val="auto"/>
          <w:sz w:val="36"/>
          <w:szCs w:val="36"/>
          <w:highlight w:val="none"/>
        </w:rPr>
      </w:pPr>
    </w:p>
    <w:p>
      <w:pPr>
        <w:snapToGrid w:val="0"/>
        <w:spacing w:line="288" w:lineRule="auto"/>
        <w:jc w:val="center"/>
        <w:rPr>
          <w:rFonts w:ascii="宋体" w:hAnsi="宋体" w:cs="宋体"/>
          <w:color w:val="auto"/>
          <w:sz w:val="36"/>
          <w:szCs w:val="36"/>
          <w:highlight w:val="none"/>
        </w:rPr>
      </w:pPr>
    </w:p>
    <w:p>
      <w:pPr>
        <w:snapToGrid w:val="0"/>
        <w:spacing w:line="288" w:lineRule="auto"/>
        <w:rPr>
          <w:rFonts w:ascii="宋体" w:hAnsi="宋体" w:cs="宋体"/>
          <w:color w:val="auto"/>
          <w:sz w:val="36"/>
          <w:szCs w:val="36"/>
          <w:highlight w:val="none"/>
        </w:rPr>
      </w:pPr>
    </w:p>
    <w:p>
      <w:pPr>
        <w:snapToGrid w:val="0"/>
        <w:spacing w:line="288"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杭州市钱塘区义蓬街道社区卫生服务中心（杭州市钱塘区义蓬街道妇女儿童健康服务站）</w:t>
      </w:r>
    </w:p>
    <w:p>
      <w:pPr>
        <w:snapToGrid w:val="0"/>
        <w:spacing w:line="288"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浙江求是招标代理有限公司</w:t>
      </w:r>
    </w:p>
    <w:p>
      <w:pPr>
        <w:snapToGrid w:val="0"/>
        <w:spacing w:line="288" w:lineRule="auto"/>
        <w:jc w:val="center"/>
        <w:rPr>
          <w:rFonts w:ascii="宋体" w:hAnsi="宋体" w:cs="宋体"/>
          <w:bCs/>
          <w:color w:val="auto"/>
          <w:sz w:val="36"/>
          <w:szCs w:val="36"/>
          <w:highlight w:val="none"/>
        </w:rPr>
      </w:pPr>
      <w:r>
        <w:rPr>
          <w:rFonts w:hint="eastAsia" w:ascii="宋体" w:hAnsi="宋体" w:cs="宋体"/>
          <w:bCs/>
          <w:color w:val="auto"/>
          <w:sz w:val="36"/>
          <w:szCs w:val="36"/>
          <w:highlight w:val="none"/>
        </w:rPr>
        <w:t>二〇二</w:t>
      </w:r>
      <w:r>
        <w:rPr>
          <w:rFonts w:hint="eastAsia" w:ascii="宋体" w:hAnsi="宋体" w:cs="宋体"/>
          <w:bCs/>
          <w:color w:val="auto"/>
          <w:sz w:val="36"/>
          <w:szCs w:val="36"/>
          <w:highlight w:val="none"/>
          <w:lang w:val="en-US" w:eastAsia="zh-CN"/>
        </w:rPr>
        <w:t>四</w:t>
      </w:r>
      <w:r>
        <w:rPr>
          <w:rFonts w:hint="eastAsia" w:ascii="宋体" w:hAnsi="宋体" w:cs="宋体"/>
          <w:bCs/>
          <w:color w:val="auto"/>
          <w:sz w:val="36"/>
          <w:szCs w:val="36"/>
          <w:highlight w:val="none"/>
        </w:rPr>
        <w:t>年</w:t>
      </w:r>
      <w:r>
        <w:rPr>
          <w:rFonts w:hint="eastAsia" w:ascii="宋体" w:hAnsi="宋体" w:cs="宋体"/>
          <w:bCs/>
          <w:color w:val="auto"/>
          <w:sz w:val="36"/>
          <w:szCs w:val="36"/>
          <w:highlight w:val="none"/>
          <w:lang w:val="en-US" w:eastAsia="zh-CN"/>
        </w:rPr>
        <w:t>八</w:t>
      </w:r>
      <w:r>
        <w:rPr>
          <w:rFonts w:hint="eastAsia" w:ascii="宋体" w:hAnsi="宋体" w:cs="宋体"/>
          <w:bCs/>
          <w:color w:val="auto"/>
          <w:sz w:val="36"/>
          <w:szCs w:val="36"/>
          <w:highlight w:val="none"/>
        </w:rPr>
        <w:t>月</w:t>
      </w:r>
      <w:r>
        <w:rPr>
          <w:rFonts w:hint="eastAsia" w:ascii="宋体" w:hAnsi="宋体" w:cs="宋体"/>
          <w:bCs/>
          <w:color w:val="auto"/>
          <w:sz w:val="36"/>
          <w:szCs w:val="36"/>
          <w:highlight w:val="none"/>
          <w:lang w:val="en-US" w:eastAsia="zh-CN"/>
        </w:rPr>
        <w:t>十三</w:t>
      </w:r>
      <w:r>
        <w:rPr>
          <w:rFonts w:hint="eastAsia" w:ascii="宋体" w:hAnsi="宋体" w:cs="宋体"/>
          <w:bCs/>
          <w:color w:val="auto"/>
          <w:sz w:val="36"/>
          <w:szCs w:val="36"/>
          <w:highlight w:val="none"/>
        </w:rPr>
        <w:t>日</w:t>
      </w:r>
    </w:p>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br w:type="page"/>
      </w:r>
      <w:bookmarkStart w:id="0" w:name="_Hlt67893495"/>
      <w:bookmarkEnd w:id="0"/>
    </w:p>
    <w:p>
      <w:pPr>
        <w:pStyle w:val="634"/>
        <w:keepNext w:val="0"/>
        <w:keepLines w:val="0"/>
        <w:adjustRightInd w:val="0"/>
        <w:snapToGrid w:val="0"/>
        <w:spacing w:before="0" w:after="0" w:line="288" w:lineRule="auto"/>
        <w:ind w:left="0" w:firstLine="0"/>
        <w:outlineLvl w:val="9"/>
        <w:rPr>
          <w:rFonts w:ascii="宋体" w:hAnsi="宋体" w:eastAsia="宋体"/>
          <w:color w:val="auto"/>
          <w:highlight w:val="none"/>
        </w:rPr>
      </w:pPr>
    </w:p>
    <w:p>
      <w:pPr>
        <w:snapToGrid w:val="0"/>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napToGrid w:val="0"/>
        <w:spacing w:line="288" w:lineRule="auto"/>
        <w:rPr>
          <w:rFonts w:ascii="宋体" w:hAnsi="宋体" w:cs="宋体"/>
          <w:color w:val="auto"/>
          <w:sz w:val="32"/>
          <w:szCs w:val="32"/>
          <w:highlight w:val="none"/>
        </w:rPr>
      </w:pPr>
    </w:p>
    <w:p>
      <w:pPr>
        <w:snapToGrid w:val="0"/>
        <w:spacing w:line="288" w:lineRule="auto"/>
        <w:rPr>
          <w:rFonts w:ascii="宋体" w:hAnsi="宋体" w:cs="宋体"/>
          <w:sz w:val="32"/>
          <w:szCs w:val="32"/>
          <w:highlight w:val="none"/>
        </w:rPr>
      </w:pPr>
    </w:p>
    <w:p>
      <w:pPr>
        <w:snapToGrid w:val="0"/>
        <w:spacing w:line="288"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napToGrid w:val="0"/>
        <w:spacing w:line="288"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napToGrid w:val="0"/>
        <w:spacing w:line="288"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napToGrid w:val="0"/>
        <w:spacing w:line="288"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napToGrid w:val="0"/>
        <w:spacing w:line="288"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napToGrid w:val="0"/>
        <w:spacing w:line="288"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napToGrid w:val="0"/>
        <w:spacing w:line="288" w:lineRule="auto"/>
        <w:jc w:val="center"/>
        <w:outlineLvl w:val="0"/>
        <w:rPr>
          <w:rFonts w:ascii="宋体" w:hAnsi="宋体" w:cs="宋体"/>
          <w:b/>
          <w:szCs w:val="21"/>
          <w:highlight w:val="none"/>
        </w:rPr>
      </w:pPr>
      <w:bookmarkStart w:id="1" w:name="_Hlt91233176"/>
      <w:bookmarkEnd w:id="1"/>
      <w:bookmarkStart w:id="2" w:name="_Toc91899869"/>
      <w:bookmarkStart w:id="3" w:name="第一部分"/>
      <w:r>
        <w:rPr>
          <w:rFonts w:hint="eastAsia" w:ascii="宋体" w:hAnsi="宋体" w:cs="宋体"/>
          <w:b/>
          <w:szCs w:val="21"/>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Cs w:val="21"/>
          <w:highlight w:val="none"/>
        </w:rPr>
        <w:t>第一部分 招标公告</w:t>
      </w:r>
    </w:p>
    <w:p>
      <w:pPr>
        <w:pBdr>
          <w:top w:val="single" w:color="auto" w:sz="4" w:space="1"/>
          <w:left w:val="single" w:color="auto" w:sz="4" w:space="4"/>
          <w:bottom w:val="single" w:color="auto" w:sz="4" w:space="1"/>
          <w:right w:val="single" w:color="auto" w:sz="4" w:space="4"/>
        </w:pBdr>
        <w:snapToGrid w:val="0"/>
        <w:spacing w:line="288" w:lineRule="auto"/>
        <w:ind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napToGrid w:val="0"/>
        <w:spacing w:line="288"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lang w:eastAsia="zh-CN"/>
        </w:rPr>
        <w:t>标识标牌及导视设施采购项目（文化设计采购项目）</w:t>
      </w:r>
      <w:r>
        <w:rPr>
          <w:rFonts w:hint="eastAsia" w:ascii="宋体" w:hAnsi="宋体" w:cs="宋体"/>
          <w:color w:val="auto"/>
          <w:szCs w:val="21"/>
          <w:highlight w:val="none"/>
        </w:rPr>
        <w:t>招标项目的潜在投标人应在政采</w:t>
      </w:r>
      <w:r>
        <w:rPr>
          <w:rStyle w:val="76"/>
          <w:rFonts w:hint="eastAsia" w:ascii="宋体" w:hAnsi="宋体" w:eastAsia="宋体" w:cs="宋体"/>
          <w:snapToGrid/>
          <w:color w:val="auto"/>
          <w:kern w:val="2"/>
          <w:sz w:val="21"/>
          <w:szCs w:val="21"/>
          <w:highlight w:val="none"/>
        </w:rPr>
        <w:t>云平台（</w:t>
      </w:r>
      <w:r>
        <w:rPr>
          <w:rStyle w:val="76"/>
          <w:rFonts w:hint="eastAsia" w:ascii="宋体" w:hAnsi="宋体" w:eastAsia="宋体" w:cs="宋体"/>
          <w:snapToGrid/>
          <w:color w:val="auto"/>
          <w:kern w:val="2"/>
          <w:sz w:val="21"/>
          <w:szCs w:val="21"/>
          <w:highlight w:val="none"/>
        </w:rPr>
        <w:fldChar w:fldCharType="begin"/>
      </w:r>
      <w:r>
        <w:rPr>
          <w:rStyle w:val="76"/>
          <w:rFonts w:hint="eastAsia" w:ascii="宋体" w:hAnsi="宋体" w:eastAsia="宋体" w:cs="宋体"/>
          <w:snapToGrid/>
          <w:color w:val="auto"/>
          <w:kern w:val="2"/>
          <w:sz w:val="21"/>
          <w:szCs w:val="21"/>
          <w:highlight w:val="none"/>
        </w:rPr>
        <w:instrText xml:space="preserve"> HYPERLINK "https://www.zcygov.cn/）获取（下载）招标文件，并于202%20年%20月%20日%20点%20分00秒" </w:instrText>
      </w:r>
      <w:r>
        <w:rPr>
          <w:rStyle w:val="76"/>
          <w:rFonts w:hint="eastAsia" w:ascii="宋体" w:hAnsi="宋体" w:eastAsia="宋体" w:cs="宋体"/>
          <w:snapToGrid/>
          <w:color w:val="auto"/>
          <w:kern w:val="2"/>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Style w:val="76"/>
          <w:rFonts w:hint="eastAsia" w:ascii="宋体" w:hAnsi="宋体" w:eastAsia="宋体" w:cs="宋体"/>
          <w:snapToGrid/>
          <w:color w:val="auto"/>
          <w:kern w:val="2"/>
          <w:sz w:val="21"/>
          <w:szCs w:val="21"/>
          <w:highlight w:val="none"/>
          <w:lang w:eastAsia="zh-CN"/>
        </w:rPr>
        <w:t>2024年09月03日</w:t>
      </w:r>
      <w:r>
        <w:rPr>
          <w:rStyle w:val="76"/>
          <w:rFonts w:hint="eastAsia" w:ascii="宋体" w:hAnsi="宋体" w:cs="宋体"/>
          <w:snapToGrid/>
          <w:color w:val="auto"/>
          <w:kern w:val="2"/>
          <w:sz w:val="21"/>
          <w:szCs w:val="21"/>
          <w:highlight w:val="none"/>
          <w:lang w:val="en-US" w:eastAsia="zh-CN"/>
        </w:rPr>
        <w:t>09</w:t>
      </w:r>
      <w:r>
        <w:rPr>
          <w:rStyle w:val="76"/>
          <w:rFonts w:hint="eastAsia" w:ascii="宋体" w:hAnsi="宋体" w:eastAsia="宋体" w:cs="宋体"/>
          <w:snapToGrid/>
          <w:color w:val="auto"/>
          <w:kern w:val="2"/>
          <w:sz w:val="21"/>
          <w:szCs w:val="21"/>
          <w:highlight w:val="none"/>
          <w:lang w:eastAsia="zh-CN"/>
        </w:rPr>
        <w:t>点</w:t>
      </w:r>
      <w:r>
        <w:rPr>
          <w:rStyle w:val="76"/>
          <w:rFonts w:hint="eastAsia" w:ascii="宋体" w:hAnsi="宋体" w:cs="宋体"/>
          <w:snapToGrid/>
          <w:color w:val="auto"/>
          <w:kern w:val="2"/>
          <w:sz w:val="21"/>
          <w:szCs w:val="21"/>
          <w:highlight w:val="none"/>
          <w:lang w:val="en-US" w:eastAsia="zh-CN"/>
        </w:rPr>
        <w:t>3</w:t>
      </w:r>
      <w:r>
        <w:rPr>
          <w:rStyle w:val="76"/>
          <w:rFonts w:hint="eastAsia" w:ascii="宋体" w:hAnsi="宋体" w:eastAsia="宋体" w:cs="宋体"/>
          <w:snapToGrid/>
          <w:color w:val="auto"/>
          <w:kern w:val="2"/>
          <w:sz w:val="21"/>
          <w:szCs w:val="21"/>
          <w:highlight w:val="none"/>
          <w:lang w:eastAsia="zh-CN"/>
        </w:rPr>
        <w:t>0分</w:t>
      </w:r>
      <w:r>
        <w:rPr>
          <w:rStyle w:val="76"/>
          <w:rFonts w:hint="eastAsia" w:ascii="宋体" w:hAnsi="宋体" w:eastAsia="宋体" w:cs="宋体"/>
          <w:snapToGrid/>
          <w:color w:val="auto"/>
          <w:kern w:val="2"/>
          <w:sz w:val="21"/>
          <w:szCs w:val="21"/>
          <w:highlight w:val="none"/>
        </w:rPr>
        <w:t>00秒</w:t>
      </w:r>
      <w:r>
        <w:rPr>
          <w:rStyle w:val="76"/>
          <w:rFonts w:hint="eastAsia" w:ascii="宋体" w:hAnsi="宋体" w:eastAsia="宋体" w:cs="宋体"/>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一、项目基本情况</w:t>
      </w:r>
    </w:p>
    <w:p>
      <w:pPr>
        <w:snapToGrid w:val="0"/>
        <w:spacing w:line="288" w:lineRule="auto"/>
        <w:ind w:firstLine="424" w:firstLineChars="201"/>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项目编号：</w:t>
      </w:r>
      <w:r>
        <w:rPr>
          <w:rFonts w:hint="eastAsia" w:ascii="宋体" w:hAnsi="宋体" w:cs="宋体"/>
          <w:color w:val="auto"/>
          <w:szCs w:val="21"/>
          <w:highlight w:val="none"/>
          <w:lang w:eastAsia="zh-CN"/>
        </w:rPr>
        <w:t>QTCG-GK-2024-175</w:t>
      </w:r>
    </w:p>
    <w:p>
      <w:pPr>
        <w:snapToGrid w:val="0"/>
        <w:spacing w:line="288" w:lineRule="auto"/>
        <w:ind w:firstLine="424" w:firstLineChars="201"/>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color w:val="auto"/>
          <w:szCs w:val="21"/>
          <w:highlight w:val="none"/>
          <w:lang w:eastAsia="zh-CN"/>
        </w:rPr>
        <w:t>标识标牌及导视设施采购项目（文化设计采购项目）</w:t>
      </w:r>
    </w:p>
    <w:p>
      <w:pPr>
        <w:snapToGrid w:val="0"/>
        <w:spacing w:line="288" w:lineRule="auto"/>
        <w:ind w:firstLine="426" w:firstLineChars="202"/>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预算金额（元）：</w:t>
      </w:r>
      <w:r>
        <w:rPr>
          <w:rFonts w:hint="eastAsia" w:ascii="宋体" w:hAnsi="宋体" w:cs="宋体"/>
          <w:b/>
          <w:color w:val="auto"/>
          <w:szCs w:val="21"/>
          <w:highlight w:val="none"/>
          <w:lang w:val="en-US" w:eastAsia="zh-CN"/>
        </w:rPr>
        <w:t>1500000元</w:t>
      </w:r>
    </w:p>
    <w:p>
      <w:pPr>
        <w:snapToGrid w:val="0"/>
        <w:spacing w:line="288" w:lineRule="auto"/>
        <w:ind w:firstLine="426" w:firstLineChars="202"/>
        <w:rPr>
          <w:rFonts w:ascii="宋体" w:hAnsi="宋体" w:cs="宋体"/>
          <w:color w:val="auto"/>
          <w:szCs w:val="21"/>
          <w:highlight w:val="none"/>
        </w:rPr>
      </w:pPr>
      <w:r>
        <w:rPr>
          <w:rFonts w:hint="eastAsia" w:ascii="宋体" w:hAnsi="宋体" w:cs="宋体"/>
          <w:b/>
          <w:color w:val="auto"/>
          <w:szCs w:val="21"/>
          <w:highlight w:val="none"/>
        </w:rPr>
        <w:t>最高限价（元）：</w:t>
      </w:r>
      <w:r>
        <w:rPr>
          <w:rFonts w:hint="eastAsia" w:ascii="宋体" w:hAnsi="宋体" w:cs="宋体"/>
          <w:b/>
          <w:color w:val="auto"/>
          <w:szCs w:val="21"/>
          <w:highlight w:val="none"/>
          <w:lang w:val="en-US" w:eastAsia="zh-CN"/>
        </w:rPr>
        <w:t>1500000元</w:t>
      </w:r>
    </w:p>
    <w:p>
      <w:pPr>
        <w:pStyle w:val="7"/>
        <w:widowControl w:val="0"/>
        <w:spacing w:line="288" w:lineRule="auto"/>
        <w:ind w:firstLine="424" w:firstLineChars="201"/>
        <w:rPr>
          <w:rFonts w:hAnsi="宋体" w:cs="宋体"/>
          <w:bCs/>
          <w:snapToGrid/>
          <w:color w:val="auto"/>
          <w:kern w:val="2"/>
          <w:sz w:val="21"/>
          <w:szCs w:val="21"/>
          <w:highlight w:val="none"/>
        </w:rPr>
      </w:pPr>
      <w:r>
        <w:rPr>
          <w:rFonts w:hint="eastAsia" w:hAnsi="宋体" w:cs="宋体"/>
          <w:b/>
          <w:color w:val="auto"/>
          <w:sz w:val="21"/>
          <w:szCs w:val="21"/>
          <w:highlight w:val="none"/>
        </w:rPr>
        <w:t>采购需求：</w:t>
      </w:r>
      <w:r>
        <w:rPr>
          <w:rFonts w:hint="eastAsia" w:hAnsi="宋体" w:cs="宋体"/>
          <w:bCs/>
          <w:snapToGrid/>
          <w:color w:val="auto"/>
          <w:kern w:val="2"/>
          <w:sz w:val="21"/>
          <w:szCs w:val="21"/>
          <w:highlight w:val="none"/>
          <w:lang w:eastAsia="zh-CN"/>
        </w:rPr>
        <w:t>标识标牌及导视设施采购项目（文化设计采购项目）</w:t>
      </w:r>
      <w:r>
        <w:rPr>
          <w:rFonts w:hint="eastAsia" w:hAnsi="宋体" w:cs="宋体"/>
          <w:bCs/>
          <w:snapToGrid/>
          <w:color w:val="auto"/>
          <w:kern w:val="2"/>
          <w:sz w:val="21"/>
          <w:szCs w:val="21"/>
          <w:highlight w:val="none"/>
        </w:rPr>
        <w:t>主要内容：</w:t>
      </w:r>
      <w:r>
        <w:rPr>
          <w:rFonts w:hint="eastAsia" w:hAnsi="宋体" w:cs="宋体"/>
          <w:bCs/>
          <w:snapToGrid/>
          <w:color w:val="auto"/>
          <w:kern w:val="2"/>
          <w:sz w:val="21"/>
          <w:szCs w:val="21"/>
          <w:highlight w:val="none"/>
          <w:lang w:eastAsia="zh-CN"/>
        </w:rPr>
        <w:t>杭州市钱塘区义蓬街道社区卫生服务中心（杭州市钱塘区义蓬街道妇女儿童健康服务站）</w:t>
      </w:r>
      <w:r>
        <w:rPr>
          <w:rFonts w:hint="eastAsia" w:hAnsi="宋体" w:cs="宋体"/>
          <w:bCs/>
          <w:snapToGrid/>
          <w:color w:val="auto"/>
          <w:kern w:val="2"/>
          <w:sz w:val="21"/>
          <w:szCs w:val="21"/>
          <w:highlight w:val="none"/>
        </w:rPr>
        <w:t>基本视觉系统、导视系统、院内环境布展、宣传栏、行政区墙面文化、医疗区走廊墙面文化、党员活动室墙面文化、楼梯间墙面文化等一系列全套卫生服务中心文化系统规划设计及布展。</w:t>
      </w:r>
      <w:r>
        <w:rPr>
          <w:rFonts w:hint="eastAsia" w:hAnsi="宋体"/>
          <w:snapToGrid/>
          <w:color w:val="auto"/>
          <w:kern w:val="2"/>
          <w:sz w:val="21"/>
          <w:szCs w:val="21"/>
          <w:highlight w:val="none"/>
        </w:rPr>
        <w:t>具体以招标文件第三部分采购需求为准，供应商可点击本公告下方“浏览采购文件”查看采购需求。</w:t>
      </w:r>
    </w:p>
    <w:p>
      <w:pPr>
        <w:pStyle w:val="128"/>
        <w:snapToGrid w:val="0"/>
        <w:spacing w:before="0" w:line="288" w:lineRule="auto"/>
        <w:ind w:firstLine="426" w:firstLineChars="202"/>
        <w:rPr>
          <w:rFonts w:hint="default" w:ascii="宋体" w:hAnsi="宋体" w:eastAsia="宋体" w:cs="宋体"/>
          <w:b w:val="0"/>
          <w:bCs/>
          <w:color w:val="auto"/>
          <w:sz w:val="21"/>
          <w:szCs w:val="21"/>
          <w:highlight w:val="none"/>
          <w:lang w:val="en-US" w:eastAsia="zh-CN"/>
        </w:rPr>
      </w:pPr>
      <w:r>
        <w:rPr>
          <w:rFonts w:hint="eastAsia" w:ascii="宋体" w:hAnsi="宋体" w:cs="宋体"/>
          <w:b/>
          <w:color w:val="auto"/>
          <w:sz w:val="21"/>
          <w:szCs w:val="21"/>
          <w:highlight w:val="none"/>
        </w:rPr>
        <w:t>合同履约期限：</w:t>
      </w:r>
      <w:r>
        <w:rPr>
          <w:rFonts w:hint="eastAsia" w:ascii="宋体" w:hAnsi="宋体" w:cs="宋体"/>
          <w:b w:val="0"/>
          <w:bCs/>
          <w:color w:val="auto"/>
          <w:sz w:val="21"/>
          <w:szCs w:val="21"/>
          <w:highlight w:val="none"/>
        </w:rPr>
        <w:t>合同签订后</w:t>
      </w:r>
      <w:r>
        <w:rPr>
          <w:rFonts w:hint="eastAsia" w:ascii="宋体" w:hAnsi="宋体" w:cs="宋体"/>
          <w:b w:val="0"/>
          <w:bCs/>
          <w:color w:val="auto"/>
          <w:sz w:val="21"/>
          <w:szCs w:val="21"/>
          <w:highlight w:val="none"/>
          <w:lang w:val="en-US" w:eastAsia="zh-CN"/>
        </w:rPr>
        <w:t>40日内完成交付</w:t>
      </w:r>
    </w:p>
    <w:p>
      <w:pPr>
        <w:pStyle w:val="128"/>
        <w:snapToGrid w:val="0"/>
        <w:spacing w:before="0" w:line="288" w:lineRule="auto"/>
        <w:ind w:firstLine="426" w:firstLineChars="202"/>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 xml:space="preserve">采购计划书文号：临[2024]2042号 </w:t>
      </w:r>
    </w:p>
    <w:p>
      <w:pPr>
        <w:pStyle w:val="7"/>
        <w:widowControl w:val="0"/>
        <w:spacing w:line="288" w:lineRule="auto"/>
        <w:ind w:firstLine="424" w:firstLineChars="201"/>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hAnsi="宋体" w:cs="宋体"/>
              <w:color w:val="auto"/>
              <w:kern w:val="0"/>
              <w:sz w:val="21"/>
              <w:szCs w:val="21"/>
              <w:highlight w:val="none"/>
            </w:rPr>
            <w:sym w:font="Wingdings" w:char="F0FE"/>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Segoe UI Symbol" w:hAnsi="Segoe UI Symbol" w:cs="Segoe UI Symbol"/>
              <w:color w:val="auto"/>
              <w:kern w:val="0"/>
              <w:sz w:val="21"/>
              <w:szCs w:val="21"/>
              <w:highlight w:val="none"/>
            </w:rPr>
            <w:t>☐</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二、申请人的资格要求：</w:t>
      </w:r>
    </w:p>
    <w:p>
      <w:pPr>
        <w:snapToGrid w:val="0"/>
        <w:spacing w:line="288" w:lineRule="auto"/>
        <w:ind w:firstLine="422" w:firstLineChars="201"/>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288" w:lineRule="auto"/>
        <w:ind w:firstLine="422" w:firstLineChars="201"/>
        <w:rPr>
          <w:rFonts w:ascii="宋体" w:hAnsi="宋体" w:cs="宋体"/>
          <w:snapToGrid w:val="0"/>
          <w:color w:val="auto"/>
          <w:kern w:val="28"/>
          <w:szCs w:val="21"/>
          <w:highlight w:val="none"/>
        </w:rPr>
      </w:pPr>
      <w:r>
        <w:rPr>
          <w:rFonts w:ascii="宋体" w:hAnsi="宋体" w:cs="宋体"/>
          <w:snapToGrid w:val="0"/>
          <w:color w:val="auto"/>
          <w:kern w:val="28"/>
          <w:szCs w:val="21"/>
          <w:highlight w:val="none"/>
        </w:rPr>
        <w:t>2</w:t>
      </w:r>
      <w:r>
        <w:rPr>
          <w:rFonts w:hint="eastAsia" w:ascii="宋体" w:hAnsi="宋体" w:cs="宋体"/>
          <w:snapToGrid w:val="0"/>
          <w:color w:val="auto"/>
          <w:kern w:val="28"/>
          <w:szCs w:val="21"/>
          <w:highlight w:val="none"/>
        </w:rPr>
        <w:t>.以联合体形式投标的，提供联合协议(本项目不接受联合体投标或者投标人不以联合体形式投标的，则不需要提供) ；</w:t>
      </w:r>
    </w:p>
    <w:p>
      <w:pPr>
        <w:snapToGrid w:val="0"/>
        <w:spacing w:line="288" w:lineRule="auto"/>
        <w:ind w:firstLine="424" w:firstLineChars="202"/>
        <w:rPr>
          <w:rFonts w:ascii="宋体" w:hAnsi="宋体" w:cs="宋体"/>
          <w:snapToGrid w:val="0"/>
          <w:color w:val="auto"/>
          <w:kern w:val="28"/>
          <w:szCs w:val="21"/>
          <w:highlight w:val="none"/>
        </w:rPr>
      </w:pPr>
      <w:r>
        <w:rPr>
          <w:rFonts w:ascii="宋体" w:hAnsi="宋体" w:cs="宋体"/>
          <w:snapToGrid w:val="0"/>
          <w:color w:val="auto"/>
          <w:kern w:val="28"/>
          <w:szCs w:val="21"/>
          <w:highlight w:val="none"/>
        </w:rPr>
        <w:t>3</w:t>
      </w:r>
      <w:r>
        <w:rPr>
          <w:rFonts w:hint="eastAsia" w:ascii="宋体" w:hAnsi="宋体" w:cs="宋体"/>
          <w:snapToGrid w:val="0"/>
          <w:color w:val="auto"/>
          <w:kern w:val="28"/>
          <w:szCs w:val="21"/>
          <w:highlight w:val="none"/>
        </w:rPr>
        <w:t>.落实政府采购政策需满足的资格要求：</w:t>
      </w:r>
    </w:p>
    <w:p>
      <w:pPr>
        <w:snapToGrid w:val="0"/>
        <w:spacing w:line="288" w:lineRule="auto"/>
        <w:ind w:firstLine="422" w:firstLineChars="201"/>
        <w:rPr>
          <w:rFonts w:ascii="宋体" w:hAnsi="宋体" w:cs="宋体"/>
          <w:color w:val="auto"/>
          <w:szCs w:val="21"/>
          <w:highlight w:val="none"/>
        </w:rPr>
      </w:pPr>
      <w:sdt>
        <w:sdtPr>
          <w:rPr>
            <w:rFonts w:hint="eastAsia" w:ascii="宋体" w:hAnsi="宋体" w:cs="宋体"/>
            <w:color w:val="auto"/>
            <w:kern w:val="0"/>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color w:val="auto"/>
          <w:szCs w:val="21"/>
          <w:highlight w:val="none"/>
        </w:rPr>
        <w:t>无</w:t>
      </w:r>
      <w:r>
        <w:rPr>
          <w:rFonts w:hint="eastAsia" w:ascii="宋体" w:hAnsi="宋体" w:cs="宋体"/>
          <w:snapToGrid w:val="0"/>
          <w:color w:val="auto"/>
          <w:kern w:val="28"/>
          <w:szCs w:val="21"/>
          <w:highlight w:val="none"/>
        </w:rPr>
        <w:t>（注：不得限制大中型企业与小微企业组成联合体参与投标）；</w:t>
      </w:r>
    </w:p>
    <w:p>
      <w:pPr>
        <w:snapToGrid w:val="0"/>
        <w:spacing w:line="288" w:lineRule="auto"/>
        <w:ind w:firstLine="422" w:firstLineChars="201"/>
        <w:rPr>
          <w:rFonts w:ascii="宋体" w:hAnsi="宋体" w:cs="宋体"/>
          <w:color w:val="auto"/>
          <w:szCs w:val="21"/>
          <w:highlight w:val="none"/>
        </w:rPr>
      </w:pPr>
      <w:sdt>
        <w:sdtPr>
          <w:rPr>
            <w:rFonts w:hint="eastAsia" w:ascii="宋体" w:hAnsi="宋体" w:cs="宋体"/>
            <w:color w:val="auto"/>
            <w:kern w:val="0"/>
            <w:szCs w:val="21"/>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pPr>
        <w:snapToGrid w:val="0"/>
        <w:spacing w:line="288" w:lineRule="auto"/>
        <w:ind w:firstLine="422" w:firstLineChars="201"/>
        <w:rPr>
          <w:rFonts w:ascii="宋体" w:hAnsi="宋体" w:cs="宋体"/>
          <w:color w:val="auto"/>
          <w:szCs w:val="21"/>
          <w:highlight w:val="none"/>
        </w:rPr>
      </w:pPr>
      <w:sdt>
        <w:sdtPr>
          <w:rPr>
            <w:rFonts w:hint="eastAsia" w:ascii="宋体" w:hAnsi="宋体" w:cs="宋体"/>
            <w:color w:val="auto"/>
            <w:kern w:val="0"/>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宋体" w:cs="Segoe UI Symbol"/>
              <w:color w:val="auto"/>
              <w:kern w:val="0"/>
              <w:sz w:val="21"/>
              <w:szCs w:val="21"/>
              <w:highlight w:val="none"/>
              <w:lang w:val="en-US" w:eastAsia="zh-CN" w:bidi="ar-SA"/>
            </w:rPr>
            <w:t>þ</w:t>
          </w:r>
        </w:sdtContent>
      </w:sdt>
      <w:r>
        <w:rPr>
          <w:rFonts w:hint="eastAsia" w:ascii="宋体" w:hAnsi="宋体" w:cs="宋体"/>
          <w:color w:val="auto"/>
          <w:szCs w:val="21"/>
          <w:highlight w:val="none"/>
        </w:rPr>
        <w:t>服务全部由符合政策要求的中小企业承接，提供中小企业声明函；</w:t>
      </w:r>
    </w:p>
    <w:p>
      <w:pPr>
        <w:snapToGrid w:val="0"/>
        <w:spacing w:line="288" w:lineRule="auto"/>
        <w:ind w:firstLine="422" w:firstLineChars="201"/>
        <w:rPr>
          <w:rFonts w:ascii="宋体" w:hAnsi="宋体" w:cs="宋体"/>
          <w:color w:val="auto"/>
          <w:szCs w:val="21"/>
          <w:highlight w:val="none"/>
        </w:rPr>
      </w:pPr>
      <w:sdt>
        <w:sdtPr>
          <w:rPr>
            <w:rFonts w:hint="eastAsia" w:ascii="宋体" w:hAnsi="宋体" w:cs="宋体"/>
            <w:color w:val="auto"/>
            <w:kern w:val="0"/>
            <w:szCs w:val="21"/>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color w:val="auto"/>
          <w:szCs w:val="21"/>
          <w:highlight w:val="none"/>
        </w:rPr>
        <w:t>服务全部由符合政策要求的小微企业承接，提供中小企业声明函；</w:t>
      </w:r>
    </w:p>
    <w:p>
      <w:pPr>
        <w:snapToGrid w:val="0"/>
        <w:spacing w:line="288" w:lineRule="auto"/>
        <w:ind w:firstLine="422" w:firstLineChars="201"/>
        <w:rPr>
          <w:rFonts w:ascii="宋体" w:hAnsi="宋体" w:cs="宋体"/>
          <w:color w:val="auto"/>
          <w:szCs w:val="21"/>
          <w:highlight w:val="none"/>
        </w:rPr>
      </w:pPr>
    </w:p>
    <w:p>
      <w:pPr>
        <w:snapToGrid w:val="0"/>
        <w:spacing w:line="288" w:lineRule="auto"/>
        <w:ind w:firstLine="422" w:firstLineChars="201"/>
        <w:rPr>
          <w:rFonts w:ascii="宋体" w:hAnsi="宋体" w:cs="宋体"/>
          <w:color w:val="auto"/>
          <w:szCs w:val="21"/>
          <w:highlight w:val="none"/>
        </w:rPr>
      </w:pPr>
      <w:sdt>
        <w:sdtPr>
          <w:rPr>
            <w:rFonts w:hint="eastAsia" w:ascii="宋体" w:hAnsi="宋体" w:cs="宋体"/>
            <w:color w:val="auto"/>
            <w:kern w:val="0"/>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Cs w:val="21"/>
          <w:highlight w:val="none"/>
        </w:rPr>
        <w:t>；</w:t>
      </w:r>
    </w:p>
    <w:p>
      <w:pPr>
        <w:snapToGrid w:val="0"/>
        <w:spacing w:line="288" w:lineRule="auto"/>
        <w:ind w:firstLine="422" w:firstLineChars="201"/>
        <w:rPr>
          <w:rFonts w:ascii="宋体" w:hAnsi="宋体" w:cs="宋体"/>
          <w:color w:val="auto"/>
          <w:szCs w:val="21"/>
          <w:highlight w:val="none"/>
        </w:rPr>
      </w:pPr>
      <w:sdt>
        <w:sdtPr>
          <w:rPr>
            <w:rFonts w:hint="eastAsia" w:ascii="宋体" w:hAnsi="宋体" w:cs="宋体"/>
            <w:color w:val="auto"/>
            <w:kern w:val="0"/>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Cs w:val="21"/>
          <w:highlight w:val="none"/>
        </w:rPr>
        <w:t>；</w:t>
      </w:r>
    </w:p>
    <w:p>
      <w:pPr>
        <w:snapToGrid w:val="0"/>
        <w:spacing w:line="288" w:lineRule="auto"/>
        <w:ind w:firstLine="422" w:firstLineChars="201"/>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.本项目的特定资格要求：无；</w:t>
      </w:r>
    </w:p>
    <w:p>
      <w:pPr>
        <w:snapToGrid w:val="0"/>
        <w:spacing w:line="288" w:lineRule="auto"/>
        <w:ind w:firstLine="422" w:firstLineChars="201"/>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 xml:space="preserve">三、获取招标文件 </w:t>
      </w:r>
    </w:p>
    <w:p>
      <w:pPr>
        <w:snapToGrid w:val="0"/>
        <w:spacing w:line="288"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09月03日</w:t>
      </w:r>
      <w:r>
        <w:rPr>
          <w:rFonts w:hint="eastAsia" w:ascii="宋体" w:hAnsi="宋体" w:cs="宋体"/>
          <w:color w:val="auto"/>
          <w:szCs w:val="21"/>
          <w:highlight w:val="none"/>
        </w:rPr>
        <w:t>，每天上午00:00至12:00 ，下午12:00至23:59（北京时间，线上获取法定节假日均可，线下获取文件法定节假日除外）</w:t>
      </w:r>
    </w:p>
    <w:p>
      <w:pPr>
        <w:snapToGrid w:val="0"/>
        <w:spacing w:line="288"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pPr>
        <w:snapToGrid w:val="0"/>
        <w:spacing w:line="288"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pPr>
        <w:snapToGrid w:val="0"/>
        <w:spacing w:line="288"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pPr>
        <w:snapToGrid w:val="0"/>
        <w:spacing w:line="288"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2024年09月03日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r>
        <w:rPr>
          <w:rFonts w:hint="eastAsia" w:ascii="宋体" w:hAnsi="宋体" w:cs="宋体"/>
          <w:color w:val="auto"/>
          <w:szCs w:val="21"/>
          <w:highlight w:val="none"/>
          <w:u w:val="single"/>
        </w:rPr>
        <w:t>00秒</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pPr>
        <w:snapToGrid w:val="0"/>
        <w:spacing w:line="288" w:lineRule="auto"/>
        <w:ind w:firstLine="424" w:firstLineChars="201"/>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lang w:eastAsia="zh-CN"/>
        </w:rPr>
        <w:t>2024年09月03日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eastAsia="zh-CN"/>
        </w:rPr>
        <w:t>0分</w:t>
      </w:r>
      <w:bookmarkStart w:id="527" w:name="_GoBack"/>
      <w:bookmarkEnd w:id="527"/>
      <w:r>
        <w:rPr>
          <w:rFonts w:hint="eastAsia" w:ascii="宋体" w:hAnsi="宋体" w:cs="宋体"/>
          <w:color w:val="auto"/>
          <w:szCs w:val="21"/>
          <w:highlight w:val="none"/>
          <w:u w:val="single"/>
        </w:rPr>
        <w:t>00秒</w:t>
      </w:r>
      <w:r>
        <w:rPr>
          <w:rFonts w:hint="eastAsia" w:ascii="宋体" w:hAnsi="宋体" w:cs="宋体"/>
          <w:bCs/>
          <w:color w:val="auto"/>
          <w:szCs w:val="21"/>
          <w:highlight w:val="none"/>
          <w:u w:val="single"/>
        </w:rPr>
        <w:t xml:space="preserve">  </w:t>
      </w:r>
    </w:p>
    <w:p>
      <w:pPr>
        <w:snapToGrid w:val="0"/>
        <w:spacing w:line="288" w:lineRule="auto"/>
        <w:ind w:firstLine="424" w:firstLineChars="201"/>
        <w:rPr>
          <w:rFonts w:hint="eastAsia" w:ascii="宋体" w:hAnsi="宋体" w:eastAsia="宋体" w:cs="宋体"/>
          <w:color w:val="auto"/>
          <w:szCs w:val="21"/>
          <w:highlight w:val="none"/>
          <w:lang w:val="en-US" w:eastAsia="zh-CN"/>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r>
        <w:rPr>
          <w:rFonts w:hint="eastAsia" w:ascii="宋体" w:hAnsi="宋体" w:cs="宋体"/>
          <w:color w:val="auto"/>
          <w:szCs w:val="21"/>
          <w:highlight w:val="none"/>
          <w:lang w:val="en-US" w:eastAsia="zh-CN"/>
        </w:rPr>
        <w:t>/浙江省杭州市钱塘区下沙街道金沙大道600号东楼6楼5号开标室</w:t>
      </w:r>
    </w:p>
    <w:p>
      <w:pPr>
        <w:snapToGrid w:val="0"/>
        <w:spacing w:line="288"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自本公告发布之日起5个工作日。</w:t>
      </w:r>
    </w:p>
    <w:p>
      <w:pPr>
        <w:snapToGrid w:val="0"/>
        <w:spacing w:line="288" w:lineRule="auto"/>
        <w:ind w:firstLine="424" w:firstLineChars="201"/>
        <w:rPr>
          <w:rFonts w:ascii="宋体" w:hAnsi="宋体" w:cs="宋体"/>
          <w:b/>
          <w:szCs w:val="21"/>
          <w:highlight w:val="none"/>
        </w:rPr>
      </w:pPr>
      <w:r>
        <w:rPr>
          <w:rFonts w:hint="eastAsia" w:ascii="宋体" w:hAnsi="宋体" w:cs="宋体"/>
          <w:b/>
          <w:szCs w:val="21"/>
          <w:highlight w:val="none"/>
        </w:rPr>
        <w:t>六、其他补充事宜</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highlight w:val="none"/>
        </w:rPr>
        <w:t>。</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w:t>
      </w:r>
      <w:r>
        <w:rPr>
          <w:rFonts w:hint="eastAsia" w:ascii="宋体" w:hAnsi="宋体" w:cs="宋体"/>
          <w:color w:val="auto"/>
          <w:szCs w:val="21"/>
          <w:highlight w:val="none"/>
        </w:rPr>
        <w:t>管理操作指南-供应商”。（3）招标文件公告期限与招标公告的公告期限一致。</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1.采购人信息</w:t>
      </w:r>
    </w:p>
    <w:p>
      <w:pPr>
        <w:snapToGrid w:val="0"/>
        <w:spacing w:line="288" w:lineRule="auto"/>
        <w:ind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杭州市钱塘区义蓬街道社区卫生服务中心（杭州市钱塘区义蓬街道妇女儿童健康服务站）</w:t>
      </w:r>
    </w:p>
    <w:p>
      <w:pPr>
        <w:snapToGrid w:val="0"/>
        <w:spacing w:line="288" w:lineRule="auto"/>
        <w:ind w:firstLine="422" w:firstLineChars="201"/>
        <w:rPr>
          <w:rFonts w:hint="default" w:ascii="宋体" w:hAnsi="宋体" w:eastAsia="宋体"/>
          <w:szCs w:val="21"/>
          <w:highlight w:val="none"/>
          <w:lang w:val="en-US" w:eastAsia="zh-CN"/>
        </w:rPr>
      </w:pPr>
      <w:r>
        <w:rPr>
          <w:rFonts w:ascii="宋体" w:hAnsi="宋体" w:eastAsia="宋体"/>
          <w:szCs w:val="21"/>
          <w:highlight w:val="none"/>
        </w:rPr>
        <w:t>地址：</w:t>
      </w:r>
      <w:r>
        <w:rPr>
          <w:rFonts w:hint="eastAsia" w:ascii="宋体" w:hAnsi="宋体"/>
          <w:szCs w:val="21"/>
          <w:highlight w:val="none"/>
          <w:lang w:val="en-US" w:eastAsia="zh-CN"/>
        </w:rPr>
        <w:t>杭州市钱塘区义蓬街道闸北路5号</w:t>
      </w:r>
    </w:p>
    <w:p>
      <w:pPr>
        <w:snapToGrid w:val="0"/>
        <w:spacing w:line="288" w:lineRule="auto"/>
        <w:ind w:firstLine="422" w:firstLineChars="201"/>
        <w:rPr>
          <w:rFonts w:ascii="宋体" w:hAnsi="宋体" w:eastAsia="宋体"/>
          <w:szCs w:val="21"/>
          <w:highlight w:val="none"/>
        </w:rPr>
      </w:pPr>
      <w:r>
        <w:rPr>
          <w:rFonts w:hint="eastAsia" w:ascii="宋体" w:hAnsi="宋体" w:eastAsia="宋体"/>
          <w:szCs w:val="21"/>
          <w:highlight w:val="none"/>
        </w:rPr>
        <w:t>传</w:t>
      </w:r>
      <w:r>
        <w:rPr>
          <w:rFonts w:ascii="宋体" w:hAnsi="宋体" w:eastAsia="宋体"/>
          <w:szCs w:val="21"/>
          <w:highlight w:val="none"/>
        </w:rPr>
        <w:t>真：/</w:t>
      </w:r>
    </w:p>
    <w:p>
      <w:pPr>
        <w:snapToGrid w:val="0"/>
        <w:spacing w:line="288" w:lineRule="auto"/>
        <w:ind w:firstLine="422" w:firstLineChars="201"/>
        <w:rPr>
          <w:rFonts w:hint="default" w:ascii="宋体" w:hAnsi="宋体" w:eastAsia="宋体"/>
          <w:szCs w:val="21"/>
          <w:highlight w:val="none"/>
          <w:lang w:val="en-US" w:eastAsia="zh-CN"/>
        </w:rPr>
      </w:pPr>
      <w:r>
        <w:rPr>
          <w:rFonts w:hint="eastAsia" w:ascii="宋体" w:hAnsi="宋体" w:eastAsia="宋体"/>
          <w:szCs w:val="21"/>
          <w:highlight w:val="none"/>
        </w:rPr>
        <w:t>项目联系人（询问）：</w:t>
      </w:r>
      <w:r>
        <w:rPr>
          <w:rFonts w:hint="eastAsia" w:ascii="宋体" w:hAnsi="宋体"/>
          <w:szCs w:val="21"/>
          <w:highlight w:val="none"/>
          <w:lang w:val="en-US" w:eastAsia="zh-CN"/>
        </w:rPr>
        <w:t>雷志强</w:t>
      </w:r>
    </w:p>
    <w:p>
      <w:pPr>
        <w:snapToGrid w:val="0"/>
        <w:spacing w:line="288" w:lineRule="auto"/>
        <w:ind w:firstLine="422" w:firstLineChars="201"/>
        <w:rPr>
          <w:rFonts w:ascii="宋体" w:hAnsi="宋体" w:eastAsia="宋体"/>
          <w:b/>
          <w:szCs w:val="21"/>
          <w:highlight w:val="none"/>
        </w:rPr>
      </w:pPr>
      <w:r>
        <w:rPr>
          <w:rFonts w:ascii="宋体" w:hAnsi="宋体" w:eastAsia="宋体"/>
          <w:szCs w:val="21"/>
          <w:highlight w:val="none"/>
        </w:rPr>
        <w:t>项目联系方式（询问）：</w:t>
      </w:r>
      <w:r>
        <w:rPr>
          <w:rFonts w:hint="eastAsia" w:ascii="宋体" w:hAnsi="宋体"/>
          <w:szCs w:val="21"/>
          <w:highlight w:val="none"/>
          <w:lang w:val="en-US" w:eastAsia="zh-CN"/>
        </w:rPr>
        <w:t>0571-82150501</w:t>
      </w:r>
      <w:r>
        <w:rPr>
          <w:rFonts w:ascii="宋体" w:hAnsi="宋体" w:eastAsia="宋体"/>
          <w:szCs w:val="21"/>
          <w:highlight w:val="none"/>
        </w:rPr>
        <w:t xml:space="preserve"> </w:t>
      </w:r>
    </w:p>
    <w:p>
      <w:pPr>
        <w:snapToGrid w:val="0"/>
        <w:spacing w:line="288" w:lineRule="auto"/>
        <w:ind w:firstLine="422" w:firstLineChars="201"/>
        <w:rPr>
          <w:rFonts w:hint="eastAsia" w:ascii="宋体" w:hAnsi="宋体" w:eastAsia="宋体"/>
          <w:szCs w:val="21"/>
          <w:highlight w:val="none"/>
          <w:lang w:val="en-US" w:eastAsia="zh-CN"/>
        </w:rPr>
      </w:pPr>
      <w:r>
        <w:rPr>
          <w:rFonts w:ascii="宋体" w:hAnsi="宋体" w:eastAsia="宋体"/>
          <w:szCs w:val="21"/>
          <w:highlight w:val="none"/>
        </w:rPr>
        <w:t>质疑联系人：</w:t>
      </w:r>
      <w:r>
        <w:rPr>
          <w:rFonts w:hint="eastAsia" w:ascii="宋体" w:hAnsi="宋体"/>
          <w:szCs w:val="21"/>
          <w:highlight w:val="none"/>
          <w:lang w:val="en-US" w:eastAsia="zh-CN"/>
        </w:rPr>
        <w:t>施建东</w:t>
      </w:r>
    </w:p>
    <w:p>
      <w:pPr>
        <w:snapToGrid w:val="0"/>
        <w:spacing w:line="288" w:lineRule="auto"/>
        <w:ind w:firstLine="422" w:firstLineChars="201"/>
        <w:rPr>
          <w:rFonts w:hint="default" w:ascii="宋体" w:hAnsi="宋体" w:eastAsia="宋体"/>
          <w:szCs w:val="21"/>
          <w:highlight w:val="none"/>
          <w:lang w:val="en-US" w:eastAsia="zh-CN"/>
        </w:rPr>
      </w:pPr>
      <w:r>
        <w:rPr>
          <w:rFonts w:ascii="宋体" w:hAnsi="宋体" w:eastAsia="宋体"/>
          <w:szCs w:val="21"/>
          <w:highlight w:val="none"/>
        </w:rPr>
        <w:t>质疑联系方式：</w:t>
      </w:r>
      <w:r>
        <w:rPr>
          <w:rFonts w:hint="eastAsia" w:ascii="宋体" w:hAnsi="宋体"/>
          <w:szCs w:val="21"/>
          <w:highlight w:val="none"/>
          <w:lang w:val="en-US" w:eastAsia="zh-CN"/>
        </w:rPr>
        <w:t>0571-82181410</w:t>
      </w:r>
    </w:p>
    <w:p>
      <w:pPr>
        <w:snapToGrid w:val="0"/>
        <w:spacing w:line="288" w:lineRule="auto"/>
        <w:ind w:firstLine="424" w:firstLineChars="202"/>
        <w:rPr>
          <w:rFonts w:ascii="宋体" w:hAnsi="宋体" w:cs="宋体"/>
          <w:szCs w:val="21"/>
          <w:highlight w:val="none"/>
        </w:rPr>
      </w:pPr>
      <w:r>
        <w:rPr>
          <w:rFonts w:hint="eastAsia" w:ascii="宋体" w:hAnsi="宋体" w:cs="宋体"/>
          <w:szCs w:val="21"/>
          <w:highlight w:val="none"/>
        </w:rPr>
        <w:t>2.采购代理机构信息</w:t>
      </w:r>
    </w:p>
    <w:p>
      <w:pPr>
        <w:snapToGrid w:val="0"/>
        <w:spacing w:line="288" w:lineRule="auto"/>
        <w:ind w:firstLine="424" w:firstLineChars="202"/>
        <w:rPr>
          <w:rFonts w:hint="eastAsia" w:ascii="宋体" w:hAnsi="宋体" w:eastAsia="宋体" w:cs="宋体"/>
          <w:szCs w:val="21"/>
          <w:highlight w:val="none"/>
          <w:lang w:eastAsia="zh-CN"/>
        </w:rPr>
      </w:pPr>
      <w:r>
        <w:rPr>
          <w:rFonts w:hint="eastAsia" w:ascii="宋体" w:hAnsi="宋体" w:cs="宋体"/>
          <w:szCs w:val="21"/>
          <w:highlight w:val="none"/>
        </w:rPr>
        <w:t>名    称：</w:t>
      </w:r>
      <w:r>
        <w:rPr>
          <w:rFonts w:hint="eastAsia" w:ascii="宋体" w:hAnsi="宋体" w:cs="宋体"/>
          <w:szCs w:val="21"/>
          <w:highlight w:val="none"/>
          <w:lang w:eastAsia="zh-CN"/>
        </w:rPr>
        <w:t>浙江求是招标代理有限公司</w:t>
      </w:r>
    </w:p>
    <w:p>
      <w:pPr>
        <w:snapToGrid w:val="0"/>
        <w:spacing w:line="288" w:lineRule="auto"/>
        <w:ind w:firstLine="422" w:firstLineChars="201"/>
        <w:rPr>
          <w:rFonts w:ascii="宋体" w:hAnsi="宋体" w:eastAsia="宋体"/>
          <w:szCs w:val="21"/>
          <w:highlight w:val="none"/>
        </w:rPr>
      </w:pPr>
      <w:r>
        <w:rPr>
          <w:rFonts w:hint="eastAsia" w:ascii="宋体" w:hAnsi="宋体" w:eastAsia="宋体"/>
          <w:szCs w:val="21"/>
          <w:highlight w:val="none"/>
        </w:rPr>
        <w:t>地址：杭州市西湖区玉古路</w:t>
      </w:r>
      <w:r>
        <w:rPr>
          <w:rFonts w:ascii="宋体" w:hAnsi="宋体" w:eastAsia="宋体"/>
          <w:szCs w:val="21"/>
          <w:highlight w:val="none"/>
        </w:rPr>
        <w:t>173号中田大厦</w:t>
      </w:r>
      <w:r>
        <w:rPr>
          <w:rFonts w:hint="eastAsia" w:ascii="宋体" w:hAnsi="宋体" w:eastAsia="宋体"/>
          <w:szCs w:val="21"/>
          <w:highlight w:val="none"/>
        </w:rPr>
        <w:t>21楼</w:t>
      </w:r>
    </w:p>
    <w:p>
      <w:pPr>
        <w:snapToGrid w:val="0"/>
        <w:spacing w:line="288" w:lineRule="auto"/>
        <w:ind w:firstLine="422" w:firstLineChars="201"/>
        <w:rPr>
          <w:rFonts w:ascii="宋体" w:hAnsi="宋体" w:eastAsia="宋体"/>
          <w:szCs w:val="21"/>
          <w:highlight w:val="none"/>
        </w:rPr>
      </w:pPr>
      <w:r>
        <w:rPr>
          <w:rFonts w:ascii="宋体" w:hAnsi="宋体" w:eastAsia="宋体"/>
          <w:szCs w:val="21"/>
          <w:highlight w:val="none"/>
        </w:rPr>
        <w:t>传真：/</w:t>
      </w:r>
    </w:p>
    <w:p>
      <w:pPr>
        <w:snapToGrid w:val="0"/>
        <w:spacing w:line="288" w:lineRule="auto"/>
        <w:ind w:firstLine="422" w:firstLineChars="201"/>
        <w:rPr>
          <w:rFonts w:hint="default" w:ascii="宋体" w:hAnsi="宋体" w:eastAsia="宋体"/>
          <w:szCs w:val="21"/>
          <w:highlight w:val="none"/>
          <w:lang w:val="en-US" w:eastAsia="zh-CN"/>
        </w:rPr>
      </w:pPr>
      <w:r>
        <w:rPr>
          <w:rFonts w:ascii="宋体" w:hAnsi="宋体" w:eastAsia="宋体"/>
          <w:szCs w:val="21"/>
          <w:highlight w:val="none"/>
        </w:rPr>
        <w:t>项目联系人（询问）：</w:t>
      </w:r>
      <w:r>
        <w:rPr>
          <w:rFonts w:hint="eastAsia" w:ascii="宋体" w:hAnsi="宋体"/>
          <w:szCs w:val="21"/>
          <w:highlight w:val="none"/>
          <w:lang w:val="en-US" w:eastAsia="zh-CN"/>
        </w:rPr>
        <w:t>阙家珍、陈应俭</w:t>
      </w:r>
    </w:p>
    <w:p>
      <w:pPr>
        <w:snapToGrid w:val="0"/>
        <w:spacing w:line="288" w:lineRule="auto"/>
        <w:ind w:firstLine="422" w:firstLineChars="201"/>
        <w:rPr>
          <w:rFonts w:ascii="宋体" w:hAnsi="宋体" w:eastAsia="宋体"/>
          <w:szCs w:val="21"/>
          <w:highlight w:val="none"/>
        </w:rPr>
      </w:pPr>
      <w:r>
        <w:rPr>
          <w:rFonts w:ascii="宋体" w:hAnsi="宋体" w:eastAsia="宋体"/>
          <w:szCs w:val="21"/>
          <w:highlight w:val="none"/>
        </w:rPr>
        <w:t>项目联系方式（询问）：</w:t>
      </w:r>
      <w:r>
        <w:rPr>
          <w:rFonts w:hint="eastAsia" w:ascii="宋体" w:hAnsi="宋体" w:eastAsia="宋体"/>
          <w:szCs w:val="21"/>
          <w:highlight w:val="none"/>
        </w:rPr>
        <w:t>0</w:t>
      </w:r>
      <w:r>
        <w:rPr>
          <w:rFonts w:ascii="宋体" w:hAnsi="宋体" w:eastAsia="宋体"/>
          <w:szCs w:val="21"/>
          <w:highlight w:val="none"/>
        </w:rPr>
        <w:t>571-87666117</w:t>
      </w:r>
    </w:p>
    <w:p>
      <w:pPr>
        <w:snapToGrid w:val="0"/>
        <w:spacing w:line="288" w:lineRule="auto"/>
        <w:ind w:firstLine="422" w:firstLineChars="201"/>
        <w:rPr>
          <w:rFonts w:hint="default" w:ascii="宋体" w:hAnsi="宋体" w:eastAsia="宋体"/>
          <w:szCs w:val="21"/>
          <w:highlight w:val="none"/>
          <w:lang w:val="en-US" w:eastAsia="zh-CN"/>
        </w:rPr>
      </w:pPr>
      <w:r>
        <w:rPr>
          <w:rFonts w:ascii="宋体" w:hAnsi="宋体" w:eastAsia="宋体"/>
          <w:szCs w:val="21"/>
          <w:highlight w:val="none"/>
        </w:rPr>
        <w:t>质疑联系人：</w:t>
      </w:r>
      <w:r>
        <w:rPr>
          <w:rFonts w:hint="eastAsia" w:ascii="宋体" w:hAnsi="宋体"/>
          <w:szCs w:val="21"/>
          <w:highlight w:val="none"/>
          <w:lang w:val="en-US" w:eastAsia="zh-CN"/>
        </w:rPr>
        <w:t>周安琪</w:t>
      </w:r>
    </w:p>
    <w:p>
      <w:pPr>
        <w:snapToGrid w:val="0"/>
        <w:spacing w:line="288" w:lineRule="auto"/>
        <w:ind w:firstLine="422" w:firstLineChars="201"/>
        <w:rPr>
          <w:rFonts w:ascii="宋体" w:hAnsi="宋体" w:eastAsia="宋体"/>
          <w:szCs w:val="21"/>
          <w:highlight w:val="none"/>
        </w:rPr>
      </w:pPr>
      <w:r>
        <w:rPr>
          <w:rFonts w:ascii="宋体" w:hAnsi="宋体" w:eastAsia="宋体"/>
          <w:szCs w:val="21"/>
          <w:highlight w:val="none"/>
        </w:rPr>
        <w:t>质疑联系方式：0571-81110356</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3.同级政府采购监督管理部门</w:t>
      </w:r>
    </w:p>
    <w:p>
      <w:pPr>
        <w:snapToGrid w:val="0"/>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名    称：杭州市钱塘区财政局/浙江省政府采购行政裁决服务中心（杭州）</w:t>
      </w:r>
    </w:p>
    <w:p>
      <w:pPr>
        <w:snapToGrid w:val="0"/>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地    址：杭州市上城区四季青街道新业路市民之家G03办公室</w:t>
      </w:r>
    </w:p>
    <w:p>
      <w:pPr>
        <w:snapToGrid w:val="0"/>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传    真：/</w:t>
      </w:r>
    </w:p>
    <w:p>
      <w:pPr>
        <w:snapToGrid w:val="0"/>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联系人：朱女士、王女士</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监督投诉电话：电话：0571-85252453</w:t>
      </w:r>
    </w:p>
    <w:p>
      <w:pPr>
        <w:snapToGrid w:val="0"/>
        <w:spacing w:line="288" w:lineRule="auto"/>
        <w:ind w:firstLine="422" w:firstLineChars="201"/>
        <w:rPr>
          <w:rFonts w:ascii="宋体" w:hAnsi="宋体" w:cs="宋体"/>
          <w:szCs w:val="21"/>
          <w:highlight w:val="none"/>
        </w:rPr>
      </w:pP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若对项目采购电子交易系统操作有疑问，可登录政采云（https://www.zcygov.cn/），点击右侧咨询小采，获取采小蜜智能服务管家帮助，或拨打政采云服务热线95763获取热线服务帮助。</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CA问题联系电话（人工）：汇信CA 400-888-4636；天谷CA 400-087-8198。</w:t>
      </w:r>
    </w:p>
    <w:p>
      <w:pPr>
        <w:snapToGrid w:val="0"/>
        <w:spacing w:line="288" w:lineRule="auto"/>
        <w:jc w:val="left"/>
        <w:rPr>
          <w:rFonts w:ascii="宋体" w:hAnsi="宋体" w:cs="宋体"/>
          <w:b/>
          <w:szCs w:val="21"/>
          <w:highlight w:val="none"/>
        </w:rPr>
      </w:pPr>
      <w:r>
        <w:rPr>
          <w:rFonts w:ascii="宋体" w:hAnsi="宋体" w:cs="宋体"/>
          <w:b/>
          <w:szCs w:val="21"/>
          <w:highlight w:val="none"/>
        </w:rPr>
        <w:br w:type="page"/>
      </w:r>
    </w:p>
    <w:p>
      <w:pPr>
        <w:snapToGrid w:val="0"/>
        <w:spacing w:line="288" w:lineRule="auto"/>
        <w:jc w:val="center"/>
        <w:outlineLvl w:val="0"/>
        <w:rPr>
          <w:rFonts w:ascii="宋体" w:hAnsi="宋体" w:cs="宋体"/>
          <w:b/>
          <w:szCs w:val="21"/>
          <w:highlight w:val="none"/>
        </w:rPr>
      </w:pPr>
      <w:r>
        <w:rPr>
          <w:rFonts w:hint="eastAsia" w:ascii="宋体" w:hAnsi="宋体" w:cs="宋体"/>
          <w:b/>
          <w:szCs w:val="21"/>
          <w:highlight w:val="none"/>
        </w:rPr>
        <w:t>第二部分</w:t>
      </w:r>
      <w:bookmarkEnd w:id="8"/>
      <w:r>
        <w:rPr>
          <w:rFonts w:hint="eastAsia" w:ascii="宋体" w:hAnsi="宋体" w:cs="宋体"/>
          <w:b/>
          <w:szCs w:val="21"/>
          <w:highlight w:val="none"/>
        </w:rPr>
        <w:t xml:space="preserve"> 投标人须知</w:t>
      </w:r>
      <w:bookmarkEnd w:id="9"/>
    </w:p>
    <w:p>
      <w:pPr>
        <w:snapToGrid w:val="0"/>
        <w:spacing w:line="288" w:lineRule="auto"/>
        <w:jc w:val="center"/>
        <w:outlineLvl w:val="1"/>
        <w:rPr>
          <w:rFonts w:ascii="宋体" w:hAnsi="宋体" w:cs="宋体"/>
          <w:b/>
          <w:szCs w:val="21"/>
          <w:highlight w:val="none"/>
        </w:rPr>
      </w:pPr>
      <w:r>
        <w:rPr>
          <w:rFonts w:hint="eastAsia" w:ascii="宋体" w:hAnsi="宋体" w:cs="宋体"/>
          <w:b/>
          <w:szCs w:val="21"/>
          <w:highlight w:val="none"/>
        </w:rPr>
        <w:t>前附表</w:t>
      </w:r>
    </w:p>
    <w:tbl>
      <w:tblPr>
        <w:tblStyle w:val="62"/>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49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序号</w:t>
            </w:r>
          </w:p>
        </w:tc>
        <w:tc>
          <w:tcPr>
            <w:tcW w:w="2490"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事项</w:t>
            </w:r>
          </w:p>
        </w:tc>
        <w:tc>
          <w:tcPr>
            <w:tcW w:w="6237"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1</w:t>
            </w:r>
          </w:p>
        </w:tc>
        <w:tc>
          <w:tcPr>
            <w:tcW w:w="2490"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项目属性</w:t>
            </w:r>
          </w:p>
        </w:tc>
        <w:tc>
          <w:tcPr>
            <w:tcW w:w="6237" w:type="dxa"/>
            <w:vAlign w:val="center"/>
          </w:tcPr>
          <w:p>
            <w:pPr>
              <w:snapToGrid w:val="0"/>
              <w:spacing w:line="288" w:lineRule="auto"/>
              <w:rPr>
                <w:rFonts w:ascii="宋体" w:hAnsi="宋体" w:cs="宋体"/>
                <w:szCs w:val="21"/>
                <w:highlight w:val="none"/>
              </w:rPr>
            </w:pPr>
            <w:r>
              <w:rPr>
                <w:rFonts w:hint="eastAsia" w:ascii="宋体" w:hAnsi="宋体" w:cs="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2</w:t>
            </w:r>
          </w:p>
        </w:tc>
        <w:tc>
          <w:tcPr>
            <w:tcW w:w="2490"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6237" w:type="dxa"/>
            <w:vAlign w:val="center"/>
          </w:tcPr>
          <w:p>
            <w:pPr>
              <w:snapToGrid w:val="0"/>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（1）标的</w:t>
            </w:r>
            <w:r>
              <w:rPr>
                <w:rFonts w:hint="eastAsia" w:ascii="宋体" w:hAnsi="宋体" w:cs="宋体"/>
                <w:color w:val="auto"/>
                <w:kern w:val="0"/>
                <w:szCs w:val="21"/>
                <w:highlight w:val="none"/>
                <w:lang w:val="en-US" w:eastAsia="zh-CN"/>
              </w:rPr>
              <w:t>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标识标牌及导视设施采购项目（文化设计采购项目）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 xml:space="preserve"> 其他未列明行业 </w:t>
            </w:r>
            <w:r>
              <w:rPr>
                <w:rFonts w:hint="eastAsia" w:ascii="宋体" w:hAnsi="宋体" w:cs="宋体"/>
                <w:color w:val="auto"/>
                <w:kern w:val="0"/>
                <w:szCs w:val="21"/>
                <w:highlight w:val="none"/>
              </w:rPr>
              <w:t>；</w:t>
            </w:r>
          </w:p>
          <w:p>
            <w:pPr>
              <w:pStyle w:val="5"/>
              <w:keepNext w:val="0"/>
              <w:keepLines w:val="0"/>
              <w:adjustRightInd w:val="0"/>
              <w:snapToGrid w:val="0"/>
              <w:spacing w:line="288" w:lineRule="auto"/>
              <w:ind w:left="0" w:firstLine="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采购标的对应的中小企业划分标准所属行业：其他未列明行业</w:t>
            </w:r>
          </w:p>
          <w:p>
            <w:pPr>
              <w:pStyle w:val="5"/>
              <w:keepNext w:val="0"/>
              <w:keepLines w:val="0"/>
              <w:adjustRightInd w:val="0"/>
              <w:snapToGrid w:val="0"/>
              <w:spacing w:line="288" w:lineRule="auto"/>
              <w:ind w:left="0" w:firstLine="0"/>
              <w:jc w:val="both"/>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中小企业划型标准：</w:t>
            </w:r>
            <w:r>
              <w:rPr>
                <w:rFonts w:hint="eastAsia" w:ascii="宋体" w:hAnsi="宋体" w:eastAsia="宋体" w:cs="宋体"/>
                <w:b w:val="0"/>
                <w:bCs w:val="0"/>
                <w:color w:val="auto"/>
                <w:sz w:val="21"/>
                <w:szCs w:val="21"/>
                <w:highlight w:val="none"/>
                <w:lang w:val="en-US"/>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3</w:t>
            </w:r>
          </w:p>
        </w:tc>
        <w:tc>
          <w:tcPr>
            <w:tcW w:w="2490"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237" w:type="dxa"/>
            <w:vAlign w:val="center"/>
          </w:tcPr>
          <w:p>
            <w:pPr>
              <w:snapToGrid w:val="0"/>
              <w:spacing w:line="288" w:lineRule="auto"/>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pPr>
              <w:snapToGrid w:val="0"/>
              <w:spacing w:line="288" w:lineRule="auto"/>
              <w:rPr>
                <w:rFonts w:ascii="宋体" w:hAnsi="宋体" w:cs="宋体"/>
                <w:color w:val="auto"/>
                <w:szCs w:val="21"/>
                <w:highlight w:val="none"/>
              </w:rPr>
            </w:pPr>
            <w:sdt>
              <w:sdtPr>
                <w:rPr>
                  <w:rFonts w:hint="eastAsia" w:ascii="宋体" w:hAnsi="宋体" w:cs="宋体"/>
                  <w:color w:val="auto"/>
                  <w:kern w:val="0"/>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4</w:t>
            </w:r>
          </w:p>
        </w:tc>
        <w:tc>
          <w:tcPr>
            <w:tcW w:w="2490"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6237" w:type="dxa"/>
            <w:vAlign w:val="center"/>
          </w:tcPr>
          <w:p>
            <w:pPr>
              <w:snapToGrid w:val="0"/>
              <w:spacing w:line="288"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宋体" w:cs="Segoe UI Symbol"/>
                    <w:color w:val="auto"/>
                    <w:kern w:val="0"/>
                    <w:sz w:val="21"/>
                    <w:szCs w:val="21"/>
                    <w:highlight w:val="none"/>
                    <w:lang w:val="en-US" w:eastAsia="zh-CN" w:bidi="ar-SA"/>
                  </w:rPr>
                  <w:t>þ</w:t>
                </w:r>
              </w:sdtContent>
            </w:sdt>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涉及产品运输部分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工作分包。</w:t>
            </w:r>
          </w:p>
          <w:p>
            <w:pPr>
              <w:snapToGrid w:val="0"/>
              <w:spacing w:line="288" w:lineRule="auto"/>
              <w:rPr>
                <w:rFonts w:ascii="宋体" w:hAnsi="宋体" w:cs="宋体"/>
                <w:color w:val="auto"/>
                <w:szCs w:val="21"/>
                <w:highlight w:val="none"/>
              </w:rPr>
            </w:pPr>
            <w:sdt>
              <w:sdtPr>
                <w:rPr>
                  <w:rFonts w:hint="eastAsia" w:ascii="宋体" w:hAnsi="宋体" w:cs="宋体"/>
                  <w:color w:val="auto"/>
                  <w:kern w:val="0"/>
                  <w:szCs w:val="21"/>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5</w:t>
            </w:r>
          </w:p>
        </w:tc>
        <w:tc>
          <w:tcPr>
            <w:tcW w:w="2490"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开标前答疑会或现场考察</w:t>
            </w:r>
          </w:p>
        </w:tc>
        <w:tc>
          <w:tcPr>
            <w:tcW w:w="6237" w:type="dxa"/>
            <w:vAlign w:val="center"/>
          </w:tcPr>
          <w:p>
            <w:pPr>
              <w:snapToGrid w:val="0"/>
              <w:spacing w:line="288" w:lineRule="auto"/>
              <w:rPr>
                <w:rFonts w:ascii="宋体" w:hAnsi="宋体" w:cs="宋体"/>
                <w:szCs w:val="21"/>
                <w:highlight w:val="none"/>
              </w:rPr>
            </w:pPr>
            <w:sdt>
              <w:sdtPr>
                <w:rPr>
                  <w:rFonts w:hint="eastAsia" w:ascii="宋体" w:hAnsi="宋体" w:cs="宋体"/>
                  <w:kern w:val="0"/>
                  <w:szCs w:val="21"/>
                  <w:highlight w:val="none"/>
                </w:rPr>
                <w:id w:val="-212966419"/>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eastAsia="宋体" w:cs="Segoe UI Symbol"/>
                    <w:kern w:val="0"/>
                    <w:sz w:val="21"/>
                    <w:szCs w:val="21"/>
                    <w:highlight w:val="none"/>
                    <w:lang w:val="en-US" w:eastAsia="zh-CN" w:bidi="ar-SA"/>
                  </w:rPr>
                  <w:t>þ</w:t>
                </w:r>
              </w:sdtContent>
            </w:sdt>
            <w:r>
              <w:rPr>
                <w:rFonts w:hint="eastAsia" w:ascii="宋体" w:hAnsi="宋体" w:cs="宋体"/>
                <w:kern w:val="0"/>
                <w:szCs w:val="21"/>
                <w:highlight w:val="none"/>
              </w:rPr>
              <w:t>A</w:t>
            </w:r>
            <w:r>
              <w:rPr>
                <w:rFonts w:hint="eastAsia" w:ascii="宋体" w:hAnsi="宋体" w:cs="宋体"/>
                <w:szCs w:val="21"/>
                <w:highlight w:val="none"/>
              </w:rPr>
              <w:t>不组织</w:t>
            </w:r>
            <w:r>
              <w:rPr>
                <w:rFonts w:hint="eastAsia" w:ascii="宋体" w:hAnsi="宋体" w:cs="宋体"/>
                <w:szCs w:val="21"/>
                <w:highlight w:val="none"/>
                <w:lang w:eastAsia="zh-CN"/>
              </w:rPr>
              <w:t>。</w:t>
            </w:r>
            <w:r>
              <w:rPr>
                <w:rFonts w:hint="eastAsia" w:ascii="宋体" w:hAnsi="宋体" w:cs="宋体"/>
                <w:szCs w:val="21"/>
                <w:highlight w:val="none"/>
                <w:lang w:val="en-US" w:eastAsia="zh-CN"/>
              </w:rPr>
              <w:t>供应商如需现场考察的，可自行踏勘。</w:t>
            </w:r>
          </w:p>
          <w:p>
            <w:pPr>
              <w:snapToGrid w:val="0"/>
              <w:spacing w:line="288" w:lineRule="auto"/>
              <w:rPr>
                <w:rFonts w:ascii="宋体" w:hAnsi="宋体" w:cs="宋体"/>
                <w:szCs w:val="21"/>
                <w:highlight w:val="none"/>
              </w:rPr>
            </w:pPr>
            <w:sdt>
              <w:sdtPr>
                <w:rPr>
                  <w:rFonts w:hint="eastAsia" w:ascii="宋体" w:hAnsi="宋体" w:cs="宋体"/>
                  <w:kern w:val="0"/>
                  <w:szCs w:val="21"/>
                  <w:highlight w:val="none"/>
                </w:rPr>
                <w:id w:val="-999802974"/>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kern w:val="0"/>
                <w:szCs w:val="21"/>
                <w:highlight w:val="none"/>
              </w:rPr>
              <w:t>B组织，</w:t>
            </w:r>
            <w:r>
              <w:rPr>
                <w:rFonts w:hint="eastAsia" w:ascii="宋体" w:hAnsi="宋体" w:cs="宋体"/>
                <w:szCs w:val="21"/>
                <w:highlight w:val="none"/>
              </w:rPr>
              <w:t>时间：</w:t>
            </w:r>
            <w:r>
              <w:rPr>
                <w:rFonts w:hint="eastAsia" w:ascii="宋体" w:hAnsi="宋体" w:cs="宋体"/>
                <w:szCs w:val="21"/>
                <w:highlight w:val="none"/>
                <w:u w:val="single"/>
              </w:rPr>
              <w:t xml:space="preserve">      </w:t>
            </w:r>
            <w:r>
              <w:rPr>
                <w:rFonts w:hint="eastAsia" w:ascii="宋体" w:hAnsi="宋体" w:cs="宋体"/>
                <w:szCs w:val="21"/>
                <w:highlight w:val="none"/>
              </w:rPr>
              <w:t>,地点：</w:t>
            </w:r>
            <w:r>
              <w:rPr>
                <w:rFonts w:hint="eastAsia" w:ascii="宋体" w:hAnsi="宋体" w:cs="宋体"/>
                <w:szCs w:val="21"/>
                <w:highlight w:val="none"/>
                <w:u w:val="single"/>
              </w:rPr>
              <w:t xml:space="preserve">      </w:t>
            </w:r>
            <w:r>
              <w:rPr>
                <w:rFonts w:hint="eastAsia" w:ascii="宋体" w:hAnsi="宋体" w:cs="宋体"/>
                <w:szCs w:val="21"/>
                <w:highlight w:val="none"/>
              </w:rPr>
              <w:t>，联系人：</w:t>
            </w:r>
            <w:r>
              <w:rPr>
                <w:rFonts w:hint="eastAsia" w:ascii="宋体" w:hAnsi="宋体" w:cs="宋体"/>
                <w:szCs w:val="21"/>
                <w:highlight w:val="none"/>
                <w:u w:val="single"/>
              </w:rPr>
              <w:t xml:space="preserve">      </w:t>
            </w:r>
            <w:r>
              <w:rPr>
                <w:rFonts w:hint="eastAsia" w:ascii="宋体" w:hAnsi="宋体" w:cs="宋体"/>
                <w:szCs w:val="21"/>
                <w:highlight w:val="none"/>
              </w:rPr>
              <w:t>，联系方式：</w:t>
            </w:r>
            <w:r>
              <w:rPr>
                <w:rFonts w:hint="eastAsia" w:ascii="宋体" w:hAnsi="宋体" w:cs="宋体"/>
                <w:szCs w:val="21"/>
                <w:highlight w:val="none"/>
                <w:u w:val="single"/>
              </w:rPr>
              <w:t xml:space="preserve">      </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6</w:t>
            </w:r>
          </w:p>
        </w:tc>
        <w:tc>
          <w:tcPr>
            <w:tcW w:w="2490"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样品提供</w:t>
            </w:r>
          </w:p>
        </w:tc>
        <w:tc>
          <w:tcPr>
            <w:tcW w:w="6237" w:type="dxa"/>
            <w:vAlign w:val="center"/>
          </w:tcPr>
          <w:p>
            <w:pPr>
              <w:snapToGrid w:val="0"/>
              <w:spacing w:line="288" w:lineRule="auto"/>
              <w:rPr>
                <w:rFonts w:ascii="宋体" w:hAnsi="宋体" w:cs="宋体"/>
                <w:szCs w:val="21"/>
                <w:highlight w:val="none"/>
              </w:rPr>
            </w:pPr>
            <w:sdt>
              <w:sdtPr>
                <w:rPr>
                  <w:rFonts w:hint="eastAsia" w:ascii="宋体" w:hAnsi="宋体" w:cs="宋体"/>
                  <w:kern w:val="0"/>
                  <w:szCs w:val="21"/>
                  <w:highlight w:val="none"/>
                </w:rPr>
                <w:id w:val="-1639946486"/>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eastAsia="宋体" w:cs="Segoe UI Symbol"/>
                    <w:kern w:val="0"/>
                    <w:sz w:val="21"/>
                    <w:szCs w:val="21"/>
                    <w:highlight w:val="none"/>
                    <w:lang w:val="en-US" w:eastAsia="zh-CN" w:bidi="ar-SA"/>
                  </w:rPr>
                  <w:t>þ</w:t>
                </w:r>
              </w:sdtContent>
            </w:sdt>
            <w:r>
              <w:rPr>
                <w:rFonts w:hint="eastAsia" w:ascii="宋体" w:hAnsi="宋体" w:cs="宋体"/>
                <w:kern w:val="0"/>
                <w:szCs w:val="21"/>
                <w:highlight w:val="none"/>
              </w:rPr>
              <w:t>A</w:t>
            </w:r>
            <w:r>
              <w:rPr>
                <w:rFonts w:hint="eastAsia" w:ascii="宋体" w:hAnsi="宋体" w:cs="宋体"/>
                <w:szCs w:val="21"/>
                <w:highlight w:val="none"/>
              </w:rPr>
              <w:t>不要求提供。</w:t>
            </w:r>
          </w:p>
          <w:p>
            <w:pPr>
              <w:snapToGrid w:val="0"/>
              <w:spacing w:line="288" w:lineRule="auto"/>
              <w:rPr>
                <w:rFonts w:ascii="宋体" w:hAnsi="宋体" w:cs="宋体"/>
                <w:kern w:val="0"/>
                <w:szCs w:val="21"/>
                <w:highlight w:val="none"/>
              </w:rPr>
            </w:pPr>
            <w:sdt>
              <w:sdtPr>
                <w:rPr>
                  <w:rFonts w:hint="eastAsia" w:ascii="宋体" w:hAnsi="宋体" w:cs="宋体"/>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kern w:val="0"/>
                <w:szCs w:val="21"/>
                <w:highlight w:val="none"/>
              </w:rPr>
              <w:t>B要求提供，</w:t>
            </w:r>
          </w:p>
          <w:p>
            <w:pPr>
              <w:snapToGrid w:val="0"/>
              <w:spacing w:line="288" w:lineRule="auto"/>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napToGrid w:val="0"/>
                <w:kern w:val="28"/>
                <w:szCs w:val="21"/>
                <w:highlight w:val="none"/>
              </w:rPr>
              <w:t>样品：</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napToGrid w:val="0"/>
              <w:spacing w:line="288" w:lineRule="auto"/>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napToGrid w:val="0"/>
                <w:kern w:val="28"/>
                <w:szCs w:val="21"/>
                <w:highlight w:val="none"/>
              </w:rPr>
              <w:t>样品制作的标准和要求：</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napToGrid w:val="0"/>
              <w:spacing w:line="288" w:lineRule="auto"/>
              <w:rPr>
                <w:rFonts w:ascii="宋体" w:hAnsi="宋体" w:cs="宋体"/>
                <w:kern w:val="0"/>
                <w:szCs w:val="21"/>
                <w:highlight w:val="none"/>
              </w:rPr>
            </w:pPr>
            <w:r>
              <w:rPr>
                <w:rFonts w:hint="eastAsia" w:ascii="宋体" w:hAnsi="宋体" w:cs="宋体"/>
                <w:kern w:val="0"/>
                <w:szCs w:val="21"/>
                <w:highlight w:val="none"/>
              </w:rPr>
              <w:t>（3）样品的评审方法以及评审标准</w:t>
            </w:r>
            <w:r>
              <w:rPr>
                <w:rFonts w:hint="eastAsia" w:ascii="宋体" w:hAnsi="宋体" w:cs="宋体"/>
                <w:snapToGrid w:val="0"/>
                <w:kern w:val="28"/>
                <w:szCs w:val="21"/>
                <w:highlight w:val="none"/>
              </w:rPr>
              <w:t>：详见</w:t>
            </w:r>
            <w:r>
              <w:rPr>
                <w:rFonts w:hint="eastAsia" w:ascii="宋体" w:hAnsi="宋体" w:cs="宋体"/>
                <w:szCs w:val="21"/>
                <w:highlight w:val="none"/>
                <w:u w:val="single"/>
              </w:rPr>
              <w:t>评标办法</w:t>
            </w:r>
            <w:r>
              <w:rPr>
                <w:rFonts w:hint="eastAsia" w:ascii="宋体" w:hAnsi="宋体" w:cs="宋体"/>
                <w:kern w:val="0"/>
                <w:szCs w:val="21"/>
                <w:highlight w:val="none"/>
              </w:rPr>
              <w:t>；</w:t>
            </w:r>
          </w:p>
          <w:p>
            <w:pPr>
              <w:snapToGrid w:val="0"/>
              <w:spacing w:line="288" w:lineRule="auto"/>
              <w:rPr>
                <w:rFonts w:ascii="宋体" w:hAnsi="宋体" w:cs="宋体"/>
                <w:kern w:val="0"/>
                <w:szCs w:val="21"/>
                <w:highlight w:val="none"/>
              </w:rPr>
            </w:pPr>
            <w:r>
              <w:rPr>
                <w:rFonts w:hint="eastAsia" w:ascii="宋体" w:hAnsi="宋体" w:cs="宋体"/>
                <w:kern w:val="0"/>
                <w:szCs w:val="21"/>
                <w:highlight w:val="none"/>
              </w:rPr>
              <w:t>（4）是否需要随样品提交检测报告：</w:t>
            </w:r>
            <w:sdt>
              <w:sdtPr>
                <w:rPr>
                  <w:rFonts w:hint="eastAsia" w:ascii="宋体" w:hAnsi="宋体" w:cs="宋体"/>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kern w:val="0"/>
                <w:szCs w:val="21"/>
                <w:highlight w:val="none"/>
              </w:rPr>
              <w:t>否；</w:t>
            </w:r>
            <w:sdt>
              <w:sdtPr>
                <w:rPr>
                  <w:rFonts w:hint="eastAsia" w:ascii="宋体" w:hAnsi="宋体" w:cs="宋体"/>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kern w:val="0"/>
                <w:szCs w:val="21"/>
                <w:highlight w:val="none"/>
              </w:rPr>
              <w:t>是，检测机构的要求</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kern w:val="0"/>
                <w:szCs w:val="21"/>
                <w:highlight w:val="none"/>
              </w:rPr>
              <w:t>；检测内容</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napToGrid w:val="0"/>
              <w:spacing w:line="288" w:lineRule="auto"/>
              <w:rPr>
                <w:rFonts w:ascii="宋体" w:hAnsi="宋体" w:cs="宋体"/>
                <w:szCs w:val="21"/>
                <w:highlight w:val="none"/>
              </w:rPr>
            </w:pPr>
            <w:r>
              <w:rPr>
                <w:rFonts w:hint="eastAsia" w:ascii="宋体" w:hAnsi="宋体" w:cs="宋体"/>
                <w:szCs w:val="21"/>
                <w:highlight w:val="none"/>
              </w:rPr>
              <w:t>（5）提供样品的时间：</w:t>
            </w:r>
            <w:r>
              <w:rPr>
                <w:rFonts w:hint="eastAsia" w:ascii="宋体" w:hAnsi="宋体" w:cs="宋体"/>
                <w:szCs w:val="21"/>
                <w:highlight w:val="none"/>
                <w:u w:val="single"/>
              </w:rPr>
              <w:t xml:space="preserve">    </w:t>
            </w:r>
            <w:r>
              <w:rPr>
                <w:rFonts w:hint="eastAsia" w:ascii="宋体" w:hAnsi="宋体" w:cs="宋体"/>
                <w:kern w:val="0"/>
                <w:szCs w:val="21"/>
                <w:highlight w:val="none"/>
              </w:rPr>
              <w:t>；地点：</w:t>
            </w:r>
            <w:r>
              <w:rPr>
                <w:rFonts w:hint="eastAsia" w:ascii="宋体" w:hAnsi="宋体" w:cs="宋体"/>
                <w:szCs w:val="21"/>
                <w:highlight w:val="none"/>
                <w:u w:val="single"/>
              </w:rPr>
              <w:t xml:space="preserve">    </w:t>
            </w:r>
            <w:r>
              <w:rPr>
                <w:rFonts w:hint="eastAsia" w:ascii="宋体" w:hAnsi="宋体" w:cs="宋体"/>
                <w:kern w:val="0"/>
                <w:szCs w:val="21"/>
                <w:highlight w:val="none"/>
              </w:rPr>
              <w:t>；联系人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28"/>
                <w:szCs w:val="21"/>
                <w:highlight w:val="none"/>
              </w:rPr>
              <w:t>联系电话：</w:t>
            </w:r>
            <w:r>
              <w:rPr>
                <w:rFonts w:hint="eastAsia" w:ascii="宋体" w:hAnsi="宋体" w:cs="宋体"/>
                <w:szCs w:val="21"/>
                <w:highlight w:val="none"/>
                <w:u w:val="single"/>
              </w:rPr>
              <w:t xml:space="preserve">    </w:t>
            </w:r>
            <w:r>
              <w:rPr>
                <w:rFonts w:hint="eastAsia" w:ascii="宋体" w:hAnsi="宋体" w:cs="宋体"/>
                <w:szCs w:val="21"/>
                <w:highlight w:val="none"/>
              </w:rPr>
              <w:t>。请投标人在上述时间内提供样品并按规定位置安装完毕。超过截止时间的，采购人或采购代理机构将不予接收，并将清场并封闭样品现场。</w:t>
            </w:r>
          </w:p>
          <w:p>
            <w:pPr>
              <w:snapToGrid w:val="0"/>
              <w:spacing w:line="288" w:lineRule="auto"/>
              <w:rPr>
                <w:rFonts w:ascii="宋体" w:hAnsi="宋体" w:cs="宋体"/>
                <w:szCs w:val="21"/>
                <w:highlight w:val="none"/>
              </w:rPr>
            </w:pPr>
            <w:r>
              <w:rPr>
                <w:rFonts w:hint="eastAsia" w:ascii="宋体" w:hAnsi="宋体" w:cs="宋体"/>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napToGrid w:val="0"/>
              <w:spacing w:line="288" w:lineRule="auto"/>
              <w:rPr>
                <w:rFonts w:ascii="宋体" w:hAnsi="宋体" w:cs="宋体"/>
                <w:b/>
                <w:szCs w:val="21"/>
                <w:highlight w:val="none"/>
              </w:rPr>
            </w:pPr>
            <w:r>
              <w:rPr>
                <w:rFonts w:hint="eastAsia" w:ascii="宋体" w:hAnsi="宋体" w:cs="宋体"/>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7</w:t>
            </w:r>
          </w:p>
        </w:tc>
        <w:tc>
          <w:tcPr>
            <w:tcW w:w="2490" w:type="dxa"/>
            <w:vAlign w:val="center"/>
          </w:tcPr>
          <w:p>
            <w:pPr>
              <w:snapToGrid w:val="0"/>
              <w:spacing w:line="288" w:lineRule="auto"/>
              <w:jc w:val="center"/>
              <w:rPr>
                <w:rFonts w:ascii="宋体" w:hAnsi="宋体" w:cs="宋体"/>
                <w:bCs/>
                <w:szCs w:val="21"/>
                <w:highlight w:val="none"/>
              </w:rPr>
            </w:pPr>
            <w:r>
              <w:rPr>
                <w:rFonts w:hint="eastAsia" w:ascii="宋体" w:hAnsi="宋体" w:cs="宋体"/>
                <w:b/>
                <w:szCs w:val="21"/>
                <w:highlight w:val="none"/>
              </w:rPr>
              <w:t>方案讲解演示</w:t>
            </w:r>
          </w:p>
        </w:tc>
        <w:tc>
          <w:tcPr>
            <w:tcW w:w="6237" w:type="dxa"/>
            <w:vAlign w:val="center"/>
          </w:tcPr>
          <w:p>
            <w:pPr>
              <w:snapToGrid w:val="0"/>
              <w:spacing w:line="288" w:lineRule="auto"/>
              <w:rPr>
                <w:rFonts w:ascii="宋体" w:hAnsi="宋体" w:cs="宋体"/>
                <w:szCs w:val="21"/>
                <w:highlight w:val="none"/>
              </w:rPr>
            </w:pPr>
            <w:sdt>
              <w:sdtPr>
                <w:rPr>
                  <w:rFonts w:hint="eastAsia" w:ascii="宋体" w:hAnsi="宋体" w:cs="宋体"/>
                  <w:kern w:val="0"/>
                  <w:szCs w:val="21"/>
                  <w:highlight w:val="none"/>
                </w:rPr>
                <w:id w:val="-1859348549"/>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ascii="Wingdings" w:hAnsi="Wingdings" w:eastAsia="宋体" w:cs="Segoe UI Symbol"/>
                    <w:kern w:val="0"/>
                    <w:sz w:val="21"/>
                    <w:szCs w:val="21"/>
                    <w:highlight w:val="none"/>
                    <w:lang w:val="en-US" w:eastAsia="zh-CN" w:bidi="ar-SA"/>
                  </w:rPr>
                  <w:t>þ</w:t>
                </w:r>
              </w:sdtContent>
            </w:sdt>
            <w:r>
              <w:rPr>
                <w:rFonts w:hint="eastAsia" w:ascii="宋体" w:hAnsi="宋体" w:cs="宋体"/>
                <w:kern w:val="0"/>
                <w:szCs w:val="21"/>
                <w:highlight w:val="none"/>
              </w:rPr>
              <w:t>A</w:t>
            </w:r>
            <w:r>
              <w:rPr>
                <w:rFonts w:hint="eastAsia" w:ascii="宋体" w:hAnsi="宋体" w:cs="宋体"/>
                <w:szCs w:val="21"/>
                <w:highlight w:val="none"/>
              </w:rPr>
              <w:t>不组织。</w:t>
            </w:r>
          </w:p>
          <w:p>
            <w:pPr>
              <w:snapToGrid w:val="0"/>
              <w:spacing w:line="288" w:lineRule="auto"/>
              <w:rPr>
                <w:rFonts w:ascii="宋体" w:hAnsi="宋体" w:cs="宋体"/>
                <w:kern w:val="0"/>
                <w:szCs w:val="21"/>
                <w:highlight w:val="none"/>
              </w:rPr>
            </w:pPr>
            <w:sdt>
              <w:sdtPr>
                <w:rPr>
                  <w:rFonts w:hint="eastAsia" w:ascii="宋体" w:hAnsi="宋体" w:cs="宋体"/>
                  <w:kern w:val="0"/>
                  <w:szCs w:val="21"/>
                  <w:highlight w:val="none"/>
                </w:rPr>
                <w:id w:val="1174071719"/>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kern w:val="0"/>
                <w:szCs w:val="21"/>
                <w:highlight w:val="none"/>
              </w:rPr>
              <w:t>B组织。</w:t>
            </w:r>
          </w:p>
          <w:p>
            <w:pPr>
              <w:snapToGrid w:val="0"/>
              <w:spacing w:line="288" w:lineRule="auto"/>
              <w:rPr>
                <w:rFonts w:ascii="宋体" w:hAnsi="宋体" w:cs="宋体"/>
                <w:kern w:val="0"/>
                <w:szCs w:val="21"/>
                <w:highlight w:val="none"/>
              </w:rPr>
            </w:pPr>
            <w:r>
              <w:rPr>
                <w:rFonts w:hint="eastAsia" w:ascii="宋体" w:hAnsi="宋体" w:cs="宋体"/>
                <w:kern w:val="0"/>
                <w:szCs w:val="21"/>
                <w:highlight w:val="none"/>
              </w:rPr>
              <w:t>（1）在评标时安排每个投标人进行方案讲解演示。每个投标人时间不超过</w:t>
            </w:r>
            <w:r>
              <w:rPr>
                <w:rFonts w:hint="eastAsia" w:ascii="宋体" w:hAnsi="宋体" w:cs="宋体"/>
                <w:kern w:val="0"/>
                <w:szCs w:val="21"/>
                <w:highlight w:val="none"/>
                <w:u w:val="single"/>
              </w:rPr>
              <w:t>20（编制时可根据项目情况进行调整）</w:t>
            </w:r>
            <w:r>
              <w:rPr>
                <w:rFonts w:hint="eastAsia" w:ascii="宋体" w:hAnsi="宋体" w:cs="宋体"/>
                <w:kern w:val="0"/>
                <w:szCs w:val="21"/>
                <w:highlight w:val="none"/>
              </w:rPr>
              <w:t>分钟，讲解次序以投标文件解密时间先后次序为准，讲解演示人员不超过</w:t>
            </w:r>
            <w:r>
              <w:rPr>
                <w:rFonts w:hint="eastAsia" w:ascii="宋体" w:hAnsi="宋体" w:cs="宋体"/>
                <w:kern w:val="0"/>
                <w:szCs w:val="21"/>
                <w:highlight w:val="none"/>
                <w:u w:val="single"/>
              </w:rPr>
              <w:t>3（编制时可根据项目情况进行调整）</w:t>
            </w:r>
            <w:r>
              <w:rPr>
                <w:rFonts w:hint="eastAsia" w:ascii="宋体" w:hAnsi="宋体" w:cs="宋体"/>
                <w:kern w:val="0"/>
                <w:szCs w:val="21"/>
                <w:highlight w:val="none"/>
              </w:rPr>
              <w:t>人。讲解演示结束后按要求解答评标委员会提问。</w:t>
            </w:r>
          </w:p>
          <w:p>
            <w:pPr>
              <w:snapToGrid w:val="0"/>
              <w:spacing w:line="288" w:lineRule="auto"/>
              <w:rPr>
                <w:rFonts w:ascii="宋体" w:hAnsi="宋体" w:cs="宋体"/>
                <w:kern w:val="0"/>
                <w:szCs w:val="21"/>
                <w:highlight w:val="none"/>
              </w:rPr>
            </w:pPr>
            <w:r>
              <w:rPr>
                <w:rFonts w:hint="eastAsia" w:ascii="宋体" w:hAnsi="宋体" w:cs="宋体"/>
                <w:kern w:val="0"/>
                <w:szCs w:val="21"/>
                <w:highlight w:val="none"/>
              </w:rPr>
              <w:t>（2）方案讲解演示可选择以下其中一种方式：</w:t>
            </w:r>
          </w:p>
          <w:p>
            <w:pPr>
              <w:snapToGrid w:val="0"/>
              <w:spacing w:line="288" w:lineRule="auto"/>
              <w:rPr>
                <w:rFonts w:ascii="宋体" w:hAnsi="宋体" w:cs="宋体"/>
                <w:color w:val="auto"/>
                <w:kern w:val="0"/>
                <w:szCs w:val="21"/>
                <w:highlight w:val="none"/>
              </w:rPr>
            </w:pPr>
            <w:r>
              <w:rPr>
                <w:rFonts w:hint="eastAsia" w:ascii="宋体" w:hAnsi="宋体" w:cs="宋体"/>
                <w:kern w:val="0"/>
                <w:szCs w:val="21"/>
                <w:highlight w:val="none"/>
              </w:rPr>
              <w:t>方式一：政采云平台在线讲解演示。政采云平台在线讲解需投标人根据政采云平台操作要求</w:t>
            </w:r>
            <w:r>
              <w:rPr>
                <w:rFonts w:hint="eastAsia" w:ascii="宋体" w:hAnsi="宋体" w:cs="宋体"/>
                <w:color w:val="auto"/>
                <w:kern w:val="0"/>
                <w:szCs w:val="21"/>
                <w:highlight w:val="none"/>
              </w:rPr>
              <w:t>做好准备工作，提前完善软硬件配置环境。</w:t>
            </w:r>
          </w:p>
          <w:p>
            <w:pPr>
              <w:snapToGrid w:val="0"/>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，讲解演示所用电脑等设备由投标人自备。现场讲解演示人员进场时提供讲解人员名单（加盖公章或授权代表签名）及身份证明，否则不得讲解演示。</w:t>
            </w:r>
          </w:p>
          <w:p>
            <w:pPr>
              <w:snapToGrid w:val="0"/>
              <w:spacing w:line="288" w:lineRule="auto"/>
              <w:rPr>
                <w:rFonts w:ascii="宋体" w:hAnsi="宋体" w:cs="宋体"/>
                <w:b/>
                <w:kern w:val="0"/>
                <w:szCs w:val="21"/>
                <w:highlight w:val="none"/>
                <w:lang w:val="zh-CN"/>
              </w:rPr>
            </w:pPr>
            <w:r>
              <w:rPr>
                <w:rFonts w:hint="eastAsia" w:ascii="宋体" w:hAnsi="宋体" w:cs="宋体"/>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Merge w:val="restart"/>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8</w:t>
            </w:r>
          </w:p>
        </w:tc>
        <w:tc>
          <w:tcPr>
            <w:tcW w:w="2490" w:type="dxa"/>
            <w:vMerge w:val="restart"/>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投标人应当提供的资格、资信证明文件</w:t>
            </w:r>
          </w:p>
        </w:tc>
        <w:tc>
          <w:tcPr>
            <w:tcW w:w="6237" w:type="dxa"/>
            <w:vAlign w:val="center"/>
          </w:tcPr>
          <w:p>
            <w:pPr>
              <w:snapToGrid w:val="0"/>
              <w:spacing w:line="288" w:lineRule="auto"/>
              <w:rPr>
                <w:rFonts w:ascii="宋体" w:hAnsi="宋体" w:cs="宋体"/>
                <w:szCs w:val="21"/>
                <w:highlight w:val="none"/>
              </w:rPr>
            </w:pPr>
            <w:r>
              <w:rPr>
                <w:rFonts w:hint="eastAsia" w:ascii="宋体" w:hAnsi="宋体" w:cs="宋体"/>
                <w:szCs w:val="21"/>
                <w:highlight w:val="none"/>
              </w:rPr>
              <w:t>（1）资格证明文件：见招标文件第二部分11.1。</w:t>
            </w:r>
          </w:p>
          <w:p>
            <w:pPr>
              <w:snapToGrid w:val="0"/>
              <w:spacing w:line="288" w:lineRule="auto"/>
              <w:rPr>
                <w:rFonts w:ascii="宋体" w:hAnsi="宋体" w:cs="宋体"/>
                <w:snapToGrid w:val="0"/>
                <w:kern w:val="0"/>
                <w:szCs w:val="21"/>
                <w:highlight w:val="none"/>
              </w:rPr>
            </w:pPr>
            <w:r>
              <w:rPr>
                <w:rFonts w:hint="eastAsia" w:ascii="宋体" w:hAnsi="宋体" w:cs="宋体"/>
                <w:kern w:val="0"/>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Merge w:val="continue"/>
            <w:vAlign w:val="center"/>
          </w:tcPr>
          <w:p>
            <w:pPr>
              <w:snapToGrid w:val="0"/>
              <w:spacing w:line="288" w:lineRule="auto"/>
              <w:jc w:val="center"/>
              <w:rPr>
                <w:rFonts w:ascii="宋体" w:hAnsi="宋体" w:cs="宋体"/>
                <w:szCs w:val="21"/>
                <w:highlight w:val="none"/>
              </w:rPr>
            </w:pPr>
          </w:p>
        </w:tc>
        <w:tc>
          <w:tcPr>
            <w:tcW w:w="2490" w:type="dxa"/>
            <w:vMerge w:val="continue"/>
            <w:vAlign w:val="center"/>
          </w:tcPr>
          <w:p>
            <w:pPr>
              <w:snapToGrid w:val="0"/>
              <w:spacing w:line="288" w:lineRule="auto"/>
              <w:jc w:val="center"/>
              <w:rPr>
                <w:rFonts w:ascii="宋体" w:hAnsi="宋体" w:cs="宋体"/>
                <w:b/>
                <w:szCs w:val="21"/>
                <w:highlight w:val="none"/>
              </w:rPr>
            </w:pPr>
          </w:p>
        </w:tc>
        <w:tc>
          <w:tcPr>
            <w:tcW w:w="6237" w:type="dxa"/>
            <w:vAlign w:val="center"/>
          </w:tcPr>
          <w:p>
            <w:pPr>
              <w:snapToGrid w:val="0"/>
              <w:spacing w:line="288" w:lineRule="auto"/>
              <w:rPr>
                <w:rFonts w:ascii="宋体" w:hAnsi="宋体" w:cs="宋体"/>
                <w:szCs w:val="21"/>
                <w:highlight w:val="none"/>
              </w:rPr>
            </w:pPr>
            <w:r>
              <w:rPr>
                <w:rFonts w:hint="eastAsia" w:ascii="宋体" w:hAnsi="宋体" w:cs="宋体"/>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9</w:t>
            </w:r>
          </w:p>
        </w:tc>
        <w:tc>
          <w:tcPr>
            <w:tcW w:w="2490"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节能产品、环境标志产品</w:t>
            </w:r>
          </w:p>
        </w:tc>
        <w:tc>
          <w:tcPr>
            <w:tcW w:w="6237" w:type="dxa"/>
            <w:vAlign w:val="center"/>
          </w:tcPr>
          <w:p>
            <w:pPr>
              <w:snapToGrid w:val="0"/>
              <w:spacing w:line="288" w:lineRule="auto"/>
              <w:rPr>
                <w:rFonts w:ascii="宋体" w:hAnsi="宋体" w:cs="宋体"/>
                <w:szCs w:val="21"/>
                <w:highlight w:val="none"/>
              </w:rPr>
            </w:pPr>
            <w:r>
              <w:rPr>
                <w:rFonts w:hint="eastAsia" w:ascii="宋体" w:hAnsi="宋体" w:cs="宋体"/>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10</w:t>
            </w:r>
          </w:p>
        </w:tc>
        <w:tc>
          <w:tcPr>
            <w:tcW w:w="2490" w:type="dxa"/>
            <w:vAlign w:val="center"/>
          </w:tcPr>
          <w:p>
            <w:pPr>
              <w:snapToGrid w:val="0"/>
              <w:spacing w:line="288" w:lineRule="auto"/>
              <w:jc w:val="center"/>
              <w:rPr>
                <w:rFonts w:ascii="宋体" w:hAnsi="宋体" w:cs="宋体"/>
                <w:b/>
                <w:szCs w:val="21"/>
                <w:highlight w:val="none"/>
              </w:rPr>
            </w:pPr>
            <w:r>
              <w:rPr>
                <w:rFonts w:hint="eastAsia" w:ascii="宋体" w:hAnsi="宋体" w:cs="宋体"/>
                <w:b/>
                <w:szCs w:val="21"/>
                <w:highlight w:val="none"/>
              </w:rPr>
              <w:t>报价要求</w:t>
            </w:r>
          </w:p>
        </w:tc>
        <w:tc>
          <w:tcPr>
            <w:tcW w:w="6237" w:type="dxa"/>
            <w:vAlign w:val="center"/>
          </w:tcPr>
          <w:p>
            <w:pPr>
              <w:snapToGrid w:val="0"/>
              <w:spacing w:line="288" w:lineRule="auto"/>
              <w:rPr>
                <w:rFonts w:ascii="宋体" w:hAnsi="宋体" w:cs="宋体"/>
                <w:b/>
                <w:kern w:val="0"/>
                <w:szCs w:val="21"/>
                <w:highlight w:val="none"/>
                <w:lang w:val="zh-CN"/>
              </w:rPr>
            </w:pPr>
            <w:r>
              <w:rPr>
                <w:rFonts w:hint="eastAsia" w:ascii="宋体" w:hAnsi="宋体" w:cs="宋体"/>
                <w:kern w:val="0"/>
                <w:szCs w:val="21"/>
                <w:highlight w:val="none"/>
                <w:lang w:val="zh-CN"/>
              </w:rPr>
              <w:t>有关本项目实施所需的所有费用（含税费）均计入报价。</w:t>
            </w:r>
            <w:r>
              <w:rPr>
                <w:rFonts w:hint="eastAsia" w:ascii="宋体" w:hAnsi="宋体" w:cs="宋体"/>
                <w:b/>
                <w:bCs/>
                <w:kern w:val="0"/>
                <w:szCs w:val="21"/>
                <w:highlight w:val="none"/>
                <w:lang w:val="zh-CN"/>
              </w:rPr>
              <w:t>投标文件</w:t>
            </w:r>
            <w:r>
              <w:rPr>
                <w:rFonts w:hint="eastAsia" w:ascii="宋体" w:hAnsi="宋体" w:cs="宋体"/>
                <w:b/>
                <w:bCs/>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highlight w:val="none"/>
                <w:lang w:val="zh-CN"/>
              </w:rPr>
              <w:t>投标文件中价格全部采用人民币报价。招标文件未列明，而投标人认为必需的费用也需列入报价。</w:t>
            </w:r>
            <w:r>
              <w:rPr>
                <w:rFonts w:hint="eastAsia" w:ascii="宋体" w:hAnsi="宋体" w:cs="宋体"/>
                <w:b/>
                <w:kern w:val="0"/>
                <w:szCs w:val="21"/>
                <w:highlight w:val="none"/>
                <w:lang w:val="zh-CN"/>
              </w:rPr>
              <w:t>提醒：验收时检测费用由采购人承担，不包含在投标总价中。</w:t>
            </w:r>
          </w:p>
          <w:p>
            <w:pPr>
              <w:snapToGrid w:val="0"/>
              <w:spacing w:line="288" w:lineRule="auto"/>
              <w:rPr>
                <w:rFonts w:ascii="宋体" w:hAnsi="宋体" w:cs="宋体"/>
                <w:b/>
                <w:kern w:val="0"/>
                <w:szCs w:val="21"/>
                <w:highlight w:val="none"/>
                <w:lang w:val="zh-CN"/>
              </w:rPr>
            </w:pPr>
            <w:r>
              <w:rPr>
                <w:rFonts w:hint="eastAsia" w:ascii="宋体" w:hAnsi="宋体" w:cs="宋体"/>
                <w:b/>
                <w:kern w:val="0"/>
                <w:szCs w:val="21"/>
                <w:highlight w:val="none"/>
                <w:lang w:val="zh-CN"/>
              </w:rPr>
              <w:t>投标报价出现下列情形的，投标无效：</w:t>
            </w:r>
          </w:p>
          <w:p>
            <w:pPr>
              <w:snapToGrid w:val="0"/>
              <w:spacing w:line="288" w:lineRule="auto"/>
              <w:ind w:firstLine="211" w:firstLineChars="100"/>
              <w:rPr>
                <w:rFonts w:ascii="宋体" w:hAnsi="宋体" w:cs="宋体"/>
                <w:b/>
                <w:kern w:val="0"/>
                <w:szCs w:val="21"/>
                <w:highlight w:val="none"/>
                <w:lang w:val="zh-CN"/>
              </w:rPr>
            </w:pPr>
            <w:r>
              <w:rPr>
                <w:rFonts w:hint="eastAsia" w:ascii="宋体" w:hAnsi="宋体" w:cs="宋体"/>
                <w:b/>
                <w:kern w:val="0"/>
                <w:szCs w:val="21"/>
                <w:highlight w:val="none"/>
                <w:lang w:val="zh-CN"/>
              </w:rPr>
              <w:t>投标文件出现不是唯一的、有选择性投标报价的；</w:t>
            </w:r>
          </w:p>
          <w:p>
            <w:pPr>
              <w:snapToGrid w:val="0"/>
              <w:spacing w:line="288" w:lineRule="auto"/>
              <w:ind w:firstLine="211" w:firstLineChars="100"/>
              <w:rPr>
                <w:rFonts w:ascii="宋体" w:hAnsi="宋体" w:cs="宋体"/>
                <w:kern w:val="0"/>
                <w:szCs w:val="21"/>
                <w:highlight w:val="none"/>
                <w:lang w:val="zh-CN"/>
              </w:rPr>
            </w:pPr>
            <w:r>
              <w:rPr>
                <w:rFonts w:hint="eastAsia" w:ascii="宋体" w:hAnsi="宋体" w:cs="宋体"/>
                <w:b/>
                <w:kern w:val="0"/>
                <w:szCs w:val="21"/>
                <w:highlight w:val="none"/>
                <w:lang w:val="zh-CN"/>
              </w:rPr>
              <w:t>投标报价超过招标文件中规定的预算金额或者最高限价的;</w:t>
            </w:r>
          </w:p>
          <w:p>
            <w:pPr>
              <w:snapToGrid w:val="0"/>
              <w:spacing w:line="288" w:lineRule="auto"/>
              <w:ind w:firstLine="211" w:firstLineChars="100"/>
              <w:rPr>
                <w:rFonts w:ascii="宋体" w:hAnsi="宋体" w:cs="宋体"/>
                <w:b/>
                <w:szCs w:val="21"/>
                <w:highlight w:val="none"/>
              </w:rPr>
            </w:pPr>
            <w:r>
              <w:rPr>
                <w:rFonts w:hint="eastAsia" w:ascii="宋体" w:hAnsi="宋体" w:cs="宋体"/>
                <w:b/>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highlight w:val="none"/>
              </w:rPr>
              <w:t>;</w:t>
            </w:r>
          </w:p>
          <w:p>
            <w:pPr>
              <w:snapToGrid w:val="0"/>
              <w:spacing w:line="288" w:lineRule="auto"/>
              <w:ind w:firstLine="211" w:firstLineChars="100"/>
              <w:rPr>
                <w:rFonts w:ascii="宋体" w:hAnsi="宋体" w:cs="宋体"/>
                <w:szCs w:val="21"/>
                <w:highlight w:val="none"/>
              </w:rPr>
            </w:pPr>
            <w:r>
              <w:rPr>
                <w:rFonts w:hint="eastAsia" w:ascii="宋体" w:hAnsi="宋体" w:cs="宋体"/>
                <w:b/>
                <w:kern w:val="0"/>
                <w:szCs w:val="21"/>
                <w:highlight w:val="none"/>
              </w:rPr>
              <w:t>投标人对根据修正原则修正后的报价不确认的</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11</w:t>
            </w:r>
          </w:p>
        </w:tc>
        <w:tc>
          <w:tcPr>
            <w:tcW w:w="2490"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6237" w:type="dxa"/>
            <w:vAlign w:val="center"/>
          </w:tcPr>
          <w:p>
            <w:pPr>
              <w:snapToGrid w:val="0"/>
              <w:spacing w:line="288" w:lineRule="auto"/>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12</w:t>
            </w:r>
          </w:p>
        </w:tc>
        <w:tc>
          <w:tcPr>
            <w:tcW w:w="2490"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6237" w:type="dxa"/>
            <w:vAlign w:val="center"/>
          </w:tcPr>
          <w:p>
            <w:pPr>
              <w:pStyle w:val="33"/>
              <w:snapToGrid w:val="0"/>
              <w:spacing w:line="288" w:lineRule="auto"/>
              <w:rPr>
                <w:rFonts w:hint="default" w:hAnsi="宋体" w:eastAsia="宋体" w:cs="宋体"/>
                <w:color w:val="auto"/>
                <w:kern w:val="28"/>
                <w:highlight w:val="none"/>
                <w:lang w:val="en-US" w:eastAsia="zh-CN"/>
              </w:rPr>
            </w:pPr>
            <w:r>
              <w:rPr>
                <w:rFonts w:hint="eastAsia" w:hAnsi="宋体" w:cs="宋体"/>
                <w:color w:val="auto"/>
                <w:kern w:val="28"/>
                <w:highlight w:val="none"/>
              </w:rPr>
              <w:t>备份投标文件送达地点：</w:t>
            </w:r>
            <w:r>
              <w:rPr>
                <w:rFonts w:hint="eastAsia" w:hAnsi="宋体" w:cs="宋体"/>
                <w:color w:val="auto"/>
                <w:highlight w:val="none"/>
                <w:u w:val="single"/>
              </w:rPr>
              <w:t xml:space="preserve"> 杭州市西湖区玉古路173号中田大厦21楼</w:t>
            </w:r>
            <w:r>
              <w:rPr>
                <w:rFonts w:hint="eastAsia" w:hAnsi="宋体" w:cs="宋体"/>
                <w:color w:val="auto"/>
                <w:highlight w:val="none"/>
                <w:u w:val="single"/>
                <w:lang w:val="en-US" w:eastAsia="zh-CN"/>
              </w:rPr>
              <w:t>求是招标</w:t>
            </w:r>
            <w:r>
              <w:rPr>
                <w:rFonts w:hint="eastAsia" w:hAnsi="宋体" w:cs="宋体"/>
                <w:color w:val="auto"/>
                <w:highlight w:val="none"/>
                <w:u w:val="single"/>
              </w:rPr>
              <w:t xml:space="preserve"> </w:t>
            </w:r>
            <w:r>
              <w:rPr>
                <w:rFonts w:hint="eastAsia" w:hAnsi="宋体" w:cs="宋体"/>
                <w:color w:val="auto"/>
                <w:kern w:val="28"/>
                <w:highlight w:val="none"/>
              </w:rPr>
              <w:t>；备份投标文件签收人员联系电话：</w:t>
            </w:r>
            <w:r>
              <w:rPr>
                <w:rFonts w:hint="eastAsia" w:hAnsi="宋体" w:cs="宋体"/>
                <w:color w:val="auto"/>
                <w:highlight w:val="none"/>
                <w:u w:val="single"/>
              </w:rPr>
              <w:t xml:space="preserve"> </w:t>
            </w:r>
            <w:r>
              <w:rPr>
                <w:rFonts w:hint="eastAsia" w:hAnsi="宋体" w:cs="宋体"/>
                <w:color w:val="auto"/>
                <w:highlight w:val="none"/>
                <w:u w:val="single"/>
                <w:lang w:val="en-US" w:eastAsia="zh-CN"/>
              </w:rPr>
              <w:t>阙家珍/0571-87670301</w:t>
            </w:r>
            <w:r>
              <w:rPr>
                <w:rFonts w:hint="eastAsia" w:hAnsi="宋体" w:cs="宋体"/>
                <w:color w:val="auto"/>
                <w:highlight w:val="none"/>
                <w:u w:val="single"/>
              </w:rPr>
              <w:t xml:space="preserve"> </w:t>
            </w:r>
            <w:r>
              <w:rPr>
                <w:rFonts w:hint="eastAsia" w:hAnsi="宋体" w:cs="宋体"/>
                <w:color w:val="auto"/>
                <w:highlight w:val="none"/>
              </w:rPr>
              <w:t>。</w:t>
            </w:r>
            <w:r>
              <w:rPr>
                <w:rFonts w:hint="eastAsia" w:hAnsi="宋体" w:cs="宋体"/>
                <w:b/>
                <w:color w:val="auto"/>
                <w:highlight w:val="none"/>
              </w:rPr>
              <w:t>采购人、采购代理机构不强制或变相强制投标人提交备份投标文件。</w:t>
            </w:r>
            <w:r>
              <w:rPr>
                <w:rFonts w:hint="eastAsia" w:hAnsi="宋体" w:cs="宋体"/>
                <w:b/>
                <w:color w:val="auto"/>
                <w:highlight w:val="none"/>
                <w:lang w:val="en-US" w:eastAsia="zh-CN"/>
              </w:rPr>
              <w:t>提交备份文件的建议提前一个工作日送达。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Merge w:val="restart"/>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rPr>
              <w:t>13</w:t>
            </w:r>
          </w:p>
        </w:tc>
        <w:tc>
          <w:tcPr>
            <w:tcW w:w="2490" w:type="dxa"/>
            <w:vMerge w:val="restart"/>
            <w:vAlign w:val="center"/>
          </w:tcPr>
          <w:p>
            <w:pPr>
              <w:snapToGrid w:val="0"/>
              <w:spacing w:line="288" w:lineRule="auto"/>
              <w:jc w:val="center"/>
              <w:rPr>
                <w:rFonts w:ascii="宋体" w:hAnsi="宋体" w:cs="宋体"/>
                <w:b/>
                <w:szCs w:val="21"/>
                <w:highlight w:val="none"/>
              </w:rPr>
            </w:pPr>
            <w:r>
              <w:rPr>
                <w:rFonts w:hint="eastAsia" w:ascii="宋体" w:hAnsi="宋体" w:cs="仿宋_GB2312"/>
                <w:b/>
                <w:szCs w:val="21"/>
                <w:highlight w:val="none"/>
              </w:rPr>
              <w:t>特别说明</w:t>
            </w:r>
          </w:p>
        </w:tc>
        <w:tc>
          <w:tcPr>
            <w:tcW w:w="6237" w:type="dxa"/>
            <w:vAlign w:val="center"/>
          </w:tcPr>
          <w:p>
            <w:pPr>
              <w:snapToGrid w:val="0"/>
              <w:spacing w:line="288" w:lineRule="auto"/>
              <w:rPr>
                <w:rFonts w:ascii="宋体" w:hAnsi="宋体" w:cs="宋体"/>
                <w:snapToGrid w:val="0"/>
                <w:kern w:val="28"/>
                <w:szCs w:val="21"/>
                <w:highlight w:val="none"/>
              </w:rPr>
            </w:pPr>
            <w:r>
              <w:rPr>
                <w:rFonts w:hint="eastAsia" w:ascii="宋体" w:hAnsi="宋体" w:cs="宋体"/>
                <w:snapToGrid w:val="0"/>
                <w:kern w:val="28"/>
                <w:szCs w:val="21"/>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Merge w:val="continue"/>
            <w:vAlign w:val="center"/>
          </w:tcPr>
          <w:p>
            <w:pPr>
              <w:snapToGrid w:val="0"/>
              <w:spacing w:line="288" w:lineRule="auto"/>
              <w:jc w:val="center"/>
              <w:rPr>
                <w:rFonts w:ascii="宋体" w:hAnsi="宋体" w:cs="宋体"/>
                <w:szCs w:val="21"/>
                <w:highlight w:val="none"/>
              </w:rPr>
            </w:pPr>
          </w:p>
        </w:tc>
        <w:tc>
          <w:tcPr>
            <w:tcW w:w="2490" w:type="dxa"/>
            <w:vMerge w:val="continue"/>
            <w:vAlign w:val="center"/>
          </w:tcPr>
          <w:p>
            <w:pPr>
              <w:snapToGrid w:val="0"/>
              <w:spacing w:line="288" w:lineRule="auto"/>
              <w:jc w:val="center"/>
              <w:rPr>
                <w:rFonts w:ascii="宋体" w:hAnsi="宋体" w:cs="宋体"/>
                <w:b/>
                <w:szCs w:val="21"/>
                <w:highlight w:val="none"/>
              </w:rPr>
            </w:pPr>
          </w:p>
        </w:tc>
        <w:tc>
          <w:tcPr>
            <w:tcW w:w="6237" w:type="dxa"/>
            <w:vAlign w:val="center"/>
          </w:tcPr>
          <w:p>
            <w:pPr>
              <w:snapToGrid w:val="0"/>
              <w:spacing w:line="288" w:lineRule="auto"/>
              <w:rPr>
                <w:rFonts w:ascii="宋体" w:hAnsi="宋体" w:cs="宋体"/>
                <w:snapToGrid w:val="0"/>
                <w:kern w:val="28"/>
                <w:szCs w:val="21"/>
                <w:highlight w:val="none"/>
              </w:rPr>
            </w:pPr>
            <w:sdt>
              <w:sdtPr>
                <w:rPr>
                  <w:rFonts w:hint="eastAsia" w:ascii="宋体" w:hAnsi="宋体" w:cs="Arial"/>
                  <w:kern w:val="0"/>
                  <w:szCs w:val="21"/>
                  <w:highlight w:val="none"/>
                </w:rPr>
                <w:id w:val="-1816336663"/>
                <w14:checkbox>
                  <w14:checked w14:val="0"/>
                  <w14:checkedState w14:val="00FE" w14:font="Wingdings"/>
                  <w14:uncheckedState w14:val="2610" w14:font="MS Gothic"/>
                </w14:checkbox>
              </w:sdtPr>
              <w:sdtEndPr>
                <w:rPr>
                  <w:rFonts w:hint="eastAsia" w:ascii="宋体" w:hAnsi="宋体" w:cs="Arial"/>
                  <w:kern w:val="0"/>
                  <w:szCs w:val="21"/>
                  <w:highlight w:val="none"/>
                </w:rPr>
              </w:sdtEndPr>
              <w:sdtContent>
                <w:r>
                  <w:rPr>
                    <w:rFonts w:ascii="Segoe UI Symbol" w:hAnsi="Segoe UI Symbol" w:cs="Segoe UI Symbol"/>
                    <w:kern w:val="0"/>
                    <w:szCs w:val="21"/>
                    <w:highlight w:val="none"/>
                  </w:rPr>
                  <w:t>☐</w:t>
                </w:r>
              </w:sdtContent>
            </w:sdt>
            <w:r>
              <w:rPr>
                <w:rFonts w:hint="eastAsia" w:ascii="宋体" w:hAnsi="宋体" w:cs="宋体"/>
                <w:snapToGrid w:val="0"/>
                <w:kern w:val="28"/>
                <w:szCs w:val="21"/>
                <w:highlight w:val="none"/>
              </w:rPr>
              <w:t>联合体投标的，联合体各方均需按招标文件第四部分评标标准要求提供资信证明文件，否则视为不符合相关要求。</w:t>
            </w:r>
          </w:p>
          <w:p>
            <w:pPr>
              <w:snapToGrid w:val="0"/>
              <w:spacing w:line="288" w:lineRule="auto"/>
              <w:rPr>
                <w:rFonts w:ascii="宋体" w:hAnsi="宋体" w:cs="宋体"/>
                <w:snapToGrid w:val="0"/>
                <w:kern w:val="28"/>
                <w:szCs w:val="21"/>
                <w:highlight w:val="none"/>
              </w:rPr>
            </w:pPr>
            <w:sdt>
              <w:sdtPr>
                <w:rPr>
                  <w:rFonts w:hint="eastAsia" w:ascii="宋体" w:hAnsi="宋体" w:cs="Arial"/>
                  <w:kern w:val="0"/>
                  <w:szCs w:val="21"/>
                  <w:highlight w:val="none"/>
                </w:rPr>
                <w:id w:val="-232311894"/>
                <w14:checkbox>
                  <w14:checked w14:val="1"/>
                  <w14:checkedState w14:val="00FE" w14:font="Wingdings"/>
                  <w14:uncheckedState w14:val="2610" w14:font="MS Gothic"/>
                </w14:checkbox>
              </w:sdtPr>
              <w:sdtEndPr>
                <w:rPr>
                  <w:rFonts w:hint="eastAsia" w:ascii="宋体" w:hAnsi="宋体" w:cs="Arial"/>
                  <w:kern w:val="0"/>
                  <w:szCs w:val="21"/>
                  <w:highlight w:val="none"/>
                </w:rPr>
              </w:sdtEndPr>
              <w:sdtContent>
                <w:r>
                  <w:rPr>
                    <w:rFonts w:hint="eastAsia" w:ascii="宋体" w:hAnsi="宋体" w:cs="Arial"/>
                    <w:kern w:val="0"/>
                    <w:szCs w:val="21"/>
                    <w:highlight w:val="none"/>
                  </w:rPr>
                  <w:sym w:font="Wingdings" w:char="F0FE"/>
                </w:r>
              </w:sdtContent>
            </w:sdt>
            <w:r>
              <w:rPr>
                <w:rFonts w:hint="eastAsia" w:ascii="宋体" w:hAnsi="宋体" w:cs="宋体"/>
                <w:snapToGrid w:val="0"/>
                <w:kern w:val="28"/>
                <w:szCs w:val="21"/>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29" w:type="dxa"/>
            <w:vAlign w:val="center"/>
          </w:tcPr>
          <w:p>
            <w:pPr>
              <w:snapToGrid w:val="0"/>
              <w:spacing w:line="288" w:lineRule="auto"/>
              <w:jc w:val="center"/>
              <w:rPr>
                <w:rFonts w:ascii="宋体" w:hAnsi="宋体" w:cs="宋体"/>
                <w:szCs w:val="21"/>
                <w:highlight w:val="none"/>
              </w:rPr>
            </w:pPr>
            <w:r>
              <w:rPr>
                <w:rFonts w:hint="eastAsia" w:ascii="宋体" w:hAnsi="宋体" w:cs="宋体"/>
                <w:szCs w:val="21"/>
                <w:highlight w:val="none"/>
                <w:lang w:val="en-US" w:eastAsia="zh-CN"/>
              </w:rPr>
              <w:t>14</w:t>
            </w:r>
          </w:p>
        </w:tc>
        <w:tc>
          <w:tcPr>
            <w:tcW w:w="2490" w:type="dxa"/>
            <w:vAlign w:val="center"/>
          </w:tcPr>
          <w:p>
            <w:pPr>
              <w:snapToGrid w:val="0"/>
              <w:spacing w:line="288" w:lineRule="auto"/>
              <w:jc w:val="center"/>
              <w:rPr>
                <w:rFonts w:ascii="宋体" w:hAnsi="宋体" w:cs="宋体"/>
                <w:b/>
                <w:szCs w:val="21"/>
                <w:highlight w:val="none"/>
              </w:rPr>
            </w:pPr>
            <w:r>
              <w:rPr>
                <w:rFonts w:hint="eastAsia" w:ascii="宋体" w:hAnsi="宋体"/>
                <w:b/>
                <w:bCs/>
                <w:szCs w:val="21"/>
                <w:highlight w:val="none"/>
              </w:rPr>
              <w:t>投标费用</w:t>
            </w:r>
          </w:p>
        </w:tc>
        <w:tc>
          <w:tcPr>
            <w:tcW w:w="6237" w:type="dxa"/>
            <w:vAlign w:val="center"/>
          </w:tcPr>
          <w:p>
            <w:pPr>
              <w:snapToGrid w:val="0"/>
              <w:spacing w:line="288" w:lineRule="auto"/>
              <w:rPr>
                <w:rFonts w:ascii="宋体" w:hAnsi="宋体"/>
                <w:szCs w:val="21"/>
                <w:highlight w:val="none"/>
              </w:rPr>
            </w:pPr>
            <w:r>
              <w:rPr>
                <w:rFonts w:hint="eastAsia" w:ascii="宋体" w:hAnsi="宋体"/>
                <w:szCs w:val="21"/>
                <w:highlight w:val="none"/>
              </w:rPr>
              <w:t>1.不论投标结果如何，投标人均应自行承担所有与投标有关的全部费用；</w:t>
            </w:r>
          </w:p>
          <w:p>
            <w:pPr>
              <w:snapToGrid w:val="0"/>
              <w:spacing w:line="288" w:lineRule="auto"/>
              <w:rPr>
                <w:rFonts w:ascii="宋体" w:hAnsi="宋体"/>
                <w:szCs w:val="21"/>
                <w:highlight w:val="none"/>
              </w:rPr>
            </w:pPr>
            <w:r>
              <w:rPr>
                <w:rFonts w:hint="eastAsia" w:ascii="宋体" w:hAnsi="宋体"/>
                <w:szCs w:val="21"/>
                <w:highlight w:val="none"/>
              </w:rPr>
              <w:t>2.中标人在中标通知书发出之日起七个工作日内，向采购代理机构交纳代理服务费；</w:t>
            </w:r>
          </w:p>
          <w:p>
            <w:pPr>
              <w:snapToGrid w:val="0"/>
              <w:spacing w:line="288" w:lineRule="auto"/>
              <w:rPr>
                <w:rFonts w:ascii="宋体" w:hAnsi="宋体"/>
                <w:szCs w:val="21"/>
                <w:highlight w:val="none"/>
              </w:rPr>
            </w:pPr>
            <w:r>
              <w:rPr>
                <w:rFonts w:hint="eastAsia" w:ascii="宋体" w:hAnsi="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napToGrid w:val="0"/>
              <w:spacing w:line="288" w:lineRule="auto"/>
              <w:rPr>
                <w:rFonts w:hint="eastAsia" w:ascii="宋体" w:hAnsi="宋体" w:eastAsia="宋体"/>
                <w:szCs w:val="21"/>
                <w:highlight w:val="none"/>
                <w:lang w:val="en-US" w:eastAsia="zh-CN"/>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收费标准（差额累进）：</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napToGrid w:val="0"/>
                    <w:spacing w:line="288" w:lineRule="auto"/>
                    <w:jc w:val="center"/>
                    <w:rPr>
                      <w:rFonts w:ascii="宋体" w:hAnsi="宋体"/>
                      <w:szCs w:val="21"/>
                      <w:highlight w:val="none"/>
                    </w:rPr>
                  </w:pPr>
                  <w:r>
                    <w:rPr>
                      <w:rFonts w:hint="eastAsia" w:ascii="宋体" w:hAnsi="宋体"/>
                      <w:szCs w:val="21"/>
                      <w:highlight w:val="none"/>
                    </w:rPr>
                    <w:t>中标金额（万元）</w:t>
                  </w:r>
                </w:p>
              </w:tc>
              <w:tc>
                <w:tcPr>
                  <w:tcW w:w="3070" w:type="dxa"/>
                  <w:tcMar>
                    <w:top w:w="0" w:type="dxa"/>
                    <w:left w:w="108" w:type="dxa"/>
                    <w:bottom w:w="0" w:type="dxa"/>
                    <w:right w:w="108" w:type="dxa"/>
                  </w:tcMar>
                  <w:vAlign w:val="center"/>
                </w:tcPr>
                <w:p>
                  <w:pPr>
                    <w:snapToGrid w:val="0"/>
                    <w:spacing w:line="288" w:lineRule="auto"/>
                    <w:jc w:val="center"/>
                    <w:rPr>
                      <w:rFonts w:ascii="宋体" w:hAnsi="宋体"/>
                      <w:szCs w:val="21"/>
                      <w:highlight w:val="none"/>
                    </w:rPr>
                  </w:pPr>
                  <w:r>
                    <w:rPr>
                      <w:rFonts w:hint="eastAsia" w:ascii="宋体" w:hAnsi="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napToGrid w:val="0"/>
                    <w:spacing w:line="288" w:lineRule="auto"/>
                    <w:jc w:val="center"/>
                    <w:rPr>
                      <w:rFonts w:ascii="宋体" w:hAnsi="宋体"/>
                      <w:szCs w:val="21"/>
                      <w:highlight w:val="none"/>
                    </w:rPr>
                  </w:pPr>
                  <w:r>
                    <w:rPr>
                      <w:rFonts w:hint="eastAsia" w:ascii="宋体" w:hAnsi="宋体"/>
                      <w:szCs w:val="21"/>
                      <w:highlight w:val="none"/>
                    </w:rPr>
                    <w:t>100以下</w:t>
                  </w:r>
                </w:p>
              </w:tc>
              <w:tc>
                <w:tcPr>
                  <w:tcW w:w="3070" w:type="dxa"/>
                  <w:tcMar>
                    <w:top w:w="0" w:type="dxa"/>
                    <w:left w:w="108" w:type="dxa"/>
                    <w:bottom w:w="0" w:type="dxa"/>
                    <w:right w:w="108" w:type="dxa"/>
                  </w:tcMar>
                  <w:vAlign w:val="center"/>
                </w:tcPr>
                <w:p>
                  <w:pPr>
                    <w:snapToGrid w:val="0"/>
                    <w:spacing w:line="288" w:lineRule="auto"/>
                    <w:jc w:val="center"/>
                    <w:rPr>
                      <w:rFonts w:hint="default" w:ascii="宋体" w:hAnsi="宋体" w:eastAsia="宋体"/>
                      <w:szCs w:val="21"/>
                      <w:highlight w:val="none"/>
                      <w:lang w:val="en-US" w:eastAsia="zh-CN"/>
                    </w:rPr>
                  </w:pPr>
                  <w:r>
                    <w:rPr>
                      <w:rFonts w:hint="eastAsia" w:ascii="宋体" w:hAnsi="宋体"/>
                      <w:szCs w:val="21"/>
                      <w:highlight w:val="none"/>
                      <w:lang w:eastAsia="zh-CN"/>
                    </w:rPr>
                    <w:t>1</w:t>
                  </w:r>
                  <w:r>
                    <w:rPr>
                      <w:rFonts w:hint="eastAsia" w:ascii="宋体" w:hAnsi="宋体"/>
                      <w:szCs w:val="21"/>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snapToGrid w:val="0"/>
                    <w:spacing w:line="288" w:lineRule="auto"/>
                    <w:jc w:val="center"/>
                    <w:rPr>
                      <w:rFonts w:ascii="宋体" w:hAnsi="宋体"/>
                      <w:szCs w:val="21"/>
                      <w:highlight w:val="none"/>
                    </w:rPr>
                  </w:pPr>
                  <w:r>
                    <w:rPr>
                      <w:rFonts w:hint="eastAsia" w:ascii="宋体" w:hAnsi="宋体"/>
                      <w:szCs w:val="21"/>
                      <w:highlight w:val="none"/>
                    </w:rPr>
                    <w:t>100-500</w:t>
                  </w:r>
                </w:p>
              </w:tc>
              <w:tc>
                <w:tcPr>
                  <w:tcW w:w="3070" w:type="dxa"/>
                  <w:tcMar>
                    <w:top w:w="0" w:type="dxa"/>
                    <w:left w:w="108" w:type="dxa"/>
                    <w:bottom w:w="0" w:type="dxa"/>
                    <w:right w:w="108" w:type="dxa"/>
                  </w:tcMar>
                  <w:vAlign w:val="center"/>
                </w:tcPr>
                <w:p>
                  <w:pPr>
                    <w:snapToGrid w:val="0"/>
                    <w:spacing w:line="288"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r>
          </w:tbl>
          <w:p>
            <w:pPr>
              <w:snapToGrid w:val="0"/>
              <w:spacing w:line="288" w:lineRule="auto"/>
              <w:rPr>
                <w:rFonts w:hint="eastAsia" w:ascii="宋体" w:hAnsi="宋体" w:cs="Arial"/>
                <w:kern w:val="0"/>
                <w:szCs w:val="21"/>
                <w:highlight w:val="none"/>
              </w:rPr>
            </w:pPr>
          </w:p>
        </w:tc>
      </w:tr>
      <w:bookmarkEnd w:id="10"/>
    </w:tbl>
    <w:p>
      <w:pPr>
        <w:widowControl/>
        <w:adjustRightInd/>
        <w:jc w:val="left"/>
        <w:rPr>
          <w:rFonts w:ascii="宋体" w:hAnsi="宋体" w:cs="宋体"/>
          <w:b/>
          <w:szCs w:val="21"/>
          <w:highlight w:val="none"/>
        </w:rPr>
      </w:pPr>
      <w:bookmarkStart w:id="11" w:name="_Toc164416483"/>
      <w:bookmarkStart w:id="12" w:name="第三部分"/>
      <w:r>
        <w:rPr>
          <w:rFonts w:ascii="宋体" w:hAnsi="宋体" w:cs="宋体"/>
          <w:b/>
          <w:szCs w:val="21"/>
          <w:highlight w:val="none"/>
        </w:rPr>
        <w:br w:type="page"/>
      </w:r>
    </w:p>
    <w:p>
      <w:pPr>
        <w:snapToGrid w:val="0"/>
        <w:spacing w:line="288" w:lineRule="auto"/>
        <w:jc w:val="center"/>
        <w:outlineLvl w:val="1"/>
        <w:rPr>
          <w:rFonts w:ascii="宋体" w:hAnsi="宋体" w:cs="宋体"/>
          <w:b/>
          <w:szCs w:val="21"/>
          <w:highlight w:val="none"/>
        </w:rPr>
      </w:pPr>
      <w:r>
        <w:rPr>
          <w:rFonts w:hint="eastAsia" w:ascii="宋体" w:hAnsi="宋体" w:cs="宋体"/>
          <w:b/>
          <w:szCs w:val="21"/>
          <w:highlight w:val="none"/>
        </w:rPr>
        <w:t>一、总则</w:t>
      </w:r>
    </w:p>
    <w:p>
      <w:pPr>
        <w:snapToGrid w:val="0"/>
        <w:spacing w:line="288" w:lineRule="auto"/>
        <w:ind w:firstLine="424" w:firstLineChars="201"/>
        <w:jc w:val="left"/>
        <w:rPr>
          <w:rFonts w:ascii="宋体" w:hAnsi="宋体" w:cs="宋体"/>
          <w:b/>
          <w:szCs w:val="21"/>
          <w:highlight w:val="none"/>
        </w:rPr>
      </w:pPr>
      <w:r>
        <w:rPr>
          <w:rFonts w:hint="eastAsia" w:ascii="宋体" w:hAnsi="宋体" w:cs="宋体"/>
          <w:b/>
          <w:szCs w:val="21"/>
          <w:highlight w:val="none"/>
        </w:rPr>
        <w:t>1. 适用范围</w:t>
      </w:r>
    </w:p>
    <w:p>
      <w:pPr>
        <w:snapToGrid w:val="0"/>
        <w:spacing w:line="288" w:lineRule="auto"/>
        <w:ind w:firstLine="422" w:firstLineChars="201"/>
        <w:jc w:val="left"/>
        <w:rPr>
          <w:rFonts w:ascii="宋体" w:hAnsi="宋体" w:cs="宋体"/>
          <w:szCs w:val="21"/>
          <w:highlight w:val="none"/>
        </w:rPr>
      </w:pPr>
      <w:r>
        <w:rPr>
          <w:rFonts w:hint="eastAsia" w:ascii="宋体" w:hAnsi="宋体" w:cs="宋体"/>
          <w:szCs w:val="21"/>
          <w:highlight w:val="none"/>
        </w:rPr>
        <w:t>本招标文件适用于该项目的招标、投标、开标、资格审查及信用信息查询、评标、定标、合同、验收等行为（法律、法规另有规定的，从其规定）。</w:t>
      </w:r>
    </w:p>
    <w:p>
      <w:pPr>
        <w:snapToGrid w:val="0"/>
        <w:spacing w:line="288" w:lineRule="auto"/>
        <w:ind w:firstLine="424" w:firstLineChars="201"/>
        <w:jc w:val="left"/>
        <w:rPr>
          <w:rFonts w:ascii="宋体" w:hAnsi="宋体" w:cs="宋体"/>
          <w:szCs w:val="21"/>
          <w:highlight w:val="none"/>
        </w:rPr>
      </w:pPr>
      <w:r>
        <w:rPr>
          <w:rFonts w:hint="eastAsia" w:ascii="宋体" w:hAnsi="宋体" w:cs="宋体"/>
          <w:b/>
          <w:szCs w:val="21"/>
          <w:highlight w:val="none"/>
        </w:rPr>
        <w:t>2.定义</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2.1 “采购人”系指招标公告中载明的本项目的采购人。</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2.2 “采购代理机构”系指招标公告中载明的本项目的采购代理机构。</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2.3 “投标人”系指是指响应招标、参加投标竞争的法人、其他组织或者自然人。</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2.4 “负责人”系指法人企业的法定负责人，或其他组织为法律、行政法规规定代表单位行使职权的主要负责人，或自然人本人。</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2.6“电子交易平台”系指本项目政府采购活动所依托的政府采购云平台（https://www.zcygov.cn/）。</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2.7 “▲” 系指实质性要求条款，“</w:t>
      </w:r>
      <w:r>
        <w:rPr>
          <w:rFonts w:hint="eastAsia" w:ascii="宋体" w:hAnsi="宋体" w:cs="宋体"/>
          <w:szCs w:val="21"/>
          <w:highlight w:val="none"/>
        </w:rPr>
        <w:sym w:font="Wingdings 2" w:char="F052"/>
      </w:r>
      <w:r>
        <w:rPr>
          <w:rFonts w:hint="eastAsia" w:ascii="宋体" w:hAnsi="宋体" w:cs="宋体"/>
          <w:szCs w:val="21"/>
          <w:highlight w:val="none"/>
        </w:rPr>
        <w:t>” 系指适用本项目的要求，“</w:t>
      </w:r>
      <w:r>
        <w:rPr>
          <w:rFonts w:hint="eastAsia" w:ascii="宋体" w:hAnsi="宋体" w:cs="宋体"/>
          <w:szCs w:val="21"/>
          <w:highlight w:val="none"/>
        </w:rPr>
        <w:sym w:font="Wingdings 2" w:char="F0A3"/>
      </w:r>
      <w:r>
        <w:rPr>
          <w:rFonts w:hint="eastAsia" w:ascii="宋体" w:hAnsi="宋体" w:cs="宋体"/>
          <w:szCs w:val="21"/>
          <w:highlight w:val="none"/>
        </w:rPr>
        <w:t>” 系指不适用本项目的要求。</w:t>
      </w:r>
    </w:p>
    <w:p>
      <w:pPr>
        <w:snapToGrid w:val="0"/>
        <w:spacing w:line="288" w:lineRule="auto"/>
        <w:ind w:firstLine="424" w:firstLineChars="201"/>
        <w:rPr>
          <w:rFonts w:ascii="宋体" w:hAnsi="宋体" w:cs="宋体"/>
          <w:b/>
          <w:szCs w:val="21"/>
          <w:highlight w:val="none"/>
        </w:rPr>
      </w:pPr>
      <w:r>
        <w:rPr>
          <w:rFonts w:hint="eastAsia" w:ascii="宋体" w:hAnsi="宋体" w:cs="宋体"/>
          <w:b/>
          <w:szCs w:val="21"/>
          <w:highlight w:val="none"/>
        </w:rPr>
        <w:t>3.</w:t>
      </w:r>
      <w:r>
        <w:rPr>
          <w:rFonts w:hint="eastAsia" w:ascii="宋体" w:hAnsi="宋体" w:cs="宋体"/>
          <w:szCs w:val="21"/>
          <w:highlight w:val="none"/>
        </w:rPr>
        <w:t xml:space="preserve"> </w:t>
      </w:r>
      <w:r>
        <w:rPr>
          <w:rFonts w:hint="eastAsia" w:ascii="宋体" w:hAnsi="宋体" w:cs="宋体"/>
          <w:b/>
          <w:szCs w:val="21"/>
          <w:highlight w:val="none"/>
        </w:rPr>
        <w:t>采购项目需要落实的政府采购政策</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highlight w:val="none"/>
        </w:rPr>
        <w:t>优先采购向我国企业转让技术、与我国企业签订消化吸收再创新方案的供应商的进口产品</w:t>
      </w:r>
      <w:r>
        <w:rPr>
          <w:rFonts w:hint="eastAsia" w:ascii="宋体" w:hAnsi="宋体" w:cs="宋体"/>
          <w:szCs w:val="21"/>
          <w:highlight w:val="none"/>
        </w:rPr>
        <w:t>。</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3.2 支持绿色发展</w:t>
      </w:r>
    </w:p>
    <w:p>
      <w:pPr>
        <w:snapToGrid w:val="0"/>
        <w:spacing w:line="288" w:lineRule="auto"/>
        <w:ind w:firstLine="422" w:firstLineChars="201"/>
        <w:rPr>
          <w:rFonts w:ascii="宋体" w:hAnsi="宋体" w:cs="宋体"/>
          <w:b/>
          <w:szCs w:val="21"/>
          <w:highlight w:val="none"/>
        </w:rPr>
      </w:pPr>
      <w:r>
        <w:rPr>
          <w:rFonts w:hint="eastAsia" w:ascii="宋体" w:hAnsi="宋体" w:cs="宋体"/>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highlight w:val="non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3.2.2 修缮、装修类项目采购建材的，采购人应将绿色建筑和绿色建材性能、指标等作为实质性条件纳入招标文件和合同。</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288" w:lineRule="auto"/>
        <w:ind w:firstLine="422" w:firstLineChars="201"/>
        <w:rPr>
          <w:rFonts w:ascii="宋体" w:hAnsi="宋体" w:cs="宋体"/>
          <w:szCs w:val="21"/>
          <w:highlight w:val="none"/>
        </w:rPr>
      </w:pPr>
      <w:r>
        <w:rPr>
          <w:rFonts w:ascii="宋体" w:hAnsi="宋体" w:cs="宋体"/>
          <w:szCs w:val="21"/>
          <w:highlight w:val="none"/>
        </w:rPr>
        <w:t xml:space="preserve">3.2.4 </w:t>
      </w:r>
      <w:r>
        <w:rPr>
          <w:rFonts w:hint="eastAsia" w:ascii="宋体" w:hAnsi="宋体" w:cs="宋体"/>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3.3支持中小企业发展</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pPr>
        <w:snapToGrid w:val="0"/>
        <w:spacing w:line="288" w:lineRule="auto"/>
        <w:ind w:firstLine="422" w:firstLineChars="201"/>
        <w:jc w:val="left"/>
        <w:rPr>
          <w:rFonts w:ascii="宋体" w:hAnsi="宋体" w:cs="宋体"/>
          <w:kern w:val="0"/>
          <w:szCs w:val="21"/>
          <w:highlight w:val="none"/>
        </w:rPr>
      </w:pPr>
      <w:r>
        <w:rPr>
          <w:rFonts w:ascii="宋体" w:hAnsi="宋体" w:cs="宋体"/>
          <w:bCs/>
          <w:szCs w:val="21"/>
          <w:highlight w:val="none"/>
        </w:rPr>
        <w:t>3.3.2</w:t>
      </w:r>
      <w:r>
        <w:rPr>
          <w:rFonts w:hint="eastAsia" w:ascii="宋体" w:hAnsi="宋体" w:cs="宋体"/>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napToGrid w:val="0"/>
        <w:spacing w:line="288" w:lineRule="auto"/>
        <w:ind w:firstLine="422" w:firstLineChars="201"/>
        <w:jc w:val="left"/>
        <w:rPr>
          <w:rFonts w:ascii="宋体" w:hAnsi="宋体" w:cs="宋体"/>
          <w:kern w:val="0"/>
          <w:szCs w:val="21"/>
          <w:highlight w:val="none"/>
        </w:rPr>
      </w:pPr>
      <w:r>
        <w:rPr>
          <w:rFonts w:hint="eastAsia" w:ascii="宋体" w:hAnsi="宋体" w:cs="宋体"/>
          <w:kern w:val="0"/>
          <w:szCs w:val="21"/>
          <w:highlight w:val="none"/>
        </w:rPr>
        <w:t>以联合体形式参加政府采购活动，联合体各方均为中小企业的，联合体视同中小企业。其中，联合体各方均为小微企业的，联合体视同小微企业。</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Cs w:val="21"/>
          <w:highlight w:val="none"/>
        </w:rPr>
        <w:t>20</w:t>
      </w:r>
      <w:r>
        <w:rPr>
          <w:rFonts w:hint="eastAsia" w:ascii="宋体" w:hAnsi="宋体" w:cs="宋体"/>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Cs w:val="21"/>
          <w:highlight w:val="none"/>
        </w:rPr>
        <w:t>6</w:t>
      </w:r>
      <w:r>
        <w:rPr>
          <w:rFonts w:hint="eastAsia" w:ascii="宋体" w:hAnsi="宋体" w:cs="宋体"/>
          <w:szCs w:val="21"/>
          <w:highlight w:val="none"/>
        </w:rPr>
        <w:t>%的扣除，用扣除后的价格参加评审。组成联合体或者接受分包的小微企业与联合体内其他企业、分包企业之间存在直接控股、管理关系的，不享受价格扣除优惠政策。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3.3.4符合《关于促进残疾人就业政府采购政策的通知》（财库〔2017〕141号）规定的条件并提供《残疾人福利性单位声明函》（附件1）的残疾人福利性单位视同小型、微型企业；</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3.3.7中小企业享受扶持政策获得政府采购合同的，小微企业不得将合同分包给大中型企业，中型企业不得将合同分包给大型企业。</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3.4</w:t>
      </w:r>
      <w:r>
        <w:rPr>
          <w:rFonts w:hint="eastAsia" w:ascii="宋体" w:hAnsi="宋体" w:cs="宋体"/>
          <w:bCs/>
          <w:szCs w:val="21"/>
          <w:highlight w:val="none"/>
        </w:rPr>
        <w:t>支持创新发展</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3.4.1 采购人优先采购被认定为首台套产品和“制造精品”的自主创新产品。</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3.4.2首台套产品被纳入《首台套产品推广应用指导目录》之日起</w:t>
      </w:r>
      <w:r>
        <w:rPr>
          <w:rFonts w:ascii="宋体" w:hAnsi="宋体" w:cs="宋体"/>
          <w:szCs w:val="21"/>
          <w:highlight w:val="none"/>
        </w:rPr>
        <w:t>3</w:t>
      </w:r>
      <w:r>
        <w:rPr>
          <w:rFonts w:hint="eastAsia" w:ascii="宋体" w:hAnsi="宋体" w:cs="宋体"/>
          <w:szCs w:val="21"/>
          <w:highlight w:val="none"/>
        </w:rPr>
        <w:t>年内，以及产品核心技术高于国内领先水平，并具有明晰自主知识产权的“制造精品”产品，自认定之日起2年内视同已具备相应销售业绩，参加政府采购活动时业绩分值为满分。</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3.5平等对待内外资企业和符合条件的破产重整企业</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平等对待内外资企业和符合条件的破产重整企业，切实保障企业公平竞争，平等维护企业的合法利益。</w:t>
      </w:r>
    </w:p>
    <w:p>
      <w:pPr>
        <w:snapToGrid w:val="0"/>
        <w:spacing w:line="288" w:lineRule="auto"/>
        <w:ind w:firstLine="424" w:firstLineChars="201"/>
        <w:rPr>
          <w:rFonts w:ascii="宋体" w:hAnsi="宋体" w:cs="宋体"/>
          <w:b/>
          <w:szCs w:val="21"/>
          <w:highlight w:val="none"/>
        </w:rPr>
      </w:pPr>
      <w:r>
        <w:rPr>
          <w:rFonts w:hint="eastAsia" w:ascii="宋体" w:hAnsi="宋体" w:cs="宋体"/>
          <w:b/>
          <w:szCs w:val="21"/>
          <w:highlight w:val="none"/>
        </w:rPr>
        <w:t>4. 询问、质疑、投诉</w:t>
      </w:r>
    </w:p>
    <w:p>
      <w:pPr>
        <w:autoSpaceDE w:val="0"/>
        <w:autoSpaceDN w:val="0"/>
        <w:snapToGrid w:val="0"/>
        <w:spacing w:line="288" w:lineRule="auto"/>
        <w:ind w:firstLine="422" w:firstLineChars="201"/>
        <w:jc w:val="left"/>
        <w:rPr>
          <w:rFonts w:ascii="宋体" w:hAnsi="宋体" w:cs="宋体"/>
          <w:kern w:val="0"/>
          <w:szCs w:val="21"/>
          <w:highlight w:val="none"/>
          <w:lang w:val="zh-CN"/>
        </w:rPr>
      </w:pPr>
      <w:r>
        <w:rPr>
          <w:rFonts w:hint="eastAsia" w:ascii="宋体" w:hAnsi="宋体" w:cs="宋体"/>
          <w:kern w:val="0"/>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288" w:lineRule="auto"/>
        <w:ind w:firstLine="422" w:firstLineChars="201"/>
        <w:jc w:val="left"/>
        <w:rPr>
          <w:rFonts w:ascii="宋体" w:hAnsi="宋体" w:cs="宋体"/>
          <w:kern w:val="0"/>
          <w:szCs w:val="21"/>
          <w:highlight w:val="none"/>
          <w:lang w:val="zh-CN"/>
        </w:rPr>
      </w:pPr>
      <w:r>
        <w:rPr>
          <w:rFonts w:hint="eastAsia" w:ascii="宋体" w:hAnsi="宋体" w:cs="宋体"/>
          <w:kern w:val="0"/>
          <w:szCs w:val="21"/>
          <w:highlight w:val="none"/>
          <w:lang w:val="zh-CN"/>
        </w:rPr>
        <w:t>4.2供应商询问</w:t>
      </w:r>
    </w:p>
    <w:p>
      <w:pPr>
        <w:autoSpaceDE w:val="0"/>
        <w:autoSpaceDN w:val="0"/>
        <w:snapToGrid w:val="0"/>
        <w:spacing w:line="288" w:lineRule="auto"/>
        <w:ind w:firstLine="422" w:firstLineChars="201"/>
        <w:jc w:val="left"/>
        <w:rPr>
          <w:rFonts w:ascii="宋体" w:hAnsi="宋体" w:cs="宋体"/>
          <w:kern w:val="0"/>
          <w:szCs w:val="21"/>
          <w:highlight w:val="none"/>
          <w:lang w:val="zh-CN"/>
        </w:rPr>
      </w:pPr>
      <w:r>
        <w:rPr>
          <w:rFonts w:hint="eastAsia" w:ascii="宋体" w:hAnsi="宋体" w:cs="宋体"/>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288" w:lineRule="auto"/>
        <w:ind w:firstLine="422" w:firstLineChars="201"/>
        <w:jc w:val="left"/>
        <w:rPr>
          <w:rFonts w:ascii="宋体" w:hAnsi="宋体" w:cs="宋体"/>
          <w:kern w:val="0"/>
          <w:szCs w:val="21"/>
          <w:highlight w:val="none"/>
          <w:lang w:val="zh-CN"/>
        </w:rPr>
      </w:pPr>
      <w:r>
        <w:rPr>
          <w:rFonts w:hint="eastAsia" w:ascii="宋体" w:hAnsi="宋体" w:cs="宋体"/>
          <w:kern w:val="0"/>
          <w:szCs w:val="21"/>
          <w:highlight w:val="none"/>
          <w:lang w:val="zh-CN"/>
        </w:rPr>
        <w:t>4.3供应商质疑</w:t>
      </w:r>
    </w:p>
    <w:p>
      <w:pPr>
        <w:pStyle w:val="33"/>
        <w:snapToGrid w:val="0"/>
        <w:spacing w:line="288" w:lineRule="auto"/>
        <w:ind w:firstLine="422" w:firstLineChars="201"/>
        <w:rPr>
          <w:rFonts w:hAnsi="宋体" w:cs="宋体"/>
          <w:highlight w:val="none"/>
        </w:rPr>
      </w:pPr>
      <w:r>
        <w:rPr>
          <w:rFonts w:hint="eastAsia" w:hAnsi="宋体" w:cs="宋体"/>
          <w:kern w:val="0"/>
          <w:highlight w:val="none"/>
          <w:lang w:val="zh-CN"/>
        </w:rPr>
        <w:t>4.3</w:t>
      </w:r>
      <w:r>
        <w:rPr>
          <w:rFonts w:hint="eastAsia" w:hAnsi="宋体" w:cs="宋体"/>
          <w:highlight w:val="none"/>
        </w:rPr>
        <w:t>.1提出质疑的供应商应当是参与所质疑项目采购活动的供应商。潜在供应商已依法获取其可质疑的招标文件的，可以对该文件提出质疑。</w:t>
      </w:r>
    </w:p>
    <w:p>
      <w:pPr>
        <w:pStyle w:val="33"/>
        <w:snapToGrid w:val="0"/>
        <w:spacing w:line="288" w:lineRule="auto"/>
        <w:ind w:firstLine="422" w:firstLineChars="201"/>
        <w:rPr>
          <w:rFonts w:hAnsi="宋体" w:cs="宋体"/>
          <w:highlight w:val="none"/>
        </w:rPr>
      </w:pPr>
      <w:r>
        <w:rPr>
          <w:rFonts w:hint="eastAsia" w:hAnsi="宋体" w:cs="宋体"/>
          <w:kern w:val="0"/>
          <w:highlight w:val="none"/>
          <w:lang w:val="zh-CN"/>
        </w:rPr>
        <w:t>4.3</w:t>
      </w:r>
      <w:r>
        <w:rPr>
          <w:rFonts w:hint="eastAsia" w:hAnsi="宋体" w:cs="宋体"/>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widowControl w:val="0"/>
        <w:spacing w:line="288" w:lineRule="auto"/>
        <w:ind w:firstLine="422" w:firstLineChars="201"/>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3"/>
        <w:snapToGrid w:val="0"/>
        <w:spacing w:line="288" w:lineRule="auto"/>
        <w:ind w:firstLine="422" w:firstLineChars="201"/>
        <w:rPr>
          <w:rFonts w:hAnsi="宋体" w:cs="宋体"/>
          <w:highlight w:val="none"/>
        </w:rPr>
      </w:pPr>
      <w:r>
        <w:rPr>
          <w:rFonts w:hint="eastAsia" w:hAnsi="宋体" w:cs="宋体"/>
          <w:highlight w:val="none"/>
        </w:rPr>
        <w:t>4.3.2.2对采购过程提出质疑的，质疑期限为各采购程序环节结束之日起计算。4.3.2.3对采购结果提出质疑的，质疑期限自采购结果公告期限届满之日起计算。</w:t>
      </w:r>
    </w:p>
    <w:p>
      <w:pPr>
        <w:pStyle w:val="33"/>
        <w:snapToGrid w:val="0"/>
        <w:spacing w:line="288" w:lineRule="auto"/>
        <w:ind w:firstLine="422" w:firstLineChars="201"/>
        <w:rPr>
          <w:rFonts w:hAnsi="宋体" w:cs="宋体"/>
          <w:kern w:val="0"/>
          <w:highlight w:val="none"/>
          <w:lang w:val="zh-CN"/>
        </w:rPr>
      </w:pPr>
      <w:r>
        <w:rPr>
          <w:rFonts w:hint="eastAsia" w:hAnsi="宋体" w:cs="宋体"/>
          <w:kern w:val="0"/>
          <w:highlight w:val="none"/>
          <w:lang w:val="zh-CN"/>
        </w:rPr>
        <w:t>4.3.3</w:t>
      </w:r>
      <w:r>
        <w:rPr>
          <w:rFonts w:hint="eastAsia" w:hAnsi="宋体" w:cs="宋体"/>
          <w:highlight w:val="none"/>
        </w:rPr>
        <w:t>供应商提出质疑应当提交质疑函和必要的证明材料。质疑函应当包括下列内容：</w:t>
      </w:r>
    </w:p>
    <w:p>
      <w:pPr>
        <w:pStyle w:val="33"/>
        <w:snapToGrid w:val="0"/>
        <w:spacing w:line="288" w:lineRule="auto"/>
        <w:ind w:firstLine="422" w:firstLineChars="201"/>
        <w:rPr>
          <w:rFonts w:hAnsi="宋体" w:cs="宋体"/>
          <w:kern w:val="0"/>
          <w:highlight w:val="none"/>
          <w:lang w:val="zh-CN"/>
        </w:rPr>
      </w:pPr>
      <w:r>
        <w:rPr>
          <w:rFonts w:hint="eastAsia" w:hAnsi="宋体" w:cs="宋体"/>
          <w:kern w:val="0"/>
          <w:highlight w:val="none"/>
          <w:lang w:val="zh-CN"/>
        </w:rPr>
        <w:t>4.3.3.1供应商的姓名或者名称、地址、邮编、联系人及联系电话；</w:t>
      </w:r>
    </w:p>
    <w:p>
      <w:pPr>
        <w:pStyle w:val="33"/>
        <w:snapToGrid w:val="0"/>
        <w:spacing w:line="288" w:lineRule="auto"/>
        <w:ind w:firstLine="422" w:firstLineChars="201"/>
        <w:rPr>
          <w:rFonts w:hAnsi="宋体" w:cs="宋体"/>
          <w:kern w:val="0"/>
          <w:highlight w:val="none"/>
          <w:lang w:val="zh-CN"/>
        </w:rPr>
      </w:pPr>
      <w:r>
        <w:rPr>
          <w:rFonts w:hint="eastAsia" w:hAnsi="宋体" w:cs="宋体"/>
          <w:kern w:val="0"/>
          <w:highlight w:val="none"/>
          <w:lang w:val="zh-CN"/>
        </w:rPr>
        <w:t>4.3.3.2质疑项目的名称、编号；</w:t>
      </w:r>
    </w:p>
    <w:p>
      <w:pPr>
        <w:pStyle w:val="33"/>
        <w:snapToGrid w:val="0"/>
        <w:spacing w:line="288" w:lineRule="auto"/>
        <w:ind w:firstLine="422" w:firstLineChars="201"/>
        <w:rPr>
          <w:rFonts w:hAnsi="宋体" w:cs="宋体"/>
          <w:kern w:val="0"/>
          <w:highlight w:val="none"/>
          <w:lang w:val="zh-CN"/>
        </w:rPr>
      </w:pPr>
      <w:r>
        <w:rPr>
          <w:rFonts w:hint="eastAsia" w:hAnsi="宋体" w:cs="宋体"/>
          <w:kern w:val="0"/>
          <w:highlight w:val="none"/>
          <w:lang w:val="zh-CN"/>
        </w:rPr>
        <w:t>4.3.3.3具体、明确的质疑事项和与质疑事项相关的请求；</w:t>
      </w:r>
    </w:p>
    <w:p>
      <w:pPr>
        <w:pStyle w:val="33"/>
        <w:snapToGrid w:val="0"/>
        <w:spacing w:line="288" w:lineRule="auto"/>
        <w:ind w:firstLine="422" w:firstLineChars="201"/>
        <w:rPr>
          <w:rFonts w:hAnsi="宋体" w:cs="宋体"/>
          <w:kern w:val="0"/>
          <w:highlight w:val="none"/>
          <w:lang w:val="zh-CN"/>
        </w:rPr>
      </w:pPr>
      <w:r>
        <w:rPr>
          <w:rFonts w:hint="eastAsia" w:hAnsi="宋体" w:cs="宋体"/>
          <w:kern w:val="0"/>
          <w:highlight w:val="none"/>
          <w:lang w:val="zh-CN"/>
        </w:rPr>
        <w:t>4.3.3.4事实依据；</w:t>
      </w:r>
    </w:p>
    <w:p>
      <w:pPr>
        <w:pStyle w:val="33"/>
        <w:snapToGrid w:val="0"/>
        <w:spacing w:line="288" w:lineRule="auto"/>
        <w:ind w:firstLine="422" w:firstLineChars="201"/>
        <w:rPr>
          <w:rFonts w:hAnsi="宋体" w:cs="宋体"/>
          <w:kern w:val="0"/>
          <w:highlight w:val="none"/>
          <w:lang w:val="zh-CN"/>
        </w:rPr>
      </w:pPr>
      <w:r>
        <w:rPr>
          <w:rFonts w:hint="eastAsia" w:hAnsi="宋体" w:cs="宋体"/>
          <w:kern w:val="0"/>
          <w:highlight w:val="none"/>
          <w:lang w:val="zh-CN"/>
        </w:rPr>
        <w:t>4.3.3.5必要的法律依据；</w:t>
      </w:r>
    </w:p>
    <w:p>
      <w:pPr>
        <w:pStyle w:val="33"/>
        <w:snapToGrid w:val="0"/>
        <w:spacing w:line="288" w:lineRule="auto"/>
        <w:ind w:firstLine="422" w:firstLineChars="201"/>
        <w:rPr>
          <w:rFonts w:hAnsi="宋体" w:cs="宋体"/>
          <w:kern w:val="0"/>
          <w:highlight w:val="none"/>
          <w:lang w:val="zh-CN"/>
        </w:rPr>
      </w:pPr>
      <w:r>
        <w:rPr>
          <w:rFonts w:hint="eastAsia" w:hAnsi="宋体" w:cs="宋体"/>
          <w:kern w:val="0"/>
          <w:highlight w:val="none"/>
          <w:lang w:val="zh-CN"/>
        </w:rPr>
        <w:t>4.3.3.6提出质疑的日期。</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质疑函范本及制作说明详见附件2。</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4.3.4对同一采购程序环节的质疑，供应商须在法定质疑期内一次性提出。</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lang w:val="zh-CN"/>
        </w:rPr>
        <w:t>4.3</w:t>
      </w:r>
      <w:r>
        <w:rPr>
          <w:rFonts w:hint="eastAsia"/>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lang w:val="zh-CN"/>
        </w:rPr>
        <w:t>4.3</w:t>
      </w:r>
      <w:r>
        <w:rPr>
          <w:rFonts w:hint="eastAsia"/>
          <w:sz w:val="21"/>
          <w:szCs w:val="21"/>
          <w:highlight w:val="none"/>
        </w:rPr>
        <w:t>.6询问或者质疑事项可能影响采购结果的，采购人应当暂停签订合同，已经签订合同的，应当中止履行合同。</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lang w:val="zh-CN"/>
        </w:rPr>
      </w:pPr>
      <w:r>
        <w:rPr>
          <w:rFonts w:hint="eastAsia"/>
          <w:sz w:val="21"/>
          <w:szCs w:val="21"/>
          <w:highlight w:val="none"/>
          <w:lang w:val="zh-CN"/>
        </w:rPr>
        <w:t>4.4供应商投诉</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4.4.</w:t>
      </w:r>
      <w:r>
        <w:rPr>
          <w:rFonts w:hint="eastAsia"/>
          <w:sz w:val="21"/>
          <w:szCs w:val="21"/>
          <w:highlight w:val="none"/>
          <w:lang w:val="zh-CN"/>
        </w:rPr>
        <w:t>2</w:t>
      </w:r>
      <w:r>
        <w:rPr>
          <w:rFonts w:hint="eastAsia"/>
          <w:sz w:val="21"/>
          <w:szCs w:val="21"/>
          <w:highlight w:val="none"/>
        </w:rPr>
        <w:t>供应商投诉的事项不得超出已质疑事项的范围，基于质疑答复内容提出的投诉事项除外。</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4.4.3供应商投诉应当有明确的请求和必要的证明材料。</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4.4.4以联合体形式参加政府采购活动的，其投诉应当由组成联合体的所有供应商共同提出。</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widowControl w:val="0"/>
        <w:shd w:val="clear" w:color="auto" w:fill="FFFFFF"/>
        <w:adjustRightInd w:val="0"/>
        <w:snapToGrid w:val="0"/>
        <w:spacing w:before="0" w:beforeAutospacing="0" w:after="0" w:afterAutospacing="0" w:line="288" w:lineRule="auto"/>
        <w:ind w:firstLine="422" w:firstLineChars="201"/>
        <w:rPr>
          <w:sz w:val="21"/>
          <w:szCs w:val="21"/>
          <w:highlight w:val="none"/>
        </w:rPr>
      </w:pPr>
      <w:r>
        <w:rPr>
          <w:rFonts w:hint="eastAsia"/>
          <w:sz w:val="21"/>
          <w:szCs w:val="21"/>
          <w:highlight w:val="none"/>
        </w:rPr>
        <w:t>投诉书范本及制作说明详见附件3。</w:t>
      </w:r>
    </w:p>
    <w:p>
      <w:pPr>
        <w:pStyle w:val="128"/>
        <w:snapToGrid w:val="0"/>
        <w:spacing w:before="0" w:line="288" w:lineRule="auto"/>
        <w:ind w:firstLine="422" w:firstLineChars="201"/>
        <w:rPr>
          <w:rFonts w:ascii="宋体" w:hAnsi="宋体" w:cs="宋体"/>
          <w:sz w:val="21"/>
          <w:szCs w:val="21"/>
          <w:highlight w:val="none"/>
        </w:rPr>
      </w:pPr>
    </w:p>
    <w:p>
      <w:pPr>
        <w:snapToGrid w:val="0"/>
        <w:spacing w:line="288" w:lineRule="auto"/>
        <w:ind w:firstLine="424" w:firstLineChars="201"/>
        <w:jc w:val="center"/>
        <w:outlineLvl w:val="1"/>
        <w:rPr>
          <w:rFonts w:ascii="宋体" w:hAnsi="宋体" w:cs="宋体"/>
          <w:b/>
          <w:szCs w:val="21"/>
          <w:highlight w:val="none"/>
        </w:rPr>
      </w:pPr>
      <w:r>
        <w:rPr>
          <w:rFonts w:hint="eastAsia" w:ascii="宋体" w:hAnsi="宋体" w:cs="宋体"/>
          <w:b/>
          <w:szCs w:val="21"/>
          <w:highlight w:val="none"/>
        </w:rPr>
        <w:t>二、招标文件的构成、澄清、修改</w:t>
      </w:r>
    </w:p>
    <w:p>
      <w:pPr>
        <w:pStyle w:val="33"/>
        <w:snapToGrid w:val="0"/>
        <w:spacing w:line="288" w:lineRule="auto"/>
        <w:ind w:firstLine="424" w:firstLineChars="201"/>
        <w:rPr>
          <w:rFonts w:hAnsi="宋体" w:cs="宋体"/>
          <w:b/>
          <w:highlight w:val="none"/>
        </w:rPr>
      </w:pPr>
      <w:r>
        <w:rPr>
          <w:rFonts w:hint="eastAsia" w:hAnsi="宋体" w:cs="宋体"/>
          <w:b/>
          <w:highlight w:val="none"/>
        </w:rPr>
        <w:t>5．招标文件的构成</w:t>
      </w:r>
    </w:p>
    <w:p>
      <w:pPr>
        <w:pStyle w:val="33"/>
        <w:snapToGrid w:val="0"/>
        <w:spacing w:line="288" w:lineRule="auto"/>
        <w:ind w:firstLine="422" w:firstLineChars="201"/>
        <w:rPr>
          <w:rFonts w:hAnsi="宋体" w:cs="宋体"/>
          <w:highlight w:val="none"/>
        </w:rPr>
      </w:pPr>
      <w:r>
        <w:rPr>
          <w:rFonts w:hint="eastAsia" w:hAnsi="宋体" w:cs="宋体"/>
          <w:highlight w:val="none"/>
        </w:rPr>
        <w:t>5.1 招标文件包括下列文件及附件：</w:t>
      </w:r>
    </w:p>
    <w:p>
      <w:pPr>
        <w:pStyle w:val="33"/>
        <w:tabs>
          <w:tab w:val="left" w:pos="840"/>
        </w:tabs>
        <w:snapToGrid w:val="0"/>
        <w:spacing w:line="288" w:lineRule="auto"/>
        <w:ind w:firstLine="422" w:firstLineChars="201"/>
        <w:rPr>
          <w:rFonts w:hAnsi="宋体" w:cs="宋体"/>
          <w:highlight w:val="none"/>
        </w:rPr>
      </w:pPr>
      <w:r>
        <w:rPr>
          <w:rFonts w:hint="eastAsia" w:hAnsi="宋体" w:cs="宋体"/>
          <w:highlight w:val="none"/>
        </w:rPr>
        <w:t>5.1.1招标公告；</w:t>
      </w:r>
    </w:p>
    <w:p>
      <w:pPr>
        <w:pStyle w:val="33"/>
        <w:tabs>
          <w:tab w:val="left" w:pos="840"/>
        </w:tabs>
        <w:snapToGrid w:val="0"/>
        <w:spacing w:line="288" w:lineRule="auto"/>
        <w:ind w:firstLine="422" w:firstLineChars="201"/>
        <w:rPr>
          <w:rFonts w:hAnsi="宋体" w:cs="宋体"/>
          <w:highlight w:val="none"/>
        </w:rPr>
      </w:pPr>
      <w:r>
        <w:rPr>
          <w:rFonts w:hint="eastAsia" w:hAnsi="宋体" w:cs="宋体"/>
          <w:highlight w:val="none"/>
        </w:rPr>
        <w:t>5.1.2投标人须知；</w:t>
      </w:r>
    </w:p>
    <w:p>
      <w:pPr>
        <w:pStyle w:val="33"/>
        <w:tabs>
          <w:tab w:val="left" w:pos="840"/>
        </w:tabs>
        <w:snapToGrid w:val="0"/>
        <w:spacing w:line="288" w:lineRule="auto"/>
        <w:ind w:firstLine="422" w:firstLineChars="201"/>
        <w:rPr>
          <w:rFonts w:hAnsi="宋体" w:cs="宋体"/>
          <w:highlight w:val="none"/>
        </w:rPr>
      </w:pPr>
      <w:r>
        <w:rPr>
          <w:rFonts w:hint="eastAsia" w:hAnsi="宋体" w:cs="宋体"/>
          <w:highlight w:val="none"/>
        </w:rPr>
        <w:t>5.1.3采购需求；</w:t>
      </w:r>
    </w:p>
    <w:p>
      <w:pPr>
        <w:pStyle w:val="33"/>
        <w:tabs>
          <w:tab w:val="left" w:pos="840"/>
        </w:tabs>
        <w:snapToGrid w:val="0"/>
        <w:spacing w:line="288" w:lineRule="auto"/>
        <w:ind w:firstLine="422" w:firstLineChars="201"/>
        <w:rPr>
          <w:rFonts w:hAnsi="宋体" w:cs="宋体"/>
          <w:highlight w:val="none"/>
        </w:rPr>
      </w:pPr>
      <w:r>
        <w:rPr>
          <w:rFonts w:hint="eastAsia" w:hAnsi="宋体" w:cs="宋体"/>
          <w:highlight w:val="none"/>
        </w:rPr>
        <w:t>5.1.4评标办法；</w:t>
      </w:r>
    </w:p>
    <w:p>
      <w:pPr>
        <w:pStyle w:val="33"/>
        <w:tabs>
          <w:tab w:val="left" w:pos="840"/>
        </w:tabs>
        <w:snapToGrid w:val="0"/>
        <w:spacing w:line="288" w:lineRule="auto"/>
        <w:ind w:firstLine="422" w:firstLineChars="201"/>
        <w:rPr>
          <w:rFonts w:hAnsi="宋体" w:cs="宋体"/>
          <w:highlight w:val="none"/>
        </w:rPr>
      </w:pPr>
      <w:r>
        <w:rPr>
          <w:rFonts w:hint="eastAsia" w:hAnsi="宋体" w:cs="宋体"/>
          <w:highlight w:val="none"/>
        </w:rPr>
        <w:t>5.1.5拟签订的合同文本；</w:t>
      </w:r>
    </w:p>
    <w:p>
      <w:pPr>
        <w:pStyle w:val="33"/>
        <w:tabs>
          <w:tab w:val="left" w:pos="840"/>
        </w:tabs>
        <w:snapToGrid w:val="0"/>
        <w:spacing w:line="288" w:lineRule="auto"/>
        <w:ind w:firstLine="422" w:firstLineChars="201"/>
        <w:rPr>
          <w:rFonts w:hAnsi="宋体" w:cs="宋体"/>
          <w:highlight w:val="none"/>
        </w:rPr>
      </w:pPr>
      <w:r>
        <w:rPr>
          <w:rFonts w:hint="eastAsia" w:hAnsi="宋体" w:cs="宋体"/>
          <w:highlight w:val="none"/>
        </w:rPr>
        <w:t>5.1.6应提交的有关格式范例。</w:t>
      </w:r>
    </w:p>
    <w:p>
      <w:pPr>
        <w:snapToGrid w:val="0"/>
        <w:spacing w:line="288" w:lineRule="auto"/>
        <w:ind w:firstLine="422" w:firstLineChars="201"/>
        <w:rPr>
          <w:rFonts w:ascii="宋体" w:hAnsi="宋体" w:cs="宋体"/>
          <w:szCs w:val="21"/>
          <w:highlight w:val="none"/>
        </w:rPr>
      </w:pPr>
      <w:r>
        <w:rPr>
          <w:rFonts w:hint="eastAsia" w:ascii="宋体" w:hAnsi="宋体" w:cs="宋体"/>
          <w:szCs w:val="21"/>
          <w:highlight w:val="none"/>
        </w:rPr>
        <w:t>5.2与本项目有关的</w:t>
      </w:r>
      <w:r>
        <w:rPr>
          <w:rFonts w:hint="eastAsia" w:ascii="宋体" w:hAnsi="宋体" w:cs="宋体"/>
          <w:bCs/>
          <w:szCs w:val="21"/>
          <w:highlight w:val="none"/>
        </w:rPr>
        <w:t>澄清或者修改的内容为招标文件的组成部分</w:t>
      </w:r>
      <w:r>
        <w:rPr>
          <w:rFonts w:hint="eastAsia" w:ascii="宋体" w:hAnsi="宋体" w:cs="宋体"/>
          <w:szCs w:val="21"/>
          <w:highlight w:val="none"/>
        </w:rPr>
        <w:t>。</w:t>
      </w:r>
    </w:p>
    <w:p>
      <w:pPr>
        <w:pStyle w:val="33"/>
        <w:snapToGrid w:val="0"/>
        <w:spacing w:line="288" w:lineRule="auto"/>
        <w:ind w:firstLine="424" w:firstLineChars="201"/>
        <w:rPr>
          <w:rFonts w:hAnsi="宋体" w:cs="宋体"/>
          <w:b/>
          <w:highlight w:val="none"/>
        </w:rPr>
      </w:pPr>
      <w:r>
        <w:rPr>
          <w:rFonts w:hint="eastAsia" w:hAnsi="宋体" w:cs="宋体"/>
          <w:b/>
          <w:highlight w:val="none"/>
        </w:rPr>
        <w:t>6. 招标文件的澄清、修改</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6.1已获取招标文件的潜在投标人，若有问题需要澄清，应于投标截止时间前，以书面形式向采购代理机构提出。</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snapToGrid w:val="0"/>
        <w:spacing w:line="288" w:lineRule="auto"/>
        <w:ind w:firstLine="422" w:firstLineChars="201"/>
        <w:rPr>
          <w:rFonts w:hAnsi="宋体" w:cs="宋体"/>
          <w:sz w:val="21"/>
          <w:highlight w:val="none"/>
          <w:lang w:val="en-US"/>
        </w:rPr>
      </w:pPr>
    </w:p>
    <w:p>
      <w:pPr>
        <w:snapToGrid w:val="0"/>
        <w:spacing w:line="288" w:lineRule="auto"/>
        <w:ind w:firstLine="424" w:firstLineChars="201"/>
        <w:jc w:val="center"/>
        <w:outlineLvl w:val="1"/>
        <w:rPr>
          <w:rFonts w:ascii="宋体" w:hAnsi="宋体" w:cs="宋体"/>
          <w:b/>
          <w:szCs w:val="21"/>
          <w:highlight w:val="none"/>
        </w:rPr>
      </w:pPr>
      <w:r>
        <w:rPr>
          <w:rFonts w:hint="eastAsia" w:ascii="宋体" w:hAnsi="宋体" w:cs="宋体"/>
          <w:b/>
          <w:szCs w:val="21"/>
          <w:highlight w:val="none"/>
        </w:rPr>
        <w:t>三、投标</w:t>
      </w:r>
    </w:p>
    <w:p>
      <w:pPr>
        <w:pStyle w:val="33"/>
        <w:snapToGrid w:val="0"/>
        <w:spacing w:line="288" w:lineRule="auto"/>
        <w:ind w:firstLine="424" w:firstLineChars="201"/>
        <w:rPr>
          <w:rFonts w:hAnsi="宋体" w:cs="宋体"/>
          <w:b/>
          <w:highlight w:val="none"/>
        </w:rPr>
      </w:pPr>
      <w:r>
        <w:rPr>
          <w:rFonts w:hint="eastAsia" w:hAnsi="宋体" w:cs="宋体"/>
          <w:b/>
          <w:highlight w:val="none"/>
        </w:rPr>
        <w:t>7. 招标文件的获取</w:t>
      </w:r>
    </w:p>
    <w:p>
      <w:pPr>
        <w:snapToGrid w:val="0"/>
        <w:spacing w:line="288" w:lineRule="auto"/>
        <w:ind w:firstLine="422" w:firstLineChars="201"/>
        <w:rPr>
          <w:rFonts w:ascii="宋体" w:hAnsi="宋体" w:cs="宋体"/>
          <w:snapToGrid w:val="0"/>
          <w:kern w:val="28"/>
          <w:szCs w:val="21"/>
          <w:highlight w:val="none"/>
        </w:rPr>
      </w:pPr>
      <w:r>
        <w:rPr>
          <w:rFonts w:hint="eastAsia" w:ascii="宋体" w:hAnsi="宋体" w:cs="宋体"/>
          <w:snapToGrid w:val="0"/>
          <w:kern w:val="28"/>
          <w:szCs w:val="21"/>
          <w:highlight w:val="none"/>
        </w:rPr>
        <w:t>详见招标公告中获取招标文件的时间期限、地点、方式及招标文件售价。</w:t>
      </w:r>
    </w:p>
    <w:p>
      <w:pPr>
        <w:pStyle w:val="33"/>
        <w:snapToGrid w:val="0"/>
        <w:spacing w:line="288" w:lineRule="auto"/>
        <w:ind w:firstLine="424" w:firstLineChars="201"/>
        <w:rPr>
          <w:rFonts w:hAnsi="宋体" w:cs="宋体"/>
          <w:b/>
          <w:highlight w:val="none"/>
        </w:rPr>
      </w:pPr>
      <w:r>
        <w:rPr>
          <w:rFonts w:hint="eastAsia" w:hAnsi="宋体" w:cs="宋体"/>
          <w:b/>
          <w:highlight w:val="none"/>
        </w:rPr>
        <w:t>8.开标前答疑会或现场考察</w:t>
      </w:r>
    </w:p>
    <w:p>
      <w:pPr>
        <w:pStyle w:val="33"/>
        <w:snapToGrid w:val="0"/>
        <w:spacing w:line="288" w:lineRule="auto"/>
        <w:ind w:firstLine="422" w:firstLineChars="201"/>
        <w:rPr>
          <w:rFonts w:hAnsi="宋体" w:cs="宋体"/>
          <w:highlight w:val="none"/>
        </w:rPr>
      </w:pPr>
      <w:r>
        <w:rPr>
          <w:rFonts w:hint="eastAsia" w:hAnsi="宋体" w:cs="宋体"/>
          <w:highlight w:val="none"/>
        </w:rPr>
        <w:t>采购人组织潜在投标人现场考察或者召开开标前答疑会的，潜在投标人按第二部分投标人须知前附表的规定参加现场考察或者开标前答疑会。</w:t>
      </w:r>
    </w:p>
    <w:p>
      <w:pPr>
        <w:pStyle w:val="33"/>
        <w:snapToGrid w:val="0"/>
        <w:spacing w:line="288" w:lineRule="auto"/>
        <w:ind w:firstLine="424" w:firstLineChars="201"/>
        <w:rPr>
          <w:rFonts w:hAnsi="宋体" w:cs="宋体"/>
          <w:b/>
          <w:highlight w:val="none"/>
        </w:rPr>
      </w:pPr>
      <w:r>
        <w:rPr>
          <w:rFonts w:hint="eastAsia" w:hAnsi="宋体" w:cs="宋体"/>
          <w:b/>
          <w:kern w:val="28"/>
          <w:highlight w:val="none"/>
        </w:rPr>
        <w:t>9.投标保证金</w:t>
      </w:r>
    </w:p>
    <w:p>
      <w:pPr>
        <w:pStyle w:val="7"/>
        <w:widowControl w:val="0"/>
        <w:spacing w:line="288" w:lineRule="auto"/>
        <w:ind w:firstLine="422" w:firstLineChars="201"/>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3"/>
        <w:snapToGrid w:val="0"/>
        <w:spacing w:line="288" w:lineRule="auto"/>
        <w:ind w:firstLine="424" w:firstLineChars="201"/>
        <w:rPr>
          <w:rFonts w:hAnsi="宋体" w:cs="宋体"/>
          <w:b/>
          <w:highlight w:val="none"/>
        </w:rPr>
      </w:pPr>
      <w:r>
        <w:rPr>
          <w:rFonts w:hint="eastAsia" w:hAnsi="宋体" w:cs="宋体"/>
          <w:b/>
          <w:highlight w:val="none"/>
        </w:rPr>
        <w:t>10. 投标文件的语言</w:t>
      </w:r>
    </w:p>
    <w:p>
      <w:pPr>
        <w:autoSpaceDE w:val="0"/>
        <w:autoSpaceDN w:val="0"/>
        <w:snapToGrid w:val="0"/>
        <w:spacing w:line="288" w:lineRule="auto"/>
        <w:ind w:firstLine="422" w:firstLineChars="201"/>
        <w:rPr>
          <w:rFonts w:ascii="宋体" w:hAnsi="宋体" w:cs="宋体"/>
          <w:szCs w:val="21"/>
          <w:highlight w:val="none"/>
          <w:lang w:val="zh-CN"/>
        </w:rPr>
      </w:pPr>
      <w:r>
        <w:rPr>
          <w:rFonts w:hint="eastAsia" w:ascii="宋体" w:hAnsi="宋体" w:cs="宋体"/>
          <w:szCs w:val="21"/>
          <w:highlight w:val="none"/>
        </w:rPr>
        <w:t>投标文件及投标人与采购有关的来往通知、函件和文件均应使用中文。</w:t>
      </w:r>
    </w:p>
    <w:p>
      <w:pPr>
        <w:pStyle w:val="33"/>
        <w:snapToGrid w:val="0"/>
        <w:spacing w:line="288" w:lineRule="auto"/>
        <w:ind w:firstLine="424" w:firstLineChars="201"/>
        <w:rPr>
          <w:rFonts w:hAnsi="宋体" w:cs="宋体"/>
          <w:b/>
          <w:highlight w:val="none"/>
        </w:rPr>
      </w:pPr>
      <w:r>
        <w:rPr>
          <w:rFonts w:hint="eastAsia" w:hAnsi="宋体" w:cs="宋体"/>
          <w:b/>
          <w:highlight w:val="none"/>
        </w:rPr>
        <w:t>11. 投标文件的组成</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szCs w:val="21"/>
          <w:highlight w:val="none"/>
        </w:rPr>
        <w:t>11.1</w:t>
      </w:r>
      <w:r>
        <w:rPr>
          <w:rFonts w:hint="eastAsia" w:ascii="宋体" w:hAnsi="宋体" w:cs="宋体"/>
          <w:b/>
          <w:szCs w:val="21"/>
          <w:highlight w:val="none"/>
        </w:rPr>
        <w:t>资</w:t>
      </w:r>
      <w:r>
        <w:rPr>
          <w:rFonts w:hint="eastAsia" w:ascii="宋体" w:hAnsi="宋体" w:cs="宋体"/>
          <w:b/>
          <w:color w:val="auto"/>
          <w:szCs w:val="21"/>
          <w:highlight w:val="none"/>
        </w:rPr>
        <w:t>格文件</w:t>
      </w:r>
      <w:r>
        <w:rPr>
          <w:rFonts w:hint="eastAsia" w:ascii="宋体" w:hAnsi="宋体" w:cs="宋体"/>
          <w:color w:val="auto"/>
          <w:szCs w:val="21"/>
          <w:highlight w:val="none"/>
        </w:rPr>
        <w:t>：</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r>
        <w:rPr>
          <w:rFonts w:hint="eastAsia" w:ascii="宋体" w:hAnsi="宋体" w:cs="宋体"/>
          <w:snapToGrid w:val="0"/>
          <w:color w:val="auto"/>
          <w:kern w:val="28"/>
          <w:szCs w:val="21"/>
          <w:highlight w:val="none"/>
        </w:rPr>
        <w:t>联合协议（如果有)；</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w:t>
      </w:r>
      <w:r>
        <w:rPr>
          <w:rFonts w:hint="eastAsia" w:ascii="宋体" w:hAnsi="宋体" w:cs="宋体"/>
          <w:snapToGrid w:val="0"/>
          <w:color w:val="auto"/>
          <w:kern w:val="28"/>
          <w:szCs w:val="21"/>
          <w:highlight w:val="none"/>
          <w:lang w:eastAsia="zh-CN"/>
        </w:rPr>
        <w:t>：</w:t>
      </w:r>
      <w:r>
        <w:rPr>
          <w:rFonts w:hint="eastAsia" w:ascii="宋体" w:hAnsi="宋体" w:cs="宋体"/>
          <w:color w:val="auto"/>
          <w:szCs w:val="21"/>
          <w:highlight w:val="none"/>
        </w:rPr>
        <w:t>中小企业声明函；</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4</w:t>
      </w:r>
      <w:r>
        <w:rPr>
          <w:rFonts w:hint="eastAsia" w:ascii="宋体" w:hAnsi="宋体" w:cs="宋体"/>
          <w:color w:val="auto"/>
          <w:szCs w:val="21"/>
          <w:highlight w:val="none"/>
        </w:rPr>
        <w:t>本项目的特定资格要求</w:t>
      </w:r>
      <w:r>
        <w:rPr>
          <w:rFonts w:hint="eastAsia" w:ascii="宋体" w:hAnsi="宋体" w:cs="宋体"/>
          <w:snapToGrid w:val="0"/>
          <w:color w:val="auto"/>
          <w:kern w:val="28"/>
          <w:szCs w:val="21"/>
          <w:highlight w:val="none"/>
        </w:rPr>
        <w:t>（</w:t>
      </w:r>
      <w:r>
        <w:rPr>
          <w:rFonts w:hint="eastAsia" w:ascii="宋体" w:hAnsi="宋体" w:cs="宋体"/>
          <w:snapToGrid w:val="0"/>
          <w:color w:val="auto"/>
          <w:kern w:val="28"/>
          <w:szCs w:val="21"/>
          <w:highlight w:val="none"/>
          <w:lang w:val="en-US" w:eastAsia="zh-CN"/>
        </w:rPr>
        <w:t>无</w:t>
      </w:r>
      <w:r>
        <w:rPr>
          <w:rFonts w:hint="eastAsia" w:ascii="宋体" w:hAnsi="宋体" w:cs="宋体"/>
          <w:snapToGrid w:val="0"/>
          <w:color w:val="auto"/>
          <w:kern w:val="28"/>
          <w:szCs w:val="21"/>
          <w:highlight w:val="none"/>
        </w:rPr>
        <w:t>)</w:t>
      </w:r>
      <w:r>
        <w:rPr>
          <w:rFonts w:hint="eastAsia" w:ascii="宋体" w:hAnsi="宋体" w:cs="宋体"/>
          <w:color w:val="auto"/>
          <w:szCs w:val="21"/>
          <w:highlight w:val="none"/>
        </w:rPr>
        <w:t>。</w:t>
      </w:r>
    </w:p>
    <w:p>
      <w:pPr>
        <w:snapToGrid w:val="0"/>
        <w:spacing w:line="288" w:lineRule="auto"/>
        <w:ind w:firstLine="422" w:firstLineChars="201"/>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4</w:t>
      </w:r>
      <w:r>
        <w:rPr>
          <w:rFonts w:hint="eastAsia" w:ascii="宋体" w:hAnsi="宋体" w:cs="宋体"/>
          <w:color w:val="auto"/>
          <w:szCs w:val="21"/>
          <w:highlight w:val="none"/>
        </w:rPr>
        <w:t>符合性审查资料；</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6</w:t>
      </w:r>
      <w:r>
        <w:rPr>
          <w:rFonts w:hint="eastAsia" w:ascii="宋体" w:hAnsi="宋体" w:cs="宋体"/>
          <w:color w:val="auto"/>
          <w:szCs w:val="21"/>
          <w:highlight w:val="none"/>
        </w:rPr>
        <w:t>投标标的清单；</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7</w:t>
      </w:r>
      <w:r>
        <w:rPr>
          <w:rFonts w:hint="eastAsia" w:ascii="宋体" w:hAnsi="宋体" w:cs="宋体"/>
          <w:color w:val="auto"/>
          <w:szCs w:val="21"/>
          <w:highlight w:val="none"/>
        </w:rPr>
        <w:t>商务技术偏离表；</w:t>
      </w:r>
    </w:p>
    <w:p>
      <w:pPr>
        <w:snapToGrid w:val="0"/>
        <w:spacing w:line="288" w:lineRule="auto"/>
        <w:ind w:firstLine="422" w:firstLineChars="201"/>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pPr>
        <w:snapToGrid w:val="0"/>
        <w:spacing w:line="288" w:lineRule="auto"/>
        <w:ind w:firstLine="422" w:firstLineChars="201"/>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11.3.1开标一览表（报价表）；</w:t>
      </w:r>
    </w:p>
    <w:p>
      <w:pPr>
        <w:snapToGrid w:val="0"/>
        <w:spacing w:line="288" w:lineRule="auto"/>
        <w:ind w:firstLine="422" w:firstLineChars="201"/>
        <w:rPr>
          <w:rFonts w:hint="eastAsia" w:ascii="宋体" w:hAnsi="宋体" w:eastAsia="宋体" w:cs="宋体"/>
          <w:color w:val="auto"/>
          <w:szCs w:val="21"/>
          <w:highlight w:val="none"/>
          <w:lang w:eastAsia="zh-CN"/>
        </w:rPr>
      </w:pPr>
      <w:r>
        <w:rPr>
          <w:rFonts w:hint="eastAsia" w:ascii="宋体" w:hAnsi="宋体" w:cs="宋体"/>
          <w:szCs w:val="21"/>
          <w:highlight w:val="none"/>
        </w:rPr>
        <w:t>11.3.</w:t>
      </w:r>
      <w:r>
        <w:rPr>
          <w:rFonts w:hint="eastAsia" w:ascii="宋体" w:hAnsi="宋体" w:cs="宋体"/>
          <w:szCs w:val="21"/>
          <w:highlight w:val="none"/>
          <w:lang w:val="en-US" w:eastAsia="zh-CN"/>
        </w:rPr>
        <w:t>2</w:t>
      </w:r>
      <w:r>
        <w:rPr>
          <w:rFonts w:hint="eastAsia" w:ascii="宋体" w:hAnsi="宋体" w:cs="宋体"/>
          <w:szCs w:val="21"/>
          <w:highlight w:val="none"/>
        </w:rPr>
        <w:t xml:space="preserve"> 报价情况说明（如供应商报价低于项目预算50%的，应当提交本文档，详细阐述不影响产品质量或者诚信履约的具体原因）</w:t>
      </w:r>
      <w:r>
        <w:rPr>
          <w:rFonts w:hint="eastAsia" w:ascii="宋体" w:hAnsi="宋体" w:cs="宋体"/>
          <w:szCs w:val="21"/>
          <w:highlight w:val="none"/>
          <w:lang w:eastAsia="zh-CN"/>
        </w:rPr>
        <w:t>。</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pPr>
        <w:snapToGrid w:val="0"/>
        <w:spacing w:line="288"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12. 投标文件的编制</w:t>
      </w:r>
    </w:p>
    <w:p>
      <w:pPr>
        <w:snapToGrid w:val="0"/>
        <w:spacing w:line="288" w:lineRule="auto"/>
        <w:ind w:firstLine="422" w:firstLineChars="201"/>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288" w:lineRule="auto"/>
        <w:ind w:firstLine="422" w:firstLineChars="201"/>
        <w:rPr>
          <w:rFonts w:ascii="宋体" w:hAnsi="宋体" w:cs="宋体"/>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w:t>
      </w:r>
      <w:r>
        <w:rPr>
          <w:rFonts w:hint="eastAsia" w:ascii="宋体" w:hAnsi="宋体" w:cs="宋体"/>
          <w:kern w:val="0"/>
          <w:szCs w:val="21"/>
          <w:highlight w:val="none"/>
          <w:lang w:val="zh-CN"/>
        </w:rPr>
        <w:t>台将拒收并提示。</w:t>
      </w:r>
    </w:p>
    <w:p>
      <w:pPr>
        <w:snapToGrid w:val="0"/>
        <w:spacing w:line="288" w:lineRule="auto"/>
        <w:ind w:firstLine="422" w:firstLineChars="201"/>
        <w:rPr>
          <w:rFonts w:ascii="宋体" w:hAnsi="宋体" w:cs="宋体"/>
          <w:kern w:val="0"/>
          <w:szCs w:val="21"/>
          <w:highlight w:val="none"/>
          <w:lang w:val="zh-CN"/>
        </w:rPr>
      </w:pPr>
      <w:r>
        <w:rPr>
          <w:rFonts w:hint="eastAsia" w:ascii="宋体" w:hAnsi="宋体" w:cs="宋体"/>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288" w:lineRule="auto"/>
        <w:ind w:firstLine="424" w:firstLineChars="201"/>
        <w:rPr>
          <w:rFonts w:ascii="宋体" w:hAnsi="宋体" w:cs="宋体"/>
          <w:b/>
          <w:szCs w:val="21"/>
          <w:highlight w:val="none"/>
        </w:rPr>
      </w:pPr>
      <w:r>
        <w:rPr>
          <w:rFonts w:hint="eastAsia" w:ascii="宋体" w:hAnsi="宋体" w:cs="宋体"/>
          <w:b/>
          <w:szCs w:val="21"/>
          <w:highlight w:val="none"/>
        </w:rPr>
        <w:t>13.投标文件的签署、盖章</w:t>
      </w:r>
    </w:p>
    <w:p>
      <w:pPr>
        <w:pStyle w:val="128"/>
        <w:snapToGrid w:val="0"/>
        <w:spacing w:before="0" w:line="288" w:lineRule="auto"/>
        <w:ind w:firstLine="422" w:firstLineChars="201"/>
        <w:rPr>
          <w:rFonts w:ascii="宋体" w:hAnsi="宋体" w:cs="宋体"/>
          <w:b/>
          <w:sz w:val="21"/>
          <w:szCs w:val="21"/>
          <w:highlight w:val="none"/>
        </w:rPr>
      </w:pPr>
      <w:r>
        <w:rPr>
          <w:rFonts w:hint="eastAsia" w:ascii="宋体" w:hAnsi="宋体" w:cs="宋体"/>
          <w:sz w:val="21"/>
          <w:szCs w:val="21"/>
          <w:highlight w:val="none"/>
        </w:rPr>
        <w:t>13.1投标文件按照招标文件第六部分格式要求进行签署、盖章。</w:t>
      </w:r>
      <w:r>
        <w:rPr>
          <w:rFonts w:hint="eastAsia" w:ascii="宋体" w:hAnsi="宋体" w:cs="宋体"/>
          <w:b/>
          <w:sz w:val="21"/>
          <w:szCs w:val="21"/>
          <w:highlight w:val="none"/>
        </w:rPr>
        <w:t>▲投标人的投标文件未按照招标文件要求签署、盖章的，其投标无效</w:t>
      </w:r>
      <w:r>
        <w:rPr>
          <w:rFonts w:hint="eastAsia" w:ascii="宋体" w:hAnsi="宋体" w:cs="宋体"/>
          <w:sz w:val="21"/>
          <w:szCs w:val="21"/>
          <w:highlight w:val="none"/>
        </w:rPr>
        <w:t>。</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13.3招标文件对投标文件签署、盖章的要求适用于电子签名。</w:t>
      </w:r>
    </w:p>
    <w:p>
      <w:pPr>
        <w:pStyle w:val="128"/>
        <w:snapToGrid w:val="0"/>
        <w:spacing w:before="0" w:line="288" w:lineRule="auto"/>
        <w:ind w:firstLine="424" w:firstLineChars="201"/>
        <w:rPr>
          <w:rFonts w:ascii="宋体" w:hAnsi="宋体" w:cs="宋体"/>
          <w:b/>
          <w:sz w:val="21"/>
          <w:szCs w:val="21"/>
          <w:highlight w:val="none"/>
        </w:rPr>
      </w:pPr>
      <w:r>
        <w:rPr>
          <w:rFonts w:hint="eastAsia" w:ascii="宋体" w:hAnsi="宋体" w:cs="宋体"/>
          <w:b/>
          <w:sz w:val="21"/>
          <w:szCs w:val="21"/>
          <w:highlight w:val="none"/>
        </w:rPr>
        <w:t>14. 投标文件的提交、补充、修改、撤回</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napToGrid w:val="0"/>
        <w:spacing w:line="288" w:lineRule="auto"/>
        <w:ind w:firstLine="424" w:firstLineChars="201"/>
        <w:rPr>
          <w:rFonts w:hAnsi="宋体" w:cs="宋体"/>
          <w:b/>
          <w:highlight w:val="none"/>
        </w:rPr>
      </w:pPr>
      <w:r>
        <w:rPr>
          <w:rFonts w:hint="eastAsia" w:hAnsi="宋体" w:cs="宋体"/>
          <w:b/>
          <w:highlight w:val="none"/>
        </w:rPr>
        <w:t>15.备份投标文件</w:t>
      </w:r>
    </w:p>
    <w:p>
      <w:pPr>
        <w:pStyle w:val="33"/>
        <w:snapToGrid w:val="0"/>
        <w:spacing w:line="288" w:lineRule="auto"/>
        <w:ind w:firstLine="422" w:firstLineChars="201"/>
        <w:rPr>
          <w:rFonts w:hAnsi="宋体" w:cs="宋体"/>
          <w:b/>
          <w:highlight w:val="none"/>
        </w:rPr>
      </w:pPr>
      <w:r>
        <w:rPr>
          <w:rFonts w:hint="eastAsia" w:hAnsi="宋体" w:cs="宋体"/>
          <w:highlight w:val="none"/>
        </w:rPr>
        <w:t>15.1投标人在电子交易平台传输递交投标文件后，还可以在投标截止时间前直接提交或者以邮政快递方式递交备份投标文件1份，</w:t>
      </w:r>
      <w:r>
        <w:rPr>
          <w:rFonts w:hint="eastAsia" w:hAnsi="宋体" w:cs="宋体"/>
          <w:b/>
          <w:highlight w:val="none"/>
        </w:rPr>
        <w:t>但采购人、采购代理机构不强制或变相强制投标人提交备份投标文件。</w:t>
      </w:r>
    </w:p>
    <w:p>
      <w:pPr>
        <w:pStyle w:val="33"/>
        <w:snapToGrid w:val="0"/>
        <w:spacing w:line="288" w:lineRule="auto"/>
        <w:ind w:firstLine="422" w:firstLineChars="201"/>
        <w:rPr>
          <w:rFonts w:hAnsi="宋体" w:cs="宋体"/>
          <w:b/>
          <w:highlight w:val="none"/>
        </w:rPr>
      </w:pPr>
      <w:r>
        <w:rPr>
          <w:rFonts w:hint="eastAsia" w:hAnsi="宋体" w:cs="宋体"/>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不符合上述制作、存储、密封规定的备份投标文件将被视为无效或者被拒绝接收。</w:t>
      </w:r>
    </w:p>
    <w:p>
      <w:pPr>
        <w:pStyle w:val="33"/>
        <w:snapToGrid w:val="0"/>
        <w:spacing w:line="288" w:lineRule="auto"/>
        <w:ind w:firstLine="422" w:firstLineChars="201"/>
        <w:rPr>
          <w:rFonts w:hAnsi="宋体" w:cs="宋体"/>
          <w:highlight w:val="none"/>
        </w:rPr>
      </w:pPr>
      <w:r>
        <w:rPr>
          <w:rFonts w:hint="eastAsia" w:hAnsi="宋体" w:cs="宋体"/>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napToGrid w:val="0"/>
        <w:spacing w:line="288" w:lineRule="auto"/>
        <w:ind w:firstLine="422" w:firstLineChars="201"/>
        <w:rPr>
          <w:rFonts w:hAnsi="宋体" w:cs="宋体"/>
          <w:highlight w:val="none"/>
        </w:rPr>
      </w:pPr>
      <w:r>
        <w:rPr>
          <w:rFonts w:hint="eastAsia" w:hAnsi="宋体" w:cs="宋体"/>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highlight w:val="none"/>
        </w:rPr>
        <w:t>招标文件第二部分投标人须知前附表规定的备份投标文件送达地点；</w:t>
      </w:r>
      <w:r>
        <w:rPr>
          <w:rFonts w:hint="eastAsia" w:hAnsi="宋体" w:cs="宋体"/>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napToGrid w:val="0"/>
        <w:spacing w:line="288" w:lineRule="auto"/>
        <w:ind w:firstLine="424" w:firstLineChars="201"/>
        <w:rPr>
          <w:rFonts w:hAnsi="宋体" w:cs="宋体"/>
          <w:b/>
          <w:highlight w:val="none"/>
        </w:rPr>
      </w:pPr>
      <w:r>
        <w:rPr>
          <w:rFonts w:hint="eastAsia" w:hAnsi="宋体" w:cs="宋体"/>
          <w:b/>
          <w:highlight w:val="none"/>
        </w:rPr>
        <w:t>15.5投标人仅提交备份投标文件，未在电子交易平台传输递交投标文件的，投标无效。</w:t>
      </w:r>
    </w:p>
    <w:p>
      <w:pPr>
        <w:pStyle w:val="128"/>
        <w:snapToGrid w:val="0"/>
        <w:spacing w:before="0" w:line="288" w:lineRule="auto"/>
        <w:ind w:firstLine="424" w:firstLineChars="201"/>
        <w:rPr>
          <w:rFonts w:ascii="宋体" w:hAnsi="宋体" w:cs="宋体"/>
          <w:b/>
          <w:sz w:val="21"/>
          <w:szCs w:val="21"/>
          <w:highlight w:val="none"/>
        </w:rPr>
      </w:pPr>
      <w:r>
        <w:rPr>
          <w:rFonts w:hint="eastAsia" w:ascii="宋体" w:hAnsi="宋体" w:cs="宋体"/>
          <w:b/>
          <w:sz w:val="21"/>
          <w:szCs w:val="21"/>
          <w:highlight w:val="none"/>
        </w:rPr>
        <w:t>16.投标文件的无效处理</w:t>
      </w:r>
    </w:p>
    <w:p>
      <w:pPr>
        <w:pStyle w:val="3"/>
        <w:snapToGrid w:val="0"/>
        <w:spacing w:line="288" w:lineRule="auto"/>
        <w:ind w:firstLine="422" w:firstLineChars="201"/>
        <w:rPr>
          <w:rFonts w:cs="宋体"/>
          <w:sz w:val="21"/>
          <w:szCs w:val="21"/>
          <w:highlight w:val="none"/>
        </w:rPr>
      </w:pPr>
      <w:r>
        <w:rPr>
          <w:rFonts w:hint="eastAsia" w:cs="宋体"/>
          <w:sz w:val="21"/>
          <w:szCs w:val="21"/>
          <w:highlight w:val="none"/>
        </w:rPr>
        <w:t>有招标文件第四部分</w:t>
      </w:r>
      <w:r>
        <w:rPr>
          <w:rFonts w:cs="宋体"/>
          <w:sz w:val="21"/>
          <w:szCs w:val="21"/>
          <w:highlight w:val="none"/>
        </w:rPr>
        <w:t>4.2规定</w:t>
      </w:r>
      <w:r>
        <w:rPr>
          <w:rFonts w:hint="eastAsia" w:cs="宋体"/>
          <w:sz w:val="21"/>
          <w:szCs w:val="21"/>
          <w:highlight w:val="none"/>
        </w:rPr>
        <w:t>的情形之一的，投标无效：</w:t>
      </w:r>
    </w:p>
    <w:p>
      <w:pPr>
        <w:pStyle w:val="128"/>
        <w:snapToGrid w:val="0"/>
        <w:spacing w:before="0" w:line="288" w:lineRule="auto"/>
        <w:ind w:firstLine="424" w:firstLineChars="201"/>
        <w:rPr>
          <w:rFonts w:ascii="宋体" w:hAnsi="宋体" w:cs="宋体"/>
          <w:b/>
          <w:sz w:val="21"/>
          <w:szCs w:val="21"/>
          <w:highlight w:val="none"/>
        </w:rPr>
      </w:pPr>
      <w:r>
        <w:rPr>
          <w:rFonts w:hint="eastAsia" w:ascii="宋体" w:hAnsi="宋体" w:cs="宋体"/>
          <w:b/>
          <w:sz w:val="21"/>
          <w:szCs w:val="21"/>
          <w:highlight w:val="none"/>
        </w:rPr>
        <w:t>17.投标有效期</w:t>
      </w:r>
    </w:p>
    <w:p>
      <w:pPr>
        <w:snapToGrid w:val="0"/>
        <w:spacing w:line="288" w:lineRule="auto"/>
        <w:ind w:firstLine="422" w:firstLineChars="201"/>
        <w:rPr>
          <w:rFonts w:ascii="宋体" w:hAnsi="宋体" w:cs="宋体"/>
          <w:b/>
          <w:szCs w:val="21"/>
          <w:highlight w:val="none"/>
        </w:rPr>
      </w:pPr>
      <w:r>
        <w:rPr>
          <w:rFonts w:hint="eastAsia" w:ascii="宋体" w:hAnsi="宋体" w:cs="宋体"/>
          <w:szCs w:val="21"/>
          <w:highlight w:val="none"/>
        </w:rPr>
        <w:t>17.1投标有效期为从提交投标文件的截止之日起90天。▲</w:t>
      </w:r>
      <w:r>
        <w:rPr>
          <w:rFonts w:hint="eastAsia" w:ascii="宋体" w:hAnsi="宋体" w:cs="宋体"/>
          <w:b/>
          <w:szCs w:val="21"/>
          <w:highlight w:val="none"/>
        </w:rPr>
        <w:t>投标人的投标文件中承诺的投标有效期少于招标文件中载明的投标有效期的，投标无效。</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17.2投标文件合格投递后，自投标截止日期起，在投标有效期内有效。</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napToGrid w:val="0"/>
        <w:spacing w:before="0" w:line="288" w:lineRule="auto"/>
        <w:ind w:firstLine="424" w:firstLineChars="201"/>
        <w:rPr>
          <w:rFonts w:ascii="宋体" w:hAnsi="宋体" w:cs="宋体"/>
          <w:b/>
          <w:sz w:val="21"/>
          <w:szCs w:val="21"/>
          <w:highlight w:val="none"/>
        </w:rPr>
      </w:pPr>
    </w:p>
    <w:p>
      <w:pPr>
        <w:pStyle w:val="128"/>
        <w:snapToGrid w:val="0"/>
        <w:spacing w:before="0" w:line="288" w:lineRule="auto"/>
        <w:ind w:firstLine="424" w:firstLineChars="201"/>
        <w:jc w:val="center"/>
        <w:outlineLvl w:val="1"/>
        <w:rPr>
          <w:rFonts w:ascii="宋体" w:hAnsi="宋体" w:cs="宋体"/>
          <w:b/>
          <w:sz w:val="21"/>
          <w:szCs w:val="21"/>
          <w:highlight w:val="none"/>
        </w:rPr>
      </w:pPr>
      <w:r>
        <w:rPr>
          <w:rFonts w:hint="eastAsia" w:ascii="宋体" w:hAnsi="宋体" w:cs="宋体"/>
          <w:b/>
          <w:sz w:val="21"/>
          <w:szCs w:val="21"/>
          <w:highlight w:val="none"/>
        </w:rPr>
        <w:t>四、开标、资格审查与信用信息查询</w:t>
      </w:r>
    </w:p>
    <w:p>
      <w:pPr>
        <w:pStyle w:val="554"/>
        <w:snapToGrid w:val="0"/>
        <w:spacing w:before="0" w:line="288" w:lineRule="auto"/>
        <w:ind w:left="0" w:firstLine="424" w:firstLineChars="201"/>
        <w:rPr>
          <w:rFonts w:ascii="宋体" w:hAnsi="宋体" w:cs="宋体"/>
          <w:sz w:val="21"/>
          <w:szCs w:val="21"/>
          <w:highlight w:val="none"/>
        </w:rPr>
      </w:pPr>
      <w:r>
        <w:rPr>
          <w:rFonts w:hint="eastAsia" w:ascii="宋体" w:hAnsi="宋体" w:cs="宋体"/>
          <w:b/>
          <w:sz w:val="21"/>
          <w:szCs w:val="21"/>
          <w:highlight w:val="none"/>
        </w:rPr>
        <w:t>18.开标</w:t>
      </w:r>
      <w:r>
        <w:rPr>
          <w:rFonts w:hint="eastAsia" w:ascii="宋体" w:hAnsi="宋体" w:cs="宋体"/>
          <w:sz w:val="21"/>
          <w:szCs w:val="21"/>
          <w:highlight w:val="none"/>
        </w:rPr>
        <w:t xml:space="preserve"> </w:t>
      </w:r>
    </w:p>
    <w:p>
      <w:pPr>
        <w:pStyle w:val="554"/>
        <w:snapToGrid w:val="0"/>
        <w:spacing w:before="0" w:line="288" w:lineRule="auto"/>
        <w:ind w:left="0" w:firstLine="422" w:firstLineChars="201"/>
        <w:rPr>
          <w:rFonts w:ascii="宋体" w:hAnsi="宋体" w:cs="宋体"/>
          <w:sz w:val="21"/>
          <w:szCs w:val="21"/>
          <w:highlight w:val="none"/>
        </w:rPr>
      </w:pPr>
      <w:r>
        <w:rPr>
          <w:rFonts w:hint="eastAsia" w:ascii="宋体" w:hAnsi="宋体" w:cs="宋体"/>
          <w:sz w:val="21"/>
          <w:szCs w:val="21"/>
          <w:highlight w:val="none"/>
        </w:rPr>
        <w:t>18.1采购代理机构按照招标文件规定的时间通过电子交易平台组织开标，所有投标人均应当准时在线参加。投标人不足3家的，不得开标。</w:t>
      </w:r>
    </w:p>
    <w:p>
      <w:pPr>
        <w:pStyle w:val="554"/>
        <w:snapToGrid w:val="0"/>
        <w:spacing w:before="0" w:line="288" w:lineRule="auto"/>
        <w:ind w:left="0" w:firstLine="422" w:firstLineChars="201"/>
        <w:rPr>
          <w:rFonts w:ascii="宋体" w:hAnsi="宋体" w:cs="宋体"/>
          <w:sz w:val="21"/>
          <w:szCs w:val="21"/>
          <w:highlight w:val="none"/>
        </w:rPr>
      </w:pPr>
      <w:r>
        <w:rPr>
          <w:rFonts w:hint="eastAsia" w:ascii="宋体" w:hAnsi="宋体" w:cs="宋体"/>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napToGrid w:val="0"/>
        <w:spacing w:before="0" w:line="288" w:lineRule="auto"/>
        <w:ind w:left="0" w:firstLine="422" w:firstLineChars="201"/>
        <w:rPr>
          <w:rFonts w:ascii="宋体" w:hAnsi="宋体" w:cs="宋体"/>
          <w:b/>
          <w:sz w:val="21"/>
          <w:szCs w:val="21"/>
          <w:highlight w:val="none"/>
        </w:rPr>
      </w:pPr>
      <w:r>
        <w:rPr>
          <w:rFonts w:hint="eastAsia" w:ascii="宋体" w:hAnsi="宋体" w:cs="宋体"/>
          <w:sz w:val="21"/>
          <w:szCs w:val="21"/>
          <w:highlight w:val="none"/>
        </w:rPr>
        <w:t>18.3</w:t>
      </w:r>
      <w:r>
        <w:rPr>
          <w:rFonts w:hint="eastAsia" w:ascii="宋体" w:hAnsi="宋体" w:cs="宋体"/>
          <w:b/>
          <w:sz w:val="21"/>
          <w:szCs w:val="21"/>
          <w:highlight w:val="none"/>
        </w:rPr>
        <w:t>投标文件未按时解密，投标人提供了备份投标文件的，以备份投标文件作为依据，否则视为投标文件撤回。投标文件已按时解密的，备份投标文件自动失效。</w:t>
      </w:r>
    </w:p>
    <w:p>
      <w:pPr>
        <w:snapToGrid w:val="0"/>
        <w:spacing w:line="288" w:lineRule="auto"/>
        <w:ind w:firstLine="424" w:firstLineChars="201"/>
        <w:jc w:val="left"/>
        <w:rPr>
          <w:rFonts w:ascii="宋体" w:hAnsi="宋体" w:cs="宋体"/>
          <w:b/>
          <w:szCs w:val="21"/>
          <w:highlight w:val="none"/>
        </w:rPr>
      </w:pPr>
      <w:r>
        <w:rPr>
          <w:rFonts w:hint="eastAsia" w:ascii="宋体" w:hAnsi="宋体" w:cs="宋体"/>
          <w:b/>
          <w:szCs w:val="21"/>
          <w:highlight w:val="none"/>
        </w:rPr>
        <w:t>19、资格审查</w:t>
      </w:r>
    </w:p>
    <w:p>
      <w:pPr>
        <w:snapToGrid w:val="0"/>
        <w:spacing w:line="288" w:lineRule="auto"/>
        <w:ind w:firstLine="422" w:firstLineChars="201"/>
        <w:rPr>
          <w:rFonts w:ascii="宋体" w:hAnsi="宋体" w:cs="宋体"/>
          <w:szCs w:val="21"/>
          <w:highlight w:val="none"/>
        </w:rPr>
      </w:pPr>
      <w:r>
        <w:rPr>
          <w:rFonts w:hint="eastAsia" w:ascii="宋体" w:hAnsi="宋体" w:cs="宋体"/>
          <w:kern w:val="0"/>
          <w:szCs w:val="21"/>
          <w:highlight w:val="none"/>
        </w:rPr>
        <w:t>19.1</w:t>
      </w:r>
      <w:r>
        <w:rPr>
          <w:rFonts w:hint="eastAsia" w:ascii="宋体" w:hAnsi="宋体" w:cs="宋体"/>
          <w:szCs w:val="21"/>
          <w:highlight w:val="none"/>
        </w:rPr>
        <w:t>采购人或采购代理机构依据法律法规和招标文件的规定，对投标人的资格进行审查。</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kern w:val="0"/>
          <w:sz w:val="21"/>
          <w:szCs w:val="21"/>
          <w:highlight w:val="none"/>
        </w:rPr>
        <w:t>19.2投标人未按照招标文件要求提供与</w:t>
      </w:r>
      <w:r>
        <w:rPr>
          <w:rFonts w:hint="eastAsia" w:ascii="宋体" w:hAnsi="宋体" w:cs="宋体"/>
          <w:sz w:val="21"/>
          <w:szCs w:val="21"/>
          <w:highlight w:val="none"/>
        </w:rPr>
        <w:t>资格条件相应的</w:t>
      </w:r>
      <w:r>
        <w:rPr>
          <w:rFonts w:hint="eastAsia" w:ascii="宋体" w:hAnsi="宋体" w:cs="宋体"/>
          <w:kern w:val="0"/>
          <w:sz w:val="21"/>
          <w:szCs w:val="21"/>
          <w:highlight w:val="none"/>
        </w:rPr>
        <w:t>有效资格证明材料的，视为</w:t>
      </w:r>
      <w:r>
        <w:rPr>
          <w:rFonts w:hint="eastAsia" w:ascii="宋体" w:hAnsi="宋体" w:cs="宋体"/>
          <w:sz w:val="21"/>
          <w:szCs w:val="21"/>
          <w:highlight w:val="none"/>
        </w:rPr>
        <w:t>投标人不具备招标文件中规定的资格要求，其投标无效。</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3对未通过资格审查的投标人，采购人或采购代理机构告知其未通过的原因。</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4合格投标人不足3家的，不再评标。</w:t>
      </w:r>
    </w:p>
    <w:p>
      <w:pPr>
        <w:pStyle w:val="128"/>
        <w:snapToGrid w:val="0"/>
        <w:spacing w:before="0" w:line="288" w:lineRule="auto"/>
        <w:ind w:firstLine="424" w:firstLineChars="201"/>
        <w:rPr>
          <w:rFonts w:ascii="宋体" w:hAnsi="宋体" w:cs="宋体"/>
          <w:b/>
          <w:sz w:val="21"/>
          <w:szCs w:val="21"/>
          <w:highlight w:val="none"/>
        </w:rPr>
      </w:pPr>
      <w:r>
        <w:rPr>
          <w:rFonts w:hint="eastAsia" w:ascii="宋体" w:hAnsi="宋体" w:cs="宋体"/>
          <w:b/>
          <w:sz w:val="21"/>
          <w:szCs w:val="21"/>
          <w:highlight w:val="none"/>
        </w:rPr>
        <w:t>20、信用信息查询</w:t>
      </w:r>
    </w:p>
    <w:p>
      <w:pPr>
        <w:pStyle w:val="128"/>
        <w:snapToGrid w:val="0"/>
        <w:spacing w:before="0" w:line="288" w:lineRule="auto"/>
        <w:ind w:firstLine="422" w:firstLineChars="201"/>
        <w:rPr>
          <w:rFonts w:ascii="宋体" w:hAnsi="宋体" w:cs="宋体"/>
          <w:kern w:val="0"/>
          <w:sz w:val="21"/>
          <w:szCs w:val="21"/>
          <w:highlight w:val="none"/>
        </w:rPr>
      </w:pPr>
      <w:r>
        <w:rPr>
          <w:rFonts w:hint="eastAsia" w:ascii="宋体" w:hAnsi="宋体" w:cs="宋体"/>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pPr>
        <w:pStyle w:val="128"/>
        <w:snapToGrid w:val="0"/>
        <w:spacing w:before="0" w:line="288" w:lineRule="auto"/>
        <w:ind w:firstLine="422" w:firstLineChars="201"/>
        <w:rPr>
          <w:rFonts w:ascii="宋体" w:hAnsi="宋体" w:cs="宋体"/>
          <w:kern w:val="0"/>
          <w:sz w:val="21"/>
          <w:szCs w:val="21"/>
          <w:highlight w:val="none"/>
        </w:rPr>
      </w:pPr>
      <w:r>
        <w:rPr>
          <w:rFonts w:hint="eastAsia" w:ascii="宋体" w:hAnsi="宋体" w:cs="宋体"/>
          <w:kern w:val="0"/>
          <w:sz w:val="21"/>
          <w:szCs w:val="21"/>
          <w:highlight w:val="none"/>
        </w:rPr>
        <w:t>20.2信用信息查询记录和证据留存的具体方式：现场查询的投标人的信用记录、查询结果经确认后将与采购文件一起存档。</w:t>
      </w:r>
    </w:p>
    <w:p>
      <w:pPr>
        <w:pStyle w:val="128"/>
        <w:snapToGrid w:val="0"/>
        <w:spacing w:before="0" w:line="288" w:lineRule="auto"/>
        <w:ind w:firstLine="422" w:firstLineChars="201"/>
        <w:rPr>
          <w:rFonts w:ascii="宋体" w:hAnsi="宋体" w:cs="宋体"/>
          <w:kern w:val="0"/>
          <w:sz w:val="21"/>
          <w:szCs w:val="21"/>
          <w:highlight w:val="none"/>
        </w:rPr>
      </w:pPr>
      <w:r>
        <w:rPr>
          <w:rFonts w:hint="eastAsia" w:ascii="宋体" w:hAnsi="宋体" w:cs="宋体"/>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highlight w:val="none"/>
        </w:rPr>
        <w:t>。</w:t>
      </w:r>
    </w:p>
    <w:p>
      <w:pPr>
        <w:pStyle w:val="128"/>
        <w:snapToGrid w:val="0"/>
        <w:spacing w:before="0" w:line="288" w:lineRule="auto"/>
        <w:ind w:firstLine="422" w:firstLineChars="201"/>
        <w:rPr>
          <w:rFonts w:ascii="宋体" w:hAnsi="宋体" w:cs="宋体"/>
          <w:kern w:val="0"/>
          <w:sz w:val="21"/>
          <w:szCs w:val="21"/>
          <w:highlight w:val="none"/>
        </w:rPr>
      </w:pPr>
    </w:p>
    <w:p>
      <w:pPr>
        <w:snapToGrid w:val="0"/>
        <w:spacing w:line="288" w:lineRule="auto"/>
        <w:ind w:firstLine="424" w:firstLineChars="201"/>
        <w:jc w:val="center"/>
        <w:outlineLvl w:val="1"/>
        <w:rPr>
          <w:rFonts w:ascii="宋体" w:hAnsi="宋体" w:cs="宋体"/>
          <w:b/>
          <w:szCs w:val="21"/>
          <w:highlight w:val="none"/>
        </w:rPr>
      </w:pPr>
      <w:r>
        <w:rPr>
          <w:rFonts w:hint="eastAsia" w:ascii="宋体" w:hAnsi="宋体" w:cs="宋体"/>
          <w:b/>
          <w:szCs w:val="21"/>
          <w:highlight w:val="none"/>
        </w:rPr>
        <w:t>五、评标</w:t>
      </w:r>
    </w:p>
    <w:p>
      <w:pPr>
        <w:snapToGrid w:val="0"/>
        <w:spacing w:line="288" w:lineRule="auto"/>
        <w:ind w:firstLine="424" w:firstLineChars="201"/>
        <w:rPr>
          <w:rFonts w:ascii="宋体" w:hAnsi="宋体" w:cs="宋体"/>
          <w:b/>
          <w:szCs w:val="21"/>
          <w:highlight w:val="none"/>
        </w:rPr>
      </w:pPr>
      <w:bookmarkStart w:id="13" w:name="_Toc91899903"/>
      <w:r>
        <w:rPr>
          <w:rFonts w:hint="eastAsia" w:ascii="宋体" w:hAnsi="宋体" w:cs="宋体"/>
          <w:b/>
          <w:szCs w:val="21"/>
          <w:highlight w:val="none"/>
        </w:rPr>
        <w:t>21.</w:t>
      </w:r>
      <w:r>
        <w:rPr>
          <w:rFonts w:hint="eastAsia" w:ascii="宋体" w:hAnsi="宋体" w:cs="宋体"/>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highlight w:val="none"/>
        </w:rPr>
        <w:t>详见招标文件第四部分评标办法。</w:t>
      </w:r>
    </w:p>
    <w:p>
      <w:pPr>
        <w:snapToGrid w:val="0"/>
        <w:spacing w:line="288" w:lineRule="auto"/>
        <w:ind w:firstLine="424" w:firstLineChars="201"/>
        <w:rPr>
          <w:rFonts w:ascii="宋体" w:hAnsi="宋体" w:cs="宋体"/>
          <w:b/>
          <w:szCs w:val="21"/>
          <w:highlight w:val="none"/>
        </w:rPr>
      </w:pPr>
    </w:p>
    <w:p>
      <w:pPr>
        <w:snapToGrid w:val="0"/>
        <w:spacing w:line="288" w:lineRule="auto"/>
        <w:ind w:firstLine="424" w:firstLineChars="201"/>
        <w:jc w:val="center"/>
        <w:outlineLvl w:val="1"/>
        <w:rPr>
          <w:rFonts w:ascii="宋体" w:hAnsi="宋体" w:cs="宋体"/>
          <w:b/>
          <w:szCs w:val="21"/>
          <w:highlight w:val="none"/>
        </w:rPr>
      </w:pPr>
      <w:r>
        <w:rPr>
          <w:rFonts w:hint="eastAsia" w:ascii="宋体" w:hAnsi="宋体" w:cs="宋体"/>
          <w:b/>
          <w:szCs w:val="21"/>
          <w:highlight w:val="none"/>
        </w:rPr>
        <w:t>六、定标</w:t>
      </w:r>
    </w:p>
    <w:p>
      <w:pPr>
        <w:pStyle w:val="3"/>
        <w:snapToGrid w:val="0"/>
        <w:spacing w:line="288" w:lineRule="auto"/>
        <w:ind w:firstLine="424" w:firstLineChars="201"/>
        <w:rPr>
          <w:rFonts w:cs="宋体"/>
          <w:b/>
          <w:sz w:val="21"/>
          <w:szCs w:val="21"/>
          <w:highlight w:val="none"/>
        </w:rPr>
      </w:pPr>
      <w:r>
        <w:rPr>
          <w:rFonts w:hint="eastAsia" w:cs="宋体"/>
          <w:b/>
          <w:sz w:val="21"/>
          <w:szCs w:val="21"/>
          <w:highlight w:val="none"/>
        </w:rPr>
        <w:t>22. 确定中标供应商</w:t>
      </w:r>
    </w:p>
    <w:p>
      <w:pPr>
        <w:pStyle w:val="128"/>
        <w:snapToGrid w:val="0"/>
        <w:spacing w:before="0" w:line="288" w:lineRule="auto"/>
        <w:ind w:firstLine="422" w:firstLineChars="201"/>
        <w:rPr>
          <w:rFonts w:ascii="宋体" w:hAnsi="宋体" w:cs="宋体"/>
          <w:b/>
          <w:sz w:val="21"/>
          <w:szCs w:val="21"/>
          <w:highlight w:val="none"/>
        </w:rPr>
      </w:pPr>
      <w:r>
        <w:rPr>
          <w:rFonts w:hint="eastAsia" w:ascii="宋体" w:hAnsi="宋体" w:cs="宋体"/>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line="288" w:lineRule="auto"/>
        <w:ind w:firstLine="424" w:firstLineChars="201"/>
        <w:rPr>
          <w:rFonts w:ascii="宋体" w:hAnsi="宋体" w:cs="宋体"/>
          <w:b/>
          <w:sz w:val="21"/>
          <w:szCs w:val="21"/>
          <w:highlight w:val="none"/>
        </w:rPr>
      </w:pPr>
      <w:r>
        <w:rPr>
          <w:rFonts w:hint="eastAsia" w:ascii="宋体" w:hAnsi="宋体" w:cs="宋体"/>
          <w:b/>
          <w:sz w:val="21"/>
          <w:szCs w:val="21"/>
          <w:highlight w:val="none"/>
        </w:rPr>
        <w:t>23. 中标通知与中标结果公告</w:t>
      </w:r>
    </w:p>
    <w:p>
      <w:pPr>
        <w:shd w:val="clear" w:color="auto" w:fill="FFFFFF"/>
        <w:snapToGrid w:val="0"/>
        <w:spacing w:line="288" w:lineRule="auto"/>
        <w:ind w:firstLine="422" w:firstLineChars="201"/>
        <w:jc w:val="left"/>
        <w:rPr>
          <w:rFonts w:ascii="宋体" w:hAnsi="宋体" w:cs="宋体"/>
          <w:szCs w:val="21"/>
          <w:highlight w:val="none"/>
        </w:rPr>
      </w:pPr>
      <w:r>
        <w:rPr>
          <w:rFonts w:hint="eastAsia" w:ascii="宋体" w:hAnsi="宋体" w:cs="宋体"/>
          <w:szCs w:val="21"/>
          <w:highlight w:val="none"/>
        </w:rPr>
        <w:t>23.1自中标人确定之日起2个工作日内，采购代理机构通过电子交易平台向中标人发出中标通知书，同时编制发布采购结果公告。采购代理机构也可以以纸质形式进行中标通知。</w:t>
      </w:r>
    </w:p>
    <w:p>
      <w:pPr>
        <w:shd w:val="clear" w:color="auto" w:fill="FFFFFF"/>
        <w:snapToGrid w:val="0"/>
        <w:spacing w:line="288" w:lineRule="auto"/>
        <w:ind w:firstLine="422" w:firstLineChars="201"/>
        <w:jc w:val="left"/>
        <w:rPr>
          <w:rFonts w:ascii="宋体" w:hAnsi="宋体" w:cs="宋体"/>
          <w:szCs w:val="21"/>
          <w:highlight w:val="none"/>
        </w:rPr>
      </w:pPr>
      <w:r>
        <w:rPr>
          <w:rFonts w:hint="eastAsia" w:ascii="宋体" w:hAnsi="宋体" w:cs="宋体"/>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Cs w:val="21"/>
          <w:highlight w:val="none"/>
        </w:rPr>
        <w:t>资格审查情况、评审专家抽取规则、符合性审查情况、</w:t>
      </w:r>
      <w:bookmarkEnd w:id="14"/>
      <w:r>
        <w:rPr>
          <w:rFonts w:hint="eastAsia" w:ascii="宋体" w:hAnsi="宋体" w:cs="宋体"/>
          <w:szCs w:val="21"/>
          <w:highlight w:val="none"/>
        </w:rPr>
        <w:t>未中标情况说明、中标公告期限以及评审专家名单、评分汇总及明细。</w:t>
      </w:r>
    </w:p>
    <w:p>
      <w:pPr>
        <w:shd w:val="clear" w:color="auto" w:fill="FFFFFF"/>
        <w:snapToGrid w:val="0"/>
        <w:spacing w:line="288" w:lineRule="auto"/>
        <w:ind w:firstLine="422" w:firstLineChars="201"/>
        <w:jc w:val="left"/>
        <w:rPr>
          <w:rFonts w:ascii="宋体" w:hAnsi="宋体" w:cs="宋体"/>
          <w:szCs w:val="21"/>
          <w:highlight w:val="none"/>
        </w:rPr>
      </w:pPr>
      <w:r>
        <w:rPr>
          <w:rFonts w:hint="eastAsia" w:ascii="宋体" w:hAnsi="宋体" w:cs="宋体"/>
          <w:szCs w:val="21"/>
          <w:highlight w:val="none"/>
        </w:rPr>
        <w:t>23.3公告期限为1个工作日。</w:t>
      </w:r>
    </w:p>
    <w:p>
      <w:pPr>
        <w:snapToGrid w:val="0"/>
        <w:spacing w:line="288" w:lineRule="auto"/>
        <w:ind w:firstLine="424" w:firstLineChars="201"/>
        <w:rPr>
          <w:rFonts w:ascii="宋体" w:hAnsi="宋体" w:cs="宋体"/>
          <w:b/>
          <w:szCs w:val="21"/>
          <w:highlight w:val="none"/>
        </w:rPr>
      </w:pPr>
    </w:p>
    <w:p>
      <w:pPr>
        <w:snapToGrid w:val="0"/>
        <w:spacing w:line="288" w:lineRule="auto"/>
        <w:ind w:firstLine="424" w:firstLineChars="201"/>
        <w:jc w:val="center"/>
        <w:outlineLvl w:val="1"/>
        <w:rPr>
          <w:rFonts w:ascii="宋体" w:hAnsi="宋体" w:cs="宋体"/>
          <w:b/>
          <w:szCs w:val="21"/>
          <w:highlight w:val="none"/>
        </w:rPr>
      </w:pPr>
      <w:r>
        <w:rPr>
          <w:rFonts w:hint="eastAsia" w:ascii="宋体" w:hAnsi="宋体" w:cs="宋体"/>
          <w:b/>
          <w:szCs w:val="21"/>
          <w:highlight w:val="none"/>
        </w:rPr>
        <w:t>七、合同授予</w:t>
      </w:r>
    </w:p>
    <w:p>
      <w:pPr>
        <w:pStyle w:val="3"/>
        <w:snapToGrid w:val="0"/>
        <w:spacing w:line="288" w:lineRule="auto"/>
        <w:ind w:firstLine="424" w:firstLineChars="201"/>
        <w:rPr>
          <w:rFonts w:cs="宋体"/>
          <w:b/>
          <w:sz w:val="21"/>
          <w:szCs w:val="21"/>
          <w:highlight w:val="none"/>
        </w:rPr>
      </w:pPr>
      <w:r>
        <w:rPr>
          <w:rFonts w:hint="eastAsia" w:cs="宋体"/>
          <w:b/>
          <w:sz w:val="21"/>
          <w:szCs w:val="21"/>
          <w:highlight w:val="none"/>
        </w:rPr>
        <w:t xml:space="preserve">24. </w:t>
      </w:r>
      <w:r>
        <w:rPr>
          <w:rFonts w:hint="eastAsia" w:cs="宋体"/>
          <w:sz w:val="21"/>
          <w:szCs w:val="21"/>
          <w:highlight w:val="none"/>
        </w:rPr>
        <w:t>合同主要条款详见第五部分拟签订的合同文本。</w:t>
      </w:r>
    </w:p>
    <w:p>
      <w:pPr>
        <w:pStyle w:val="3"/>
        <w:snapToGrid w:val="0"/>
        <w:spacing w:line="288" w:lineRule="auto"/>
        <w:ind w:firstLine="424" w:firstLineChars="201"/>
        <w:rPr>
          <w:rFonts w:cs="宋体"/>
          <w:b/>
          <w:sz w:val="21"/>
          <w:szCs w:val="21"/>
          <w:highlight w:val="none"/>
        </w:rPr>
      </w:pPr>
      <w:r>
        <w:rPr>
          <w:rFonts w:hint="eastAsia" w:cs="宋体"/>
          <w:b/>
          <w:sz w:val="21"/>
          <w:szCs w:val="21"/>
          <w:highlight w:val="none"/>
        </w:rPr>
        <w:t>25. 合同的签订</w:t>
      </w:r>
    </w:p>
    <w:p>
      <w:pPr>
        <w:shd w:val="clear" w:color="auto" w:fill="FFFFFF"/>
        <w:snapToGrid w:val="0"/>
        <w:spacing w:line="288" w:lineRule="auto"/>
        <w:ind w:firstLine="422" w:firstLineChars="201"/>
        <w:jc w:val="left"/>
        <w:rPr>
          <w:rFonts w:ascii="宋体" w:hAnsi="宋体" w:cs="宋体"/>
          <w:kern w:val="0"/>
          <w:szCs w:val="21"/>
          <w:highlight w:val="none"/>
        </w:rPr>
      </w:pPr>
      <w:r>
        <w:rPr>
          <w:rFonts w:hint="eastAsia" w:ascii="宋体" w:hAnsi="宋体" w:cs="宋体"/>
          <w:szCs w:val="21"/>
          <w:highlight w:val="none"/>
        </w:rPr>
        <w:t>25.1</w:t>
      </w:r>
      <w:r>
        <w:rPr>
          <w:rFonts w:hint="eastAsia" w:ascii="宋体" w:hAnsi="宋体" w:cs="宋体"/>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line="288" w:lineRule="auto"/>
        <w:ind w:firstLine="422" w:firstLineChars="201"/>
        <w:rPr>
          <w:rFonts w:ascii="宋体" w:hAnsi="宋体" w:cs="宋体"/>
          <w:kern w:val="0"/>
          <w:sz w:val="21"/>
          <w:szCs w:val="21"/>
          <w:highlight w:val="none"/>
        </w:rPr>
      </w:pPr>
      <w:r>
        <w:rPr>
          <w:rFonts w:hint="eastAsia" w:ascii="宋体" w:hAnsi="宋体" w:cs="宋体"/>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25.3如签订合同并生效后，供应商无故拒绝或延期，除按照合同条款处理外，列入不良行为记录一次，并给予通报。</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25.5采购合同由采购人与中标供应商根据招标文件、投标文件等内容通过政府采购电子交易平台在线签订，自动备案。</w:t>
      </w:r>
    </w:p>
    <w:p>
      <w:pPr>
        <w:pStyle w:val="3"/>
        <w:snapToGrid w:val="0"/>
        <w:spacing w:line="288" w:lineRule="auto"/>
        <w:ind w:firstLine="424" w:firstLineChars="201"/>
        <w:rPr>
          <w:rFonts w:cs="宋体"/>
          <w:b/>
          <w:sz w:val="21"/>
          <w:szCs w:val="21"/>
          <w:highlight w:val="none"/>
        </w:rPr>
      </w:pPr>
      <w:r>
        <w:rPr>
          <w:rFonts w:hint="eastAsia" w:cs="宋体"/>
          <w:b/>
          <w:sz w:val="21"/>
          <w:szCs w:val="21"/>
          <w:highlight w:val="none"/>
        </w:rPr>
        <w:t>26.履约保证金</w:t>
      </w:r>
    </w:p>
    <w:p>
      <w:pPr>
        <w:tabs>
          <w:tab w:val="left" w:pos="0"/>
        </w:tabs>
        <w:snapToGrid w:val="0"/>
        <w:spacing w:line="288" w:lineRule="auto"/>
        <w:ind w:firstLine="422" w:firstLineChars="201"/>
        <w:rPr>
          <w:rFonts w:ascii="宋体" w:hAnsi="宋体" w:cs="宋体"/>
          <w:szCs w:val="21"/>
          <w:highlight w:val="none"/>
        </w:rPr>
      </w:pPr>
      <w:r>
        <w:rPr>
          <w:rFonts w:hint="eastAsia" w:ascii="宋体" w:hAnsi="宋体" w:cs="宋体"/>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szCs w:val="21"/>
          <w:highlight w:val="none"/>
        </w:rPr>
        <w:t>。履约保证金的数额不得超过政府采购合同金额的</w:t>
      </w:r>
      <w:r>
        <w:rPr>
          <w:rFonts w:ascii="宋体" w:hAnsi="宋体" w:cs="宋体"/>
          <w:szCs w:val="21"/>
          <w:highlight w:val="none"/>
        </w:rPr>
        <w:t>1</w:t>
      </w:r>
      <w:r>
        <w:rPr>
          <w:rFonts w:hint="eastAsia" w:ascii="宋体" w:hAnsi="宋体" w:cs="宋体"/>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highlight w:val="none"/>
        </w:rPr>
        <w:t>延迟退还的，应当按照合同约定和法律规定承担相应的赔偿责任</w:t>
      </w:r>
      <w:r>
        <w:rPr>
          <w:rFonts w:hint="eastAsia" w:ascii="宋体" w:hAnsi="宋体" w:cs="宋体"/>
          <w:szCs w:val="21"/>
          <w:highlight w:val="none"/>
        </w:rPr>
        <w:t>。</w:t>
      </w:r>
    </w:p>
    <w:p>
      <w:pPr>
        <w:tabs>
          <w:tab w:val="left" w:pos="0"/>
        </w:tabs>
        <w:snapToGrid w:val="0"/>
        <w:spacing w:line="288" w:lineRule="auto"/>
        <w:ind w:firstLine="422" w:firstLineChars="201"/>
        <w:rPr>
          <w:rFonts w:ascii="宋体" w:hAnsi="宋体" w:cs="宋体"/>
          <w:kern w:val="0"/>
          <w:szCs w:val="21"/>
          <w:highlight w:val="none"/>
        </w:rPr>
      </w:pPr>
      <w:r>
        <w:rPr>
          <w:rFonts w:hint="eastAsia" w:ascii="宋体" w:hAnsi="宋体" w:cs="宋体"/>
          <w:kern w:val="0"/>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snapToGrid w:val="0"/>
        <w:spacing w:line="288" w:lineRule="auto"/>
        <w:ind w:firstLine="424" w:firstLineChars="201"/>
        <w:rPr>
          <w:rFonts w:cs="宋体"/>
          <w:b/>
          <w:sz w:val="21"/>
          <w:szCs w:val="21"/>
          <w:highlight w:val="none"/>
        </w:rPr>
      </w:pPr>
      <w:r>
        <w:rPr>
          <w:rFonts w:cs="宋体"/>
          <w:b/>
          <w:sz w:val="21"/>
          <w:szCs w:val="21"/>
          <w:highlight w:val="none"/>
        </w:rPr>
        <w:t>27.预付款</w:t>
      </w:r>
    </w:p>
    <w:p>
      <w:pPr>
        <w:snapToGrid w:val="0"/>
        <w:spacing w:line="288" w:lineRule="auto"/>
        <w:ind w:firstLine="422" w:firstLineChars="201"/>
        <w:rPr>
          <w:rFonts w:ascii="宋体" w:hAnsi="宋体"/>
          <w:szCs w:val="21"/>
          <w:highlight w:val="none"/>
        </w:rPr>
      </w:pPr>
      <w:r>
        <w:rPr>
          <w:rFonts w:hint="eastAsia" w:ascii="宋体" w:hAnsi="宋体"/>
          <w:szCs w:val="21"/>
          <w:highlight w:val="none"/>
        </w:rPr>
        <w:t>采购单位应当在政府采购合同中约定预付款，对中小企业合同预付款比例原则上不低于合同金额的</w:t>
      </w:r>
      <w:r>
        <w:rPr>
          <w:rFonts w:ascii="宋体" w:hAnsi="宋体"/>
          <w:szCs w:val="21"/>
          <w:highlight w:val="none"/>
        </w:rPr>
        <w:t>40％</w:t>
      </w:r>
      <w:r>
        <w:rPr>
          <w:rFonts w:hint="eastAsia" w:ascii="宋体" w:hAnsi="宋体"/>
          <w:szCs w:val="21"/>
          <w:highlight w:val="none"/>
        </w:rPr>
        <w:t>，不高于合同金额的</w:t>
      </w:r>
      <w:r>
        <w:rPr>
          <w:rFonts w:ascii="宋体" w:hAnsi="宋体"/>
          <w:szCs w:val="21"/>
          <w:highlight w:val="none"/>
        </w:rPr>
        <w:t>70%；项目分年安排预算的，每年预付款比例</w:t>
      </w:r>
      <w:r>
        <w:rPr>
          <w:rFonts w:hint="eastAsia" w:ascii="宋体" w:hAnsi="宋体"/>
          <w:szCs w:val="21"/>
          <w:highlight w:val="none"/>
        </w:rPr>
        <w:t>不低于</w:t>
      </w:r>
      <w:r>
        <w:rPr>
          <w:rFonts w:ascii="宋体" w:hAnsi="宋体"/>
          <w:szCs w:val="21"/>
          <w:highlight w:val="none"/>
        </w:rPr>
        <w:t>项目年度计划支付资金额的40％</w:t>
      </w:r>
      <w:r>
        <w:rPr>
          <w:rFonts w:hint="eastAsia" w:ascii="宋体" w:hAnsi="宋体"/>
          <w:szCs w:val="21"/>
          <w:highlight w:val="none"/>
        </w:rPr>
        <w:t>，不高于合同金额的</w:t>
      </w:r>
      <w:r>
        <w:rPr>
          <w:rFonts w:ascii="宋体" w:hAnsi="宋体"/>
          <w:szCs w:val="21"/>
          <w:highlight w:val="none"/>
        </w:rPr>
        <w:t>70%；采购项目实施以人工投入为主的，</w:t>
      </w:r>
      <w:r>
        <w:rPr>
          <w:rFonts w:hint="eastAsia" w:ascii="宋体" w:hAnsi="宋体"/>
          <w:szCs w:val="21"/>
          <w:highlight w:val="none"/>
        </w:rPr>
        <w:t>可适当降低预付款比例，但不得低于</w:t>
      </w:r>
      <w:r>
        <w:rPr>
          <w:rFonts w:ascii="宋体" w:hAnsi="宋体"/>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szCs w:val="21"/>
          <w:highlight w:val="none"/>
        </w:rPr>
        <w:t>供应商</w:t>
      </w:r>
      <w:r>
        <w:rPr>
          <w:rFonts w:ascii="宋体" w:hAnsi="宋体"/>
          <w:szCs w:val="21"/>
          <w:highlight w:val="none"/>
        </w:rPr>
        <w:t>明确表示无需预付款或者主动要求降低预付款比例的，</w:t>
      </w:r>
      <w:r>
        <w:rPr>
          <w:rFonts w:hint="eastAsia" w:ascii="宋体" w:hAnsi="宋体"/>
          <w:szCs w:val="21"/>
          <w:highlight w:val="none"/>
        </w:rPr>
        <w:t>采购单位</w:t>
      </w:r>
      <w:r>
        <w:rPr>
          <w:rFonts w:ascii="宋体" w:hAnsi="宋体"/>
          <w:szCs w:val="21"/>
          <w:highlight w:val="none"/>
        </w:rPr>
        <w:t>可不适用前述规定。</w:t>
      </w:r>
      <w:r>
        <w:rPr>
          <w:rFonts w:hint="eastAsia" w:ascii="宋体" w:hAnsi="宋体"/>
          <w:szCs w:val="21"/>
          <w:highlight w:val="none"/>
        </w:rPr>
        <w:t>采购单位</w:t>
      </w:r>
      <w:r>
        <w:rPr>
          <w:rFonts w:ascii="宋体" w:hAnsi="宋体"/>
          <w:szCs w:val="21"/>
          <w:highlight w:val="none"/>
        </w:rPr>
        <w:t>根据项目特点、供应商诚信等因素，可以要求</w:t>
      </w:r>
      <w:r>
        <w:rPr>
          <w:rFonts w:hint="eastAsia" w:ascii="宋体" w:hAnsi="宋体"/>
          <w:szCs w:val="21"/>
          <w:highlight w:val="none"/>
        </w:rPr>
        <w:t>供应商</w:t>
      </w:r>
      <w:r>
        <w:rPr>
          <w:rFonts w:ascii="宋体" w:hAnsi="宋体"/>
          <w:szCs w:val="21"/>
          <w:highlight w:val="none"/>
        </w:rPr>
        <w:t>提交银行、保险公司等金融机构出具的预付款保函或其他担保措施。政府采购预付款应在合同生效以及具备实施条件后5个工作日内支付。</w:t>
      </w:r>
      <w:r>
        <w:rPr>
          <w:rFonts w:hint="eastAsia" w:ascii="宋体" w:hAnsi="宋体"/>
          <w:szCs w:val="21"/>
          <w:highlight w:val="none"/>
        </w:rPr>
        <w:t>政府采购工程以及与工程建设有关的货物、服务，采用招标方式采购的，预付款从其相关规定。供应商可登录政采云前台大厅选择金融服务</w:t>
      </w:r>
      <w:r>
        <w:rPr>
          <w:rFonts w:ascii="宋体" w:hAnsi="宋体"/>
          <w:szCs w:val="21"/>
          <w:highlight w:val="none"/>
        </w:rPr>
        <w:t xml:space="preserve"> - </w:t>
      </w:r>
      <w:r>
        <w:rPr>
          <w:rFonts w:hint="eastAsia" w:ascii="宋体" w:hAnsi="宋体"/>
          <w:szCs w:val="21"/>
          <w:highlight w:val="none"/>
        </w:rPr>
        <w:t>【保函保险服务】出具预付款保函，具体步骤：选择产品—填写供应商信息—选择中标项目—确认信息—等待保险</w:t>
      </w:r>
      <w:r>
        <w:rPr>
          <w:rFonts w:ascii="宋体" w:hAnsi="宋体"/>
          <w:szCs w:val="21"/>
          <w:highlight w:val="none"/>
        </w:rPr>
        <w:t>/保函受理—确认保单—支付保费—成功出单。政</w:t>
      </w:r>
      <w:r>
        <w:rPr>
          <w:rFonts w:hint="eastAsia" w:ascii="宋体" w:hAnsi="宋体"/>
          <w:szCs w:val="21"/>
          <w:highlight w:val="none"/>
        </w:rPr>
        <w:t>采云金融专线</w:t>
      </w:r>
      <w:r>
        <w:rPr>
          <w:rFonts w:ascii="宋体" w:hAnsi="宋体"/>
          <w:szCs w:val="21"/>
          <w:highlight w:val="none"/>
        </w:rPr>
        <w:t>400-903-9583。</w:t>
      </w:r>
    </w:p>
    <w:p>
      <w:pPr>
        <w:snapToGrid w:val="0"/>
        <w:spacing w:line="288" w:lineRule="auto"/>
        <w:ind w:firstLine="424" w:firstLineChars="201"/>
        <w:rPr>
          <w:rFonts w:ascii="宋体" w:hAnsi="宋体" w:cs="宋体"/>
          <w:b/>
          <w:szCs w:val="21"/>
          <w:highlight w:val="none"/>
        </w:rPr>
      </w:pPr>
    </w:p>
    <w:p>
      <w:pPr>
        <w:snapToGrid w:val="0"/>
        <w:spacing w:line="288" w:lineRule="auto"/>
        <w:ind w:firstLine="424" w:firstLineChars="201"/>
        <w:jc w:val="center"/>
        <w:outlineLvl w:val="1"/>
        <w:rPr>
          <w:rFonts w:ascii="宋体" w:hAnsi="宋体" w:cs="宋体"/>
          <w:b/>
          <w:szCs w:val="21"/>
          <w:highlight w:val="none"/>
        </w:rPr>
      </w:pPr>
      <w:r>
        <w:rPr>
          <w:rFonts w:hint="eastAsia" w:ascii="宋体" w:hAnsi="宋体" w:cs="宋体"/>
          <w:b/>
          <w:szCs w:val="21"/>
          <w:highlight w:val="none"/>
        </w:rPr>
        <w:t>八、电子交易活动的中止</w:t>
      </w:r>
    </w:p>
    <w:p>
      <w:pPr>
        <w:pStyle w:val="128"/>
        <w:snapToGrid w:val="0"/>
        <w:spacing w:before="0" w:line="288" w:lineRule="auto"/>
        <w:ind w:firstLine="424" w:firstLineChars="201"/>
        <w:rPr>
          <w:rFonts w:ascii="宋体" w:hAnsi="宋体" w:cs="宋体"/>
          <w:sz w:val="21"/>
          <w:szCs w:val="21"/>
          <w:highlight w:val="none"/>
        </w:rPr>
      </w:pPr>
      <w:r>
        <w:rPr>
          <w:rFonts w:ascii="宋体" w:hAnsi="宋体" w:cs="宋体"/>
          <w:b/>
          <w:bCs/>
          <w:sz w:val="21"/>
          <w:szCs w:val="21"/>
          <w:highlight w:val="none"/>
        </w:rPr>
        <w:t>28</w:t>
      </w:r>
      <w:r>
        <w:rPr>
          <w:rFonts w:hint="eastAsia" w:ascii="宋体" w:hAnsi="宋体" w:cs="宋体"/>
          <w:b/>
          <w:sz w:val="21"/>
          <w:szCs w:val="21"/>
          <w:highlight w:val="none"/>
        </w:rPr>
        <w:t>. 电子交易活动的中止。</w:t>
      </w:r>
      <w:r>
        <w:rPr>
          <w:rFonts w:hint="eastAsia" w:ascii="宋体" w:hAnsi="宋体" w:cs="宋体"/>
          <w:sz w:val="21"/>
          <w:szCs w:val="21"/>
          <w:highlight w:val="none"/>
        </w:rPr>
        <w:t>采购过程中出现以下情形，导致电子交易平台无法正常运行，或者无法保证电子交易的公平、公正和安全时，采购代理机构可中止电子交易活动：</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 xml:space="preserve">28.1电子交易平台发生故障而无法登录访问的； </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28.2电子交易平台应用或数据库出现错误，不能进行正常操作的；</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28.3电子交易平台发现严重安全漏洞，有潜在泄密危险的；</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 xml:space="preserve">28.4病毒发作导致不能进行正常操作的； </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28.5其他无法保证电子交易的公平、公正和安全的情况。</w:t>
      </w:r>
    </w:p>
    <w:p>
      <w:pPr>
        <w:pStyle w:val="128"/>
        <w:snapToGrid w:val="0"/>
        <w:spacing w:before="0" w:line="288" w:lineRule="auto"/>
        <w:ind w:firstLine="422" w:firstLineChars="201"/>
        <w:rPr>
          <w:rFonts w:ascii="宋体" w:hAnsi="宋体" w:cs="宋体"/>
          <w:sz w:val="21"/>
          <w:szCs w:val="21"/>
          <w:highlight w:val="none"/>
        </w:rPr>
      </w:pPr>
      <w:r>
        <w:rPr>
          <w:rFonts w:hint="eastAsia" w:ascii="宋体" w:hAnsi="宋体" w:cs="宋体"/>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288" w:lineRule="auto"/>
        <w:ind w:firstLine="422" w:firstLineChars="201"/>
        <w:rPr>
          <w:rFonts w:ascii="宋体" w:hAnsi="宋体" w:cs="宋体"/>
          <w:szCs w:val="21"/>
          <w:highlight w:val="none"/>
        </w:rPr>
      </w:pPr>
    </w:p>
    <w:p>
      <w:pPr>
        <w:snapToGrid w:val="0"/>
        <w:spacing w:line="288" w:lineRule="auto"/>
        <w:ind w:firstLine="424" w:firstLineChars="201"/>
        <w:jc w:val="center"/>
        <w:outlineLvl w:val="1"/>
        <w:rPr>
          <w:rFonts w:ascii="宋体" w:hAnsi="宋体" w:cs="宋体"/>
          <w:b/>
          <w:szCs w:val="21"/>
          <w:highlight w:val="none"/>
        </w:rPr>
      </w:pPr>
      <w:r>
        <w:rPr>
          <w:rFonts w:hint="eastAsia" w:ascii="宋体" w:hAnsi="宋体" w:cs="宋体"/>
          <w:b/>
          <w:szCs w:val="21"/>
          <w:highlight w:val="none"/>
        </w:rPr>
        <w:t>九、验收</w:t>
      </w:r>
    </w:p>
    <w:p>
      <w:pPr>
        <w:pStyle w:val="3"/>
        <w:snapToGrid w:val="0"/>
        <w:spacing w:line="288" w:lineRule="auto"/>
        <w:ind w:firstLine="424" w:firstLineChars="201"/>
        <w:rPr>
          <w:rFonts w:cs="宋体"/>
          <w:b/>
          <w:sz w:val="21"/>
          <w:szCs w:val="21"/>
          <w:highlight w:val="none"/>
        </w:rPr>
      </w:pPr>
      <w:r>
        <w:rPr>
          <w:rFonts w:hint="eastAsia" w:cs="宋体"/>
          <w:b/>
          <w:sz w:val="21"/>
          <w:szCs w:val="21"/>
          <w:highlight w:val="none"/>
        </w:rPr>
        <w:t>30.验收</w:t>
      </w:r>
    </w:p>
    <w:p>
      <w:pPr>
        <w:tabs>
          <w:tab w:val="left" w:pos="0"/>
        </w:tabs>
        <w:snapToGrid w:val="0"/>
        <w:spacing w:line="288" w:lineRule="auto"/>
        <w:ind w:firstLine="422" w:firstLineChars="201"/>
        <w:rPr>
          <w:rFonts w:ascii="宋体" w:hAnsi="宋体" w:cs="宋体"/>
          <w:kern w:val="0"/>
          <w:szCs w:val="21"/>
          <w:highlight w:val="none"/>
        </w:rPr>
      </w:pPr>
      <w:r>
        <w:rPr>
          <w:rFonts w:hint="eastAsia" w:ascii="宋体" w:hAnsi="宋体" w:cs="宋体"/>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288" w:lineRule="auto"/>
        <w:ind w:firstLine="422" w:firstLineChars="201"/>
        <w:rPr>
          <w:rFonts w:ascii="宋体" w:hAnsi="宋体" w:cs="宋体"/>
          <w:kern w:val="0"/>
          <w:szCs w:val="21"/>
          <w:highlight w:val="none"/>
        </w:rPr>
      </w:pPr>
      <w:r>
        <w:rPr>
          <w:rFonts w:hint="eastAsia" w:ascii="宋体" w:hAnsi="宋体" w:cs="宋体"/>
          <w:kern w:val="0"/>
          <w:szCs w:val="21"/>
          <w:highlight w:val="none"/>
        </w:rPr>
        <w:t>30.2采购人可以邀请参加本项目的其他投标人或者第三方机构参与验收。参与验收的投标人或者第三方机构的意见作为验收书的参考资料一并存档。</w:t>
      </w:r>
    </w:p>
    <w:p>
      <w:pPr>
        <w:tabs>
          <w:tab w:val="left" w:pos="0"/>
        </w:tabs>
        <w:snapToGrid w:val="0"/>
        <w:spacing w:line="288" w:lineRule="auto"/>
        <w:ind w:firstLine="422" w:firstLineChars="201"/>
        <w:rPr>
          <w:rFonts w:ascii="宋体" w:hAnsi="宋体" w:cs="宋体"/>
          <w:kern w:val="0"/>
          <w:szCs w:val="21"/>
          <w:highlight w:val="none"/>
        </w:rPr>
      </w:pPr>
      <w:r>
        <w:rPr>
          <w:rFonts w:hint="eastAsia" w:ascii="宋体" w:hAnsi="宋体" w:cs="宋体"/>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288" w:lineRule="auto"/>
        <w:ind w:firstLine="422" w:firstLineChars="201"/>
        <w:rPr>
          <w:rFonts w:ascii="宋体" w:hAnsi="宋体" w:cs="宋体"/>
          <w:szCs w:val="21"/>
          <w:highlight w:val="none"/>
        </w:rPr>
      </w:pPr>
      <w:r>
        <w:rPr>
          <w:rFonts w:hint="eastAsia" w:ascii="宋体" w:hAnsi="宋体" w:cs="宋体"/>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napToGrid w:val="0"/>
        <w:spacing w:line="288" w:lineRule="auto"/>
        <w:jc w:val="center"/>
        <w:outlineLvl w:val="0"/>
        <w:rPr>
          <w:rFonts w:ascii="宋体" w:hAnsi="宋体" w:cs="宋体"/>
          <w:kern w:val="0"/>
          <w:szCs w:val="21"/>
          <w:highlight w:val="none"/>
        </w:rPr>
      </w:pPr>
      <w:bookmarkStart w:id="15" w:name="_Hlt68073093"/>
      <w:bookmarkEnd w:id="15"/>
      <w:bookmarkStart w:id="16" w:name="_Hlt68072998"/>
      <w:bookmarkEnd w:id="16"/>
      <w:bookmarkStart w:id="17" w:name="_Hlt75236011"/>
      <w:bookmarkEnd w:id="17"/>
      <w:bookmarkStart w:id="18" w:name="_Hlt75236290"/>
      <w:bookmarkEnd w:id="18"/>
      <w:bookmarkStart w:id="19" w:name="_Hlt68072990"/>
      <w:bookmarkEnd w:id="19"/>
      <w:bookmarkStart w:id="20" w:name="_Hlt68057669"/>
      <w:bookmarkEnd w:id="20"/>
      <w:bookmarkStart w:id="21" w:name="_Hlt74714665"/>
      <w:bookmarkEnd w:id="21"/>
      <w:bookmarkStart w:id="22" w:name="_Hlt75236101"/>
      <w:bookmarkEnd w:id="22"/>
      <w:bookmarkStart w:id="23" w:name="_Hlt74707468"/>
      <w:bookmarkEnd w:id="23"/>
      <w:bookmarkStart w:id="24" w:name="_Hlt68403820"/>
      <w:bookmarkEnd w:id="24"/>
      <w:bookmarkStart w:id="25" w:name="_Hlt74729768"/>
      <w:bookmarkEnd w:id="25"/>
      <w:bookmarkStart w:id="26" w:name="_Hlt74730295"/>
      <w:bookmarkEnd w:id="26"/>
      <w:r>
        <w:rPr>
          <w:highlight w:val="none"/>
        </w:rPr>
        <w:br w:type="page"/>
      </w:r>
      <w:bookmarkEnd w:id="11"/>
      <w:bookmarkEnd w:id="12"/>
      <w:bookmarkStart w:id="27" w:name="第四部分"/>
      <w:r>
        <w:rPr>
          <w:rFonts w:hint="eastAsia" w:ascii="宋体" w:hAnsi="宋体" w:cs="宋体"/>
          <w:b/>
          <w:szCs w:val="21"/>
          <w:highlight w:val="none"/>
        </w:rPr>
        <w:t>第三部分 采购需求</w:t>
      </w:r>
    </w:p>
    <w:p>
      <w:pPr>
        <w:autoSpaceDE w:val="0"/>
        <w:autoSpaceDN w:val="0"/>
        <w:snapToGrid w:val="0"/>
        <w:spacing w:line="362" w:lineRule="auto"/>
        <w:jc w:val="left"/>
        <w:outlineLvl w:val="1"/>
        <w:rPr>
          <w:rFonts w:ascii="宋体" w:hAnsi="宋体"/>
          <w:b/>
          <w:szCs w:val="21"/>
          <w:highlight w:val="none"/>
        </w:rPr>
      </w:pPr>
      <w:r>
        <w:rPr>
          <w:rFonts w:hint="eastAsia" w:ascii="宋体" w:hAnsi="宋体"/>
          <w:b/>
          <w:szCs w:val="21"/>
          <w:highlight w:val="none"/>
        </w:rPr>
        <w:t>一、为落实政府采购政策需满足的要求</w:t>
      </w:r>
    </w:p>
    <w:tbl>
      <w:tblPr>
        <w:tblStyle w:val="6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utoSpaceDE w:val="0"/>
              <w:autoSpaceDN w:val="0"/>
              <w:snapToGrid w:val="0"/>
              <w:spacing w:line="288" w:lineRule="auto"/>
              <w:jc w:val="left"/>
              <w:rPr>
                <w:rFonts w:ascii="宋体" w:hAnsi="宋体" w:cs="宋体"/>
                <w:b/>
                <w:bCs/>
                <w:szCs w:val="21"/>
                <w:highlight w:val="none"/>
              </w:rPr>
            </w:pPr>
            <w:bookmarkStart w:id="28" w:name="_Hlk45005599"/>
            <w:r>
              <w:rPr>
                <w:rFonts w:hint="eastAsia" w:ascii="宋体" w:hAnsi="宋体" w:cs="宋体"/>
                <w:b/>
                <w:bCs/>
                <w:szCs w:val="21"/>
                <w:highlight w:val="none"/>
              </w:rPr>
              <w:t>序号</w:t>
            </w:r>
          </w:p>
        </w:tc>
        <w:tc>
          <w:tcPr>
            <w:tcW w:w="3256"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b/>
                <w:bCs/>
                <w:szCs w:val="21"/>
                <w:highlight w:val="none"/>
              </w:rPr>
              <w:t>政策名称</w:t>
            </w:r>
          </w:p>
        </w:tc>
        <w:tc>
          <w:tcPr>
            <w:tcW w:w="5529"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b/>
                <w:bCs/>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rPr>
              <w:t>1</w:t>
            </w:r>
          </w:p>
        </w:tc>
        <w:tc>
          <w:tcPr>
            <w:tcW w:w="3256"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rPr>
              <w:t>政府采购进口产品</w:t>
            </w:r>
          </w:p>
        </w:tc>
        <w:tc>
          <w:tcPr>
            <w:tcW w:w="5529"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rPr>
              <w:t>2</w:t>
            </w:r>
          </w:p>
        </w:tc>
        <w:tc>
          <w:tcPr>
            <w:tcW w:w="3256"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rPr>
              <w:t>政府强制采购节能产品</w:t>
            </w:r>
          </w:p>
        </w:tc>
        <w:tc>
          <w:tcPr>
            <w:tcW w:w="5529" w:type="dxa"/>
            <w:vAlign w:val="center"/>
          </w:tcPr>
          <w:p>
            <w:pPr>
              <w:autoSpaceDE w:val="0"/>
              <w:autoSpaceDN w:val="0"/>
              <w:snapToGrid w:val="0"/>
              <w:spacing w:line="288" w:lineRule="auto"/>
              <w:jc w:val="left"/>
              <w:rPr>
                <w:rFonts w:hint="eastAsia" w:ascii="宋体" w:hAnsi="宋体" w:eastAsia="宋体" w:cs="宋体"/>
                <w:b/>
                <w:bCs/>
                <w:szCs w:val="21"/>
                <w:highlight w:val="none"/>
                <w:lang w:eastAsia="zh-CN"/>
              </w:rPr>
            </w:pPr>
            <w:r>
              <w:rPr>
                <w:rFonts w:hint="eastAsia" w:ascii="宋体" w:hAnsi="宋体" w:cs="宋体"/>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rPr>
              <w:t>3</w:t>
            </w:r>
          </w:p>
        </w:tc>
        <w:tc>
          <w:tcPr>
            <w:tcW w:w="3256"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rPr>
              <w:t>政府优先采购节能、环保产品</w:t>
            </w:r>
          </w:p>
        </w:tc>
        <w:tc>
          <w:tcPr>
            <w:tcW w:w="5529" w:type="dxa"/>
            <w:vAlign w:val="center"/>
          </w:tcPr>
          <w:p>
            <w:pPr>
              <w:autoSpaceDE w:val="0"/>
              <w:autoSpaceDN w:val="0"/>
              <w:snapToGrid w:val="0"/>
              <w:spacing w:line="288" w:lineRule="auto"/>
              <w:jc w:val="left"/>
              <w:rPr>
                <w:rFonts w:ascii="宋体" w:hAnsi="宋体" w:cs="宋体"/>
                <w:b/>
                <w:bCs/>
                <w:szCs w:val="21"/>
                <w:highlight w:val="none"/>
              </w:rPr>
            </w:pPr>
            <w:r>
              <w:rPr>
                <w:rFonts w:hint="eastAsia" w:ascii="宋体" w:hAnsi="宋体" w:cs="宋体"/>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rPr>
              <w:t>4</w:t>
            </w:r>
          </w:p>
        </w:tc>
        <w:tc>
          <w:tcPr>
            <w:tcW w:w="3256"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rPr>
              <w:t>政府采购支持科技创新</w:t>
            </w:r>
          </w:p>
        </w:tc>
        <w:tc>
          <w:tcPr>
            <w:tcW w:w="5529"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utoSpaceDE w:val="0"/>
              <w:autoSpaceDN w:val="0"/>
              <w:snapToGrid w:val="0"/>
              <w:spacing w:line="288" w:lineRule="auto"/>
              <w:jc w:val="left"/>
              <w:rPr>
                <w:rFonts w:ascii="宋体" w:hAnsi="宋体" w:cs="宋体"/>
                <w:b/>
                <w:bCs/>
                <w:color w:val="auto"/>
                <w:szCs w:val="21"/>
                <w:highlight w:val="none"/>
              </w:rPr>
            </w:pPr>
            <w:r>
              <w:rPr>
                <w:rFonts w:hint="eastAsia" w:ascii="宋体" w:hAnsi="宋体" w:cs="宋体"/>
                <w:color w:val="auto"/>
                <w:szCs w:val="21"/>
                <w:highlight w:val="none"/>
              </w:rPr>
              <w:t>5</w:t>
            </w:r>
          </w:p>
        </w:tc>
        <w:tc>
          <w:tcPr>
            <w:tcW w:w="3256" w:type="dxa"/>
            <w:vAlign w:val="center"/>
          </w:tcPr>
          <w:p>
            <w:pPr>
              <w:autoSpaceDE w:val="0"/>
              <w:autoSpaceDN w:val="0"/>
              <w:snapToGrid w:val="0"/>
              <w:spacing w:line="288" w:lineRule="auto"/>
              <w:jc w:val="left"/>
              <w:rPr>
                <w:rFonts w:ascii="宋体" w:hAnsi="宋体" w:cs="宋体"/>
                <w:color w:val="auto"/>
                <w:szCs w:val="21"/>
                <w:highlight w:val="none"/>
              </w:rPr>
            </w:pPr>
            <w:r>
              <w:rPr>
                <w:rFonts w:hint="eastAsia" w:ascii="宋体" w:hAnsi="宋体" w:cs="宋体"/>
                <w:color w:val="auto"/>
                <w:szCs w:val="21"/>
                <w:highlight w:val="none"/>
              </w:rPr>
              <w:t>政府采购促进中小企业发展</w:t>
            </w:r>
          </w:p>
        </w:tc>
        <w:tc>
          <w:tcPr>
            <w:tcW w:w="5529" w:type="dxa"/>
            <w:vAlign w:val="center"/>
          </w:tcPr>
          <w:p>
            <w:pPr>
              <w:pStyle w:val="5"/>
              <w:spacing w:line="288" w:lineRule="auto"/>
              <w:ind w:left="0" w:firstLine="0"/>
              <w:rPr>
                <w:rFonts w:ascii="宋体" w:hAnsi="宋体" w:eastAsia="宋体" w:cs="宋体"/>
                <w:b w:val="0"/>
                <w:bCs w:val="0"/>
                <w:color w:val="auto"/>
                <w:sz w:val="21"/>
                <w:szCs w:val="24"/>
                <w:highlight w:val="none"/>
                <w:u w:val="single"/>
                <w:lang w:val="en-US"/>
              </w:rPr>
            </w:pPr>
            <w:r>
              <w:rPr>
                <w:rFonts w:hint="eastAsia" w:ascii="宋体" w:hAnsi="宋体" w:eastAsia="宋体" w:cs="宋体"/>
                <w:b w:val="0"/>
                <w:bCs w:val="0"/>
                <w:color w:val="auto"/>
                <w:sz w:val="21"/>
                <w:szCs w:val="24"/>
                <w:highlight w:val="none"/>
                <w:u w:val="single"/>
                <w:lang w:val="en-US"/>
              </w:rPr>
              <w:t>提供材料详见招标文件第六部分“</w:t>
            </w:r>
            <w:r>
              <w:rPr>
                <w:rFonts w:hint="eastAsia" w:ascii="宋体" w:hAnsi="宋体" w:eastAsia="宋体" w:cs="宋体"/>
                <w:b w:val="0"/>
                <w:bCs w:val="0"/>
                <w:color w:val="auto"/>
                <w:sz w:val="21"/>
                <w:szCs w:val="24"/>
                <w:highlight w:val="none"/>
                <w:u w:val="single"/>
                <w:lang w:val="en-US" w:eastAsia="zh-CN"/>
              </w:rPr>
              <w:t>资格</w:t>
            </w:r>
            <w:r>
              <w:rPr>
                <w:rFonts w:hint="eastAsia" w:ascii="宋体" w:hAnsi="宋体" w:eastAsia="宋体" w:cs="宋体"/>
                <w:b w:val="0"/>
                <w:bCs w:val="0"/>
                <w:color w:val="auto"/>
                <w:sz w:val="21"/>
                <w:szCs w:val="24"/>
                <w:highlight w:val="none"/>
                <w:u w:val="single"/>
                <w:lang w:val="en-US"/>
              </w:rPr>
              <w:t>文件部分”</w:t>
            </w:r>
          </w:p>
          <w:p>
            <w:pPr>
              <w:pStyle w:val="5"/>
              <w:spacing w:line="288" w:lineRule="auto"/>
              <w:ind w:left="0" w:firstLine="0"/>
              <w:rPr>
                <w:rFonts w:hint="eastAsia" w:ascii="宋体" w:hAnsi="宋体" w:eastAsia="宋体" w:cs="宋体"/>
                <w:b w:val="0"/>
                <w:bCs w:val="0"/>
                <w:color w:val="auto"/>
                <w:sz w:val="21"/>
                <w:szCs w:val="24"/>
                <w:highlight w:val="none"/>
                <w:u w:val="single"/>
                <w:lang w:val="en-US" w:eastAsia="zh-CN"/>
              </w:rPr>
            </w:pPr>
            <w:r>
              <w:rPr>
                <w:rFonts w:hint="eastAsia" w:ascii="宋体" w:hAnsi="宋体" w:eastAsia="宋体" w:cs="宋体"/>
                <w:b w:val="0"/>
                <w:bCs w:val="0"/>
                <w:color w:val="auto"/>
                <w:sz w:val="21"/>
                <w:szCs w:val="24"/>
                <w:highlight w:val="none"/>
                <w:u w:val="single"/>
                <w:lang w:val="en-US"/>
              </w:rPr>
              <w:t>本项目属性为：</w:t>
            </w:r>
            <w:r>
              <w:rPr>
                <w:rFonts w:hint="eastAsia" w:ascii="宋体" w:hAnsi="宋体" w:eastAsia="宋体" w:cs="宋体"/>
                <w:b w:val="0"/>
                <w:bCs w:val="0"/>
                <w:color w:val="auto"/>
                <w:sz w:val="21"/>
                <w:szCs w:val="24"/>
                <w:highlight w:val="none"/>
                <w:u w:val="single"/>
                <w:lang w:val="en-US" w:eastAsia="zh-CN"/>
              </w:rPr>
              <w:t>服务</w:t>
            </w:r>
          </w:p>
          <w:p>
            <w:pPr>
              <w:snapToGrid w:val="0"/>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标的</w:t>
            </w:r>
            <w:r>
              <w:rPr>
                <w:rFonts w:hint="eastAsia" w:ascii="宋体" w:hAnsi="宋体" w:cs="宋体"/>
                <w:color w:val="auto"/>
                <w:kern w:val="0"/>
                <w:szCs w:val="21"/>
                <w:highlight w:val="none"/>
                <w:lang w:val="en-US" w:eastAsia="zh-CN"/>
              </w:rPr>
              <w:t>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标识标牌及导视设施采购项目（文化设计采购项目）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其他未列明行业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行业；</w:t>
            </w:r>
          </w:p>
          <w:p>
            <w:pPr>
              <w:pStyle w:val="5"/>
              <w:keepNext w:val="0"/>
              <w:keepLines w:val="0"/>
              <w:adjustRightInd w:val="0"/>
              <w:snapToGrid w:val="0"/>
              <w:spacing w:line="288" w:lineRule="auto"/>
              <w:ind w:left="0" w:firstLine="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采购标的对应的中小企业划分标准所属行业：</w:t>
            </w:r>
            <w:r>
              <w:rPr>
                <w:rFonts w:hint="eastAsia" w:ascii="宋体" w:hAnsi="宋体" w:eastAsia="宋体" w:cs="宋体"/>
                <w:color w:val="auto"/>
                <w:sz w:val="21"/>
                <w:szCs w:val="21"/>
                <w:highlight w:val="none"/>
                <w:lang w:val="en-US" w:eastAsia="zh-CN"/>
              </w:rPr>
              <w:t>其他未列明行业</w:t>
            </w:r>
          </w:p>
          <w:p>
            <w:pPr>
              <w:spacing w:line="288" w:lineRule="auto"/>
              <w:rPr>
                <w:rFonts w:ascii="宋体" w:hAnsi="宋体" w:cs="宋体"/>
                <w:color w:val="auto"/>
                <w:highlight w:val="none"/>
              </w:rPr>
            </w:pPr>
            <w:r>
              <w:rPr>
                <w:rFonts w:hint="eastAsia" w:ascii="宋体" w:hAnsi="宋体" w:eastAsia="宋体" w:cs="宋体"/>
                <w:b/>
                <w:bCs/>
                <w:color w:val="auto"/>
                <w:sz w:val="21"/>
                <w:szCs w:val="21"/>
                <w:highlight w:val="none"/>
                <w:lang w:val="en-US"/>
              </w:rPr>
              <w:t>中小企业划型标准：</w:t>
            </w:r>
            <w:r>
              <w:rPr>
                <w:rFonts w:hint="eastAsia" w:ascii="宋体" w:hAnsi="宋体" w:eastAsia="宋体" w:cs="宋体"/>
                <w:b w:val="0"/>
                <w:bCs w:val="0"/>
                <w:color w:val="auto"/>
                <w:sz w:val="21"/>
                <w:szCs w:val="21"/>
                <w:highlight w:val="none"/>
                <w:lang w:val="en-US"/>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rPr>
              <w:t>6</w:t>
            </w:r>
          </w:p>
        </w:tc>
        <w:tc>
          <w:tcPr>
            <w:tcW w:w="3256"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rPr>
              <w:t>政府采购支持监狱企业发展</w:t>
            </w:r>
          </w:p>
        </w:tc>
        <w:tc>
          <w:tcPr>
            <w:tcW w:w="5529" w:type="dxa"/>
            <w:vAlign w:val="center"/>
          </w:tcPr>
          <w:p>
            <w:pPr>
              <w:autoSpaceDE w:val="0"/>
              <w:autoSpaceDN w:val="0"/>
              <w:snapToGrid w:val="0"/>
              <w:spacing w:line="288" w:lineRule="auto"/>
              <w:jc w:val="left"/>
              <w:rPr>
                <w:rFonts w:ascii="宋体" w:hAnsi="宋体"/>
                <w:b/>
                <w:bCs/>
                <w:szCs w:val="21"/>
                <w:highlight w:val="none"/>
              </w:rPr>
            </w:pPr>
            <w:r>
              <w:rPr>
                <w:rFonts w:hint="eastAsia" w:ascii="宋体" w:hAnsi="宋体" w:cs="宋体"/>
                <w:szCs w:val="21"/>
                <w:highlight w:val="none"/>
              </w:rPr>
              <w:t>提供材料详见招标文件第六部分“</w:t>
            </w:r>
            <w:r>
              <w:rPr>
                <w:rFonts w:hint="eastAsia" w:ascii="宋体" w:hAnsi="宋体" w:cs="宋体"/>
                <w:szCs w:val="21"/>
                <w:highlight w:val="none"/>
                <w:lang w:val="en-US" w:eastAsia="zh-CN"/>
              </w:rPr>
              <w:t>资格</w:t>
            </w:r>
            <w:r>
              <w:rPr>
                <w:rFonts w:hint="eastAsia" w:ascii="宋体" w:hAnsi="宋体" w:cs="宋体"/>
                <w:szCs w:val="21"/>
                <w:highlight w:val="none"/>
              </w:rPr>
              <w:t>文件部分”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rPr>
              <w:t>7</w:t>
            </w:r>
          </w:p>
        </w:tc>
        <w:tc>
          <w:tcPr>
            <w:tcW w:w="3256"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rPr>
              <w:t>政府采购促进残疾人就业</w:t>
            </w:r>
          </w:p>
        </w:tc>
        <w:tc>
          <w:tcPr>
            <w:tcW w:w="5529" w:type="dxa"/>
            <w:vAlign w:val="center"/>
          </w:tcPr>
          <w:p>
            <w:pPr>
              <w:autoSpaceDE w:val="0"/>
              <w:autoSpaceDN w:val="0"/>
              <w:snapToGrid w:val="0"/>
              <w:spacing w:line="288" w:lineRule="auto"/>
              <w:jc w:val="left"/>
              <w:rPr>
                <w:rFonts w:ascii="宋体" w:hAnsi="宋体" w:cs="宋体"/>
                <w:szCs w:val="21"/>
                <w:highlight w:val="none"/>
              </w:rPr>
            </w:pPr>
            <w:r>
              <w:rPr>
                <w:rFonts w:hint="eastAsia" w:ascii="宋体" w:hAnsi="宋体" w:cs="宋体"/>
                <w:szCs w:val="21"/>
                <w:highlight w:val="none"/>
              </w:rPr>
              <w:t>提供材料详见招标文件第六部分“</w:t>
            </w:r>
            <w:r>
              <w:rPr>
                <w:rFonts w:hint="eastAsia" w:ascii="宋体" w:hAnsi="宋体" w:cs="宋体"/>
                <w:szCs w:val="21"/>
                <w:highlight w:val="none"/>
                <w:lang w:val="en-US" w:eastAsia="zh-CN"/>
              </w:rPr>
              <w:t>资格</w:t>
            </w:r>
            <w:r>
              <w:rPr>
                <w:rFonts w:hint="eastAsia" w:ascii="宋体" w:hAnsi="宋体" w:cs="宋体"/>
                <w:szCs w:val="21"/>
                <w:highlight w:val="none"/>
              </w:rPr>
              <w:t>文件部分”</w:t>
            </w:r>
          </w:p>
        </w:tc>
      </w:tr>
      <w:bookmarkEnd w:id="28"/>
    </w:tbl>
    <w:p>
      <w:pPr>
        <w:autoSpaceDE w:val="0"/>
        <w:autoSpaceDN w:val="0"/>
        <w:snapToGrid w:val="0"/>
        <w:spacing w:line="362" w:lineRule="auto"/>
        <w:jc w:val="left"/>
        <w:rPr>
          <w:rFonts w:ascii="宋体" w:hAnsi="宋体"/>
          <w:b/>
          <w:spacing w:val="-4"/>
          <w:szCs w:val="21"/>
          <w:highlight w:val="none"/>
        </w:rPr>
      </w:pPr>
    </w:p>
    <w:p>
      <w:pPr>
        <w:autoSpaceDE w:val="0"/>
        <w:autoSpaceDN w:val="0"/>
        <w:snapToGrid w:val="0"/>
        <w:spacing w:line="362" w:lineRule="auto"/>
        <w:jc w:val="left"/>
        <w:outlineLvl w:val="1"/>
        <w:rPr>
          <w:rFonts w:ascii="宋体" w:hAnsi="宋体"/>
          <w:b/>
          <w:szCs w:val="21"/>
          <w:highlight w:val="none"/>
        </w:rPr>
      </w:pPr>
      <w:r>
        <w:rPr>
          <w:rFonts w:hint="eastAsia" w:ascii="宋体" w:hAnsi="宋体"/>
          <w:b/>
          <w:szCs w:val="21"/>
          <w:highlight w:val="none"/>
        </w:rPr>
        <w:t>二、采购资金的支付方式、时间、条件</w:t>
      </w:r>
    </w:p>
    <w:tbl>
      <w:tblPr>
        <w:tblStyle w:val="6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jc w:val="center"/>
              <w:rPr>
                <w:rFonts w:ascii="宋体" w:hAnsi="宋体"/>
                <w:b/>
                <w:spacing w:val="-6"/>
                <w:szCs w:val="21"/>
                <w:highlight w:val="none"/>
              </w:rPr>
            </w:pPr>
            <w:bookmarkStart w:id="29" w:name="_Hlk45005608"/>
            <w:r>
              <w:rPr>
                <w:rFonts w:hint="eastAsia" w:ascii="宋体" w:hAnsi="宋体"/>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jc w:val="left"/>
              <w:rPr>
                <w:rFonts w:ascii="宋体" w:hAnsi="宋体" w:cs="宋体"/>
                <w:spacing w:val="-6"/>
                <w:kern w:val="0"/>
                <w:szCs w:val="21"/>
                <w:highlight w:val="none"/>
              </w:rPr>
            </w:pPr>
            <w:r>
              <w:rPr>
                <w:rFonts w:hint="eastAsia" w:ascii="宋体" w:hAnsi="宋体" w:cs="宋体"/>
                <w:spacing w:val="-6"/>
                <w:kern w:val="0"/>
                <w:szCs w:val="21"/>
                <w:highlight w:val="none"/>
              </w:rPr>
              <w:t>1.合同签订后一周内，中标人向采购人提交合同总价</w:t>
            </w:r>
            <w:r>
              <w:rPr>
                <w:rFonts w:ascii="宋体" w:hAnsi="宋体" w:cs="宋体"/>
                <w:spacing w:val="-6"/>
                <w:kern w:val="0"/>
                <w:szCs w:val="21"/>
                <w:highlight w:val="none"/>
              </w:rPr>
              <w:t>1</w:t>
            </w:r>
            <w:r>
              <w:rPr>
                <w:rFonts w:hint="eastAsia" w:ascii="宋体" w:hAnsi="宋体" w:cs="宋体"/>
                <w:spacing w:val="-6"/>
                <w:kern w:val="0"/>
                <w:szCs w:val="21"/>
                <w:highlight w:val="none"/>
              </w:rPr>
              <w:t>%的履约保证金，履约保证金在合同履约期间无违约情形的，项目验收结束后，于一周内退还（不计息）；逾期退还的，自逾期之日起，向中标人每日偿付合同价款的0.05%的违约金；</w:t>
            </w:r>
          </w:p>
          <w:p>
            <w:pPr>
              <w:autoSpaceDE w:val="0"/>
              <w:autoSpaceDN w:val="0"/>
              <w:snapToGrid w:val="0"/>
              <w:spacing w:line="288" w:lineRule="auto"/>
              <w:jc w:val="left"/>
              <w:rPr>
                <w:rFonts w:ascii="宋体" w:hAnsi="宋体" w:cs="宋体"/>
                <w:spacing w:val="-6"/>
                <w:kern w:val="0"/>
                <w:szCs w:val="21"/>
                <w:highlight w:val="none"/>
              </w:rPr>
            </w:pPr>
            <w:r>
              <w:rPr>
                <w:rFonts w:hint="eastAsia" w:ascii="宋体" w:hAnsi="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jc w:val="center"/>
              <w:rPr>
                <w:rFonts w:ascii="宋体" w:hAnsi="宋体"/>
                <w:b/>
                <w:spacing w:val="-6"/>
                <w:szCs w:val="21"/>
                <w:highlight w:val="none"/>
              </w:rPr>
            </w:pPr>
            <w:r>
              <w:rPr>
                <w:rFonts w:hint="eastAsia" w:ascii="宋体" w:hAnsi="宋体"/>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jc w:val="left"/>
              <w:rPr>
                <w:rFonts w:hint="eastAsia" w:ascii="宋体" w:hAnsi="宋体" w:cs="宋体"/>
                <w:spacing w:val="-6"/>
                <w:kern w:val="0"/>
                <w:szCs w:val="21"/>
                <w:highlight w:val="none"/>
              </w:rPr>
            </w:pPr>
            <w:r>
              <w:rPr>
                <w:rFonts w:hint="eastAsia" w:ascii="宋体" w:hAnsi="宋体" w:cs="宋体"/>
                <w:spacing w:val="-6"/>
                <w:kern w:val="0"/>
                <w:szCs w:val="21"/>
                <w:highlight w:val="none"/>
              </w:rPr>
              <w:t>1.预付款：</w:t>
            </w:r>
          </w:p>
          <w:p>
            <w:pPr>
              <w:autoSpaceDE w:val="0"/>
              <w:autoSpaceDN w:val="0"/>
              <w:snapToGrid w:val="0"/>
              <w:spacing w:line="288" w:lineRule="auto"/>
              <w:jc w:val="left"/>
              <w:rPr>
                <w:rFonts w:hint="eastAsia" w:ascii="宋体" w:hAnsi="宋体" w:cs="宋体"/>
                <w:spacing w:val="-6"/>
                <w:kern w:val="0"/>
                <w:szCs w:val="21"/>
                <w:highlight w:val="none"/>
              </w:rPr>
            </w:pPr>
            <w:r>
              <w:rPr>
                <w:rFonts w:hint="eastAsia" w:ascii="宋体" w:hAnsi="宋体" w:cs="宋体"/>
                <w:spacing w:val="-6"/>
                <w:kern w:val="0"/>
                <w:szCs w:val="21"/>
                <w:highlight w:val="none"/>
              </w:rPr>
              <w:t>1.1.支付条件：供应商提交银行、保险公司等金融机构出具的预付款保函的；</w:t>
            </w:r>
          </w:p>
          <w:p>
            <w:pPr>
              <w:autoSpaceDE w:val="0"/>
              <w:autoSpaceDN w:val="0"/>
              <w:snapToGrid w:val="0"/>
              <w:spacing w:line="288" w:lineRule="auto"/>
              <w:jc w:val="left"/>
              <w:rPr>
                <w:rFonts w:hint="eastAsia" w:ascii="宋体" w:hAnsi="宋体" w:cs="宋体"/>
                <w:spacing w:val="-6"/>
                <w:kern w:val="0"/>
                <w:szCs w:val="21"/>
                <w:highlight w:val="none"/>
              </w:rPr>
            </w:pPr>
            <w:r>
              <w:rPr>
                <w:rFonts w:hint="eastAsia" w:ascii="宋体" w:hAnsi="宋体" w:cs="宋体"/>
                <w:spacing w:val="-6"/>
                <w:kern w:val="0"/>
                <w:szCs w:val="21"/>
                <w:highlight w:val="none"/>
              </w:rPr>
              <w:t>1.2.支付时间、数额：合同生效且供应商出具预付款保函后</w:t>
            </w:r>
            <w:r>
              <w:rPr>
                <w:rFonts w:hint="eastAsia" w:ascii="宋体" w:hAnsi="宋体" w:cs="宋体"/>
                <w:spacing w:val="-6"/>
                <w:kern w:val="0"/>
                <w:szCs w:val="21"/>
                <w:highlight w:val="none"/>
                <w:lang w:val="en-US" w:eastAsia="zh-CN"/>
              </w:rPr>
              <w:t>5</w:t>
            </w:r>
            <w:r>
              <w:rPr>
                <w:rFonts w:hint="eastAsia" w:ascii="宋体" w:hAnsi="宋体" w:cs="宋体"/>
                <w:spacing w:val="-6"/>
                <w:kern w:val="0"/>
                <w:szCs w:val="21"/>
                <w:highlight w:val="none"/>
              </w:rPr>
              <w:t>个工作日内，采购人向中标供应商支付合同金额40%的预付款。</w:t>
            </w:r>
          </w:p>
          <w:p>
            <w:pPr>
              <w:autoSpaceDE w:val="0"/>
              <w:autoSpaceDN w:val="0"/>
              <w:snapToGrid w:val="0"/>
              <w:spacing w:line="288" w:lineRule="auto"/>
              <w:jc w:val="left"/>
              <w:rPr>
                <w:rFonts w:hint="eastAsia" w:ascii="宋体" w:hAnsi="宋体" w:cs="宋体"/>
                <w:spacing w:val="-6"/>
                <w:kern w:val="0"/>
                <w:szCs w:val="21"/>
                <w:highlight w:val="none"/>
              </w:rPr>
            </w:pPr>
            <w:r>
              <w:rPr>
                <w:rFonts w:hint="eastAsia" w:ascii="宋体" w:hAnsi="宋体" w:cs="宋体"/>
                <w:spacing w:val="-6"/>
                <w:kern w:val="0"/>
                <w:szCs w:val="21"/>
                <w:highlight w:val="none"/>
              </w:rPr>
              <w:t>备注：签订合同时，供应商明确表示无需预付款或者主动要求降低预付款比例的，采购单位可不适用前述规定。</w:t>
            </w:r>
          </w:p>
          <w:p>
            <w:pPr>
              <w:autoSpaceDE w:val="0"/>
              <w:autoSpaceDN w:val="0"/>
              <w:snapToGrid w:val="0"/>
              <w:spacing w:line="288" w:lineRule="auto"/>
              <w:jc w:val="left"/>
              <w:rPr>
                <w:rFonts w:ascii="宋体" w:hAnsi="宋体" w:cs="宋体"/>
                <w:spacing w:val="-6"/>
                <w:kern w:val="0"/>
                <w:szCs w:val="21"/>
                <w:highlight w:val="none"/>
              </w:rPr>
            </w:pPr>
            <w:r>
              <w:rPr>
                <w:rFonts w:hint="eastAsia" w:ascii="宋体" w:hAnsi="宋体" w:cs="宋体"/>
                <w:spacing w:val="-6"/>
                <w:kern w:val="0"/>
                <w:szCs w:val="21"/>
                <w:highlight w:val="none"/>
              </w:rPr>
              <w:t>2.项目完成后，经采购人验收合格后，采购人自收到发票后</w:t>
            </w:r>
            <w:r>
              <w:rPr>
                <w:rFonts w:hint="eastAsia" w:ascii="宋体" w:hAnsi="宋体" w:cs="宋体"/>
                <w:spacing w:val="-6"/>
                <w:kern w:val="0"/>
                <w:szCs w:val="21"/>
                <w:highlight w:val="none"/>
                <w:lang w:val="en-US" w:eastAsia="zh-CN"/>
              </w:rPr>
              <w:t>5</w:t>
            </w:r>
            <w:r>
              <w:rPr>
                <w:rFonts w:hint="eastAsia" w:ascii="宋体" w:hAnsi="宋体" w:cs="宋体"/>
                <w:spacing w:val="-6"/>
                <w:kern w:val="0"/>
                <w:szCs w:val="21"/>
                <w:highlight w:val="none"/>
              </w:rPr>
              <w:t>个工作日内，支付至合同金额的100%。逾期支付货款的，自逾期之日起，向中标人每日偿付未付价款0.05%的滞纳金。</w:t>
            </w:r>
          </w:p>
        </w:tc>
      </w:tr>
      <w:bookmarkEnd w:id="29"/>
    </w:tbl>
    <w:p>
      <w:pPr>
        <w:autoSpaceDE w:val="0"/>
        <w:autoSpaceDN w:val="0"/>
        <w:snapToGrid w:val="0"/>
        <w:spacing w:line="362" w:lineRule="auto"/>
        <w:jc w:val="left"/>
        <w:rPr>
          <w:rFonts w:ascii="宋体" w:hAnsi="宋体"/>
          <w:spacing w:val="-4"/>
          <w:szCs w:val="21"/>
          <w:highlight w:val="none"/>
        </w:rPr>
      </w:pPr>
    </w:p>
    <w:p>
      <w:pPr>
        <w:autoSpaceDE w:val="0"/>
        <w:autoSpaceDN w:val="0"/>
        <w:snapToGrid w:val="0"/>
        <w:spacing w:line="362" w:lineRule="auto"/>
        <w:jc w:val="left"/>
        <w:outlineLvl w:val="1"/>
        <w:rPr>
          <w:rFonts w:ascii="宋体" w:hAnsi="宋体"/>
          <w:b/>
          <w:szCs w:val="21"/>
          <w:highlight w:val="none"/>
        </w:rPr>
      </w:pPr>
      <w:r>
        <w:rPr>
          <w:rFonts w:hint="eastAsia" w:ascii="宋体" w:hAnsi="宋体"/>
          <w:b/>
          <w:szCs w:val="21"/>
          <w:highlight w:val="none"/>
        </w:rPr>
        <w:t>三、服务要求</w:t>
      </w:r>
    </w:p>
    <w:tbl>
      <w:tblPr>
        <w:tblStyle w:val="6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center"/>
              <w:rPr>
                <w:rFonts w:ascii="宋体" w:hAnsi="宋体" w:cs="宋体"/>
                <w:b/>
                <w:bCs/>
                <w:szCs w:val="21"/>
                <w:highlight w:val="none"/>
              </w:rPr>
            </w:pPr>
            <w:r>
              <w:rPr>
                <w:rFonts w:hint="eastAsia" w:ascii="宋体" w:hAnsi="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rPr>
                <w:rFonts w:hint="default" w:ascii="宋体" w:hAnsi="宋体" w:eastAsia="宋体" w:cs="宋体"/>
                <w:szCs w:val="21"/>
                <w:highlight w:val="none"/>
                <w:lang w:val="en-US" w:eastAsia="zh-CN"/>
              </w:rPr>
            </w:pPr>
            <w:r>
              <w:rPr>
                <w:rFonts w:hint="eastAsia" w:ascii="宋体" w:hAnsi="宋体" w:cs="宋体"/>
                <w:szCs w:val="21"/>
                <w:highlight w:val="none"/>
              </w:rPr>
              <w:t>合同签订后</w:t>
            </w:r>
            <w:r>
              <w:rPr>
                <w:rFonts w:hint="eastAsia" w:ascii="宋体" w:hAnsi="宋体" w:cs="宋体"/>
                <w:szCs w:val="21"/>
                <w:highlight w:val="none"/>
                <w:lang w:val="en-US" w:eastAsia="zh-CN"/>
              </w:rPr>
              <w:t>40日内完成交付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center"/>
              <w:rPr>
                <w:rFonts w:ascii="宋体" w:hAnsi="宋体" w:cs="宋体"/>
                <w:b/>
                <w:bCs/>
                <w:szCs w:val="21"/>
                <w:highlight w:val="none"/>
              </w:rPr>
            </w:pPr>
            <w:r>
              <w:rPr>
                <w:rFonts w:hint="eastAsia" w:ascii="宋体" w:hAnsi="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rPr>
                <w:rFonts w:ascii="宋体" w:hAnsi="宋体" w:cs="宋体"/>
                <w:szCs w:val="21"/>
                <w:highlight w:val="none"/>
              </w:rPr>
            </w:pPr>
            <w:r>
              <w:rPr>
                <w:rFonts w:hint="eastAsia" w:ascii="宋体" w:hAnsi="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center"/>
              <w:rPr>
                <w:rFonts w:ascii="宋体" w:hAnsi="宋体" w:cs="宋体"/>
                <w:b/>
                <w:bCs/>
                <w:szCs w:val="21"/>
                <w:highlight w:val="none"/>
              </w:rPr>
            </w:pPr>
            <w:r>
              <w:rPr>
                <w:rFonts w:hint="eastAsia" w:ascii="宋体" w:hAnsi="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年，项目验收合格后开始计算。</w:t>
            </w:r>
          </w:p>
        </w:tc>
      </w:tr>
    </w:tbl>
    <w:p>
      <w:pPr>
        <w:snapToGrid w:val="0"/>
        <w:spacing w:line="288" w:lineRule="auto"/>
        <w:rPr>
          <w:rFonts w:ascii="宋体" w:hAnsi="宋体" w:cs="宋体"/>
          <w:b/>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采购清单如下：</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92"/>
        <w:gridCol w:w="1946"/>
        <w:gridCol w:w="638"/>
        <w:gridCol w:w="781"/>
        <w:gridCol w:w="1019"/>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6"/>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一、顶层策划设计</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定位要求：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1、整体打造</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特有的视觉品牌</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2、围绕</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文化引领院内整体规划定位</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3、结合</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现有理念进行诠释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260"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1031"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项目内容</w:t>
            </w:r>
          </w:p>
        </w:tc>
        <w:tc>
          <w:tcPr>
            <w:tcW w:w="338"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数量</w:t>
            </w:r>
          </w:p>
        </w:tc>
        <w:tc>
          <w:tcPr>
            <w:tcW w:w="414"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单位</w:t>
            </w:r>
          </w:p>
        </w:tc>
        <w:tc>
          <w:tcPr>
            <w:tcW w:w="2954" w:type="pct"/>
            <w:gridSpan w:val="2"/>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60"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1031"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338"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414"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2954" w:type="pct"/>
            <w:gridSpan w:val="2"/>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031"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整体规划设计方案</w:t>
            </w:r>
          </w:p>
        </w:tc>
        <w:tc>
          <w:tcPr>
            <w:tcW w:w="338"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2954" w:type="pct"/>
            <w:gridSpan w:val="2"/>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坐落于钱塘区的义蓬街道，这里是一片拥有深厚文化底蕴的土地。自上世纪50年代起，钱塘区人民凭借“奔竞不息”的围垦精神，在这片土地上创造了“人类造地史上的奇迹”。根据现有空间需求做系统合理规划。紧紧围绕卫生服务中心文化理念、室内外环境、活动空间等方面进行整体设计规划，要充分体现</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办院的个性化、整体化、现代化的标准。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c>
          <w:tcPr>
            <w:tcW w:w="1031"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logo标志设计及辅助图形设计（VIS）</w:t>
            </w:r>
          </w:p>
        </w:tc>
        <w:tc>
          <w:tcPr>
            <w:tcW w:w="338"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2954" w:type="pct"/>
            <w:gridSpan w:val="2"/>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立足江海之城，以“生命之树，生生不息”为核心理</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念，建设“潮涌生生”文化品牌。文化底蕴深厚，继承优秀文化，才能更好的发展。整体升级空间视觉，统一视觉元素，打造具有</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办院文化品牌影响力的内容展示体系；</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（1）围绕理念文化定位</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文化品牌：潮涌生生</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服务口号：生命之树，生生不息</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（2）原创VI系统设计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p>
        </w:tc>
        <w:tc>
          <w:tcPr>
            <w:tcW w:w="1031"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空间主题规划与定位</w:t>
            </w:r>
          </w:p>
        </w:tc>
        <w:tc>
          <w:tcPr>
            <w:tcW w:w="338"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2954" w:type="pct"/>
            <w:gridSpan w:val="2"/>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（1）合理的空间布局和内容策划</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对</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空间进行合理的布局和内容融入，满足新时代对卫生服务中心的文化建设标准；在整体规划打造中，充分考虑空间环境和氛围与卫生服务中心服务理念的契合，影响每一位服务人与被服务人。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5000" w:type="pct"/>
            <w:gridSpan w:val="6"/>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二、户外视觉识别系统</w:t>
            </w:r>
            <w:r>
              <w:rPr>
                <w:rFonts w:hint="eastAsia" w:ascii="宋体" w:hAnsi="宋体" w:cs="宋体"/>
                <w:b w:val="0"/>
                <w:bCs w:val="0"/>
                <w:sz w:val="21"/>
                <w:szCs w:val="21"/>
                <w:highlight w:val="none"/>
                <w:lang w:val="en-US" w:eastAsia="zh-CN"/>
              </w:rPr>
              <w:t>（以下内容均为定制要求）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定位要求：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1、整体打造</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特有的视觉品牌，围绕办院文化引领卫生服务中心整体视觉定位</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2、元素和色彩围绕</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标志定位</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3、高空作业人员需要具备相关高空作业证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260"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1031"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项目内容</w:t>
            </w:r>
          </w:p>
        </w:tc>
        <w:tc>
          <w:tcPr>
            <w:tcW w:w="338"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数量</w:t>
            </w:r>
          </w:p>
        </w:tc>
        <w:tc>
          <w:tcPr>
            <w:tcW w:w="414"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单位</w:t>
            </w:r>
          </w:p>
        </w:tc>
        <w:tc>
          <w:tcPr>
            <w:tcW w:w="540"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布置位置</w:t>
            </w:r>
          </w:p>
        </w:tc>
        <w:tc>
          <w:tcPr>
            <w:tcW w:w="2414"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260"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1031"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338"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414"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540"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2414"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名称标识</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套</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屋顶</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1、采用1.2mm不锈钢切割焊接成型精工字盒烤汽车漆（字盒围边高度120mm)；</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2、面板采用优质5mm厚度绿白亚克力板(白天绿色晚上白色效果)</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3、内置户外防水超高亮5050LED光源模组（配变压器及时控开关）</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4、底字盒1.2mm不锈钢切割焊接成型烤汽车漆处理</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 xml:space="preserve">5、字骨架80*60*5mm热镀锌方管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6、LOGO高2000mm</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中文字高1400mm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标识发光字</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套</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急诊</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1、采用1.2mm不锈钢切割焊接成型高盖精工字盒烤汽车漆（字盒围边高度120mm)</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2、面板采用优质5mm厚度红色超透明亚克力板</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3、内置户外防水超高亮5050LED光源模组（配变压器及时控开关）</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4、底字盒1.2mm不锈钢切割焊接成型烤汽车漆处理</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5、字骨架80*60*5mm热镀锌方管</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6、高空落地安装</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2、尺寸：急诊1800*1800</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EMERGENCY：600*600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标识立体字</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套</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门诊</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1、1.2mm不锈钢切割焊接成型四周需打磨抛光处理烤汽车漆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精品工艺</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字骨架80*80*5mm热镀锌方管</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不发光</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高空作业</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厚度120mm</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2、尺寸：门诊1800*1800  OUTPATIENT：600*600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标识立体字</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套</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发热门诊</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1、1.2mm不锈钢切割焊接成型四周需打磨抛光处理烤汽车漆,精品工艺.字骨架80*80*5mm热镀锌方管</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不发光</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高空作业</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厚度120mm</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2、尺寸：发热门诊1800*1800  “ADMINSTRRATION”：600*600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数显导视牌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停车场</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1、1.2mm不锈钢切割焊接成型烤汽车漆，白色文字激光雕刻镂空，内衬5mm乳白色亚克力面板，内置户外防水超高亮LED光源，底纹及文字丝网印刷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工艺做成可更换面板。</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2、尺寸：2300*530*120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6</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引导导视牌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停车场</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1、1.2mm不锈钢切割焊接成型烤汽车漆，白色文字激光雕刻镂空，内衬5mm乳白色亚克力面板，内置户外防水超高亮LED光源，底纹及文字丝网印刷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工艺做成可更换面板。</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2、尺寸：2300*530*120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7</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发光总平面图</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1、1.2mm不锈钢切割焊接成型烤汽车漆，总平面图内容高精度写真，内置钢化玻璃及户外防水超高亮LED光源，底纹及文字丝网印刷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2、尺寸：2500*800*120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8</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发光多向导视牌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1、1.2mm不锈钢切割焊接成型烤汽车漆，白色文字激光雕刻镂空，内衬5mm乳白色亚克力面板，内置户外防水超高亮LED光源，底纹及文字丝网印刷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工艺做成可更换面板。</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2、尺寸：2300*530*120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9</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非机动车位泊位牌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1、1.2mm不锈钢切割焊接成型烤汽车漆文字丝网印刷。</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2、尺寸：2300*530*120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10</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无障碍通道牌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1、1.2mm不锈钢切割焊接成型烤汽车漆文字丝网印刷。</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2、尺寸：2300*530*120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无障碍车位泊位牌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1、1.2mm不锈钢切割焊接成型烤汽车漆文字丝网印刷。</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2、尺寸：2300*530*120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墙面宣传栏</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1、1.2mm不锈钢切割焊接成型烤汽车漆，内容高精度写真，内置钢化玻璃，后开门，底纹及文字丝网印刷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2、尺寸：2500*1200*80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13</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立地宣传栏</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1、1.2mm不锈钢切割焊接成型烤汽车漆，内容高精度写真，内置钢化玻璃，后开门，底纹及文字丝网印刷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2、尺寸：2500*2200*200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14</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禁鸣限速标识1</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院内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1、1.2mm不锈钢切割焊接成型烤汽车漆，内容贴3M汽车级反光膜</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2、尺寸：600*3000*100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15</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禁鸣限速标识2</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消防通道</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1、1.2mm不锈钢切割焊接成型烤汽车漆，内容贴3M汽车级反光膜</w:t>
            </w:r>
            <w:r>
              <w:rPr>
                <w:rFonts w:hint="eastAsia" w:ascii="宋体" w:hAnsi="宋体" w:cs="宋体"/>
                <w:b w:val="0"/>
                <w:bCs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2、尺寸：600*3000*100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16</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户外雕塑</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户外</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1、树形不锈钢雕塑，整体201不锈钢材质切割焊接成形，厚度1.2mm不锈钢，四周需打磨抛光处理烤汽车漆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精品工艺</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预埋安装</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w:t>
            </w:r>
            <w:r>
              <w:rPr>
                <w:rFonts w:hint="eastAsia" w:ascii="宋体" w:hAnsi="宋体" w:cs="宋体"/>
                <w:b w:val="0"/>
                <w:bCs w:val="0"/>
                <w:sz w:val="21"/>
                <w:szCs w:val="21"/>
                <w:highlight w:val="none"/>
                <w:lang w:val="en-US" w:eastAsia="zh-CN"/>
              </w:rPr>
              <w:t>45</w:t>
            </w:r>
            <w:r>
              <w:rPr>
                <w:rFonts w:hint="eastAsia" w:ascii="宋体" w:hAnsi="宋体" w:eastAsia="宋体" w:cs="宋体"/>
                <w:b w:val="0"/>
                <w:bCs w:val="0"/>
                <w:sz w:val="21"/>
                <w:szCs w:val="21"/>
                <w:highlight w:val="none"/>
                <w:lang w:val="en-US" w:eastAsia="zh-CN"/>
              </w:rPr>
              <w:t>00*</w:t>
            </w:r>
            <w:r>
              <w:rPr>
                <w:rFonts w:hint="eastAsia" w:ascii="宋体" w:hAnsi="宋体" w:cs="宋体"/>
                <w:b w:val="0"/>
                <w:bCs w:val="0"/>
                <w:sz w:val="21"/>
                <w:szCs w:val="21"/>
                <w:highlight w:val="none"/>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6"/>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三、室内视觉识别系统</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定位要求：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内容主题围绕着</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文化定位风格，元素和色彩围绕卫生服务中心标志定位</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要求提供平面稿、效果图、材质说明、尺寸标注细化稿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260"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序号</w:t>
            </w:r>
          </w:p>
        </w:tc>
        <w:tc>
          <w:tcPr>
            <w:tcW w:w="1031"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项目内容</w:t>
            </w:r>
          </w:p>
        </w:tc>
        <w:tc>
          <w:tcPr>
            <w:tcW w:w="338"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数量</w:t>
            </w:r>
          </w:p>
        </w:tc>
        <w:tc>
          <w:tcPr>
            <w:tcW w:w="414"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单位</w:t>
            </w:r>
          </w:p>
        </w:tc>
        <w:tc>
          <w:tcPr>
            <w:tcW w:w="540"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布置位置</w:t>
            </w:r>
          </w:p>
        </w:tc>
        <w:tc>
          <w:tcPr>
            <w:tcW w:w="2414"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260"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1031"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338"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414"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540"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2414"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总索引</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大厅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1、1.2mm不锈钢切割焊接成型烤汽车漆需部分凹进去置放铝型材，内容采用铝型材烤汽车漆，铝型材部分嵌入钣金内同钣金齐平，图文丝网印刷，可自由更换</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底座为1.2mm不锈钢切割焊接成型烤汽车漆。</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2、尺寸2000*1400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楼层索引</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电梯厅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1、1.2mm不锈钢切割焊接成型烤汽车漆需部分凹进去置放铝型材，内容采用铝型材烤汽车漆，铝型材部分嵌入钣金内同钣金齐平，图文丝网印刷，可自由更换</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2、尺寸：1600*520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梯内索引</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电梯内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1、1.2mm不锈钢切割焊接成型烤汽车漆需部分凹进去置放铝型材，内容采用铝型材烤汽车漆，铝型材部分嵌入钣金内同钣金齐平，图文丝网印刷，可自由更换</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2、尺寸：1350*500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区域指引贴牌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1、1.2mm不锈钢切割焊接成型烤汽车漆需部分凹进去置放铝型材，内容采用铝型材烤汽车漆，铝型材部分嵌入钣金内同钣金齐平，图文丝网印刷，可自由更换</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2、尺寸：1600*520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指示发光吊牌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1、1.2mm不锈钢切割焊接成型烤汽车漆，文字激光雕刻镂空，内衬5mm黑白色亚克力面板，内置户外防水超高亮LED光源，底纹及文字丝网印刷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工艺做成可更换面板。直径8mm螺纹吊杆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2、尺寸：2500*350*120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6</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区域门楣</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49</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1、1.2mm不锈钢激光切割，开槽折弯，焊接成型，氟碳烤漆，精品工艺。内容丝印</w:t>
            </w:r>
            <w:r>
              <w:rPr>
                <w:rFonts w:hint="eastAsia" w:ascii="宋体" w:hAnsi="宋体" w:cs="宋体"/>
                <w:b w:val="0"/>
                <w:bCs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2、尺寸：1500*280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7</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电梯编号牌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9</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电梯</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 不锈钢折弯焊接成型，表面金属烤漆(三底两面)内容丝印</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2、尺寸：1200*250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8</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电梯楼层号</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1、10mm亚克力雕刻成型四周需打磨处理烤汽车漆，精品工艺。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2、高350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9</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楼梯楼层号</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32</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1、10mm亚克力雕刻成型四周需打磨处理烤汽车漆，精品工艺。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2、高350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10</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医护人员牌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15</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1、1.2mm不锈钢激光切割，开槽折弯，焊接成型，氟碳烤漆，精品工艺。表面亚克力插槽。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2、尺寸：1800*1200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诊室牌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93</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1、10mm亚克力雕刻成型，氟碳烤漆</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2、尺寸：320*170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病房牌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工艺做成可更换面板。</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2、尺寸：350*200*40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13</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科室牌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125</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1、8+8mm 亚克力雕刻成型,表面金属烤漆(三底两面),上层背后设置强力磁石可拆卸更换，内容丝印，背面中性硅酮耐候胶固定</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2、尺寸：320*170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14</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地面箭头指引</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100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室内地面</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 xml:space="preserve">1、黑胶车贴覆防滑膜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2、尺寸1200*1200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15</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设备功能牌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128</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1、5mm亚克力，背UV</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16</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洗手间牌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95</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门诊及地下室</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 不锈钢折弯焊接成型</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表面金属烤漆，内容丝印。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2、尺寸：300*100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17</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洗手间牌(立牌)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 不锈钢折弯焊接成型</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表面金属烤漆，内容丝印。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2、尺寸：300*170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18</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消防疏散图A</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75</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1、5mm亚克力雕刻烤汽车漆，图文丝网印刷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2、尺寸：500*300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19</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温馨提示牌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69</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室内公共区域</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1、3+5mm亚克力雕刻烤汽车漆，图文丝网印刷</w:t>
            </w:r>
            <w:r>
              <w:rPr>
                <w:rFonts w:hint="eastAsia" w:ascii="宋体" w:hAnsi="宋体" w:cs="宋体"/>
                <w:b w:val="0"/>
                <w:bCs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2、尺寸：300*200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20</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护士责任牌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48</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1、5mm亚克力雕刻烤汽车漆+3mm亚克力插盒</w:t>
            </w:r>
            <w:r>
              <w:rPr>
                <w:rFonts w:hint="eastAsia" w:ascii="宋体" w:hAnsi="宋体" w:cs="宋体"/>
                <w:b w:val="0"/>
                <w:bCs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2、尺寸：250*170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21</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床位牌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41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1、5mm亚克力雕刻烤汽车漆，图文丝网印刷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2、尺寸：150*80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22</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门号牌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350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1、5mm亚克力雕刻烤汽车漆，图文丝网印刷</w:t>
            </w:r>
            <w:r>
              <w:rPr>
                <w:rFonts w:hint="eastAsia" w:ascii="宋体" w:hAnsi="宋体" w:cs="宋体"/>
                <w:b w:val="0"/>
                <w:bCs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2、尺寸：70*35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23</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车库横眉</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地下车库</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1、1.2mm不锈钢切割焊接成型烤汽车漆，文字激光雕刻镂空，内衬5mm乳黑白色亚克力面板，内置户外防水超高亮LED光源，底纹及文字丝网印刷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 xml:space="preserve">工艺做成可更换面板。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2、尺寸：700*7000*60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24</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车库指示牌</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10</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件</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地下车库</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1、1.2mm不锈钢切割焊接成型烤汽车漆，文字激光雕刻镂空，内衬5mm乳黑白色亚克力面板，内置户外防水超高亮LED光源，底纹及文字丝网印刷</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 xml:space="preserve">工艺做成可更换面板。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2、尺寸：250*2000*80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6"/>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val="en-US" w:eastAsia="zh-CN"/>
              </w:rPr>
              <w:t>四</w:t>
            </w:r>
            <w:r>
              <w:rPr>
                <w:rFonts w:hint="eastAsia" w:ascii="宋体" w:hAnsi="宋体" w:eastAsia="宋体" w:cs="宋体"/>
                <w:b w:val="0"/>
                <w:bCs w:val="0"/>
                <w:sz w:val="21"/>
                <w:szCs w:val="21"/>
                <w:highlight w:val="none"/>
                <w:lang w:val="en-US" w:eastAsia="zh-CN"/>
              </w:rPr>
              <w:t>、文化墙面</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布展采购要求：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围绕着</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文化基础上制定布展，布展采购内容满足卫生服务中心文化宣传。在原结构的基础上，整体升级空间视觉，统一视觉元素，打造具有</w:t>
            </w:r>
            <w:r>
              <w:rPr>
                <w:rFonts w:hint="eastAsia" w:ascii="宋体" w:hAnsi="宋体" w:cs="宋体"/>
                <w:b w:val="0"/>
                <w:bCs w:val="0"/>
                <w:sz w:val="21"/>
                <w:szCs w:val="21"/>
                <w:highlight w:val="none"/>
                <w:lang w:val="en-US" w:eastAsia="zh-CN"/>
              </w:rPr>
              <w:t>杭州市钱塘区义蓬街道社区卫生服务中心（杭州市钱塘区义蓬街道妇女儿童健康服务站）</w:t>
            </w:r>
            <w:r>
              <w:rPr>
                <w:rFonts w:hint="eastAsia" w:ascii="宋体" w:hAnsi="宋体" w:eastAsia="宋体" w:cs="宋体"/>
                <w:b w:val="0"/>
                <w:bCs w:val="0"/>
                <w:sz w:val="21"/>
                <w:szCs w:val="21"/>
                <w:highlight w:val="none"/>
                <w:lang w:val="en-US" w:eastAsia="zh-CN"/>
              </w:rPr>
              <w:t>文化特色的宣传空间，展示和环境文化打造等</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要求提供空间主题规划、空间原始照片、效果图、布展平立面CAD及尺寸标注、材质说明。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60"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序号</w:t>
            </w:r>
          </w:p>
        </w:tc>
        <w:tc>
          <w:tcPr>
            <w:tcW w:w="1031"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项目内容</w:t>
            </w:r>
          </w:p>
        </w:tc>
        <w:tc>
          <w:tcPr>
            <w:tcW w:w="338"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数量</w:t>
            </w:r>
          </w:p>
        </w:tc>
        <w:tc>
          <w:tcPr>
            <w:tcW w:w="414"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单位</w:t>
            </w:r>
          </w:p>
        </w:tc>
        <w:tc>
          <w:tcPr>
            <w:tcW w:w="540"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布置位置</w:t>
            </w:r>
          </w:p>
        </w:tc>
        <w:tc>
          <w:tcPr>
            <w:tcW w:w="2414" w:type="pct"/>
            <w:vMerge w:val="restar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260"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1031"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338"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414"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540"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p>
        </w:tc>
        <w:tc>
          <w:tcPr>
            <w:tcW w:w="2414" w:type="pct"/>
            <w:vMerge w:val="continue"/>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医疗区墙面文化</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描述：基面墙绘处理；具体布展落地根据实际现场定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行政区墙面文化</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描述：基面墙绘处理；具体布展落地根据实际现场定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3</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医疗区走廊墙面文化</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描述：PVC、亚克力、UV多层造型设计，富有层次效果等</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尺寸：墙面尺寸，具体根据实际设计效果图定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4</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行政区墙面文化</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描述：PVC、亚克力、UV多层造型设计，富有层次效果等</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尺寸：墙面尺寸，具体根据实际设计效果图定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党员活动室墙面文化</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2cm</w:t>
            </w:r>
            <w:r>
              <w:rPr>
                <w:rFonts w:hint="eastAsia" w:ascii="宋体" w:hAnsi="宋体" w:cs="宋体"/>
                <w:b w:val="0"/>
                <w:bCs w:val="0"/>
                <w:sz w:val="21"/>
                <w:szCs w:val="21"/>
                <w:highlight w:val="none"/>
                <w:lang w:val="en-US" w:eastAsia="zh-CN"/>
              </w:rPr>
              <w:t>厚的</w:t>
            </w:r>
            <w:r>
              <w:rPr>
                <w:rFonts w:hint="eastAsia" w:ascii="宋体" w:hAnsi="宋体" w:eastAsia="宋体" w:cs="宋体"/>
                <w:b w:val="0"/>
                <w:bCs w:val="0"/>
                <w:sz w:val="21"/>
                <w:szCs w:val="21"/>
                <w:highlight w:val="none"/>
                <w:lang w:val="en-US" w:eastAsia="zh-CN"/>
              </w:rPr>
              <w:t>pvc汽车烤漆+亚克力丝网印刷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6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6</w:t>
            </w:r>
          </w:p>
        </w:tc>
        <w:tc>
          <w:tcPr>
            <w:tcW w:w="1031"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楼梯间墙面文化</w:t>
            </w:r>
          </w:p>
        </w:tc>
        <w:tc>
          <w:tcPr>
            <w:tcW w:w="338"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1</w:t>
            </w:r>
          </w:p>
        </w:tc>
        <w:tc>
          <w:tcPr>
            <w:tcW w:w="414"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项</w:t>
            </w:r>
          </w:p>
        </w:tc>
        <w:tc>
          <w:tcPr>
            <w:tcW w:w="540" w:type="pct"/>
            <w:shd w:val="clear" w:color="auto" w:fill="auto"/>
            <w:noWrap/>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室内</w:t>
            </w:r>
          </w:p>
        </w:tc>
        <w:tc>
          <w:tcPr>
            <w:tcW w:w="2414" w:type="pct"/>
            <w:shd w:val="clear" w:color="auto" w:fill="auto"/>
            <w:tcMar>
              <w:top w:w="9" w:type="dxa"/>
              <w:left w:w="9" w:type="dxa"/>
              <w:right w:w="9"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描述：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2cm</w:t>
            </w:r>
            <w:r>
              <w:rPr>
                <w:rFonts w:hint="eastAsia" w:ascii="宋体" w:hAnsi="宋体" w:cs="宋体"/>
                <w:b w:val="0"/>
                <w:bCs w:val="0"/>
                <w:sz w:val="21"/>
                <w:szCs w:val="21"/>
                <w:highlight w:val="none"/>
                <w:lang w:val="en-US" w:eastAsia="zh-CN"/>
              </w:rPr>
              <w:t>厚的</w:t>
            </w:r>
            <w:r>
              <w:rPr>
                <w:rFonts w:hint="eastAsia" w:ascii="宋体" w:hAnsi="宋体" w:eastAsia="宋体" w:cs="宋体"/>
                <w:b w:val="0"/>
                <w:bCs w:val="0"/>
                <w:sz w:val="21"/>
                <w:szCs w:val="21"/>
                <w:highlight w:val="none"/>
                <w:lang w:val="en-US" w:eastAsia="zh-CN"/>
              </w:rPr>
              <w:t>pv汽车烤漆+亚克力丝网印刷</w:t>
            </w:r>
          </w:p>
        </w:tc>
      </w:tr>
    </w:tbl>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cs="宋体"/>
          <w:b/>
          <w:bCs/>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bCs/>
          <w:szCs w:val="21"/>
          <w:highlight w:val="none"/>
        </w:rPr>
      </w:pP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一</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布展</w:t>
      </w:r>
      <w:r>
        <w:rPr>
          <w:rFonts w:hint="eastAsia" w:ascii="宋体" w:hAnsi="宋体" w:cs="宋体"/>
          <w:b/>
          <w:bCs/>
          <w:szCs w:val="21"/>
          <w:highlight w:val="none"/>
        </w:rPr>
        <w:t>项目概况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1.项目名称：</w:t>
      </w:r>
      <w:r>
        <w:rPr>
          <w:rFonts w:hint="eastAsia" w:ascii="宋体" w:hAnsi="宋体" w:cs="宋体"/>
          <w:szCs w:val="21"/>
          <w:highlight w:val="none"/>
          <w:lang w:val="en-US" w:eastAsia="zh-CN"/>
        </w:rPr>
        <w:t>杭州市钱塘区义蓬街道社区卫生服务中心（杭州市钱塘区义蓬街道妇女儿童健康服务站）</w:t>
      </w:r>
      <w:r>
        <w:rPr>
          <w:rFonts w:hint="eastAsia" w:ascii="宋体" w:hAnsi="宋体" w:cs="宋体"/>
          <w:szCs w:val="21"/>
          <w:highlight w:val="none"/>
          <w:lang w:eastAsia="zh-CN"/>
        </w:rPr>
        <w:t>标识标牌及导视设施采购项目（文化设计采购项目）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2.项目位置：</w:t>
      </w:r>
      <w:r>
        <w:rPr>
          <w:rFonts w:hint="eastAsia" w:ascii="宋体" w:hAnsi="宋体" w:cs="宋体"/>
          <w:szCs w:val="21"/>
          <w:highlight w:val="none"/>
          <w:lang w:val="en-US" w:eastAsia="zh-CN"/>
        </w:rPr>
        <w:t>杭州市钱塘区义蓬街道社区卫生服务中心（杭州市钱塘区义蓬街道妇女儿童健康服务站）采购人指定地点（钱塘高级中学旁）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项目</w:t>
      </w:r>
      <w:r>
        <w:rPr>
          <w:rFonts w:ascii="宋体" w:hAnsi="宋体" w:cs="宋体"/>
          <w:szCs w:val="21"/>
          <w:highlight w:val="none"/>
        </w:rPr>
        <w:t>目标</w:t>
      </w:r>
      <w:r>
        <w:rPr>
          <w:rFonts w:hint="eastAsia" w:ascii="宋体" w:hAnsi="宋体" w:cs="宋体"/>
          <w:szCs w:val="21"/>
          <w:highlight w:val="none"/>
        </w:rPr>
        <w:t>：</w:t>
      </w:r>
      <w:r>
        <w:rPr>
          <w:rFonts w:hint="eastAsia" w:ascii="宋体" w:hAnsi="宋体" w:cs="宋体"/>
          <w:szCs w:val="21"/>
          <w:highlight w:val="none"/>
          <w:lang w:eastAsia="zh-CN"/>
        </w:rPr>
        <w:t>杭州市钱塘区义蓬街道社区卫生服务中心（杭州市钱塘区义蓬街道妇女儿童健康服务站）</w:t>
      </w:r>
      <w:r>
        <w:rPr>
          <w:rFonts w:hint="eastAsia" w:ascii="宋体" w:hAnsi="宋体" w:cs="宋体"/>
          <w:szCs w:val="21"/>
          <w:highlight w:val="none"/>
        </w:rPr>
        <w:t>文化布展服务采购项目在弘扬社会主义核心价值观的基础要求上，丰富</w:t>
      </w:r>
      <w:r>
        <w:rPr>
          <w:rFonts w:hint="eastAsia" w:ascii="宋体" w:hAnsi="宋体" w:cs="宋体"/>
          <w:szCs w:val="21"/>
          <w:highlight w:val="none"/>
          <w:lang w:val="en-US" w:eastAsia="zh-CN"/>
        </w:rPr>
        <w:t>卫生服务中心</w:t>
      </w:r>
      <w:r>
        <w:rPr>
          <w:rFonts w:hint="eastAsia" w:ascii="宋体" w:hAnsi="宋体" w:cs="宋体"/>
          <w:szCs w:val="21"/>
          <w:highlight w:val="none"/>
        </w:rPr>
        <w:t>内涵，提升</w:t>
      </w:r>
      <w:r>
        <w:rPr>
          <w:rFonts w:hint="eastAsia" w:ascii="宋体" w:hAnsi="宋体" w:cs="宋体"/>
          <w:szCs w:val="21"/>
          <w:highlight w:val="none"/>
          <w:lang w:val="en-US" w:eastAsia="zh-CN"/>
        </w:rPr>
        <w:t>服务中心整体环境</w:t>
      </w:r>
      <w:r>
        <w:rPr>
          <w:rFonts w:hint="eastAsia" w:ascii="宋体" w:hAnsi="宋体" w:cs="宋体"/>
          <w:szCs w:val="21"/>
          <w:highlight w:val="none"/>
        </w:rPr>
        <w:t>品质，更好地</w:t>
      </w:r>
      <w:r>
        <w:rPr>
          <w:rFonts w:hint="eastAsia" w:ascii="宋体" w:hAnsi="宋体" w:cs="宋体"/>
          <w:szCs w:val="21"/>
          <w:highlight w:val="none"/>
          <w:lang w:val="en-US" w:eastAsia="zh-CN"/>
        </w:rPr>
        <w:t>继承</w:t>
      </w:r>
      <w:r>
        <w:rPr>
          <w:rFonts w:hint="eastAsia" w:ascii="宋体" w:hAnsi="宋体" w:cs="宋体"/>
          <w:szCs w:val="21"/>
          <w:highlight w:val="none"/>
        </w:rPr>
        <w:t>卫生服务中心以人为本、生命至上、服务优质的</w:t>
      </w:r>
      <w:r>
        <w:rPr>
          <w:rFonts w:hint="eastAsia" w:ascii="宋体" w:hAnsi="宋体" w:cs="宋体"/>
          <w:szCs w:val="21"/>
          <w:highlight w:val="none"/>
          <w:lang w:val="en-US" w:eastAsia="zh-CN"/>
        </w:rPr>
        <w:t>文化理念</w:t>
      </w:r>
      <w:r>
        <w:rPr>
          <w:rFonts w:hint="eastAsia" w:ascii="宋体" w:hAnsi="宋体" w:cs="宋体"/>
          <w:szCs w:val="21"/>
          <w:highlight w:val="none"/>
        </w:rPr>
        <w:t xml:space="preserve"> ，深入挖掘和</w:t>
      </w:r>
      <w:r>
        <w:rPr>
          <w:rFonts w:ascii="宋体" w:hAnsi="宋体" w:cs="宋体"/>
          <w:szCs w:val="21"/>
          <w:highlight w:val="none"/>
        </w:rPr>
        <w:t>提炼</w:t>
      </w:r>
      <w:r>
        <w:rPr>
          <w:rFonts w:hint="eastAsia" w:ascii="宋体" w:hAnsi="宋体" w:cs="宋体"/>
          <w:szCs w:val="21"/>
          <w:highlight w:val="none"/>
        </w:rPr>
        <w:t>符合</w:t>
      </w:r>
      <w:r>
        <w:rPr>
          <w:rFonts w:hint="eastAsia" w:ascii="宋体" w:hAnsi="宋体" w:cs="宋体"/>
          <w:szCs w:val="21"/>
          <w:highlight w:val="none"/>
          <w:lang w:val="en-US" w:eastAsia="zh-CN"/>
        </w:rPr>
        <w:t>新时代立足江海之城，以“生命之树，生生不息”为核心理念，建设“潮涌生生”文化品牌。提供全生命周期的健康管理，致力于成为推动江海之城向都市型活力之城转型的优质卫生健康服务配套中心，</w:t>
      </w:r>
      <w:r>
        <w:rPr>
          <w:rFonts w:ascii="宋体" w:hAnsi="宋体" w:cs="宋体"/>
          <w:szCs w:val="21"/>
          <w:highlight w:val="none"/>
        </w:rPr>
        <w:t>进行整体设计及布展</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将</w:t>
      </w:r>
      <w:r>
        <w:rPr>
          <w:rFonts w:hint="eastAsia" w:ascii="宋体" w:hAnsi="宋体" w:cs="宋体"/>
          <w:szCs w:val="21"/>
          <w:highlight w:val="none"/>
          <w:lang w:val="en-US" w:eastAsia="zh-CN"/>
        </w:rPr>
        <w:t>卫生服务中心办院</w:t>
      </w:r>
      <w:r>
        <w:rPr>
          <w:rFonts w:hint="eastAsia" w:ascii="宋体" w:hAnsi="宋体" w:cs="宋体"/>
          <w:szCs w:val="21"/>
          <w:highlight w:val="none"/>
        </w:rPr>
        <w:t>理念、核心价值观等要素巧妙地融入</w:t>
      </w:r>
      <w:r>
        <w:rPr>
          <w:rFonts w:hint="eastAsia" w:ascii="宋体" w:hAnsi="宋体" w:cs="宋体"/>
          <w:szCs w:val="21"/>
          <w:highlight w:val="none"/>
          <w:lang w:val="en-US" w:eastAsia="zh-CN"/>
        </w:rPr>
        <w:t>整体</w:t>
      </w:r>
      <w:r>
        <w:rPr>
          <w:rFonts w:hint="eastAsia" w:ascii="宋体" w:hAnsi="宋体" w:cs="宋体"/>
          <w:szCs w:val="21"/>
          <w:highlight w:val="none"/>
        </w:rPr>
        <w:t>环境中，塑造一个</w:t>
      </w:r>
      <w:r>
        <w:rPr>
          <w:rFonts w:hint="eastAsia" w:ascii="宋体" w:hAnsi="宋体" w:cs="宋体"/>
          <w:szCs w:val="21"/>
          <w:highlight w:val="none"/>
          <w:lang w:val="en-US" w:eastAsia="zh-CN"/>
        </w:rPr>
        <w:t>具有</w:t>
      </w:r>
      <w:r>
        <w:rPr>
          <w:rFonts w:hint="eastAsia" w:ascii="宋体" w:hAnsi="宋体" w:cs="宋体"/>
          <w:szCs w:val="21"/>
          <w:highlight w:val="none"/>
        </w:rPr>
        <w:t>承载着钱江文化的厚重底蕴，孕育着无数钱江人，生生不息的</w:t>
      </w:r>
      <w:r>
        <w:rPr>
          <w:rFonts w:hint="eastAsia" w:ascii="宋体" w:hAnsi="宋体" w:cs="宋体"/>
          <w:szCs w:val="21"/>
          <w:highlight w:val="none"/>
          <w:lang w:val="en-US" w:eastAsia="zh-CN"/>
        </w:rPr>
        <w:t>卫生服务中心独特</w:t>
      </w:r>
      <w:r>
        <w:rPr>
          <w:rFonts w:hint="eastAsia" w:ascii="宋体" w:hAnsi="宋体" w:cs="宋体"/>
          <w:szCs w:val="21"/>
          <w:highlight w:val="none"/>
        </w:rPr>
        <w:t>形象，为</w:t>
      </w:r>
      <w:r>
        <w:rPr>
          <w:rFonts w:hint="eastAsia" w:ascii="宋体" w:hAnsi="宋体" w:cs="宋体"/>
          <w:szCs w:val="21"/>
          <w:highlight w:val="none"/>
          <w:lang w:val="en-US" w:eastAsia="zh-CN"/>
        </w:rPr>
        <w:t>服务者与被服务者</w:t>
      </w:r>
      <w:r>
        <w:rPr>
          <w:rFonts w:hint="eastAsia" w:ascii="宋体" w:hAnsi="宋体" w:cs="宋体"/>
          <w:szCs w:val="21"/>
          <w:highlight w:val="none"/>
        </w:rPr>
        <w:t>提供一个更加优质的</w:t>
      </w:r>
      <w:r>
        <w:rPr>
          <w:rFonts w:hint="eastAsia" w:ascii="宋体" w:hAnsi="宋体" w:cs="宋体"/>
          <w:szCs w:val="21"/>
          <w:highlight w:val="none"/>
          <w:lang w:val="en-US" w:eastAsia="zh-CN"/>
        </w:rPr>
        <w:t>相处</w:t>
      </w:r>
      <w:r>
        <w:rPr>
          <w:rFonts w:hint="eastAsia" w:ascii="宋体" w:hAnsi="宋体" w:cs="宋体"/>
          <w:szCs w:val="21"/>
          <w:highlight w:val="none"/>
        </w:rPr>
        <w:t>环境。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4.主要内容：</w:t>
      </w:r>
      <w:r>
        <w:rPr>
          <w:rFonts w:hint="eastAsia" w:ascii="宋体" w:hAnsi="宋体" w:cs="宋体"/>
          <w:szCs w:val="21"/>
          <w:highlight w:val="none"/>
          <w:lang w:eastAsia="zh-CN"/>
        </w:rPr>
        <w:t>杭州市钱塘区义蓬街道社区卫生服务中心（杭州市钱塘区义蓬街道妇女儿童健康服务站）</w:t>
      </w:r>
      <w:r>
        <w:rPr>
          <w:rFonts w:hint="eastAsia" w:ascii="宋体" w:hAnsi="宋体" w:cs="宋体"/>
          <w:szCs w:val="21"/>
          <w:highlight w:val="none"/>
        </w:rPr>
        <w:t>基本视觉系统、导视系统、</w:t>
      </w:r>
      <w:r>
        <w:rPr>
          <w:rFonts w:hint="eastAsia" w:ascii="宋体" w:hAnsi="宋体" w:cs="宋体"/>
          <w:szCs w:val="21"/>
          <w:highlight w:val="none"/>
          <w:lang w:val="en-US" w:eastAsia="zh-CN"/>
        </w:rPr>
        <w:t>院内</w:t>
      </w:r>
      <w:r>
        <w:rPr>
          <w:rFonts w:hint="eastAsia" w:ascii="宋体" w:hAnsi="宋体" w:cs="宋体"/>
          <w:szCs w:val="21"/>
          <w:highlight w:val="none"/>
        </w:rPr>
        <w:t>环境布展</w:t>
      </w:r>
      <w:r>
        <w:rPr>
          <w:rFonts w:hint="eastAsia" w:ascii="宋体" w:hAnsi="宋体" w:cs="宋体"/>
          <w:szCs w:val="21"/>
          <w:highlight w:val="none"/>
          <w:lang w:eastAsia="zh-CN"/>
        </w:rPr>
        <w:t>、</w:t>
      </w:r>
      <w:r>
        <w:rPr>
          <w:rFonts w:hint="eastAsia" w:ascii="宋体" w:hAnsi="宋体" w:cs="宋体"/>
          <w:szCs w:val="21"/>
          <w:highlight w:val="none"/>
          <w:lang w:val="en-US" w:eastAsia="zh-CN"/>
        </w:rPr>
        <w:t>宣传栏、</w:t>
      </w:r>
      <w:r>
        <w:rPr>
          <w:rFonts w:hint="eastAsia" w:ascii="宋体" w:hAnsi="宋体" w:cs="宋体"/>
          <w:szCs w:val="21"/>
          <w:highlight w:val="none"/>
          <w:lang w:eastAsia="zh-CN"/>
        </w:rPr>
        <w:t>行政区墙面</w:t>
      </w:r>
      <w:r>
        <w:rPr>
          <w:rFonts w:hint="eastAsia" w:ascii="宋体" w:hAnsi="宋体" w:cs="宋体"/>
          <w:szCs w:val="21"/>
          <w:highlight w:val="none"/>
          <w:lang w:val="en-US" w:eastAsia="zh-CN"/>
        </w:rPr>
        <w:t>文化</w:t>
      </w:r>
      <w:r>
        <w:rPr>
          <w:rFonts w:hint="eastAsia" w:ascii="宋体" w:hAnsi="宋体" w:cs="宋体"/>
          <w:szCs w:val="21"/>
          <w:highlight w:val="none"/>
          <w:lang w:eastAsia="zh-CN"/>
        </w:rPr>
        <w:t>、医疗区走廊墙面</w:t>
      </w:r>
      <w:r>
        <w:rPr>
          <w:rFonts w:hint="eastAsia" w:ascii="宋体" w:hAnsi="宋体" w:cs="宋体"/>
          <w:szCs w:val="21"/>
          <w:highlight w:val="none"/>
          <w:lang w:val="en-US" w:eastAsia="zh-CN"/>
        </w:rPr>
        <w:t>文化</w:t>
      </w:r>
      <w:r>
        <w:rPr>
          <w:rFonts w:hint="eastAsia" w:ascii="宋体" w:hAnsi="宋体" w:cs="宋体"/>
          <w:szCs w:val="21"/>
          <w:highlight w:val="none"/>
          <w:lang w:eastAsia="zh-CN"/>
        </w:rPr>
        <w:t>、党员活动室墙面文化、楼梯间墙面文化</w:t>
      </w:r>
      <w:r>
        <w:rPr>
          <w:rFonts w:hint="eastAsia" w:ascii="宋体" w:hAnsi="宋体" w:cs="宋体"/>
          <w:szCs w:val="21"/>
          <w:highlight w:val="none"/>
          <w:lang w:val="en-US" w:eastAsia="zh-CN"/>
        </w:rPr>
        <w:t>等</w:t>
      </w:r>
      <w:r>
        <w:rPr>
          <w:rFonts w:hint="eastAsia" w:ascii="宋体" w:hAnsi="宋体" w:cs="宋体"/>
          <w:szCs w:val="21"/>
          <w:highlight w:val="none"/>
        </w:rPr>
        <w:t>一系列全套</w:t>
      </w:r>
      <w:r>
        <w:rPr>
          <w:rFonts w:hint="eastAsia" w:ascii="宋体" w:hAnsi="宋体" w:cs="宋体"/>
          <w:szCs w:val="21"/>
          <w:highlight w:val="none"/>
          <w:lang w:val="en-US" w:eastAsia="zh-CN"/>
        </w:rPr>
        <w:t>卫生服务中心</w:t>
      </w:r>
      <w:r>
        <w:rPr>
          <w:rFonts w:hint="eastAsia" w:ascii="宋体" w:hAnsi="宋体" w:cs="宋体"/>
          <w:szCs w:val="21"/>
          <w:highlight w:val="none"/>
        </w:rPr>
        <w:t>文化系统规划设计及</w:t>
      </w:r>
      <w:r>
        <w:rPr>
          <w:rFonts w:ascii="宋体" w:hAnsi="宋体" w:cs="宋体"/>
          <w:szCs w:val="21"/>
          <w:highlight w:val="none"/>
        </w:rPr>
        <w:t>布展</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lang w:val="en-US" w:eastAsia="zh-CN"/>
        </w:rPr>
        <w:t>4.1</w:t>
      </w:r>
      <w:r>
        <w:rPr>
          <w:rFonts w:hint="eastAsia" w:ascii="宋体" w:hAnsi="宋体" w:cs="宋体"/>
          <w:b/>
          <w:bCs/>
          <w:szCs w:val="21"/>
          <w:highlight w:val="none"/>
        </w:rPr>
        <w:t>基本视觉系统、导视系统设计：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内容：包括</w:t>
      </w:r>
      <w:r>
        <w:rPr>
          <w:rFonts w:hint="eastAsia" w:ascii="宋体" w:hAnsi="宋体" w:cs="宋体"/>
          <w:szCs w:val="21"/>
          <w:highlight w:val="none"/>
          <w:lang w:val="en-US" w:eastAsia="zh-CN"/>
        </w:rPr>
        <w:t>logo设计、院内</w:t>
      </w:r>
      <w:r>
        <w:rPr>
          <w:rFonts w:hint="eastAsia" w:ascii="宋体" w:hAnsi="宋体" w:cs="宋体"/>
          <w:szCs w:val="21"/>
          <w:highlight w:val="none"/>
        </w:rPr>
        <w:t>标识、</w:t>
      </w:r>
      <w:r>
        <w:rPr>
          <w:rFonts w:hint="eastAsia" w:ascii="宋体" w:hAnsi="宋体" w:cs="宋体"/>
          <w:szCs w:val="21"/>
          <w:highlight w:val="none"/>
          <w:lang w:val="en-US" w:eastAsia="zh-CN"/>
        </w:rPr>
        <w:t>专用科室</w:t>
      </w:r>
      <w:r>
        <w:rPr>
          <w:rFonts w:hint="eastAsia" w:ascii="宋体" w:hAnsi="宋体" w:cs="宋体"/>
          <w:szCs w:val="21"/>
          <w:highlight w:val="none"/>
        </w:rPr>
        <w:t>门牌、</w:t>
      </w:r>
      <w:r>
        <w:rPr>
          <w:rFonts w:hint="eastAsia" w:ascii="宋体" w:hAnsi="宋体" w:cs="宋体"/>
          <w:szCs w:val="21"/>
          <w:highlight w:val="none"/>
          <w:lang w:val="en-US" w:eastAsia="zh-CN"/>
        </w:rPr>
        <w:t>地面索引</w:t>
      </w:r>
      <w:r>
        <w:rPr>
          <w:rFonts w:hint="eastAsia" w:ascii="宋体" w:hAnsi="宋体" w:cs="宋体"/>
          <w:szCs w:val="21"/>
          <w:highlight w:val="none"/>
        </w:rPr>
        <w:t>、卫生间</w:t>
      </w:r>
      <w:r>
        <w:rPr>
          <w:rFonts w:hint="eastAsia" w:ascii="宋体" w:hAnsi="宋体" w:cs="宋体"/>
          <w:szCs w:val="21"/>
          <w:highlight w:val="none"/>
          <w:lang w:val="en-US" w:eastAsia="zh-CN"/>
        </w:rPr>
        <w:t>门牌</w:t>
      </w:r>
      <w:r>
        <w:rPr>
          <w:rFonts w:hint="eastAsia" w:ascii="宋体" w:hAnsi="宋体" w:cs="宋体"/>
          <w:szCs w:val="21"/>
          <w:highlight w:val="none"/>
        </w:rPr>
        <w:t>、楼层导视、</w:t>
      </w:r>
      <w:r>
        <w:rPr>
          <w:rFonts w:hint="eastAsia" w:ascii="宋体" w:hAnsi="宋体" w:cs="宋体"/>
          <w:szCs w:val="21"/>
          <w:highlight w:val="none"/>
          <w:lang w:val="en-US" w:eastAsia="zh-CN"/>
        </w:rPr>
        <w:t>人员去向</w:t>
      </w:r>
      <w:r>
        <w:rPr>
          <w:rFonts w:hint="eastAsia" w:ascii="宋体" w:hAnsi="宋体" w:cs="宋体"/>
          <w:szCs w:val="21"/>
          <w:highlight w:val="none"/>
        </w:rPr>
        <w:t>牌、设备功能牌、</w:t>
      </w:r>
      <w:r>
        <w:rPr>
          <w:rFonts w:hint="eastAsia" w:ascii="宋体" w:hAnsi="宋体" w:cs="宋体"/>
          <w:szCs w:val="21"/>
          <w:highlight w:val="none"/>
          <w:lang w:val="en-US" w:eastAsia="zh-CN"/>
        </w:rPr>
        <w:t>床位牌、诊室牌、病房牌、</w:t>
      </w:r>
      <w:r>
        <w:rPr>
          <w:rFonts w:hint="eastAsia" w:ascii="宋体" w:hAnsi="宋体" w:cs="宋体"/>
          <w:szCs w:val="21"/>
          <w:highlight w:val="none"/>
        </w:rPr>
        <w:t>门号牌、</w:t>
      </w:r>
      <w:r>
        <w:rPr>
          <w:rFonts w:hint="eastAsia" w:ascii="宋体" w:hAnsi="宋体" w:cs="宋体"/>
          <w:szCs w:val="21"/>
          <w:highlight w:val="none"/>
          <w:lang w:val="en-US" w:eastAsia="zh-CN"/>
        </w:rPr>
        <w:t>人员</w:t>
      </w:r>
      <w:r>
        <w:rPr>
          <w:rFonts w:hint="eastAsia" w:ascii="宋体" w:hAnsi="宋体" w:cs="宋体"/>
          <w:szCs w:val="21"/>
          <w:highlight w:val="none"/>
        </w:rPr>
        <w:t>责任牌</w:t>
      </w:r>
      <w:r>
        <w:rPr>
          <w:rFonts w:hint="eastAsia" w:ascii="宋体" w:hAnsi="宋体" w:cs="宋体"/>
          <w:szCs w:val="21"/>
          <w:highlight w:val="none"/>
          <w:lang w:eastAsia="zh-CN"/>
        </w:rPr>
        <w:t>、</w:t>
      </w:r>
      <w:r>
        <w:rPr>
          <w:rFonts w:hint="eastAsia" w:ascii="宋体" w:hAnsi="宋体" w:cs="宋体"/>
          <w:szCs w:val="21"/>
          <w:highlight w:val="none"/>
          <w:lang w:val="en-US" w:eastAsia="zh-CN"/>
        </w:rPr>
        <w:t>温馨提示牌、消防疏散图</w:t>
      </w:r>
      <w:r>
        <w:rPr>
          <w:rFonts w:hint="eastAsia" w:ascii="宋体" w:hAnsi="宋体" w:cs="宋体"/>
          <w:szCs w:val="21"/>
          <w:highlight w:val="none"/>
        </w:rPr>
        <w:t>等视觉系统延伸物料设计。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要求：</w:t>
      </w:r>
      <w:r>
        <w:rPr>
          <w:rFonts w:ascii="宋体" w:hAnsi="宋体" w:cs="宋体"/>
          <w:szCs w:val="21"/>
          <w:highlight w:val="none"/>
        </w:rPr>
        <w:t>符合功能需要，体现</w:t>
      </w:r>
      <w:r>
        <w:rPr>
          <w:rFonts w:hint="eastAsia" w:ascii="宋体" w:hAnsi="宋体" w:cs="宋体"/>
          <w:szCs w:val="21"/>
          <w:highlight w:val="none"/>
          <w:lang w:val="en-US" w:eastAsia="zh-CN"/>
        </w:rPr>
        <w:t>卫生服务中心</w:t>
      </w:r>
      <w:r>
        <w:rPr>
          <w:rFonts w:ascii="宋体" w:hAnsi="宋体" w:cs="宋体"/>
          <w:szCs w:val="21"/>
          <w:highlight w:val="none"/>
        </w:rPr>
        <w:t>办</w:t>
      </w:r>
      <w:r>
        <w:rPr>
          <w:rFonts w:hint="eastAsia" w:ascii="宋体" w:hAnsi="宋体" w:cs="宋体"/>
          <w:szCs w:val="21"/>
          <w:highlight w:val="none"/>
          <w:lang w:val="en-US" w:eastAsia="zh-CN"/>
        </w:rPr>
        <w:t>院</w:t>
      </w:r>
      <w:r>
        <w:rPr>
          <w:rFonts w:ascii="宋体" w:hAnsi="宋体" w:cs="宋体"/>
          <w:szCs w:val="21"/>
          <w:highlight w:val="none"/>
        </w:rPr>
        <w:t>理念与</w:t>
      </w:r>
      <w:r>
        <w:rPr>
          <w:rFonts w:hint="eastAsia" w:ascii="宋体" w:hAnsi="宋体" w:cs="宋体"/>
          <w:szCs w:val="21"/>
          <w:highlight w:val="none"/>
          <w:lang w:val="en-US" w:eastAsia="zh-CN"/>
        </w:rPr>
        <w:t>美学</w:t>
      </w:r>
      <w:r>
        <w:rPr>
          <w:rFonts w:ascii="宋体" w:hAnsi="宋体" w:cs="宋体"/>
          <w:szCs w:val="21"/>
          <w:highlight w:val="none"/>
        </w:rPr>
        <w:t>品位，美观大气有</w:t>
      </w:r>
      <w:r>
        <w:rPr>
          <w:rFonts w:hint="eastAsia" w:ascii="宋体" w:hAnsi="宋体" w:cs="宋体"/>
          <w:szCs w:val="21"/>
          <w:highlight w:val="none"/>
        </w:rPr>
        <w:t>创意。与</w:t>
      </w:r>
      <w:r>
        <w:rPr>
          <w:rFonts w:hint="eastAsia" w:ascii="宋体" w:hAnsi="宋体" w:cs="宋体"/>
          <w:szCs w:val="21"/>
          <w:highlight w:val="none"/>
          <w:lang w:val="en-US" w:eastAsia="zh-CN"/>
        </w:rPr>
        <w:t>卫生服务中心</w:t>
      </w:r>
      <w:r>
        <w:rPr>
          <w:rFonts w:hint="eastAsia" w:ascii="宋体" w:hAnsi="宋体" w:cs="宋体"/>
          <w:szCs w:val="21"/>
          <w:highlight w:val="none"/>
        </w:rPr>
        <w:t>建筑整体和谐，实用美观。设计风格要与周边环境和谐，用材要与现有建筑风貌协调，设计造型能体现出</w:t>
      </w:r>
      <w:r>
        <w:rPr>
          <w:rFonts w:hint="eastAsia" w:ascii="宋体" w:hAnsi="宋体" w:cs="宋体"/>
          <w:szCs w:val="21"/>
          <w:highlight w:val="none"/>
          <w:lang w:val="en-US" w:eastAsia="zh-CN"/>
        </w:rPr>
        <w:t>卫生服务中心</w:t>
      </w:r>
      <w:r>
        <w:rPr>
          <w:rFonts w:hint="eastAsia" w:ascii="宋体" w:hAnsi="宋体" w:cs="宋体"/>
          <w:szCs w:val="21"/>
          <w:highlight w:val="none"/>
        </w:rPr>
        <w:t>景观的固有属性，寓意表达准确，内容体现完整。</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4.2室内</w:t>
      </w:r>
      <w:r>
        <w:rPr>
          <w:rFonts w:hint="eastAsia" w:ascii="宋体" w:hAnsi="宋体" w:cs="宋体"/>
          <w:b/>
          <w:bCs/>
          <w:szCs w:val="21"/>
          <w:highlight w:val="none"/>
        </w:rPr>
        <w:t>墙面文化设计及布置：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内容：1、</w:t>
      </w:r>
      <w:r>
        <w:rPr>
          <w:rFonts w:hint="eastAsia" w:ascii="宋体" w:hAnsi="宋体" w:cs="宋体"/>
          <w:szCs w:val="21"/>
          <w:highlight w:val="none"/>
          <w:lang w:val="en-US" w:eastAsia="zh-CN"/>
        </w:rPr>
        <w:t>行政区墙面文化设计布展</w:t>
      </w:r>
      <w:r>
        <w:rPr>
          <w:rFonts w:hint="eastAsia" w:ascii="宋体" w:hAnsi="宋体" w:cs="宋体"/>
          <w:szCs w:val="21"/>
          <w:highlight w:val="none"/>
        </w:rPr>
        <w:t>；2、医疗区走廊墙面文化</w:t>
      </w:r>
      <w:r>
        <w:rPr>
          <w:rFonts w:hint="eastAsia" w:ascii="宋体" w:hAnsi="宋体" w:cs="宋体"/>
          <w:szCs w:val="21"/>
          <w:highlight w:val="none"/>
          <w:lang w:val="en-US" w:eastAsia="zh-CN"/>
        </w:rPr>
        <w:t>设计布展</w:t>
      </w:r>
      <w:r>
        <w:rPr>
          <w:rFonts w:hint="eastAsia" w:ascii="宋体" w:hAnsi="宋体" w:cs="宋体"/>
          <w:szCs w:val="21"/>
          <w:highlight w:val="none"/>
        </w:rPr>
        <w:t>；3、党员活动室墙面文化</w:t>
      </w:r>
      <w:r>
        <w:rPr>
          <w:rFonts w:hint="eastAsia" w:ascii="宋体" w:hAnsi="宋体" w:cs="宋体"/>
          <w:szCs w:val="21"/>
          <w:highlight w:val="none"/>
          <w:lang w:val="en-US" w:eastAsia="zh-CN"/>
        </w:rPr>
        <w:t>设计布展</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、楼梯间墙面文化</w:t>
      </w:r>
      <w:r>
        <w:rPr>
          <w:rFonts w:hint="eastAsia" w:ascii="宋体" w:hAnsi="宋体" w:cs="宋体"/>
          <w:szCs w:val="21"/>
          <w:highlight w:val="none"/>
          <w:lang w:val="en-US" w:eastAsia="zh-CN"/>
        </w:rPr>
        <w:t>设计布展</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要求：符合</w:t>
      </w:r>
      <w:r>
        <w:rPr>
          <w:rFonts w:hint="eastAsia" w:ascii="宋体" w:hAnsi="宋体" w:cs="宋体"/>
          <w:szCs w:val="21"/>
          <w:highlight w:val="none"/>
          <w:lang w:val="en-US" w:eastAsia="zh-CN"/>
        </w:rPr>
        <w:t>卫生服务中心</w:t>
      </w:r>
      <w:r>
        <w:rPr>
          <w:rFonts w:hint="eastAsia" w:ascii="宋体" w:hAnsi="宋体" w:cs="宋体"/>
          <w:szCs w:val="21"/>
          <w:highlight w:val="none"/>
        </w:rPr>
        <w:t>整体风格，体现</w:t>
      </w:r>
      <w:r>
        <w:rPr>
          <w:rFonts w:hint="eastAsia" w:ascii="宋体" w:hAnsi="宋体" w:cs="宋体"/>
          <w:szCs w:val="21"/>
          <w:highlight w:val="none"/>
          <w:lang w:val="en-US" w:eastAsia="zh-CN"/>
        </w:rPr>
        <w:t>卫生服务中心</w:t>
      </w:r>
      <w:r>
        <w:rPr>
          <w:rFonts w:hint="eastAsia" w:ascii="宋体" w:hAnsi="宋体" w:cs="宋体"/>
          <w:szCs w:val="21"/>
          <w:highlight w:val="none"/>
        </w:rPr>
        <w:t>办</w:t>
      </w:r>
      <w:r>
        <w:rPr>
          <w:rFonts w:hint="eastAsia" w:ascii="宋体" w:hAnsi="宋体" w:cs="宋体"/>
          <w:szCs w:val="21"/>
          <w:highlight w:val="none"/>
          <w:lang w:val="en-US" w:eastAsia="zh-CN"/>
        </w:rPr>
        <w:t>院</w:t>
      </w:r>
      <w:r>
        <w:rPr>
          <w:rFonts w:hint="eastAsia" w:ascii="宋体" w:hAnsi="宋体" w:cs="宋体"/>
          <w:szCs w:val="21"/>
          <w:highlight w:val="none"/>
        </w:rPr>
        <w:t>理念，表达贴切有个性，呈现有质感有品位。现有基础装修尽可能不动的原则，对</w:t>
      </w:r>
      <w:r>
        <w:rPr>
          <w:rFonts w:hint="eastAsia" w:ascii="宋体" w:hAnsi="宋体" w:cs="宋体"/>
          <w:szCs w:val="21"/>
          <w:highlight w:val="none"/>
          <w:lang w:val="en-US" w:eastAsia="zh-CN"/>
        </w:rPr>
        <w:t>内部</w:t>
      </w:r>
      <w:r>
        <w:rPr>
          <w:rFonts w:hint="eastAsia" w:ascii="宋体" w:hAnsi="宋体" w:cs="宋体"/>
          <w:szCs w:val="21"/>
          <w:highlight w:val="none"/>
        </w:rPr>
        <w:t>空间配色进行优化，</w:t>
      </w:r>
      <w:r>
        <w:rPr>
          <w:rFonts w:hint="eastAsia" w:ascii="宋体" w:hAnsi="宋体" w:cs="宋体"/>
          <w:szCs w:val="21"/>
          <w:highlight w:val="none"/>
          <w:lang w:val="en-US" w:eastAsia="zh-CN"/>
        </w:rPr>
        <w:t>侧边</w:t>
      </w:r>
      <w:r>
        <w:rPr>
          <w:rFonts w:hint="eastAsia" w:ascii="宋体" w:hAnsi="宋体" w:cs="宋体"/>
          <w:szCs w:val="21"/>
          <w:highlight w:val="none"/>
        </w:rPr>
        <w:t>墙面设计，为</w:t>
      </w:r>
      <w:r>
        <w:rPr>
          <w:rFonts w:hint="eastAsia" w:ascii="宋体" w:hAnsi="宋体" w:cs="宋体"/>
          <w:szCs w:val="21"/>
          <w:highlight w:val="none"/>
          <w:lang w:val="en-US" w:eastAsia="zh-CN"/>
        </w:rPr>
        <w:t>卫生服务中心环境空间</w:t>
      </w:r>
      <w:r>
        <w:rPr>
          <w:rFonts w:hint="eastAsia" w:ascii="宋体" w:hAnsi="宋体" w:cs="宋体"/>
          <w:szCs w:val="21"/>
          <w:highlight w:val="none"/>
        </w:rPr>
        <w:t>增添活力。</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4.3大厅</w:t>
      </w:r>
      <w:r>
        <w:rPr>
          <w:rFonts w:hint="eastAsia" w:ascii="宋体" w:hAnsi="宋体" w:cs="宋体"/>
          <w:b/>
          <w:bCs/>
          <w:szCs w:val="21"/>
          <w:highlight w:val="none"/>
        </w:rPr>
        <w:t>空间设计</w:t>
      </w:r>
      <w:r>
        <w:rPr>
          <w:rFonts w:hint="eastAsia" w:ascii="宋体" w:hAnsi="宋体" w:cs="宋体"/>
          <w:b/>
          <w:bCs/>
          <w:szCs w:val="21"/>
          <w:highlight w:val="none"/>
          <w:lang w:val="en-US" w:eastAsia="zh-CN"/>
        </w:rPr>
        <w:t>及宣传栏等</w:t>
      </w:r>
      <w:r>
        <w:rPr>
          <w:rFonts w:hint="eastAsia" w:ascii="宋体" w:hAnsi="宋体" w:cs="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ascii="宋体" w:hAnsi="宋体" w:cs="宋体"/>
          <w:szCs w:val="21"/>
          <w:highlight w:val="none"/>
        </w:rPr>
        <w:t>内容：1、</w:t>
      </w:r>
      <w:r>
        <w:rPr>
          <w:rFonts w:hint="eastAsia" w:ascii="宋体" w:hAnsi="宋体" w:cs="宋体"/>
          <w:szCs w:val="21"/>
          <w:highlight w:val="none"/>
          <w:lang w:val="en-US" w:eastAsia="zh-CN"/>
        </w:rPr>
        <w:t>进入口大厅规划设计</w:t>
      </w:r>
      <w:r>
        <w:rPr>
          <w:rFonts w:ascii="宋体" w:hAnsi="宋体" w:cs="宋体"/>
          <w:szCs w:val="21"/>
          <w:highlight w:val="none"/>
        </w:rPr>
        <w:t>；</w:t>
      </w:r>
      <w:r>
        <w:rPr>
          <w:rFonts w:hint="eastAsia" w:ascii="宋体" w:hAnsi="宋体" w:cs="宋体"/>
          <w:szCs w:val="21"/>
          <w:highlight w:val="none"/>
          <w:lang w:val="en-US" w:eastAsia="zh-CN"/>
        </w:rPr>
        <w:t>2</w:t>
      </w:r>
      <w:r>
        <w:rPr>
          <w:rFonts w:ascii="宋体" w:hAnsi="宋体" w:cs="宋体"/>
          <w:szCs w:val="21"/>
          <w:highlight w:val="none"/>
        </w:rPr>
        <w:t>、</w:t>
      </w:r>
      <w:r>
        <w:rPr>
          <w:rFonts w:hint="eastAsia" w:ascii="宋体" w:hAnsi="宋体" w:cs="宋体"/>
          <w:szCs w:val="21"/>
          <w:highlight w:val="none"/>
          <w:lang w:val="en-US" w:eastAsia="zh-CN"/>
        </w:rPr>
        <w:t>户外立地及墙面宣传栏设计布置</w:t>
      </w:r>
      <w:r>
        <w:rPr>
          <w:rFonts w:ascii="宋体" w:hAnsi="宋体" w:cs="宋体"/>
          <w:szCs w:val="21"/>
          <w:highlight w:val="none"/>
        </w:rPr>
        <w:t>；</w:t>
      </w:r>
      <w:r>
        <w:rPr>
          <w:rFonts w:hint="eastAsia" w:ascii="宋体" w:hAnsi="宋体" w:cs="宋体"/>
          <w:szCs w:val="21"/>
          <w:highlight w:val="none"/>
          <w:lang w:val="en-US" w:eastAsia="zh-CN"/>
        </w:rPr>
        <w:t>3、其它附属零星区域规划设计。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ascii="宋体" w:hAnsi="宋体" w:cs="宋体"/>
          <w:szCs w:val="21"/>
          <w:highlight w:val="none"/>
        </w:rPr>
        <w:t>要求：符合功能需要，体现</w:t>
      </w:r>
      <w:r>
        <w:rPr>
          <w:rFonts w:hint="eastAsia" w:ascii="宋体" w:hAnsi="宋体" w:cs="宋体"/>
          <w:szCs w:val="21"/>
          <w:highlight w:val="none"/>
          <w:lang w:val="en-US" w:eastAsia="zh-CN"/>
        </w:rPr>
        <w:t>卫生服务中心</w:t>
      </w:r>
      <w:r>
        <w:rPr>
          <w:rFonts w:ascii="宋体" w:hAnsi="宋体" w:cs="宋体"/>
          <w:szCs w:val="21"/>
          <w:highlight w:val="none"/>
        </w:rPr>
        <w:t>办学</w:t>
      </w:r>
      <w:r>
        <w:rPr>
          <w:rFonts w:hint="eastAsia" w:ascii="宋体" w:hAnsi="宋体" w:cs="宋体"/>
          <w:szCs w:val="21"/>
          <w:highlight w:val="none"/>
          <w:lang w:val="en-US" w:eastAsia="zh-CN"/>
        </w:rPr>
        <w:t>院</w:t>
      </w:r>
      <w:r>
        <w:rPr>
          <w:rFonts w:ascii="宋体" w:hAnsi="宋体" w:cs="宋体"/>
          <w:szCs w:val="21"/>
          <w:highlight w:val="none"/>
        </w:rPr>
        <w:t>理念与办</w:t>
      </w:r>
      <w:r>
        <w:rPr>
          <w:rFonts w:hint="eastAsia" w:ascii="宋体" w:hAnsi="宋体" w:cs="宋体"/>
          <w:szCs w:val="21"/>
          <w:highlight w:val="none"/>
          <w:lang w:val="en-US" w:eastAsia="zh-CN"/>
        </w:rPr>
        <w:t>院定位</w:t>
      </w:r>
      <w:r>
        <w:rPr>
          <w:rFonts w:ascii="宋体" w:hAnsi="宋体" w:cs="宋体"/>
          <w:szCs w:val="21"/>
          <w:highlight w:val="none"/>
        </w:rPr>
        <w:t>，美观大气有</w:t>
      </w:r>
      <w:r>
        <w:rPr>
          <w:rFonts w:hint="eastAsia" w:ascii="宋体" w:hAnsi="宋体" w:cs="宋体"/>
          <w:szCs w:val="21"/>
          <w:highlight w:val="none"/>
        </w:rPr>
        <w:t>创意。与</w:t>
      </w:r>
      <w:r>
        <w:rPr>
          <w:rFonts w:hint="eastAsia" w:ascii="宋体" w:hAnsi="宋体" w:cs="宋体"/>
          <w:szCs w:val="21"/>
          <w:highlight w:val="none"/>
          <w:lang w:val="en-US" w:eastAsia="zh-CN"/>
        </w:rPr>
        <w:t>卫生服务中心</w:t>
      </w:r>
      <w:r>
        <w:rPr>
          <w:rFonts w:hint="eastAsia" w:ascii="宋体" w:hAnsi="宋体" w:cs="宋体"/>
          <w:szCs w:val="21"/>
          <w:highlight w:val="none"/>
        </w:rPr>
        <w:t>建筑整体和谐，实用美观。设计风格要与周边环境和谐，用材要与现有建筑风貌协调，设计造型能体现出</w:t>
      </w:r>
      <w:r>
        <w:rPr>
          <w:rFonts w:hint="eastAsia" w:ascii="宋体" w:hAnsi="宋体" w:cs="宋体"/>
          <w:szCs w:val="21"/>
          <w:highlight w:val="none"/>
          <w:lang w:val="en-US" w:eastAsia="zh-CN"/>
        </w:rPr>
        <w:t>卫生服务中心</w:t>
      </w:r>
      <w:r>
        <w:rPr>
          <w:rFonts w:hint="eastAsia" w:ascii="宋体" w:hAnsi="宋体" w:cs="宋体"/>
          <w:szCs w:val="21"/>
          <w:highlight w:val="none"/>
        </w:rPr>
        <w:t>文化景观的固有属性，寓意表达准确，内容体现完整。</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bCs/>
          <w:szCs w:val="21"/>
          <w:highlight w:val="none"/>
        </w:rPr>
      </w:pPr>
      <w:r>
        <w:rPr>
          <w:rFonts w:hint="eastAsia" w:ascii="宋体" w:hAnsi="宋体" w:cs="宋体"/>
          <w:b/>
          <w:bCs/>
          <w:szCs w:val="21"/>
          <w:highlight w:val="none"/>
          <w:lang w:val="en-US" w:eastAsia="zh-CN"/>
        </w:rPr>
        <w:t>（二）</w:t>
      </w:r>
      <w:r>
        <w:rPr>
          <w:rFonts w:hint="eastAsia" w:ascii="宋体" w:hAnsi="宋体" w:cs="宋体"/>
          <w:b/>
          <w:bCs/>
          <w:szCs w:val="21"/>
          <w:highlight w:val="none"/>
        </w:rPr>
        <w:t>采购项目的技术要求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1．质量要求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bookmarkStart w:id="30" w:name="_Toc155781956"/>
      <w:r>
        <w:rPr>
          <w:rFonts w:hint="eastAsia" w:ascii="宋体" w:hAnsi="宋体" w:cs="宋体"/>
          <w:szCs w:val="21"/>
          <w:highlight w:val="none"/>
        </w:rPr>
        <w:t>（1）本项目质量目标为一次性通过验收合格，投标人应详细编制设计方案，并在投标文件中对质量目标进行承诺。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（2）中标人须无条件接受质量监督管理部门、招标人以及相关部门质量检查和管理，共同把好质量关。</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（3）中标人的深化设计得到招标人的确认合格后，方可进入下一步的制作布展。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（4）中标人所供材料，需经业主认可后，方可</w:t>
      </w:r>
      <w:r>
        <w:rPr>
          <w:rFonts w:hint="eastAsia" w:ascii="宋体" w:hAnsi="宋体" w:cs="宋体"/>
          <w:szCs w:val="21"/>
          <w:highlight w:val="none"/>
          <w:lang w:val="en-US" w:eastAsia="zh-CN"/>
        </w:rPr>
        <w:t>进场</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（5）未尽的技术条件及要求均按国家标准和行业标准执行。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2．工期要求</w:t>
      </w:r>
      <w:bookmarkEnd w:id="30"/>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（1）本项目在合同签订</w:t>
      </w:r>
      <w:r>
        <w:rPr>
          <w:rFonts w:hint="eastAsia" w:ascii="宋体" w:hAnsi="宋体" w:cs="宋体"/>
          <w:szCs w:val="21"/>
          <w:highlight w:val="none"/>
          <w:lang w:val="en-US" w:eastAsia="zh-CN"/>
        </w:rPr>
        <w:t>4</w:t>
      </w:r>
      <w:r>
        <w:rPr>
          <w:rFonts w:ascii="宋体" w:hAnsi="宋体" w:cs="宋体"/>
          <w:szCs w:val="21"/>
          <w:highlight w:val="none"/>
        </w:rPr>
        <w:t>0</w:t>
      </w:r>
      <w:r>
        <w:rPr>
          <w:rFonts w:hint="eastAsia" w:ascii="宋体" w:hAnsi="宋体" w:cs="宋体"/>
          <w:szCs w:val="21"/>
          <w:highlight w:val="none"/>
        </w:rPr>
        <w:t>天内竣工交付</w:t>
      </w:r>
      <w:r>
        <w:rPr>
          <w:rFonts w:hint="eastAsia" w:ascii="宋体" w:hAnsi="宋体" w:cs="宋体"/>
          <w:szCs w:val="21"/>
          <w:highlight w:val="none"/>
          <w:lang w:val="en-US" w:eastAsia="zh-CN"/>
        </w:rPr>
        <w:t>采购人</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（2）中标</w:t>
      </w:r>
      <w:r>
        <w:rPr>
          <w:rFonts w:hint="eastAsia" w:ascii="宋体" w:hAnsi="宋体" w:cs="宋体"/>
          <w:szCs w:val="21"/>
          <w:highlight w:val="none"/>
          <w:lang w:val="en-US" w:eastAsia="zh-CN"/>
        </w:rPr>
        <w:t>人</w:t>
      </w:r>
      <w:r>
        <w:rPr>
          <w:rFonts w:hint="eastAsia" w:ascii="宋体" w:hAnsi="宋体" w:cs="宋体"/>
          <w:szCs w:val="21"/>
          <w:highlight w:val="none"/>
        </w:rPr>
        <w:t>须如期完工，不得拖延，除非因不可抗力或</w:t>
      </w:r>
      <w:r>
        <w:rPr>
          <w:rFonts w:hint="eastAsia" w:ascii="宋体" w:hAnsi="宋体" w:cs="宋体"/>
          <w:szCs w:val="21"/>
          <w:highlight w:val="none"/>
          <w:lang w:val="en-US" w:eastAsia="zh-CN"/>
        </w:rPr>
        <w:t>采购人</w:t>
      </w:r>
      <w:r>
        <w:rPr>
          <w:rFonts w:hint="eastAsia" w:ascii="宋体" w:hAnsi="宋体" w:cs="宋体"/>
          <w:szCs w:val="21"/>
          <w:highlight w:val="none"/>
        </w:rPr>
        <w:t>原因工期推迟，否则</w:t>
      </w:r>
      <w:r>
        <w:rPr>
          <w:rFonts w:hint="eastAsia" w:ascii="宋体" w:hAnsi="宋体" w:cs="宋体"/>
          <w:szCs w:val="21"/>
          <w:highlight w:val="none"/>
          <w:lang w:val="en-US" w:eastAsia="zh-CN"/>
        </w:rPr>
        <w:t>采购人</w:t>
      </w:r>
      <w:r>
        <w:rPr>
          <w:rFonts w:hint="eastAsia" w:ascii="宋体" w:hAnsi="宋体" w:cs="宋体"/>
          <w:szCs w:val="21"/>
          <w:highlight w:val="none"/>
        </w:rPr>
        <w:t>将处以</w:t>
      </w:r>
      <w:r>
        <w:rPr>
          <w:rFonts w:hint="eastAsia" w:ascii="宋体" w:hAnsi="宋体" w:cs="宋体"/>
          <w:szCs w:val="21"/>
          <w:highlight w:val="none"/>
          <w:lang w:val="en-US" w:eastAsia="zh-CN"/>
        </w:rPr>
        <w:t>合同金额1</w:t>
      </w:r>
      <w:r>
        <w:rPr>
          <w:rFonts w:hint="eastAsia" w:ascii="宋体" w:hAnsi="宋体" w:cs="宋体"/>
          <w:szCs w:val="21"/>
          <w:highlight w:val="none"/>
        </w:rPr>
        <w:t>0%的违约金。投标人必须在投标文件中对整个进度作出合理安排并做出承诺，制定设计、</w:t>
      </w:r>
      <w:r>
        <w:rPr>
          <w:rFonts w:hint="eastAsia" w:ascii="宋体" w:hAnsi="宋体" w:cs="宋体"/>
          <w:szCs w:val="21"/>
          <w:highlight w:val="none"/>
          <w:lang w:val="en-US" w:eastAsia="zh-CN"/>
        </w:rPr>
        <w:t>布展</w:t>
      </w:r>
      <w:r>
        <w:rPr>
          <w:rFonts w:hint="eastAsia" w:ascii="宋体" w:hAnsi="宋体" w:cs="宋体"/>
          <w:szCs w:val="21"/>
          <w:highlight w:val="none"/>
        </w:rPr>
        <w:t>施工进度计划。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bookmarkStart w:id="31" w:name="_Toc155781957"/>
      <w:bookmarkStart w:id="32" w:name="_Toc69109552"/>
      <w:r>
        <w:rPr>
          <w:rFonts w:hint="eastAsia" w:ascii="宋体" w:hAnsi="宋体" w:cs="宋体"/>
          <w:szCs w:val="21"/>
          <w:highlight w:val="none"/>
        </w:rPr>
        <w:t>3．设计要求</w:t>
      </w:r>
      <w:bookmarkEnd w:id="31"/>
    </w:p>
    <w:bookmarkEnd w:id="32"/>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bookmarkStart w:id="33" w:name="_Toc155781962"/>
      <w:r>
        <w:rPr>
          <w:rFonts w:hint="eastAsia" w:ascii="宋体" w:hAnsi="宋体" w:cs="宋体"/>
          <w:szCs w:val="21"/>
          <w:highlight w:val="none"/>
        </w:rPr>
        <w:t>（1）设计基本要求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rPr>
        <w:t>投标人应对</w:t>
      </w:r>
      <w:r>
        <w:rPr>
          <w:rFonts w:hint="eastAsia" w:ascii="宋体" w:hAnsi="宋体" w:cs="宋体"/>
          <w:szCs w:val="21"/>
          <w:highlight w:val="none"/>
          <w:lang w:val="en-US" w:eastAsia="zh-CN"/>
        </w:rPr>
        <w:t>采购人</w:t>
      </w:r>
      <w:r>
        <w:rPr>
          <w:rFonts w:hint="eastAsia" w:ascii="宋体" w:hAnsi="宋体" w:cs="宋体"/>
          <w:szCs w:val="21"/>
          <w:highlight w:val="none"/>
        </w:rPr>
        <w:t>的理念和构思有充分的理解；自行设计提升设计制作方案，在投标时提供主题规划、效果图、材质说明、</w:t>
      </w:r>
      <w:r>
        <w:rPr>
          <w:rFonts w:hint="eastAsia" w:ascii="宋体" w:hAnsi="宋体" w:cs="宋体"/>
          <w:szCs w:val="21"/>
          <w:highlight w:val="none"/>
          <w:lang w:val="en-US" w:eastAsia="zh-CN"/>
        </w:rPr>
        <w:t>布展</w:t>
      </w:r>
      <w:r>
        <w:rPr>
          <w:rFonts w:hint="eastAsia" w:ascii="宋体" w:hAnsi="宋体" w:cs="宋体"/>
          <w:szCs w:val="21"/>
          <w:highlight w:val="none"/>
        </w:rPr>
        <w:t>平立面CAD及尺寸标注等设计方案</w:t>
      </w:r>
      <w:r>
        <w:rPr>
          <w:rFonts w:hint="eastAsia" w:ascii="宋体" w:hAnsi="宋体" w:cs="宋体"/>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投标人在设计过程中，要严格按照招标文件的约定，围绕相关现场勘测资料，并结合</w:t>
      </w:r>
      <w:r>
        <w:rPr>
          <w:rFonts w:hint="eastAsia" w:ascii="宋体" w:hAnsi="宋体" w:cs="宋体"/>
          <w:szCs w:val="21"/>
          <w:highlight w:val="none"/>
          <w:lang w:val="en-US" w:eastAsia="zh-CN"/>
        </w:rPr>
        <w:t>采购人</w:t>
      </w:r>
      <w:r>
        <w:rPr>
          <w:rFonts w:hint="eastAsia" w:ascii="宋体" w:hAnsi="宋体" w:cs="宋体"/>
          <w:szCs w:val="21"/>
          <w:highlight w:val="none"/>
        </w:rPr>
        <w:t>的意见，进行设计工作；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中标人在施工过程中，接受相关的监督指导，不断完善、细化设计；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满足规划方案与</w:t>
      </w:r>
      <w:r>
        <w:rPr>
          <w:rFonts w:hint="eastAsia" w:ascii="宋体" w:hAnsi="宋体" w:cs="宋体"/>
          <w:szCs w:val="21"/>
          <w:highlight w:val="none"/>
          <w:lang w:val="en-US" w:eastAsia="zh-CN"/>
        </w:rPr>
        <w:t>布展</w:t>
      </w:r>
      <w:r>
        <w:rPr>
          <w:rFonts w:hint="eastAsia" w:ascii="宋体" w:hAnsi="宋体" w:cs="宋体"/>
          <w:szCs w:val="21"/>
          <w:highlight w:val="none"/>
        </w:rPr>
        <w:t xml:space="preserve">要求；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设计必须保证</w:t>
      </w:r>
      <w:r>
        <w:rPr>
          <w:rFonts w:hint="eastAsia" w:ascii="宋体" w:hAnsi="宋体" w:cs="宋体"/>
          <w:szCs w:val="21"/>
          <w:highlight w:val="none"/>
          <w:lang w:val="en-US" w:eastAsia="zh-CN"/>
        </w:rPr>
        <w:t>空间</w:t>
      </w:r>
      <w:r>
        <w:rPr>
          <w:rFonts w:hint="eastAsia" w:ascii="宋体" w:hAnsi="宋体" w:cs="宋体"/>
          <w:szCs w:val="21"/>
          <w:highlight w:val="none"/>
        </w:rPr>
        <w:t xml:space="preserve">的整体性要求和结构的安全性，要内外协调；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设计方案应符合招标文件要求及国家有关规范规定；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设计上要整体要品位高雅，充分体现</w:t>
      </w:r>
      <w:r>
        <w:rPr>
          <w:rFonts w:hint="eastAsia" w:ascii="宋体" w:hAnsi="宋体" w:cs="宋体"/>
          <w:szCs w:val="21"/>
          <w:highlight w:val="none"/>
          <w:lang w:val="en-US" w:eastAsia="zh-CN"/>
        </w:rPr>
        <w:t>卫生服务中心</w:t>
      </w:r>
      <w:r>
        <w:rPr>
          <w:rFonts w:hint="eastAsia" w:ascii="宋体" w:hAnsi="宋体" w:cs="宋体"/>
          <w:szCs w:val="21"/>
          <w:highlight w:val="none"/>
        </w:rPr>
        <w:t>的特色；</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材料选择得当，色彩选配考究，线条处理协调，并且符合国家规范要求，主要部件及配件选用同类产品中的优质品牌；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体现“以人为本”的原则，充分满足人的需求，充分考虑不同层次群体的要求；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充分考虑安全性，符合公共场所安全、消防规范；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（2）标准及规范必须达到</w:t>
      </w:r>
      <w:r>
        <w:rPr>
          <w:rFonts w:hint="eastAsia" w:ascii="宋体" w:hAnsi="宋体" w:cs="宋体"/>
          <w:szCs w:val="21"/>
          <w:highlight w:val="none"/>
          <w:lang w:val="en-US" w:eastAsia="zh-CN"/>
        </w:rPr>
        <w:t>相关国家、地方、行业及其它有关规定</w:t>
      </w:r>
      <w:r>
        <w:rPr>
          <w:rFonts w:hint="eastAsia" w:ascii="宋体" w:hAnsi="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若设计人使用的标准在本标书的规定外，则应明确说明用于替代的标准或使用规范，并提供所使用的标准，该标准必须是国际公认的同等或更高级的标准。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bookmarkStart w:id="34" w:name="_Toc155781958"/>
      <w:r>
        <w:rPr>
          <w:rFonts w:hint="eastAsia" w:ascii="宋体" w:hAnsi="宋体" w:cs="宋体"/>
          <w:szCs w:val="21"/>
          <w:highlight w:val="none"/>
        </w:rPr>
        <w:t>（3）设计深度</w:t>
      </w:r>
      <w:bookmarkEnd w:id="34"/>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设计的深度应满足策划方案要求并能按图进行</w:t>
      </w:r>
      <w:r>
        <w:rPr>
          <w:rFonts w:hint="eastAsia" w:ascii="宋体" w:hAnsi="宋体" w:cs="宋体"/>
          <w:szCs w:val="21"/>
          <w:highlight w:val="none"/>
          <w:lang w:val="en-US" w:eastAsia="zh-CN"/>
        </w:rPr>
        <w:t>布展</w:t>
      </w:r>
      <w:r>
        <w:rPr>
          <w:rFonts w:hint="eastAsia" w:ascii="宋体" w:hAnsi="宋体" w:cs="宋体"/>
          <w:szCs w:val="21"/>
          <w:highlight w:val="none"/>
        </w:rPr>
        <w:t>（制作），包括（但不限于以下内容）：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设计应包含所有专业的</w:t>
      </w:r>
      <w:r>
        <w:rPr>
          <w:rFonts w:ascii="宋体" w:hAnsi="宋体" w:cs="宋体"/>
          <w:szCs w:val="21"/>
          <w:highlight w:val="none"/>
        </w:rPr>
        <w:t>布展</w:t>
      </w:r>
      <w:r>
        <w:rPr>
          <w:rFonts w:hint="eastAsia" w:ascii="宋体" w:hAnsi="宋体" w:cs="宋体"/>
          <w:szCs w:val="21"/>
          <w:highlight w:val="none"/>
        </w:rPr>
        <w:t>（制作）设计图及</w:t>
      </w:r>
      <w:r>
        <w:rPr>
          <w:rFonts w:hint="eastAsia" w:ascii="宋体" w:hAnsi="宋体" w:cs="宋体"/>
          <w:szCs w:val="21"/>
          <w:highlight w:val="none"/>
          <w:lang w:val="en-US" w:eastAsia="zh-CN"/>
        </w:rPr>
        <w:t>布</w:t>
      </w:r>
      <w:r>
        <w:rPr>
          <w:rFonts w:hint="eastAsia" w:ascii="宋体" w:hAnsi="宋体" w:cs="宋体"/>
          <w:szCs w:val="21"/>
          <w:highlight w:val="none"/>
        </w:rPr>
        <w:t xml:space="preserve">展项制作图；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设计文件应提供项目的主要节点图纸、分解图、用料及规格、性能、技术标准以及其它要求的各项技术参数；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投标人</w:t>
      </w:r>
      <w:r>
        <w:rPr>
          <w:rFonts w:hint="eastAsia" w:ascii="宋体" w:hAnsi="宋体" w:cs="宋体"/>
          <w:szCs w:val="21"/>
          <w:highlight w:val="none"/>
        </w:rPr>
        <w:t>应用文字的形式详细叙述将如何以展示策划文本为基础推进深化设计，包括深化（</w:t>
      </w:r>
      <w:r>
        <w:rPr>
          <w:rFonts w:ascii="宋体" w:hAnsi="宋体" w:cs="宋体"/>
          <w:szCs w:val="21"/>
          <w:highlight w:val="none"/>
        </w:rPr>
        <w:t>布展</w:t>
      </w:r>
      <w:r>
        <w:rPr>
          <w:rFonts w:hint="eastAsia" w:ascii="宋体" w:hAnsi="宋体" w:cs="宋体"/>
          <w:szCs w:val="21"/>
          <w:highlight w:val="none"/>
        </w:rPr>
        <w:t>图）设计的顺序、方法以及安装的实施办法；</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本次设计必须满足安防监控要求、防火规范、消防设施设计规范及有关规定。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bookmarkStart w:id="35" w:name="_Toc69109555"/>
      <w:bookmarkStart w:id="36" w:name="_Toc155781961"/>
      <w:r>
        <w:rPr>
          <w:rFonts w:hint="eastAsia" w:ascii="宋体" w:hAnsi="宋体" w:cs="宋体"/>
          <w:szCs w:val="21"/>
          <w:highlight w:val="none"/>
        </w:rPr>
        <w:t>（4）项目管理的要求</w:t>
      </w:r>
      <w:bookmarkEnd w:id="35"/>
      <w:bookmarkEnd w:id="36"/>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本项目发包范围内的设计项目，未经</w:t>
      </w:r>
      <w:r>
        <w:rPr>
          <w:rFonts w:hint="eastAsia" w:ascii="宋体" w:hAnsi="宋体" w:cs="宋体"/>
          <w:szCs w:val="21"/>
          <w:highlight w:val="none"/>
          <w:lang w:val="en-US" w:eastAsia="zh-CN"/>
        </w:rPr>
        <w:t>采购人</w:t>
      </w:r>
      <w:r>
        <w:rPr>
          <w:rFonts w:hint="eastAsia" w:ascii="宋体" w:hAnsi="宋体" w:cs="宋体"/>
          <w:szCs w:val="21"/>
          <w:highlight w:val="none"/>
        </w:rPr>
        <w:t>同意，不得分包。一经发现</w:t>
      </w:r>
      <w:r>
        <w:rPr>
          <w:rFonts w:hint="eastAsia" w:ascii="宋体" w:hAnsi="宋体" w:cs="宋体"/>
          <w:szCs w:val="21"/>
          <w:highlight w:val="none"/>
          <w:lang w:val="en-US" w:eastAsia="zh-CN"/>
        </w:rPr>
        <w:t>采购人有权终止合同</w:t>
      </w:r>
      <w:r>
        <w:rPr>
          <w:rFonts w:hint="eastAsia" w:ascii="宋体" w:hAnsi="宋体" w:cs="宋体"/>
          <w:szCs w:val="21"/>
          <w:highlight w:val="none"/>
        </w:rPr>
        <w:t>，作违约处理，并承担由此引起的一切经济损失。</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中标人应严格按设计图纸和已确认的施工技术方案组织</w:t>
      </w:r>
      <w:r>
        <w:rPr>
          <w:rFonts w:hint="eastAsia" w:ascii="宋体" w:hAnsi="宋体" w:cs="宋体"/>
          <w:szCs w:val="21"/>
          <w:highlight w:val="none"/>
          <w:lang w:val="en-US" w:eastAsia="zh-CN"/>
        </w:rPr>
        <w:t>布展</w:t>
      </w:r>
      <w:r>
        <w:rPr>
          <w:rFonts w:hint="eastAsia" w:ascii="宋体" w:hAnsi="宋体" w:cs="宋体"/>
          <w:szCs w:val="21"/>
          <w:highlight w:val="none"/>
        </w:rPr>
        <w:t>施工，并无条件地接受</w:t>
      </w:r>
      <w:r>
        <w:rPr>
          <w:rFonts w:hint="eastAsia" w:ascii="宋体" w:hAnsi="宋体" w:cs="宋体"/>
          <w:szCs w:val="21"/>
          <w:highlight w:val="none"/>
          <w:lang w:val="en-US" w:eastAsia="zh-CN"/>
        </w:rPr>
        <w:t>采购人</w:t>
      </w:r>
      <w:r>
        <w:rPr>
          <w:rFonts w:hint="eastAsia" w:ascii="宋体" w:hAnsi="宋体" w:cs="宋体"/>
          <w:szCs w:val="21"/>
          <w:highlight w:val="none"/>
        </w:rPr>
        <w:t>对</w:t>
      </w:r>
      <w:r>
        <w:rPr>
          <w:rFonts w:hint="eastAsia" w:ascii="宋体" w:hAnsi="宋体" w:cs="宋体"/>
          <w:szCs w:val="21"/>
          <w:highlight w:val="none"/>
          <w:lang w:val="en-US" w:eastAsia="zh-CN"/>
        </w:rPr>
        <w:t>布展</w:t>
      </w:r>
      <w:r>
        <w:rPr>
          <w:rFonts w:hint="eastAsia" w:ascii="宋体" w:hAnsi="宋体" w:cs="宋体"/>
          <w:szCs w:val="21"/>
          <w:highlight w:val="none"/>
        </w:rPr>
        <w:t>施工质量的监督和管理。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投标人在投标文件中承诺的设计负责人、设计班子主要成员、项目经理及相应资质的专业技术、管理人员未经</w:t>
      </w:r>
      <w:r>
        <w:rPr>
          <w:rFonts w:hint="eastAsia" w:ascii="宋体" w:hAnsi="宋体" w:cs="宋体"/>
          <w:szCs w:val="21"/>
          <w:highlight w:val="none"/>
          <w:lang w:val="en-US" w:eastAsia="zh-CN"/>
        </w:rPr>
        <w:t>采购人</w:t>
      </w:r>
      <w:r>
        <w:rPr>
          <w:rFonts w:hint="eastAsia" w:ascii="宋体" w:hAnsi="宋体" w:cs="宋体"/>
          <w:szCs w:val="21"/>
          <w:highlight w:val="none"/>
        </w:rPr>
        <w:t>书面同意，不得调换和撤离，并按</w:t>
      </w:r>
      <w:r>
        <w:rPr>
          <w:rFonts w:hint="eastAsia" w:ascii="宋体" w:hAnsi="宋体" w:cs="宋体"/>
          <w:szCs w:val="21"/>
          <w:highlight w:val="none"/>
          <w:lang w:val="en-US" w:eastAsia="zh-CN"/>
        </w:rPr>
        <w:t>布展项目</w:t>
      </w:r>
      <w:r>
        <w:rPr>
          <w:rFonts w:hint="eastAsia" w:ascii="宋体" w:hAnsi="宋体" w:cs="宋体"/>
          <w:szCs w:val="21"/>
          <w:highlight w:val="none"/>
        </w:rPr>
        <w:t>进度及时到位。</w:t>
      </w:r>
      <w:r>
        <w:rPr>
          <w:rFonts w:hint="eastAsia" w:ascii="宋体" w:hAnsi="宋体" w:cs="宋体"/>
          <w:szCs w:val="21"/>
          <w:highlight w:val="none"/>
          <w:lang w:val="en-US" w:eastAsia="zh-CN"/>
        </w:rPr>
        <w:t>采购人</w:t>
      </w:r>
      <w:r>
        <w:rPr>
          <w:rFonts w:hint="eastAsia" w:ascii="宋体" w:hAnsi="宋体" w:cs="宋体"/>
          <w:szCs w:val="21"/>
          <w:highlight w:val="none"/>
        </w:rPr>
        <w:t>有权要求中标人撤换工作不负责任、管理不力、贻误工期和造成严重的安全事故和</w:t>
      </w:r>
      <w:r>
        <w:rPr>
          <w:rFonts w:hint="eastAsia" w:ascii="宋体" w:hAnsi="宋体" w:cs="宋体"/>
          <w:szCs w:val="21"/>
          <w:highlight w:val="none"/>
          <w:lang w:val="en-US" w:eastAsia="zh-CN"/>
        </w:rPr>
        <w:t>布展项目</w:t>
      </w:r>
      <w:r>
        <w:rPr>
          <w:rFonts w:hint="eastAsia" w:ascii="宋体" w:hAnsi="宋体" w:cs="宋体"/>
          <w:szCs w:val="21"/>
          <w:highlight w:val="none"/>
        </w:rPr>
        <w:t>质量事故、违法乱纪的专业技术、管理人员直至项目经理，直至</w:t>
      </w:r>
      <w:r>
        <w:rPr>
          <w:rFonts w:hint="eastAsia" w:ascii="宋体" w:hAnsi="宋体" w:cs="宋体"/>
          <w:szCs w:val="21"/>
          <w:highlight w:val="none"/>
          <w:lang w:val="en-US" w:eastAsia="zh-CN"/>
        </w:rPr>
        <w:t>采购人</w:t>
      </w:r>
      <w:r>
        <w:rPr>
          <w:rFonts w:hint="eastAsia" w:ascii="宋体" w:hAnsi="宋体" w:cs="宋体"/>
          <w:szCs w:val="21"/>
          <w:highlight w:val="none"/>
        </w:rPr>
        <w:t>满意为止。如项目经理及相应资质的专业技术人员未按要求到位，视作违约，</w:t>
      </w:r>
      <w:r>
        <w:rPr>
          <w:rFonts w:hint="eastAsia" w:ascii="宋体" w:hAnsi="宋体" w:cs="宋体"/>
          <w:szCs w:val="21"/>
          <w:highlight w:val="none"/>
          <w:lang w:val="en-US" w:eastAsia="zh-CN"/>
        </w:rPr>
        <w:t>采购人</w:t>
      </w:r>
      <w:r>
        <w:rPr>
          <w:rFonts w:hint="eastAsia" w:ascii="宋体" w:hAnsi="宋体" w:cs="宋体"/>
          <w:szCs w:val="21"/>
          <w:highlight w:val="none"/>
        </w:rPr>
        <w:t>有权单方面终止合同。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由于</w:t>
      </w:r>
      <w:r>
        <w:rPr>
          <w:rFonts w:hint="eastAsia" w:ascii="宋体" w:hAnsi="宋体" w:cs="宋体"/>
          <w:szCs w:val="21"/>
          <w:highlight w:val="none"/>
          <w:lang w:val="en-US" w:eastAsia="zh-CN"/>
        </w:rPr>
        <w:t>布展</w:t>
      </w:r>
      <w:r>
        <w:rPr>
          <w:rFonts w:hint="eastAsia" w:ascii="宋体" w:hAnsi="宋体" w:cs="宋体"/>
          <w:szCs w:val="21"/>
          <w:highlight w:val="none"/>
        </w:rPr>
        <w:t>施工场地和项目的特殊性，要求中标人在开工之前和</w:t>
      </w:r>
      <w:r>
        <w:rPr>
          <w:rFonts w:hint="eastAsia" w:ascii="宋体" w:hAnsi="宋体" w:cs="宋体"/>
          <w:szCs w:val="21"/>
          <w:highlight w:val="none"/>
          <w:lang w:val="en-US" w:eastAsia="zh-CN"/>
        </w:rPr>
        <w:t>布展</w:t>
      </w:r>
      <w:r>
        <w:rPr>
          <w:rFonts w:hint="eastAsia" w:ascii="宋体" w:hAnsi="宋体" w:cs="宋体"/>
          <w:szCs w:val="21"/>
          <w:highlight w:val="none"/>
        </w:rPr>
        <w:t>施工期间做好安全文明标化管理，要求在投标文件中阐述有关</w:t>
      </w:r>
      <w:r>
        <w:rPr>
          <w:rFonts w:hint="eastAsia" w:ascii="宋体" w:hAnsi="宋体" w:cs="宋体"/>
          <w:szCs w:val="21"/>
          <w:highlight w:val="none"/>
          <w:lang w:val="en-US" w:eastAsia="zh-CN"/>
        </w:rPr>
        <w:t>布展</w:t>
      </w:r>
      <w:r>
        <w:rPr>
          <w:rFonts w:hint="eastAsia" w:ascii="宋体" w:hAnsi="宋体" w:cs="宋体"/>
          <w:szCs w:val="21"/>
          <w:highlight w:val="none"/>
        </w:rPr>
        <w:t>施工方案和管理措施，并作出相应承诺，确保场内外道路清洁畅通，确保来往车辆、人员安全。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（5）保修的要求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中标人应提供不少于1年的免费保修期（自最终验收合格之日起计），对此投标人必须在投标文件中作出明确承诺。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保修期内，中标人应在接到</w:t>
      </w:r>
      <w:r>
        <w:rPr>
          <w:rFonts w:hint="eastAsia" w:ascii="宋体" w:hAnsi="宋体" w:cs="宋体"/>
          <w:szCs w:val="21"/>
          <w:highlight w:val="none"/>
          <w:lang w:val="en-US" w:eastAsia="zh-CN"/>
        </w:rPr>
        <w:t>采购人</w:t>
      </w:r>
      <w:r>
        <w:rPr>
          <w:rFonts w:hint="eastAsia" w:ascii="宋体" w:hAnsi="宋体" w:cs="宋体"/>
          <w:szCs w:val="21"/>
          <w:highlight w:val="none"/>
        </w:rPr>
        <w:t>通知二十四小时内到场保修；否则，</w:t>
      </w:r>
      <w:r>
        <w:rPr>
          <w:rFonts w:hint="eastAsia" w:ascii="宋体" w:hAnsi="宋体" w:cs="宋体"/>
          <w:szCs w:val="21"/>
          <w:highlight w:val="none"/>
          <w:lang w:val="en-US" w:eastAsia="zh-CN"/>
        </w:rPr>
        <w:t>采购人</w:t>
      </w:r>
      <w:r>
        <w:rPr>
          <w:rFonts w:hint="eastAsia" w:ascii="宋体" w:hAnsi="宋体" w:cs="宋体"/>
          <w:szCs w:val="21"/>
          <w:highlight w:val="none"/>
        </w:rPr>
        <w:t>将另派人员修理，修理费由中标人负责。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保修期结束后，中标人仍应对</w:t>
      </w:r>
      <w:r>
        <w:rPr>
          <w:rFonts w:hint="eastAsia" w:ascii="宋体" w:hAnsi="宋体" w:cs="宋体"/>
          <w:szCs w:val="21"/>
          <w:highlight w:val="none"/>
          <w:lang w:val="en-US" w:eastAsia="zh-CN"/>
        </w:rPr>
        <w:t>布展项目</w:t>
      </w:r>
      <w:r>
        <w:rPr>
          <w:rFonts w:hint="eastAsia" w:ascii="宋体" w:hAnsi="宋体" w:cs="宋体"/>
          <w:szCs w:val="21"/>
          <w:highlight w:val="none"/>
        </w:rPr>
        <w:t>保证及时、良好的维护服务。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（6）投标报价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①本次招标由投标人进行报价。在进行报价时，投标</w:t>
      </w:r>
      <w:r>
        <w:rPr>
          <w:rFonts w:hint="eastAsia" w:ascii="宋体" w:hAnsi="宋体" w:cs="宋体"/>
          <w:szCs w:val="21"/>
          <w:highlight w:val="none"/>
          <w:lang w:val="en-US" w:eastAsia="zh-CN"/>
        </w:rPr>
        <w:t>人</w:t>
      </w:r>
      <w:r>
        <w:rPr>
          <w:rFonts w:hint="eastAsia" w:ascii="宋体" w:hAnsi="宋体" w:cs="宋体"/>
          <w:szCs w:val="21"/>
          <w:highlight w:val="none"/>
        </w:rPr>
        <w:t>须充分考虑本项目的特殊性和不可预见性在内的所有为完成本项目的深化（</w:t>
      </w:r>
      <w:r>
        <w:rPr>
          <w:rFonts w:hint="eastAsia" w:ascii="宋体" w:hAnsi="宋体" w:cs="宋体"/>
          <w:szCs w:val="21"/>
          <w:highlight w:val="none"/>
          <w:lang w:val="en-US" w:eastAsia="zh-CN"/>
        </w:rPr>
        <w:t>布展施工</w:t>
      </w:r>
      <w:r>
        <w:rPr>
          <w:rFonts w:hint="eastAsia" w:ascii="宋体" w:hAnsi="宋体" w:cs="宋体"/>
          <w:szCs w:val="21"/>
          <w:highlight w:val="none"/>
        </w:rPr>
        <w:t xml:space="preserve">图）设计及由此引起的费用等所需的各项应有费用。招标范围包含的所有内容的价格一次性包干。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②</w:t>
      </w:r>
      <w:r>
        <w:rPr>
          <w:rFonts w:hint="eastAsia" w:ascii="宋体" w:hAnsi="宋体" w:cs="宋体"/>
          <w:szCs w:val="21"/>
          <w:highlight w:val="none"/>
          <w:lang w:val="en-US" w:eastAsia="zh-CN"/>
        </w:rPr>
        <w:t>布展</w:t>
      </w:r>
      <w:r>
        <w:rPr>
          <w:rFonts w:hint="eastAsia" w:ascii="宋体" w:hAnsi="宋体" w:cs="宋体"/>
          <w:szCs w:val="21"/>
          <w:highlight w:val="none"/>
        </w:rPr>
        <w:t>施工图设计与投标报价是招标文件所确定的招标范围内全部工作内容的价格表现，包括</w:t>
      </w:r>
      <w:r>
        <w:rPr>
          <w:rFonts w:hint="eastAsia" w:ascii="宋体" w:hAnsi="宋体" w:cs="宋体"/>
          <w:szCs w:val="21"/>
          <w:highlight w:val="none"/>
          <w:lang w:val="en-US" w:eastAsia="zh-CN"/>
        </w:rPr>
        <w:t>布展</w:t>
      </w:r>
      <w:r>
        <w:rPr>
          <w:rFonts w:hint="eastAsia" w:ascii="宋体" w:hAnsi="宋体" w:cs="宋体"/>
          <w:szCs w:val="21"/>
          <w:highlight w:val="none"/>
        </w:rPr>
        <w:t>施工设备、劳务、管理、材料、安装、调试、维护、深化及</w:t>
      </w:r>
      <w:r>
        <w:rPr>
          <w:rFonts w:hint="eastAsia" w:ascii="宋体" w:hAnsi="宋体" w:cs="宋体"/>
          <w:szCs w:val="21"/>
          <w:highlight w:val="none"/>
          <w:lang w:val="en-US" w:eastAsia="zh-CN"/>
        </w:rPr>
        <w:t>布展</w:t>
      </w:r>
      <w:r>
        <w:rPr>
          <w:rFonts w:hint="eastAsia" w:ascii="宋体" w:hAnsi="宋体" w:cs="宋体"/>
          <w:szCs w:val="21"/>
          <w:highlight w:val="none"/>
        </w:rPr>
        <w:t>施工（制作）图设计、设计的修改和确认、设计交流、图纸会审、</w:t>
      </w:r>
      <w:r>
        <w:rPr>
          <w:rFonts w:hint="eastAsia" w:ascii="宋体" w:hAnsi="宋体" w:cs="宋体"/>
          <w:szCs w:val="21"/>
          <w:highlight w:val="none"/>
          <w:lang w:val="en-US" w:eastAsia="zh-CN"/>
        </w:rPr>
        <w:t>布展</w:t>
      </w:r>
      <w:r>
        <w:rPr>
          <w:rFonts w:hint="eastAsia" w:ascii="宋体" w:hAnsi="宋体" w:cs="宋体"/>
          <w:szCs w:val="21"/>
          <w:highlight w:val="none"/>
        </w:rPr>
        <w:t>施工、制作、垃圾清扫和搬运、建筑物修复、提前进场配合费、有关部门的检测、检验、整改、验收、审计、保险、利润、税金、政策性文件规定及本项目包含的所有风险、责任等各项应有费用，所有的失误与遗漏均不得调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③投标人须认真阅读、充分理解</w:t>
      </w:r>
      <w:r>
        <w:rPr>
          <w:rFonts w:hint="eastAsia" w:ascii="宋体" w:hAnsi="宋体" w:cs="宋体"/>
          <w:szCs w:val="21"/>
          <w:highlight w:val="none"/>
          <w:lang w:val="en-US" w:eastAsia="zh-CN"/>
        </w:rPr>
        <w:t>义蓬卫生服务中心</w:t>
      </w:r>
      <w:r>
        <w:rPr>
          <w:rFonts w:hint="eastAsia" w:ascii="宋体" w:hAnsi="宋体" w:cs="宋体"/>
          <w:szCs w:val="21"/>
          <w:highlight w:val="none"/>
          <w:lang w:eastAsia="zh-CN"/>
        </w:rPr>
        <w:t>标识标牌及导视设施采购项目（文化设计采购项目）</w:t>
      </w:r>
      <w:r>
        <w:rPr>
          <w:rFonts w:hint="eastAsia" w:ascii="宋体" w:hAnsi="宋体" w:cs="宋体"/>
          <w:szCs w:val="21"/>
          <w:highlight w:val="none"/>
        </w:rPr>
        <w:t>的整体规划方案，对方案理解不清、产生歧义等由此产生的费用，视作已含在投标总价中。</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④投标人应对投标内容所涉及的一切知识产权承担责任，并负责保护招标人的利益不受损害，一切由于侵权引起的法律、诉讼、裁决和所发生的费用均与招标人无关。</w:t>
      </w:r>
      <w:bookmarkEnd w:id="33"/>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szCs w:val="21"/>
          <w:highlight w:val="none"/>
        </w:rPr>
      </w:pPr>
      <w:r>
        <w:rPr>
          <w:rFonts w:hint="eastAsia" w:ascii="宋体" w:hAnsi="宋体" w:cs="宋体"/>
          <w:szCs w:val="21"/>
          <w:highlight w:val="none"/>
        </w:rPr>
        <w:t>（7）验收要求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rPr>
        <w:t>根据采购</w:t>
      </w:r>
      <w:r>
        <w:rPr>
          <w:rFonts w:hint="eastAsia" w:ascii="宋体" w:hAnsi="宋体" w:eastAsia="宋体" w:cs="宋体"/>
          <w:szCs w:val="21"/>
          <w:highlight w:val="none"/>
        </w:rPr>
        <w:t>文件确定的技术指标、服务要求、合同文本及最终确定的</w:t>
      </w:r>
      <w:r>
        <w:rPr>
          <w:rFonts w:hint="eastAsia" w:ascii="宋体" w:hAnsi="宋体" w:eastAsia="宋体" w:cs="宋体"/>
          <w:szCs w:val="21"/>
          <w:highlight w:val="none"/>
          <w:lang w:val="en-US" w:eastAsia="zh-CN"/>
        </w:rPr>
        <w:t>布展</w:t>
      </w:r>
      <w:r>
        <w:rPr>
          <w:rFonts w:hint="eastAsia" w:ascii="宋体" w:hAnsi="宋体" w:eastAsia="宋体" w:cs="宋体"/>
          <w:szCs w:val="21"/>
          <w:highlight w:val="none"/>
        </w:rPr>
        <w:t>实施方案及</w:t>
      </w:r>
      <w:r>
        <w:rPr>
          <w:rFonts w:hint="eastAsia" w:ascii="宋体" w:hAnsi="宋体" w:eastAsia="宋体" w:cs="宋体"/>
          <w:szCs w:val="21"/>
          <w:highlight w:val="none"/>
          <w:lang w:val="en-US" w:eastAsia="zh-CN"/>
        </w:rPr>
        <w:t>布展</w:t>
      </w:r>
      <w:r>
        <w:rPr>
          <w:rFonts w:hint="eastAsia" w:ascii="宋体" w:hAnsi="宋体" w:eastAsia="宋体" w:cs="宋体"/>
          <w:szCs w:val="21"/>
          <w:highlight w:val="none"/>
        </w:rPr>
        <w:t>施工图纸验收。未进行相应约定的，应当符合国家强制性规定、政策要求、安全标准、行业或企业有关标准等。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踏勘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 w:val="21"/>
          <w:szCs w:val="21"/>
          <w:highlight w:val="none"/>
          <w:lang w:eastAsia="zh-CN" w:bidi="ar"/>
        </w:rPr>
        <w:t>本项目为交钥匙工程，包括所有设备的安装和调试，项目完成时要保证安装设备的正常运行。</w:t>
      </w:r>
      <w:r>
        <w:rPr>
          <w:rFonts w:hint="eastAsia" w:ascii="宋体" w:hAnsi="宋体" w:cs="宋体"/>
          <w:sz w:val="21"/>
          <w:szCs w:val="21"/>
          <w:highlight w:val="none"/>
          <w:lang w:val="en-US" w:eastAsia="zh-CN" w:bidi="ar"/>
        </w:rPr>
        <w:t>投标人</w:t>
      </w:r>
      <w:r>
        <w:rPr>
          <w:rFonts w:hint="eastAsia" w:ascii="宋体" w:hAnsi="宋体" w:eastAsia="宋体" w:cs="宋体"/>
          <w:sz w:val="21"/>
          <w:szCs w:val="21"/>
          <w:highlight w:val="none"/>
          <w:lang w:eastAsia="zh-CN" w:bidi="ar"/>
        </w:rPr>
        <w:t>在原有清单的基础上所涉及到所有其他设备材料均需考虑在内。</w:t>
      </w:r>
      <w:r>
        <w:rPr>
          <w:rFonts w:hint="eastAsia" w:eastAsia="宋体"/>
          <w:b/>
          <w:bCs/>
          <w:sz w:val="21"/>
          <w:szCs w:val="21"/>
          <w:highlight w:val="none"/>
          <w:lang w:val="en-US" w:eastAsia="zh-CN"/>
        </w:rPr>
        <w:t>投标人</w:t>
      </w:r>
      <w:r>
        <w:rPr>
          <w:rFonts w:hint="eastAsia"/>
          <w:b/>
          <w:bCs/>
          <w:sz w:val="21"/>
          <w:szCs w:val="21"/>
          <w:highlight w:val="none"/>
        </w:rPr>
        <w:t>响应前应充分勘查现场，充分了解项目实际要求</w:t>
      </w:r>
      <w:r>
        <w:rPr>
          <w:rFonts w:hint="eastAsia"/>
          <w:b/>
          <w:bCs/>
          <w:sz w:val="21"/>
          <w:szCs w:val="21"/>
          <w:highlight w:val="none"/>
          <w:lang w:eastAsia="zh-CN"/>
        </w:rPr>
        <w:t>，</w:t>
      </w:r>
      <w:r>
        <w:rPr>
          <w:rFonts w:hint="eastAsia"/>
          <w:b/>
          <w:bCs/>
          <w:sz w:val="21"/>
          <w:szCs w:val="21"/>
          <w:highlight w:val="none"/>
        </w:rPr>
        <w:t>以做出准确报价。因现场勘查不充分导致的报价缺失由</w:t>
      </w:r>
      <w:r>
        <w:rPr>
          <w:rFonts w:hint="eastAsia"/>
          <w:b/>
          <w:bCs/>
          <w:sz w:val="21"/>
          <w:szCs w:val="21"/>
          <w:highlight w:val="none"/>
          <w:lang w:val="en-US" w:eastAsia="zh-CN"/>
        </w:rPr>
        <w:t>投标人</w:t>
      </w:r>
      <w:r>
        <w:rPr>
          <w:rFonts w:hint="eastAsia"/>
          <w:b/>
          <w:bCs/>
          <w:sz w:val="21"/>
          <w:szCs w:val="21"/>
          <w:highlight w:val="none"/>
        </w:rPr>
        <w:t>自行承担，采购人不再另行支付费用。现场勘查所产生的一切风险由</w:t>
      </w:r>
      <w:r>
        <w:rPr>
          <w:rFonts w:hint="eastAsia"/>
          <w:b/>
          <w:bCs/>
          <w:sz w:val="21"/>
          <w:szCs w:val="21"/>
          <w:highlight w:val="none"/>
          <w:lang w:val="en-US" w:eastAsia="zh-CN"/>
        </w:rPr>
        <w:t>投标</w:t>
      </w:r>
      <w:r>
        <w:rPr>
          <w:rFonts w:hint="eastAsia" w:ascii="宋体" w:hAnsi="宋体" w:eastAsia="宋体" w:cs="宋体"/>
          <w:b/>
          <w:bCs/>
          <w:sz w:val="21"/>
          <w:szCs w:val="21"/>
          <w:highlight w:val="none"/>
          <w:lang w:val="en-US" w:eastAsia="zh-CN"/>
        </w:rPr>
        <w:t>人</w:t>
      </w:r>
      <w:r>
        <w:rPr>
          <w:rFonts w:hint="eastAsia" w:ascii="宋体" w:hAnsi="宋体" w:eastAsia="宋体" w:cs="宋体"/>
          <w:b/>
          <w:bCs/>
          <w:sz w:val="21"/>
          <w:szCs w:val="21"/>
          <w:highlight w:val="none"/>
        </w:rPr>
        <w:t>自行承担。踏勘</w:t>
      </w:r>
      <w:r>
        <w:rPr>
          <w:rFonts w:hint="eastAsia" w:ascii="宋体" w:hAnsi="宋体" w:eastAsia="宋体" w:cs="宋体"/>
          <w:b/>
          <w:bCs/>
          <w:sz w:val="21"/>
          <w:szCs w:val="21"/>
          <w:highlight w:val="none"/>
          <w:lang w:val="en-US" w:eastAsia="zh-CN"/>
        </w:rPr>
        <w:t>前需联系</w:t>
      </w:r>
      <w:r>
        <w:rPr>
          <w:rFonts w:hint="eastAsia" w:ascii="宋体" w:hAnsi="宋体" w:eastAsia="宋体" w:cs="宋体"/>
          <w:b/>
          <w:bCs/>
          <w:sz w:val="21"/>
          <w:szCs w:val="21"/>
          <w:highlight w:val="none"/>
        </w:rPr>
        <w:t>：施建东</w:t>
      </w:r>
      <w:r>
        <w:rPr>
          <w:rFonts w:hint="eastAsia" w:ascii="宋体" w:hAnsi="宋体" w:eastAsia="宋体" w:cs="宋体"/>
          <w:b/>
          <w:bCs/>
          <w:sz w:val="21"/>
          <w:szCs w:val="21"/>
          <w:highlight w:val="none"/>
          <w:lang w:val="en-US" w:eastAsia="zh-CN"/>
        </w:rPr>
        <w:t>/0571-</w:t>
      </w:r>
      <w:r>
        <w:rPr>
          <w:rFonts w:hint="eastAsia" w:ascii="宋体" w:hAnsi="宋体" w:eastAsia="宋体" w:cs="宋体"/>
          <w:b/>
          <w:bCs/>
          <w:sz w:val="21"/>
          <w:szCs w:val="21"/>
          <w:highlight w:val="none"/>
        </w:rPr>
        <w:t>82181410</w:t>
      </w:r>
    </w:p>
    <w:p>
      <w:pPr>
        <w:snapToGrid w:val="0"/>
        <w:spacing w:line="288" w:lineRule="auto"/>
        <w:jc w:val="left"/>
        <w:rPr>
          <w:rFonts w:ascii="宋体" w:hAnsi="宋体" w:cs="宋体"/>
          <w:bCs/>
          <w:szCs w:val="21"/>
          <w:highlight w:val="none"/>
        </w:rPr>
      </w:pPr>
    </w:p>
    <w:p>
      <w:pPr>
        <w:snapToGrid w:val="0"/>
        <w:spacing w:line="288" w:lineRule="auto"/>
        <w:rPr>
          <w:rFonts w:ascii="宋体" w:hAnsi="宋体" w:cs="宋体"/>
          <w:snapToGrid w:val="0"/>
          <w:kern w:val="0"/>
          <w:szCs w:val="21"/>
          <w:highlight w:val="none"/>
        </w:rPr>
      </w:pPr>
    </w:p>
    <w:p>
      <w:pPr>
        <w:snapToGrid w:val="0"/>
        <w:spacing w:line="288" w:lineRule="auto"/>
        <w:jc w:val="center"/>
        <w:outlineLvl w:val="0"/>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 xml:space="preserve">第四部分 </w:t>
      </w:r>
      <w:bookmarkStart w:id="37" w:name="_Toc184312100"/>
      <w:bookmarkEnd w:id="37"/>
      <w:bookmarkStart w:id="38" w:name="_Toc184312112"/>
      <w:bookmarkEnd w:id="38"/>
      <w:bookmarkStart w:id="39" w:name="_Toc184312106"/>
      <w:bookmarkEnd w:id="39"/>
      <w:bookmarkStart w:id="40" w:name="_Toc184310307"/>
      <w:bookmarkEnd w:id="40"/>
      <w:bookmarkStart w:id="41" w:name="_Toc184313279"/>
      <w:bookmarkEnd w:id="41"/>
      <w:bookmarkStart w:id="42" w:name="_Toc184314445"/>
      <w:bookmarkEnd w:id="42"/>
      <w:bookmarkStart w:id="43" w:name="_Toc184308092"/>
      <w:bookmarkEnd w:id="43"/>
      <w:bookmarkStart w:id="44" w:name="_Toc184310342"/>
      <w:bookmarkEnd w:id="44"/>
      <w:bookmarkStart w:id="45" w:name="_Toc184314468"/>
      <w:bookmarkEnd w:id="45"/>
      <w:bookmarkStart w:id="46" w:name="_Toc184308070"/>
      <w:bookmarkEnd w:id="46"/>
      <w:bookmarkStart w:id="47" w:name="_Toc184314419"/>
      <w:bookmarkEnd w:id="47"/>
      <w:bookmarkStart w:id="48" w:name="_Toc184314421"/>
      <w:bookmarkEnd w:id="48"/>
      <w:bookmarkStart w:id="49" w:name="_Toc184314449"/>
      <w:bookmarkEnd w:id="49"/>
      <w:bookmarkStart w:id="50" w:name="_Toc184314464"/>
      <w:bookmarkEnd w:id="50"/>
      <w:bookmarkStart w:id="51" w:name="_Toc184313295"/>
      <w:bookmarkEnd w:id="51"/>
      <w:bookmarkStart w:id="52" w:name="_Toc184308107"/>
      <w:bookmarkEnd w:id="52"/>
      <w:bookmarkStart w:id="53" w:name="_Toc184310314"/>
      <w:bookmarkEnd w:id="53"/>
      <w:bookmarkStart w:id="54" w:name="_Toc184313277"/>
      <w:bookmarkEnd w:id="54"/>
      <w:bookmarkStart w:id="55" w:name="_Toc184310296"/>
      <w:bookmarkEnd w:id="55"/>
      <w:bookmarkStart w:id="56" w:name="_Toc184313259"/>
      <w:bookmarkEnd w:id="56"/>
      <w:bookmarkStart w:id="57" w:name="_Toc184308083"/>
      <w:bookmarkEnd w:id="57"/>
      <w:bookmarkStart w:id="58" w:name="_Toc184308093"/>
      <w:bookmarkEnd w:id="58"/>
      <w:bookmarkStart w:id="59" w:name="_Toc184312104"/>
      <w:bookmarkEnd w:id="59"/>
      <w:bookmarkStart w:id="60" w:name="_Toc184308058"/>
      <w:bookmarkEnd w:id="60"/>
      <w:bookmarkStart w:id="61" w:name="_Toc184313288"/>
      <w:bookmarkEnd w:id="61"/>
      <w:bookmarkStart w:id="62" w:name="_Toc184312109"/>
      <w:bookmarkEnd w:id="62"/>
      <w:bookmarkStart w:id="63" w:name="_Toc184312128"/>
      <w:bookmarkEnd w:id="63"/>
      <w:bookmarkStart w:id="64" w:name="_Toc184312114"/>
      <w:bookmarkEnd w:id="64"/>
      <w:bookmarkStart w:id="65" w:name="_Toc184313302"/>
      <w:bookmarkEnd w:id="65"/>
      <w:bookmarkStart w:id="66" w:name="_Toc184312127"/>
      <w:bookmarkEnd w:id="66"/>
      <w:bookmarkStart w:id="67" w:name="_Toc184308089"/>
      <w:bookmarkEnd w:id="67"/>
      <w:bookmarkStart w:id="68" w:name="_Toc184308087"/>
      <w:bookmarkEnd w:id="68"/>
      <w:bookmarkStart w:id="69" w:name="_Toc184313281"/>
      <w:bookmarkEnd w:id="69"/>
      <w:bookmarkStart w:id="70" w:name="_Toc184308067"/>
      <w:bookmarkEnd w:id="70"/>
      <w:bookmarkStart w:id="71" w:name="_Toc184310316"/>
      <w:bookmarkEnd w:id="71"/>
      <w:bookmarkStart w:id="72" w:name="_Toc184310318"/>
      <w:bookmarkEnd w:id="72"/>
      <w:bookmarkStart w:id="73" w:name="_Toc184312067"/>
      <w:bookmarkEnd w:id="73"/>
      <w:bookmarkStart w:id="74" w:name="_Toc184313243"/>
      <w:bookmarkEnd w:id="74"/>
      <w:bookmarkStart w:id="75" w:name="_Toc184314443"/>
      <w:bookmarkEnd w:id="75"/>
      <w:bookmarkStart w:id="76" w:name="_Toc184308091"/>
      <w:bookmarkEnd w:id="76"/>
      <w:bookmarkStart w:id="77" w:name="_Toc184310283"/>
      <w:bookmarkEnd w:id="77"/>
      <w:bookmarkStart w:id="78" w:name="_Toc184308059"/>
      <w:bookmarkEnd w:id="78"/>
      <w:bookmarkStart w:id="79" w:name="_Toc184312124"/>
      <w:bookmarkEnd w:id="79"/>
      <w:bookmarkStart w:id="80" w:name="_Toc184313276"/>
      <w:bookmarkEnd w:id="80"/>
      <w:bookmarkStart w:id="81" w:name="_Toc184313251"/>
      <w:bookmarkEnd w:id="81"/>
      <w:bookmarkStart w:id="82" w:name="_Toc184308081"/>
      <w:bookmarkEnd w:id="82"/>
      <w:bookmarkStart w:id="83" w:name="_Toc184308099"/>
      <w:bookmarkEnd w:id="83"/>
      <w:bookmarkStart w:id="84" w:name="_Toc184308038"/>
      <w:bookmarkEnd w:id="84"/>
      <w:bookmarkStart w:id="85" w:name="_Toc184313261"/>
      <w:bookmarkEnd w:id="85"/>
      <w:bookmarkStart w:id="86" w:name="_Toc184310338"/>
      <w:bookmarkEnd w:id="86"/>
      <w:bookmarkStart w:id="87" w:name="_Toc184312078"/>
      <w:bookmarkEnd w:id="87"/>
      <w:bookmarkStart w:id="88" w:name="_Toc184312077"/>
      <w:bookmarkEnd w:id="88"/>
      <w:bookmarkStart w:id="89" w:name="_Toc184312115"/>
      <w:bookmarkEnd w:id="89"/>
      <w:bookmarkStart w:id="90" w:name="_Toc184313278"/>
      <w:bookmarkEnd w:id="90"/>
      <w:bookmarkStart w:id="91" w:name="_Toc184310303"/>
      <w:bookmarkEnd w:id="91"/>
      <w:bookmarkStart w:id="92" w:name="_Toc184314446"/>
      <w:bookmarkEnd w:id="92"/>
      <w:bookmarkStart w:id="93" w:name="_Toc184308101"/>
      <w:bookmarkEnd w:id="93"/>
      <w:bookmarkStart w:id="94" w:name="_Toc184313290"/>
      <w:bookmarkEnd w:id="94"/>
      <w:bookmarkStart w:id="95" w:name="_Toc184314444"/>
      <w:bookmarkEnd w:id="95"/>
      <w:bookmarkStart w:id="96" w:name="_Toc184314460"/>
      <w:bookmarkEnd w:id="96"/>
      <w:bookmarkStart w:id="97" w:name="_Toc184312069"/>
      <w:bookmarkEnd w:id="97"/>
      <w:bookmarkStart w:id="98" w:name="_Toc184312084"/>
      <w:bookmarkEnd w:id="98"/>
      <w:bookmarkStart w:id="99" w:name="_Toc184308077"/>
      <w:bookmarkEnd w:id="99"/>
      <w:bookmarkStart w:id="100" w:name="_Toc184308061"/>
      <w:bookmarkEnd w:id="100"/>
      <w:bookmarkStart w:id="101" w:name="_Toc184314456"/>
      <w:bookmarkEnd w:id="101"/>
      <w:bookmarkStart w:id="102" w:name="_Toc184313306"/>
      <w:bookmarkEnd w:id="102"/>
      <w:bookmarkStart w:id="103" w:name="_Toc184313263"/>
      <w:bookmarkEnd w:id="103"/>
      <w:bookmarkStart w:id="104" w:name="_Toc184314433"/>
      <w:bookmarkEnd w:id="104"/>
      <w:bookmarkStart w:id="105" w:name="_Toc184314411"/>
      <w:bookmarkEnd w:id="105"/>
      <w:bookmarkStart w:id="106" w:name="_Toc184312126"/>
      <w:bookmarkEnd w:id="106"/>
      <w:bookmarkStart w:id="107" w:name="_Toc184308071"/>
      <w:bookmarkEnd w:id="107"/>
      <w:bookmarkStart w:id="108" w:name="_Toc184310333"/>
      <w:bookmarkEnd w:id="108"/>
      <w:bookmarkStart w:id="109" w:name="_Toc184310326"/>
      <w:bookmarkEnd w:id="109"/>
      <w:bookmarkStart w:id="110" w:name="_Toc184313280"/>
      <w:bookmarkEnd w:id="110"/>
      <w:bookmarkStart w:id="111" w:name="_Toc184308036"/>
      <w:bookmarkEnd w:id="111"/>
      <w:bookmarkStart w:id="112" w:name="_Toc184313267"/>
      <w:bookmarkEnd w:id="112"/>
      <w:bookmarkStart w:id="113" w:name="_Toc184308044"/>
      <w:bookmarkEnd w:id="113"/>
      <w:bookmarkStart w:id="114" w:name="_Toc184310328"/>
      <w:bookmarkEnd w:id="114"/>
      <w:bookmarkStart w:id="115" w:name="_Toc184310344"/>
      <w:bookmarkEnd w:id="115"/>
      <w:bookmarkStart w:id="116" w:name="_Toc184312085"/>
      <w:bookmarkEnd w:id="116"/>
      <w:bookmarkStart w:id="117" w:name="_Toc184313249"/>
      <w:bookmarkEnd w:id="117"/>
      <w:bookmarkStart w:id="118" w:name="_Toc184312136"/>
      <w:bookmarkEnd w:id="118"/>
      <w:bookmarkStart w:id="119" w:name="_Toc184308075"/>
      <w:bookmarkEnd w:id="119"/>
      <w:bookmarkStart w:id="120" w:name="_Toc184314453"/>
      <w:bookmarkEnd w:id="120"/>
      <w:bookmarkStart w:id="121" w:name="_Toc184313269"/>
      <w:bookmarkEnd w:id="121"/>
      <w:bookmarkStart w:id="122" w:name="_Toc184310335"/>
      <w:bookmarkEnd w:id="122"/>
      <w:bookmarkStart w:id="123" w:name="_Toc184313268"/>
      <w:bookmarkEnd w:id="123"/>
      <w:bookmarkStart w:id="124" w:name="_Toc184314480"/>
      <w:bookmarkEnd w:id="124"/>
      <w:bookmarkStart w:id="125" w:name="_Toc184314420"/>
      <w:bookmarkEnd w:id="125"/>
      <w:bookmarkStart w:id="126" w:name="_Toc184313256"/>
      <w:bookmarkEnd w:id="126"/>
      <w:bookmarkStart w:id="127" w:name="_Toc184310337"/>
      <w:bookmarkEnd w:id="127"/>
      <w:bookmarkStart w:id="128" w:name="_Toc184308076"/>
      <w:bookmarkEnd w:id="128"/>
      <w:bookmarkStart w:id="129" w:name="_Toc184312111"/>
      <w:bookmarkEnd w:id="129"/>
      <w:bookmarkStart w:id="130" w:name="_Toc184308104"/>
      <w:bookmarkEnd w:id="130"/>
      <w:bookmarkStart w:id="131" w:name="_Toc184308062"/>
      <w:bookmarkEnd w:id="131"/>
      <w:bookmarkStart w:id="132" w:name="_Toc184312123"/>
      <w:bookmarkEnd w:id="132"/>
      <w:bookmarkStart w:id="133" w:name="_Toc184314432"/>
      <w:bookmarkEnd w:id="133"/>
      <w:bookmarkStart w:id="134" w:name="_Toc184310297"/>
      <w:bookmarkEnd w:id="134"/>
      <w:bookmarkStart w:id="135" w:name="_Toc184310315"/>
      <w:bookmarkEnd w:id="135"/>
      <w:bookmarkStart w:id="136" w:name="_Toc184308096"/>
      <w:bookmarkEnd w:id="136"/>
      <w:bookmarkStart w:id="137" w:name="_Toc184312139"/>
      <w:bookmarkEnd w:id="137"/>
      <w:bookmarkStart w:id="138" w:name="_Toc184313298"/>
      <w:bookmarkEnd w:id="138"/>
      <w:bookmarkStart w:id="139" w:name="_Toc184308086"/>
      <w:bookmarkEnd w:id="139"/>
      <w:bookmarkStart w:id="140" w:name="_Toc184313242"/>
      <w:bookmarkEnd w:id="140"/>
      <w:bookmarkStart w:id="141" w:name="_Toc184314470"/>
      <w:bookmarkEnd w:id="141"/>
      <w:bookmarkStart w:id="142" w:name="_Toc184308108"/>
      <w:bookmarkEnd w:id="142"/>
      <w:bookmarkStart w:id="143" w:name="_Toc184308084"/>
      <w:bookmarkEnd w:id="143"/>
      <w:bookmarkStart w:id="144" w:name="_Toc184314410"/>
      <w:bookmarkEnd w:id="144"/>
      <w:bookmarkStart w:id="145" w:name="_Toc184312129"/>
      <w:bookmarkEnd w:id="145"/>
      <w:bookmarkStart w:id="146" w:name="_Toc184314416"/>
      <w:bookmarkEnd w:id="146"/>
      <w:bookmarkStart w:id="147" w:name="_Toc184312113"/>
      <w:bookmarkEnd w:id="147"/>
      <w:bookmarkStart w:id="148" w:name="_Toc184310336"/>
      <w:bookmarkEnd w:id="148"/>
      <w:bookmarkStart w:id="149" w:name="_Toc184313248"/>
      <w:bookmarkEnd w:id="149"/>
      <w:bookmarkStart w:id="150" w:name="_Toc184313253"/>
      <w:bookmarkEnd w:id="150"/>
      <w:bookmarkStart w:id="151" w:name="_Toc184313305"/>
      <w:bookmarkEnd w:id="151"/>
      <w:bookmarkStart w:id="152" w:name="_Toc184310332"/>
      <w:bookmarkEnd w:id="152"/>
      <w:bookmarkStart w:id="153" w:name="_Toc184308042"/>
      <w:bookmarkEnd w:id="153"/>
      <w:bookmarkStart w:id="154" w:name="_Toc184312098"/>
      <w:bookmarkEnd w:id="154"/>
      <w:bookmarkStart w:id="155" w:name="_Toc184314482"/>
      <w:bookmarkEnd w:id="155"/>
      <w:bookmarkStart w:id="156" w:name="_Toc184308066"/>
      <w:bookmarkEnd w:id="156"/>
      <w:bookmarkStart w:id="157" w:name="_Toc184313292"/>
      <w:bookmarkEnd w:id="157"/>
      <w:bookmarkStart w:id="158" w:name="_Toc184310320"/>
      <w:bookmarkEnd w:id="158"/>
      <w:bookmarkStart w:id="159" w:name="_Toc184313245"/>
      <w:bookmarkEnd w:id="159"/>
      <w:bookmarkStart w:id="160" w:name="_Toc184310327"/>
      <w:bookmarkEnd w:id="160"/>
      <w:bookmarkStart w:id="161" w:name="_Toc184310274"/>
      <w:bookmarkEnd w:id="161"/>
      <w:bookmarkStart w:id="162" w:name="_Toc184310288"/>
      <w:bookmarkEnd w:id="162"/>
      <w:bookmarkStart w:id="163" w:name="_Toc184313265"/>
      <w:bookmarkEnd w:id="163"/>
      <w:bookmarkStart w:id="164" w:name="_Toc184308088"/>
      <w:bookmarkEnd w:id="164"/>
      <w:bookmarkStart w:id="165" w:name="_Toc184313282"/>
      <w:bookmarkEnd w:id="165"/>
      <w:bookmarkStart w:id="166" w:name="_Toc184308102"/>
      <w:bookmarkEnd w:id="166"/>
      <w:bookmarkStart w:id="167" w:name="_Toc184310286"/>
      <w:bookmarkEnd w:id="167"/>
      <w:bookmarkStart w:id="168" w:name="_Toc184314479"/>
      <w:bookmarkEnd w:id="168"/>
      <w:bookmarkStart w:id="169" w:name="_Toc184310277"/>
      <w:bookmarkEnd w:id="169"/>
      <w:bookmarkStart w:id="170" w:name="_Toc184314431"/>
      <w:bookmarkEnd w:id="170"/>
      <w:bookmarkStart w:id="171" w:name="_Toc184310325"/>
      <w:bookmarkEnd w:id="171"/>
      <w:bookmarkStart w:id="172" w:name="_Toc184312119"/>
      <w:bookmarkEnd w:id="172"/>
      <w:bookmarkStart w:id="173" w:name="_Toc184308041"/>
      <w:bookmarkEnd w:id="173"/>
      <w:bookmarkStart w:id="174" w:name="_Toc184314450"/>
      <w:bookmarkEnd w:id="174"/>
      <w:bookmarkStart w:id="175" w:name="_Toc184314467"/>
      <w:bookmarkEnd w:id="175"/>
      <w:bookmarkStart w:id="176" w:name="_Toc184313255"/>
      <w:bookmarkEnd w:id="176"/>
      <w:bookmarkStart w:id="177" w:name="_Toc184312137"/>
      <w:bookmarkEnd w:id="177"/>
      <w:bookmarkStart w:id="178" w:name="_Toc184308046"/>
      <w:bookmarkEnd w:id="178"/>
      <w:bookmarkStart w:id="179" w:name="_Toc184308053"/>
      <w:bookmarkEnd w:id="179"/>
      <w:bookmarkStart w:id="180" w:name="_Toc184312072"/>
      <w:bookmarkEnd w:id="180"/>
      <w:bookmarkStart w:id="181" w:name="_Toc184313308"/>
      <w:bookmarkEnd w:id="181"/>
      <w:bookmarkStart w:id="182" w:name="_Toc184312116"/>
      <w:bookmarkEnd w:id="182"/>
      <w:bookmarkStart w:id="183" w:name="_Toc184310323"/>
      <w:bookmarkEnd w:id="183"/>
      <w:bookmarkStart w:id="184" w:name="_Toc184314447"/>
      <w:bookmarkEnd w:id="184"/>
      <w:bookmarkStart w:id="185" w:name="_Toc184308040"/>
      <w:bookmarkEnd w:id="185"/>
      <w:bookmarkStart w:id="186" w:name="_Toc184314417"/>
      <w:bookmarkEnd w:id="186"/>
      <w:bookmarkStart w:id="187" w:name="_Toc184310308"/>
      <w:bookmarkEnd w:id="187"/>
      <w:bookmarkStart w:id="188" w:name="_Toc184314423"/>
      <w:bookmarkEnd w:id="188"/>
      <w:bookmarkStart w:id="189" w:name="_Toc184308068"/>
      <w:bookmarkEnd w:id="189"/>
      <w:bookmarkStart w:id="190" w:name="_Toc184314477"/>
      <w:bookmarkEnd w:id="190"/>
      <w:bookmarkStart w:id="191" w:name="_Toc184314475"/>
      <w:bookmarkEnd w:id="191"/>
      <w:bookmarkStart w:id="192" w:name="_Toc184313310"/>
      <w:bookmarkEnd w:id="192"/>
      <w:bookmarkStart w:id="193" w:name="_Toc184310302"/>
      <w:bookmarkEnd w:id="193"/>
      <w:bookmarkStart w:id="194" w:name="_Toc184312130"/>
      <w:bookmarkEnd w:id="194"/>
      <w:bookmarkStart w:id="195" w:name="_Toc184313296"/>
      <w:bookmarkEnd w:id="195"/>
      <w:bookmarkStart w:id="196" w:name="_Toc184310298"/>
      <w:bookmarkEnd w:id="196"/>
      <w:bookmarkStart w:id="197" w:name="_Toc184314437"/>
      <w:bookmarkEnd w:id="197"/>
      <w:bookmarkStart w:id="198" w:name="_Toc184313238"/>
      <w:bookmarkEnd w:id="198"/>
      <w:bookmarkStart w:id="199" w:name="_Toc184308072"/>
      <w:bookmarkEnd w:id="199"/>
      <w:bookmarkStart w:id="200" w:name="_Toc184312080"/>
      <w:bookmarkEnd w:id="200"/>
      <w:bookmarkStart w:id="201" w:name="_Toc184312075"/>
      <w:bookmarkEnd w:id="201"/>
      <w:bookmarkStart w:id="202" w:name="_Toc184314462"/>
      <w:bookmarkEnd w:id="202"/>
      <w:bookmarkStart w:id="203" w:name="_Toc184314452"/>
      <w:bookmarkEnd w:id="203"/>
      <w:bookmarkStart w:id="204" w:name="_Toc184313240"/>
      <w:bookmarkEnd w:id="204"/>
      <w:bookmarkStart w:id="205" w:name="_Toc184314435"/>
      <w:bookmarkEnd w:id="205"/>
      <w:bookmarkStart w:id="206" w:name="_Toc184308080"/>
      <w:bookmarkEnd w:id="206"/>
      <w:bookmarkStart w:id="207" w:name="_Toc184310273"/>
      <w:bookmarkEnd w:id="207"/>
      <w:bookmarkStart w:id="208" w:name="_Toc184308073"/>
      <w:bookmarkEnd w:id="208"/>
      <w:bookmarkStart w:id="209" w:name="_Toc184312132"/>
      <w:bookmarkEnd w:id="209"/>
      <w:bookmarkStart w:id="210" w:name="_Toc184310340"/>
      <w:bookmarkEnd w:id="210"/>
      <w:bookmarkStart w:id="211" w:name="_Toc184308090"/>
      <w:bookmarkEnd w:id="211"/>
      <w:bookmarkStart w:id="212" w:name="_Toc184310285"/>
      <w:bookmarkEnd w:id="212"/>
      <w:bookmarkStart w:id="213" w:name="_Toc184314429"/>
      <w:bookmarkEnd w:id="213"/>
      <w:bookmarkStart w:id="214" w:name="_Toc184310319"/>
      <w:bookmarkEnd w:id="214"/>
      <w:bookmarkStart w:id="215" w:name="_Toc184313258"/>
      <w:bookmarkEnd w:id="215"/>
      <w:bookmarkStart w:id="216" w:name="_Toc184312081"/>
      <w:bookmarkEnd w:id="216"/>
      <w:bookmarkStart w:id="217" w:name="_Toc184313246"/>
      <w:bookmarkEnd w:id="217"/>
      <w:bookmarkStart w:id="218" w:name="_Toc184308051"/>
      <w:bookmarkEnd w:id="218"/>
      <w:bookmarkStart w:id="219" w:name="_Toc184310305"/>
      <w:bookmarkEnd w:id="219"/>
      <w:bookmarkStart w:id="220" w:name="_Toc184313283"/>
      <w:bookmarkEnd w:id="220"/>
      <w:bookmarkStart w:id="221" w:name="_Toc184314430"/>
      <w:bookmarkEnd w:id="221"/>
      <w:bookmarkStart w:id="222" w:name="_Toc184313275"/>
      <w:bookmarkEnd w:id="222"/>
      <w:bookmarkStart w:id="223" w:name="_Toc184314457"/>
      <w:bookmarkEnd w:id="223"/>
      <w:bookmarkStart w:id="224" w:name="_Toc184314424"/>
      <w:bookmarkEnd w:id="224"/>
      <w:bookmarkStart w:id="225" w:name="_Toc184310293"/>
      <w:bookmarkEnd w:id="225"/>
      <w:bookmarkStart w:id="226" w:name="_Toc184310295"/>
      <w:bookmarkEnd w:id="226"/>
      <w:bookmarkStart w:id="227" w:name="_Toc184308060"/>
      <w:bookmarkEnd w:id="227"/>
      <w:bookmarkStart w:id="228" w:name="_Toc184313309"/>
      <w:bookmarkEnd w:id="228"/>
      <w:bookmarkStart w:id="229" w:name="_Toc184314451"/>
      <w:bookmarkEnd w:id="229"/>
      <w:bookmarkStart w:id="230" w:name="_Toc184310272"/>
      <w:bookmarkEnd w:id="230"/>
      <w:bookmarkStart w:id="231" w:name="_Toc184313274"/>
      <w:bookmarkEnd w:id="231"/>
      <w:bookmarkStart w:id="232" w:name="_Toc184314471"/>
      <w:bookmarkEnd w:id="232"/>
      <w:bookmarkStart w:id="233" w:name="_Toc184312079"/>
      <w:bookmarkEnd w:id="233"/>
      <w:bookmarkStart w:id="234" w:name="_Toc184310282"/>
      <w:bookmarkEnd w:id="234"/>
      <w:bookmarkStart w:id="235" w:name="_Toc184314439"/>
      <w:bookmarkEnd w:id="235"/>
      <w:bookmarkStart w:id="236" w:name="_Toc184308047"/>
      <w:bookmarkEnd w:id="236"/>
      <w:bookmarkStart w:id="237" w:name="_Toc184313272"/>
      <w:bookmarkEnd w:id="237"/>
      <w:bookmarkStart w:id="238" w:name="_Toc184308043"/>
      <w:bookmarkEnd w:id="238"/>
      <w:bookmarkStart w:id="239" w:name="_Toc184312131"/>
      <w:bookmarkEnd w:id="239"/>
      <w:bookmarkStart w:id="240" w:name="_Toc184308048"/>
      <w:bookmarkEnd w:id="240"/>
      <w:bookmarkStart w:id="241" w:name="_Toc184308097"/>
      <w:bookmarkEnd w:id="241"/>
      <w:bookmarkStart w:id="242" w:name="_Toc184310280"/>
      <w:bookmarkEnd w:id="242"/>
      <w:bookmarkStart w:id="243" w:name="_Toc184310284"/>
      <w:bookmarkEnd w:id="243"/>
      <w:bookmarkStart w:id="244" w:name="_Toc184313271"/>
      <w:bookmarkEnd w:id="244"/>
      <w:bookmarkStart w:id="245" w:name="_Toc184313264"/>
      <w:bookmarkEnd w:id="245"/>
      <w:bookmarkStart w:id="246" w:name="_Toc184312091"/>
      <w:bookmarkEnd w:id="246"/>
      <w:bookmarkStart w:id="247" w:name="_Toc184313303"/>
      <w:bookmarkEnd w:id="247"/>
      <w:bookmarkStart w:id="248" w:name="_Toc184312102"/>
      <w:bookmarkEnd w:id="248"/>
      <w:bookmarkStart w:id="249" w:name="_Toc184313291"/>
      <w:bookmarkEnd w:id="249"/>
      <w:bookmarkStart w:id="250" w:name="_Toc184312138"/>
      <w:bookmarkEnd w:id="250"/>
      <w:bookmarkStart w:id="251" w:name="_Toc184310306"/>
      <w:bookmarkEnd w:id="251"/>
      <w:bookmarkStart w:id="252" w:name="_Toc184310310"/>
      <w:bookmarkEnd w:id="252"/>
      <w:bookmarkStart w:id="253" w:name="_Toc184308050"/>
      <w:bookmarkEnd w:id="253"/>
      <w:bookmarkStart w:id="254" w:name="_Toc184308098"/>
      <w:bookmarkEnd w:id="254"/>
      <w:bookmarkStart w:id="255" w:name="_Toc184312068"/>
      <w:bookmarkEnd w:id="255"/>
      <w:bookmarkStart w:id="256" w:name="_Toc184308079"/>
      <w:bookmarkEnd w:id="256"/>
      <w:bookmarkStart w:id="257" w:name="_Toc184314455"/>
      <w:bookmarkEnd w:id="257"/>
      <w:bookmarkStart w:id="258" w:name="_Toc184313285"/>
      <w:bookmarkEnd w:id="258"/>
      <w:bookmarkStart w:id="259" w:name="_Toc184314448"/>
      <w:bookmarkEnd w:id="259"/>
      <w:bookmarkStart w:id="260" w:name="_Toc184313254"/>
      <w:bookmarkEnd w:id="260"/>
      <w:bookmarkStart w:id="261" w:name="_Toc184313307"/>
      <w:bookmarkEnd w:id="261"/>
      <w:bookmarkStart w:id="262" w:name="_Toc184314418"/>
      <w:bookmarkEnd w:id="262"/>
      <w:bookmarkStart w:id="263" w:name="_Toc184314415"/>
      <w:bookmarkEnd w:id="263"/>
      <w:bookmarkStart w:id="264" w:name="_Toc184312088"/>
      <w:bookmarkEnd w:id="264"/>
      <w:bookmarkStart w:id="265" w:name="_Toc184313239"/>
      <w:bookmarkEnd w:id="265"/>
      <w:bookmarkStart w:id="266" w:name="_Toc184310312"/>
      <w:bookmarkEnd w:id="266"/>
      <w:bookmarkStart w:id="267" w:name="_Toc184312096"/>
      <w:bookmarkEnd w:id="267"/>
      <w:bookmarkStart w:id="268" w:name="_Toc184313252"/>
      <w:bookmarkEnd w:id="268"/>
      <w:bookmarkStart w:id="269" w:name="_Toc184314426"/>
      <w:bookmarkEnd w:id="269"/>
      <w:bookmarkStart w:id="270" w:name="_Toc184310299"/>
      <w:bookmarkEnd w:id="270"/>
      <w:bookmarkStart w:id="271" w:name="_Toc184314472"/>
      <w:bookmarkEnd w:id="271"/>
      <w:bookmarkStart w:id="272" w:name="_Toc184310292"/>
      <w:bookmarkEnd w:id="272"/>
      <w:bookmarkStart w:id="273" w:name="_Toc184308085"/>
      <w:bookmarkEnd w:id="273"/>
      <w:bookmarkStart w:id="274" w:name="_Toc184312134"/>
      <w:bookmarkEnd w:id="274"/>
      <w:bookmarkStart w:id="275" w:name="_Toc184312076"/>
      <w:bookmarkEnd w:id="275"/>
      <w:bookmarkStart w:id="276" w:name="_Toc184314413"/>
      <w:bookmarkEnd w:id="276"/>
      <w:bookmarkStart w:id="277" w:name="_Toc184312087"/>
      <w:bookmarkEnd w:id="277"/>
      <w:bookmarkStart w:id="278" w:name="_Toc184312074"/>
      <w:bookmarkEnd w:id="278"/>
      <w:bookmarkStart w:id="279" w:name="_Toc184312101"/>
      <w:bookmarkEnd w:id="279"/>
      <w:bookmarkStart w:id="280" w:name="_Toc184312095"/>
      <w:bookmarkEnd w:id="280"/>
      <w:bookmarkStart w:id="281" w:name="_Toc184312103"/>
      <w:bookmarkEnd w:id="281"/>
      <w:bookmarkStart w:id="282" w:name="_Toc184314442"/>
      <w:bookmarkEnd w:id="282"/>
      <w:bookmarkStart w:id="283" w:name="_Toc184308052"/>
      <w:bookmarkEnd w:id="283"/>
      <w:bookmarkStart w:id="284" w:name="_Toc184310281"/>
      <w:bookmarkEnd w:id="284"/>
      <w:bookmarkStart w:id="285" w:name="_Toc184310330"/>
      <w:bookmarkEnd w:id="285"/>
      <w:bookmarkStart w:id="286" w:name="_Toc184313244"/>
      <w:bookmarkEnd w:id="286"/>
      <w:bookmarkStart w:id="287" w:name="_Toc184314422"/>
      <w:bookmarkEnd w:id="287"/>
      <w:bookmarkStart w:id="288" w:name="_Toc184310278"/>
      <w:bookmarkEnd w:id="288"/>
      <w:bookmarkStart w:id="289" w:name="_Toc184310276"/>
      <w:bookmarkEnd w:id="289"/>
      <w:bookmarkStart w:id="290" w:name="_Toc184310321"/>
      <w:bookmarkEnd w:id="290"/>
      <w:bookmarkStart w:id="291" w:name="_Toc184313294"/>
      <w:bookmarkEnd w:id="291"/>
      <w:bookmarkStart w:id="292" w:name="_Toc184314414"/>
      <w:bookmarkEnd w:id="292"/>
      <w:bookmarkStart w:id="293" w:name="_Toc184314481"/>
      <w:bookmarkEnd w:id="293"/>
      <w:bookmarkStart w:id="294" w:name="_Toc184312092"/>
      <w:bookmarkEnd w:id="294"/>
      <w:bookmarkStart w:id="295" w:name="_Toc184310313"/>
      <w:bookmarkEnd w:id="295"/>
      <w:bookmarkStart w:id="296" w:name="_Toc184310311"/>
      <w:bookmarkEnd w:id="296"/>
      <w:bookmarkStart w:id="297" w:name="_Toc184310324"/>
      <w:bookmarkEnd w:id="297"/>
      <w:bookmarkStart w:id="298" w:name="_Toc184310275"/>
      <w:bookmarkEnd w:id="298"/>
      <w:bookmarkStart w:id="299" w:name="_Toc184310317"/>
      <w:bookmarkEnd w:id="299"/>
      <w:bookmarkStart w:id="300" w:name="_Toc184313284"/>
      <w:bookmarkEnd w:id="300"/>
      <w:bookmarkStart w:id="301" w:name="_Toc184308063"/>
      <w:bookmarkEnd w:id="301"/>
      <w:bookmarkStart w:id="302" w:name="_Toc184308065"/>
      <w:bookmarkEnd w:id="302"/>
      <w:bookmarkStart w:id="303" w:name="_Toc184312086"/>
      <w:bookmarkEnd w:id="303"/>
      <w:bookmarkStart w:id="304" w:name="_Toc184312093"/>
      <w:bookmarkEnd w:id="304"/>
      <w:bookmarkStart w:id="305" w:name="_Toc184313262"/>
      <w:bookmarkEnd w:id="305"/>
      <w:bookmarkStart w:id="306" w:name="_Toc184312117"/>
      <w:bookmarkEnd w:id="306"/>
      <w:bookmarkStart w:id="307" w:name="_Toc184312089"/>
      <w:bookmarkEnd w:id="307"/>
      <w:bookmarkStart w:id="308" w:name="_Toc184312135"/>
      <w:bookmarkEnd w:id="308"/>
      <w:bookmarkStart w:id="309" w:name="_Toc184314465"/>
      <w:bookmarkEnd w:id="309"/>
      <w:bookmarkStart w:id="310" w:name="_Toc184308056"/>
      <w:bookmarkEnd w:id="310"/>
      <w:bookmarkStart w:id="311" w:name="_Toc184313286"/>
      <w:bookmarkEnd w:id="311"/>
      <w:bookmarkStart w:id="312" w:name="_Toc184314463"/>
      <w:bookmarkEnd w:id="312"/>
      <w:bookmarkStart w:id="313" w:name="_Toc184314425"/>
      <w:bookmarkEnd w:id="313"/>
      <w:bookmarkStart w:id="314" w:name="_Toc184308064"/>
      <w:bookmarkEnd w:id="314"/>
      <w:bookmarkStart w:id="315" w:name="_Toc184313270"/>
      <w:bookmarkEnd w:id="315"/>
      <w:bookmarkStart w:id="316" w:name="_Toc184310290"/>
      <w:bookmarkEnd w:id="316"/>
      <w:bookmarkStart w:id="317" w:name="_Toc184312110"/>
      <w:bookmarkEnd w:id="317"/>
      <w:bookmarkStart w:id="318" w:name="_Toc184313300"/>
      <w:bookmarkEnd w:id="318"/>
      <w:bookmarkStart w:id="319" w:name="_Toc184312097"/>
      <w:bookmarkEnd w:id="319"/>
      <w:bookmarkStart w:id="320" w:name="_Toc184312094"/>
      <w:bookmarkEnd w:id="320"/>
      <w:bookmarkStart w:id="321" w:name="_Toc184308082"/>
      <w:bookmarkEnd w:id="321"/>
      <w:bookmarkStart w:id="322" w:name="_Toc184310291"/>
      <w:bookmarkEnd w:id="322"/>
      <w:bookmarkStart w:id="323" w:name="_Toc184313287"/>
      <w:bookmarkEnd w:id="323"/>
      <w:bookmarkStart w:id="324" w:name="_Toc184312070"/>
      <w:bookmarkEnd w:id="324"/>
      <w:bookmarkStart w:id="325" w:name="_Toc184308049"/>
      <w:bookmarkEnd w:id="325"/>
      <w:bookmarkStart w:id="326" w:name="_Toc184314466"/>
      <w:bookmarkEnd w:id="326"/>
      <w:bookmarkStart w:id="327" w:name="_Toc184314461"/>
      <w:bookmarkEnd w:id="327"/>
      <w:bookmarkStart w:id="328" w:name="_Toc184310309"/>
      <w:bookmarkEnd w:id="328"/>
      <w:bookmarkStart w:id="329" w:name="_Toc184308105"/>
      <w:bookmarkEnd w:id="329"/>
      <w:bookmarkStart w:id="330" w:name="_Toc184310322"/>
      <w:bookmarkEnd w:id="330"/>
      <w:bookmarkStart w:id="331" w:name="_Toc184312082"/>
      <w:bookmarkEnd w:id="331"/>
      <w:bookmarkStart w:id="332" w:name="_Toc184312108"/>
      <w:bookmarkEnd w:id="332"/>
      <w:bookmarkStart w:id="333" w:name="_Toc184313289"/>
      <w:bookmarkEnd w:id="333"/>
      <w:bookmarkStart w:id="334" w:name="_Toc184312120"/>
      <w:bookmarkEnd w:id="334"/>
      <w:bookmarkStart w:id="335" w:name="_Toc184310341"/>
      <w:bookmarkEnd w:id="335"/>
      <w:bookmarkStart w:id="336" w:name="_Toc184313273"/>
      <w:bookmarkEnd w:id="336"/>
      <w:bookmarkStart w:id="337" w:name="_Toc184310289"/>
      <w:bookmarkEnd w:id="337"/>
      <w:bookmarkStart w:id="338" w:name="_Toc184312083"/>
      <w:bookmarkEnd w:id="338"/>
      <w:bookmarkStart w:id="339" w:name="_Toc184314458"/>
      <w:bookmarkEnd w:id="339"/>
      <w:bookmarkStart w:id="340" w:name="_Toc184310304"/>
      <w:bookmarkEnd w:id="340"/>
      <w:bookmarkStart w:id="341" w:name="_Toc184308054"/>
      <w:bookmarkEnd w:id="341"/>
      <w:bookmarkStart w:id="342" w:name="_Toc184312107"/>
      <w:bookmarkEnd w:id="342"/>
      <w:bookmarkStart w:id="343" w:name="_Toc184313304"/>
      <w:bookmarkEnd w:id="343"/>
      <w:bookmarkStart w:id="344" w:name="_Toc184314474"/>
      <w:bookmarkEnd w:id="344"/>
      <w:bookmarkStart w:id="345" w:name="_Toc184310301"/>
      <w:bookmarkEnd w:id="345"/>
      <w:bookmarkStart w:id="346" w:name="_Toc184314434"/>
      <w:bookmarkEnd w:id="346"/>
      <w:bookmarkStart w:id="347" w:name="_Toc184314478"/>
      <w:bookmarkEnd w:id="347"/>
      <w:bookmarkStart w:id="348" w:name="_Toc184313257"/>
      <w:bookmarkEnd w:id="348"/>
      <w:bookmarkStart w:id="349" w:name="_Toc184310279"/>
      <w:bookmarkEnd w:id="349"/>
      <w:bookmarkStart w:id="350" w:name="_Toc184310329"/>
      <w:bookmarkEnd w:id="350"/>
      <w:bookmarkStart w:id="351" w:name="_Toc184312071"/>
      <w:bookmarkEnd w:id="351"/>
      <w:bookmarkStart w:id="352" w:name="_Toc184312133"/>
      <w:bookmarkEnd w:id="352"/>
      <w:bookmarkStart w:id="353" w:name="_Toc184314438"/>
      <w:bookmarkEnd w:id="353"/>
      <w:bookmarkStart w:id="354" w:name="_Toc184308055"/>
      <w:bookmarkEnd w:id="354"/>
      <w:bookmarkStart w:id="355" w:name="_Toc184312121"/>
      <w:bookmarkEnd w:id="355"/>
      <w:bookmarkStart w:id="356" w:name="_Toc184308037"/>
      <w:bookmarkEnd w:id="356"/>
      <w:bookmarkStart w:id="357" w:name="_Toc184313266"/>
      <w:bookmarkEnd w:id="357"/>
      <w:bookmarkStart w:id="358" w:name="_Toc184310331"/>
      <w:bookmarkEnd w:id="358"/>
      <w:bookmarkStart w:id="359" w:name="_Toc184313301"/>
      <w:bookmarkEnd w:id="359"/>
      <w:bookmarkStart w:id="360" w:name="_Toc184308045"/>
      <w:bookmarkEnd w:id="360"/>
      <w:bookmarkStart w:id="361" w:name="_Toc184313241"/>
      <w:bookmarkEnd w:id="361"/>
      <w:bookmarkStart w:id="362" w:name="_Toc184314412"/>
      <w:bookmarkEnd w:id="362"/>
      <w:bookmarkStart w:id="363" w:name="_Toc184314454"/>
      <w:bookmarkEnd w:id="363"/>
      <w:bookmarkStart w:id="364" w:name="_Toc184312099"/>
      <w:bookmarkEnd w:id="364"/>
      <w:bookmarkStart w:id="365" w:name="_Toc184314459"/>
      <w:bookmarkEnd w:id="365"/>
      <w:bookmarkStart w:id="366" w:name="_Toc184308106"/>
      <w:bookmarkEnd w:id="366"/>
      <w:bookmarkStart w:id="367" w:name="_Toc184314473"/>
      <w:bookmarkEnd w:id="367"/>
      <w:bookmarkStart w:id="368" w:name="_Toc184313299"/>
      <w:bookmarkEnd w:id="368"/>
      <w:bookmarkStart w:id="369" w:name="_Toc184314436"/>
      <w:bookmarkEnd w:id="369"/>
      <w:bookmarkStart w:id="370" w:name="_Toc184308057"/>
      <w:bookmarkEnd w:id="370"/>
      <w:bookmarkStart w:id="371" w:name="_Toc184314428"/>
      <w:bookmarkEnd w:id="371"/>
      <w:bookmarkStart w:id="372" w:name="_Toc184314476"/>
      <w:bookmarkEnd w:id="372"/>
      <w:bookmarkStart w:id="373" w:name="_Toc184312122"/>
      <w:bookmarkEnd w:id="373"/>
      <w:bookmarkStart w:id="374" w:name="_Toc184310339"/>
      <w:bookmarkEnd w:id="374"/>
      <w:bookmarkStart w:id="375" w:name="_Toc184310334"/>
      <w:bookmarkEnd w:id="375"/>
      <w:bookmarkStart w:id="376" w:name="_Toc184312090"/>
      <w:bookmarkEnd w:id="376"/>
      <w:bookmarkStart w:id="377" w:name="_Toc184313250"/>
      <w:bookmarkEnd w:id="377"/>
      <w:bookmarkStart w:id="378" w:name="_Toc184308069"/>
      <w:bookmarkEnd w:id="378"/>
      <w:bookmarkStart w:id="379" w:name="_Toc184312073"/>
      <w:bookmarkEnd w:id="379"/>
      <w:bookmarkStart w:id="380" w:name="_Toc184308100"/>
      <w:bookmarkEnd w:id="380"/>
      <w:bookmarkStart w:id="381" w:name="_Toc184313297"/>
      <w:bookmarkEnd w:id="381"/>
      <w:bookmarkStart w:id="382" w:name="_Toc184312118"/>
      <w:bookmarkEnd w:id="382"/>
      <w:bookmarkStart w:id="383" w:name="_Toc184313260"/>
      <w:bookmarkEnd w:id="383"/>
      <w:bookmarkStart w:id="384" w:name="_Toc184310287"/>
      <w:bookmarkEnd w:id="384"/>
      <w:bookmarkStart w:id="385" w:name="_Toc184310300"/>
      <w:bookmarkEnd w:id="385"/>
      <w:bookmarkStart w:id="386" w:name="_Toc184312105"/>
      <w:bookmarkEnd w:id="386"/>
      <w:bookmarkStart w:id="387" w:name="_Toc184314440"/>
      <w:bookmarkEnd w:id="387"/>
      <w:bookmarkStart w:id="388" w:name="_Toc184308074"/>
      <w:bookmarkEnd w:id="388"/>
      <w:bookmarkStart w:id="389" w:name="_Toc184310294"/>
      <w:bookmarkEnd w:id="389"/>
      <w:bookmarkStart w:id="390" w:name="_Toc184312125"/>
      <w:bookmarkEnd w:id="390"/>
      <w:bookmarkStart w:id="391" w:name="_Toc184314427"/>
      <w:bookmarkEnd w:id="391"/>
      <w:bookmarkStart w:id="392" w:name="_Toc184308078"/>
      <w:bookmarkEnd w:id="392"/>
      <w:bookmarkStart w:id="393" w:name="_Toc184310343"/>
      <w:bookmarkEnd w:id="393"/>
      <w:bookmarkStart w:id="394" w:name="_Toc184313293"/>
      <w:bookmarkEnd w:id="394"/>
      <w:bookmarkStart w:id="395" w:name="_Toc184314469"/>
      <w:bookmarkEnd w:id="395"/>
      <w:bookmarkStart w:id="396" w:name="_Toc184314441"/>
      <w:bookmarkEnd w:id="396"/>
      <w:bookmarkStart w:id="397" w:name="_Toc184313247"/>
      <w:bookmarkEnd w:id="397"/>
      <w:bookmarkStart w:id="398" w:name="_Toc184308095"/>
      <w:bookmarkEnd w:id="398"/>
      <w:bookmarkStart w:id="399" w:name="_Toc184308103"/>
      <w:bookmarkEnd w:id="399"/>
      <w:bookmarkStart w:id="400" w:name="_Toc184308039"/>
      <w:bookmarkEnd w:id="400"/>
      <w:bookmarkStart w:id="401" w:name="_Toc184308094"/>
      <w:bookmarkEnd w:id="401"/>
      <w:r>
        <w:rPr>
          <w:rFonts w:hint="eastAsia" w:ascii="宋体" w:hAnsi="宋体" w:cs="宋体"/>
          <w:b/>
          <w:szCs w:val="21"/>
          <w:highlight w:val="none"/>
        </w:rPr>
        <w:t>评标办法</w:t>
      </w:r>
    </w:p>
    <w:p>
      <w:pPr>
        <w:snapToGrid w:val="0"/>
        <w:spacing w:line="288" w:lineRule="auto"/>
        <w:jc w:val="center"/>
        <w:rPr>
          <w:rFonts w:ascii="宋体" w:hAnsi="宋体" w:cs="宋体"/>
          <w:b/>
          <w:szCs w:val="21"/>
          <w:highlight w:val="none"/>
        </w:rPr>
      </w:pPr>
      <w:r>
        <w:rPr>
          <w:rFonts w:hint="eastAsia" w:ascii="宋体" w:hAnsi="宋体" w:cs="宋体"/>
          <w:b/>
          <w:szCs w:val="21"/>
          <w:highlight w:val="none"/>
        </w:rPr>
        <w:t>评标办法前附表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498"/>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98"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147" w:type="dxa"/>
            <w:vAlign w:val="center"/>
          </w:tcPr>
          <w:p>
            <w:pPr>
              <w:snapToGrid w:val="0"/>
              <w:spacing w:line="288"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2150"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投标人自2021年1月1日以来（以合同签订时间为准），具有承接过同类业绩项目的，每个业绩得1分，最高得1分。（注：需提供业绩的证明材料：合同复印件）</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150"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2</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质保期在满足招标文件要求的基础上整体每延长</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rPr>
              <w:t>年得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分，延长时间不足</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rPr>
              <w:t>年的不计入得分，质保期不满足招标文件要求的视为采购人不能接受的附加条件。</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150"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3</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不符合（负偏离）技术要求中标注“▲”条款（不可偏离）的响应文件无效，满足或明显优于磋商文件明确的全部技术条款要求的该项得满分；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技术条款低于技术要求（负偏离）的每项扣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项及以上的，视为采购人不能接受的附加条件。</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150"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根据投标人对布展现场的熟悉情况，</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lang w:val="en-US" w:eastAsia="zh-CN"/>
              </w:rPr>
              <w:t>结合踏勘情况，</w:t>
            </w:r>
            <w:r>
              <w:rPr>
                <w:rFonts w:hint="eastAsia" w:ascii="宋体" w:hAnsi="宋体" w:eastAsia="宋体" w:cs="宋体"/>
                <w:color w:val="auto"/>
                <w:sz w:val="21"/>
                <w:szCs w:val="21"/>
                <w:highlight w:val="none"/>
              </w:rPr>
              <w:t>了解</w:t>
            </w:r>
            <w:r>
              <w:rPr>
                <w:rFonts w:hint="eastAsia" w:ascii="宋体" w:hAnsi="宋体" w:cs="宋体"/>
                <w:color w:val="auto"/>
                <w:sz w:val="21"/>
                <w:szCs w:val="21"/>
                <w:highlight w:val="none"/>
                <w:lang w:eastAsia="zh-CN"/>
              </w:rPr>
              <w:t>杭州市钱塘区义蓬街道社区卫生服务中心（杭州市钱塘区义蓬街道妇女儿童健康服务站）</w:t>
            </w:r>
            <w:r>
              <w:rPr>
                <w:rFonts w:hint="eastAsia" w:ascii="宋体" w:hAnsi="宋体" w:eastAsia="宋体" w:cs="宋体"/>
                <w:color w:val="auto"/>
                <w:sz w:val="21"/>
                <w:szCs w:val="21"/>
                <w:highlight w:val="none"/>
              </w:rPr>
              <w:t>文化，项目现场了解内容详细、完整、有针对性，说明情况切合布展项目且具有合理明确的针对本布展项目实施过程中重点与难点分析的得5分；现场了解内容较为详细、完整，说明情况、针对本布展项目实施过程中重点与难点分析存在缺陷但基本切合项目、较为合理明确的得3分；现场了解内容阐述粗略，说明情况、针对本布展项目实施过程中重点与难点分析缺陷较多、欠缺合理性，部分切合布展项目的得1分；未提供相关内容阐述或阐述不符合项目的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50"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US" w:eastAsia="zh-CN" w:bidi="ar"/>
              </w:rPr>
              <w:t>.1</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根据投标人对本项目的理解，结合项目实际情况，</w:t>
            </w:r>
            <w:r>
              <w:rPr>
                <w:rFonts w:hint="eastAsia" w:ascii="宋体" w:hAnsi="宋体" w:eastAsia="宋体" w:cs="宋体"/>
                <w:color w:val="auto"/>
                <w:sz w:val="21"/>
                <w:szCs w:val="21"/>
                <w:highlight w:val="none"/>
              </w:rPr>
              <w:t>提供不少于10张效果图</w:t>
            </w:r>
            <w:r>
              <w:rPr>
                <w:rFonts w:hint="eastAsia" w:ascii="宋体" w:hAnsi="宋体" w:eastAsia="宋体" w:cs="宋体"/>
                <w:highlight w:val="none"/>
                <w:lang w:eastAsia="zh-CN"/>
              </w:rPr>
              <w:t>的</w:t>
            </w:r>
            <w:r>
              <w:rPr>
                <w:rFonts w:hint="eastAsia" w:ascii="宋体" w:hAnsi="宋体" w:eastAsia="宋体" w:cs="宋体"/>
                <w:highlight w:val="none"/>
                <w:lang w:val="en-US" w:eastAsia="zh-CN"/>
              </w:rPr>
              <w:t>得4分，每减少1张效果图扣1分，扣完为止。未提供效果图的本项不得分。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w:t>
            </w:r>
            <w:r>
              <w:rPr>
                <w:rFonts w:hint="eastAsia" w:ascii="宋体" w:hAnsi="宋体" w:eastAsia="宋体" w:cs="宋体"/>
                <w:color w:val="auto"/>
                <w:sz w:val="21"/>
                <w:szCs w:val="21"/>
                <w:highlight w:val="none"/>
                <w:lang w:val="en-US" w:eastAsia="zh-CN"/>
              </w:rPr>
              <w:t>观分</w:t>
            </w:r>
          </w:p>
        </w:tc>
        <w:tc>
          <w:tcPr>
            <w:tcW w:w="2150" w:type="dxa"/>
            <w:vMerge w:val="restart"/>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文化系统规划设计方案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5.2</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整体设计方案：</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根据设计方案对本布展项目的设计理念的理解，结合义蓬街道社区卫生服务中心实际情况，整体的设计思路，结合设计深度要求展现整体设计方案，</w:t>
            </w:r>
            <w:r>
              <w:rPr>
                <w:rFonts w:hint="eastAsia" w:ascii="宋体" w:hAnsi="宋体" w:eastAsia="宋体" w:cs="宋体"/>
                <w:color w:val="auto"/>
                <w:sz w:val="21"/>
                <w:szCs w:val="21"/>
                <w:highlight w:val="none"/>
                <w:lang w:val="en-US" w:eastAsia="zh-CN"/>
              </w:rPr>
              <w:t>最</w:t>
            </w:r>
            <w:r>
              <w:rPr>
                <w:rFonts w:hint="eastAsia" w:ascii="宋体" w:hAnsi="宋体" w:eastAsia="宋体" w:cs="宋体"/>
                <w:color w:val="auto"/>
                <w:sz w:val="21"/>
                <w:szCs w:val="21"/>
                <w:highlight w:val="none"/>
              </w:rPr>
              <w:t>高得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a）设计方案能够充分办院理念、办院文化的理解，得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分；设计方案较能体现办院理念、办院文化的理解，得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分；设计方案较粗略的得1分；不提供或不符合项目的不得分。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b）VI导视系统设计理解，能充分融合卫生服务中心的文化理念特点进行表现的，得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分；VI导视系统设计理解，较能够融合卫生服务中心的文化理念特点进行表现的，得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分；VI导视系统设计理解较差，不能充分融合卫生服务中心的文化理念特点进行表现的，得1分；不提供或不符合项目的不得分。</w:t>
            </w:r>
          </w:p>
          <w:p>
            <w:pPr>
              <w:spacing w:line="27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w:t>
            </w:r>
            <w:r>
              <w:rPr>
                <w:rFonts w:hint="eastAsia" w:ascii="宋体" w:hAnsi="宋体" w:eastAsia="宋体" w:cs="宋体"/>
                <w:color w:val="000000" w:themeColor="text1"/>
                <w:sz w:val="21"/>
                <w:szCs w:val="21"/>
                <w:highlight w:val="none"/>
                <w:lang w:val="en-US" w:eastAsia="zh-CN"/>
                <w14:textFill>
                  <w14:solidFill>
                    <w14:schemeClr w14:val="tx1"/>
                  </w14:solidFill>
                </w14:textFill>
              </w:rPr>
              <w:t>设计方案与展示主题及定位相呼应，符合社区的特点，设计新颖，有特色，颜色丰富，立体感强内容符合科学性、完整合理，得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分；设计方案比较科学和合理的，得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分；设计方案缺陷较大的得1分；不提供或不符合项目的不得分。</w:t>
            </w:r>
          </w:p>
          <w:p>
            <w:pPr>
              <w:snapToGrid w:val="0"/>
              <w:spacing w:line="288"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投标人提交的局部文化形象策划设计方案的具体项目，设计方案包含平面设计稿、实际场景3D空间模拟效果图，根据方案的的完整性、详细性、创新性、舒适性、规范性进行打分：内容符合，设计完整合理的得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分；内容较符合，设计较完整较合理的得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分；内容及设计缺陷较大的得1分；不提供或不符合项目的不得分。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50" w:type="dxa"/>
            <w:vMerge w:val="continue"/>
            <w:vAlign w:val="center"/>
          </w:tcPr>
          <w:p>
            <w:pPr>
              <w:snapToGrid w:val="0"/>
              <w:spacing w:line="288"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6</w:t>
            </w:r>
            <w:r>
              <w:rPr>
                <w:rFonts w:hint="eastAsia" w:ascii="宋体" w:hAnsi="宋体" w:cs="宋体"/>
                <w:i w:val="0"/>
                <w:color w:val="auto"/>
                <w:kern w:val="0"/>
                <w:sz w:val="21"/>
                <w:szCs w:val="21"/>
                <w:highlight w:val="none"/>
                <w:u w:val="none"/>
                <w:lang w:val="en-US" w:eastAsia="zh-CN" w:bidi="ar"/>
              </w:rPr>
              <w:t>.1</w:t>
            </w:r>
          </w:p>
        </w:tc>
        <w:tc>
          <w:tcPr>
            <w:tcW w:w="4498" w:type="dxa"/>
            <w:vAlign w:val="center"/>
          </w:tcPr>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（1）诊断分析方案：</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卫生服务中心的差异化品牌价值主张全面，定位合理，符合国家对卫生院发展的政策得5分；较全面较合理的得3分，缺陷较大的得1分，完全不符合的得0分。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50" w:type="dxa"/>
            <w:vMerge w:val="restart"/>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导视系统设计方案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6.2</w:t>
            </w:r>
          </w:p>
        </w:tc>
        <w:tc>
          <w:tcPr>
            <w:tcW w:w="4498" w:type="dxa"/>
            <w:vAlign w:val="center"/>
          </w:tcPr>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（2）导视系统文化提炼方案的总体设计思路：</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a.规划内容理念表达符合国家对卫生院发展的政策，符合该卫生院实际需求，满足未来卫生院文化建设方向，参访路线规划合理，得5分；</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b.规划内容理念表达基本符合国家对卫生院发展的政策，基本符合该卫生院实际需求，基本满足未来卫生院文化建设方向，参访路线规划逻辑较合理，得3分；</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c.规划内容理念表达不太符合国家对卫生院发展的政策，不太符合该卫生院实际需求，不太满足未来卫生院文化建设方向，参访路线规划逻辑不太合理，得1分。</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d.不提供或不符合项目的不得分。</w:t>
            </w:r>
          </w:p>
        </w:tc>
        <w:tc>
          <w:tcPr>
            <w:tcW w:w="764" w:type="dxa"/>
            <w:vAlign w:val="center"/>
          </w:tcPr>
          <w:p>
            <w:pPr>
              <w:snapToGrid w:val="0"/>
              <w:spacing w:line="288"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50" w:type="dxa"/>
            <w:vMerge w:val="continue"/>
            <w:vAlign w:val="center"/>
          </w:tcPr>
          <w:p>
            <w:pPr>
              <w:snapToGrid w:val="0"/>
              <w:spacing w:line="288"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6.3</w:t>
            </w:r>
          </w:p>
        </w:tc>
        <w:tc>
          <w:tcPr>
            <w:tcW w:w="4498" w:type="dxa"/>
            <w:vAlign w:val="center"/>
          </w:tcPr>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（3）导视规划设计方案：</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投标人提供各级导视的设计方案包含不点动线图、平面设计稿、实际场景3D空间模拟效果图、结构图，根据方案的的完整性、详细性、创新性、舒适性、规范性进行打分：</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a.方案完整、详细、规范、符合医院品牌、形式创新、色彩搭配舒适，所有项目的效果图数量齐全，完全满足采购人需求，得5分；</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b.方案较为完整、形式较好、色彩搭配较好，所有项目的效果图部分完整存在少量缺失，基本满足采购人需求，得3分；</w:t>
            </w:r>
          </w:p>
          <w:p>
            <w:pPr>
              <w:spacing w:line="276"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c.方案较为不完整、形式差、色彩搭配差，所有项目的效果图不足，仅有部分满足要求，得1分。</w:t>
            </w:r>
          </w:p>
          <w:p>
            <w:pPr>
              <w:snapToGrid w:val="0"/>
              <w:spacing w:line="288"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d.不提供或不符合项目的不得分。</w:t>
            </w:r>
          </w:p>
        </w:tc>
        <w:tc>
          <w:tcPr>
            <w:tcW w:w="764" w:type="dxa"/>
            <w:vAlign w:val="center"/>
          </w:tcPr>
          <w:p>
            <w:pPr>
              <w:snapToGrid w:val="0"/>
              <w:spacing w:line="288"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50" w:type="dxa"/>
            <w:vMerge w:val="continue"/>
            <w:vAlign w:val="center"/>
          </w:tcPr>
          <w:p>
            <w:pPr>
              <w:snapToGrid w:val="0"/>
              <w:spacing w:line="288"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1"/>
                <w:szCs w:val="21"/>
                <w:highlight w:val="none"/>
                <w:u w:val="none"/>
                <w:lang w:val="en-US" w:eastAsia="zh-CN" w:bidi="ar"/>
              </w:rPr>
              <w:t>7.1</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投标人提供的采购清单组成的完整性、可行性、合理性</w:t>
            </w:r>
            <w:r>
              <w:rPr>
                <w:rFonts w:hint="eastAsia" w:ascii="宋体" w:hAnsi="宋体" w:eastAsia="宋体" w:cs="宋体"/>
                <w:color w:val="auto"/>
                <w:sz w:val="21"/>
                <w:szCs w:val="21"/>
                <w:highlight w:val="none"/>
              </w:rPr>
              <w:t>。</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zh-CN"/>
              </w:rPr>
              <w:t>采购清单组成完整、可行、合理的得5分；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val="zh-CN"/>
              </w:rPr>
              <w:t>采购清单组成较为完整、可行、合理的得3分；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zh-CN"/>
              </w:rPr>
              <w:t>采购清单组成完整性、可行性、合理性较差的得1分；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d）不提供采购清单不得分。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2150" w:type="dxa"/>
            <w:vMerge w:val="restart"/>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布展施工方案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1"/>
                <w:szCs w:val="21"/>
                <w:highlight w:val="none"/>
                <w:u w:val="none"/>
                <w:lang w:val="en-US" w:eastAsia="zh-CN" w:bidi="ar"/>
              </w:rPr>
              <w:t>7.2</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投标人提供的保障工期的技术组织措施（包括项目进度计划、关键节点和工期的保证措施）的全面性、合理可行性。</w:t>
            </w:r>
          </w:p>
          <w:p>
            <w:pPr>
              <w:snapToGrid w:val="0"/>
              <w:spacing w:line="288"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a）内容阐述详尽、准确且合理可行的得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pPr>
              <w:snapToGrid w:val="0"/>
              <w:spacing w:line="288"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b）内容阐述有欠缺但总体较为详尽、准确，基本合理可行的得3分；</w:t>
            </w:r>
          </w:p>
          <w:p>
            <w:pPr>
              <w:snapToGrid w:val="0"/>
              <w:spacing w:line="288"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c）内容阐述粗略、缺陷较多，部分合理可行的得1分；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d）不提供或与项目不符的不得分。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2150" w:type="dxa"/>
            <w:vMerge w:val="continue"/>
            <w:vAlign w:val="center"/>
          </w:tcPr>
          <w:p>
            <w:pPr>
              <w:snapToGrid w:val="0"/>
              <w:spacing w:line="288"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1"/>
                <w:szCs w:val="21"/>
                <w:highlight w:val="none"/>
                <w:u w:val="none"/>
                <w:lang w:val="en-US" w:eastAsia="zh-CN" w:bidi="ar"/>
              </w:rPr>
              <w:t>7.3</w:t>
            </w:r>
          </w:p>
        </w:tc>
        <w:tc>
          <w:tcPr>
            <w:tcW w:w="4498" w:type="dxa"/>
            <w:vAlign w:val="center"/>
          </w:tcPr>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投标人提供的保障本</w:t>
            </w:r>
            <w:r>
              <w:rPr>
                <w:rFonts w:hint="eastAsia" w:ascii="宋体" w:hAnsi="宋体" w:eastAsia="宋体" w:cs="宋体"/>
                <w:color w:val="auto"/>
                <w:sz w:val="21"/>
                <w:szCs w:val="21"/>
                <w:highlight w:val="none"/>
                <w:lang w:val="en-US" w:eastAsia="zh-CN"/>
              </w:rPr>
              <w:t>布展</w:t>
            </w:r>
            <w:r>
              <w:rPr>
                <w:rFonts w:hint="eastAsia" w:ascii="宋体" w:hAnsi="宋体" w:eastAsia="宋体" w:cs="宋体"/>
                <w:color w:val="auto"/>
                <w:sz w:val="21"/>
                <w:szCs w:val="21"/>
                <w:highlight w:val="none"/>
              </w:rPr>
              <w:t>项目布展质量的技术组织措施的全面性、合理可行性。</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a）内容阐述详尽、准确且合理可行的得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b）内容阐述有欠缺但总体较为详尽、准确，基本合理可行的得3分；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c）内容阐述粗略、缺陷较多，部分合理可行的得1分；</w:t>
            </w:r>
          </w:p>
          <w:p>
            <w:pPr>
              <w:snapToGrid w:val="0"/>
              <w:spacing w:line="288"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zh-CN"/>
              </w:rPr>
              <w:t>不提供或与项目不符的不得分。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2150" w:type="dxa"/>
            <w:vMerge w:val="continue"/>
            <w:vAlign w:val="center"/>
          </w:tcPr>
          <w:p>
            <w:pPr>
              <w:snapToGrid w:val="0"/>
              <w:spacing w:line="288"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cs="宋体"/>
                <w:i w:val="0"/>
                <w:color w:val="auto"/>
                <w:kern w:val="0"/>
                <w:sz w:val="21"/>
                <w:szCs w:val="21"/>
                <w:highlight w:val="none"/>
                <w:u w:val="none"/>
                <w:lang w:val="en-US" w:eastAsia="zh-CN" w:bidi="ar"/>
              </w:rPr>
              <w:t>7.4</w:t>
            </w:r>
          </w:p>
        </w:tc>
        <w:tc>
          <w:tcPr>
            <w:tcW w:w="4498" w:type="dxa"/>
            <w:vAlign w:val="center"/>
          </w:tcPr>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投标人提供的安全文明</w:t>
            </w:r>
            <w:r>
              <w:rPr>
                <w:rFonts w:hint="eastAsia" w:ascii="宋体" w:hAnsi="宋体" w:eastAsia="宋体" w:cs="宋体"/>
                <w:color w:val="auto"/>
                <w:sz w:val="21"/>
                <w:szCs w:val="21"/>
                <w:highlight w:val="none"/>
                <w:lang w:val="en-US" w:eastAsia="zh-CN"/>
              </w:rPr>
              <w:t>布展</w:t>
            </w:r>
            <w:r>
              <w:rPr>
                <w:rFonts w:hint="eastAsia" w:ascii="宋体" w:hAnsi="宋体" w:eastAsia="宋体" w:cs="宋体"/>
                <w:color w:val="auto"/>
                <w:sz w:val="21"/>
                <w:szCs w:val="21"/>
                <w:highlight w:val="none"/>
              </w:rPr>
              <w:t>施工方案（包括安全文明</w:t>
            </w:r>
            <w:r>
              <w:rPr>
                <w:rFonts w:hint="eastAsia" w:ascii="宋体" w:hAnsi="宋体" w:eastAsia="宋体" w:cs="宋体"/>
                <w:color w:val="auto"/>
                <w:sz w:val="21"/>
                <w:szCs w:val="21"/>
                <w:highlight w:val="none"/>
                <w:lang w:val="en-US" w:eastAsia="zh-CN"/>
              </w:rPr>
              <w:t>布展</w:t>
            </w:r>
            <w:r>
              <w:rPr>
                <w:rFonts w:hint="eastAsia" w:ascii="宋体" w:hAnsi="宋体" w:eastAsia="宋体" w:cs="宋体"/>
                <w:color w:val="auto"/>
                <w:sz w:val="21"/>
                <w:szCs w:val="21"/>
                <w:highlight w:val="none"/>
              </w:rPr>
              <w:t>施工承诺及相应的管理与保障措施）的全面性、合理可行性。</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a）内容阐述详尽、准确且合理可行的得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b）内容阐述有欠缺但总体较为详尽、准确，基本合理可行的得3分；</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c）内容阐述粗略、缺陷较多，部分合理可行的得1分；</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zh-CN"/>
              </w:rPr>
              <w:t>不提供或与项目不符的不得分。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2150" w:type="dxa"/>
            <w:vMerge w:val="continue"/>
            <w:vAlign w:val="center"/>
          </w:tcPr>
          <w:p>
            <w:pPr>
              <w:snapToGrid w:val="0"/>
              <w:spacing w:line="288"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8</w:t>
            </w:r>
          </w:p>
        </w:tc>
        <w:tc>
          <w:tcPr>
            <w:tcW w:w="4498" w:type="dxa"/>
            <w:vAlign w:val="center"/>
          </w:tcPr>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投标人针对本项目组建的服务团队人员： </w:t>
            </w:r>
          </w:p>
          <w:p>
            <w:pPr>
              <w:snapToGri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具备专业技能证书，每个人员证书</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分，最高5分。</w:t>
            </w:r>
            <w:r>
              <w:rPr>
                <w:rFonts w:hint="eastAsia" w:ascii="宋体" w:hAnsi="宋体" w:eastAsia="宋体" w:cs="宋体"/>
                <w:color w:val="auto"/>
                <w:sz w:val="21"/>
                <w:szCs w:val="21"/>
                <w:highlight w:val="none"/>
                <w:lang w:val="en-US" w:eastAsia="zh-CN"/>
              </w:rPr>
              <w:t>提供证书扫描件，未提供不得分。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150"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i w:val="0"/>
                <w:color w:val="auto"/>
                <w:kern w:val="0"/>
                <w:sz w:val="21"/>
                <w:szCs w:val="21"/>
                <w:highlight w:val="none"/>
                <w:u w:val="none"/>
                <w:lang w:val="en-US" w:eastAsia="zh-CN" w:bidi="ar"/>
              </w:rPr>
              <w:t>9</w:t>
            </w:r>
          </w:p>
        </w:tc>
        <w:tc>
          <w:tcPr>
            <w:tcW w:w="4498" w:type="dxa"/>
            <w:vAlign w:val="center"/>
          </w:tcPr>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投标人提供的质量保修期内服务方案，包括维修响应措施、备品备件、回访等，</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服务方案详细明确、合理可行。</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a）方案阐述详细全面，有提供明确且合理可行的服务计划及措施，总体能够充分保障及时有效售后服务的得5分；</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b）方案阐述有欠缺但基本全面，有提供较为明确可行的服务计划及措施，总体能较好的提供售后服务的得3分；</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c）方案阐述粗略，提供的服务计划、措施等内容缺陷较多、合理可行性欠缺，总体售后服务响应保障较为一般的得1分；</w:t>
            </w:r>
          </w:p>
          <w:p>
            <w:pPr>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d）不提供方案或与项目不符的不得分。</w:t>
            </w:r>
          </w:p>
        </w:tc>
        <w:tc>
          <w:tcPr>
            <w:tcW w:w="764"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47" w:type="dxa"/>
            <w:vAlign w:val="center"/>
          </w:tcPr>
          <w:p>
            <w:pPr>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50" w:type="dxa"/>
            <w:vAlign w:val="center"/>
          </w:tcPr>
          <w:p>
            <w:pPr>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9"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w:t>
            </w:r>
            <w:r>
              <w:rPr>
                <w:rFonts w:hint="eastAsia" w:ascii="宋体" w:hAnsi="宋体" w:cs="宋体"/>
                <w:i w:val="0"/>
                <w:color w:val="auto"/>
                <w:kern w:val="0"/>
                <w:sz w:val="21"/>
                <w:szCs w:val="21"/>
                <w:highlight w:val="none"/>
                <w:u w:val="none"/>
                <w:lang w:val="en-US" w:eastAsia="zh-CN" w:bidi="ar"/>
              </w:rPr>
              <w:t>0</w:t>
            </w:r>
          </w:p>
        </w:tc>
        <w:tc>
          <w:tcPr>
            <w:tcW w:w="4498" w:type="dxa"/>
            <w:vAlign w:val="center"/>
          </w:tcPr>
          <w:p>
            <w:pPr>
              <w:snapToGrid w:val="0"/>
              <w:spacing w:line="288"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pPr>
              <w:shd w:val="clear" w:color="auto" w:fill="FFFFFF"/>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pPr>
              <w:shd w:val="clear" w:color="auto" w:fill="FFFFFF"/>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本项目专门面向中小企业采购，不再执行价格评审优惠的扶持政策</w:t>
            </w:r>
          </w:p>
        </w:tc>
        <w:tc>
          <w:tcPr>
            <w:tcW w:w="764" w:type="dxa"/>
            <w:vAlign w:val="center"/>
          </w:tcPr>
          <w:p>
            <w:pPr>
              <w:snapToGrid w:val="0"/>
              <w:spacing w:line="288"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47" w:type="dxa"/>
            <w:vAlign w:val="center"/>
          </w:tcPr>
          <w:p>
            <w:pPr>
              <w:snapToGrid w:val="0"/>
              <w:spacing w:line="288"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150" w:type="dxa"/>
            <w:vAlign w:val="center"/>
          </w:tcPr>
          <w:p>
            <w:pPr>
              <w:snapToGrid w:val="0"/>
              <w:spacing w:line="288"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snapToGrid w:val="0"/>
        <w:spacing w:line="288" w:lineRule="auto"/>
        <w:rPr>
          <w:rFonts w:ascii="宋体" w:hAnsi="宋体"/>
          <w:szCs w:val="21"/>
          <w:highlight w:val="none"/>
        </w:rPr>
      </w:pPr>
    </w:p>
    <w:p>
      <w:pPr>
        <w:snapToGrid w:val="0"/>
        <w:spacing w:line="288" w:lineRule="auto"/>
        <w:ind w:firstLine="424" w:firstLineChars="202"/>
        <w:rPr>
          <w:rFonts w:ascii="宋体" w:hAnsi="宋体" w:cs="宋体"/>
          <w:b/>
          <w:szCs w:val="21"/>
          <w:highlight w:val="none"/>
        </w:rPr>
      </w:pPr>
      <w:r>
        <w:rPr>
          <w:rFonts w:hint="eastAsia" w:ascii="宋体" w:hAnsi="宋体" w:cs="宋体"/>
          <w:szCs w:val="21"/>
          <w:highlight w:val="none"/>
          <w:shd w:val="clear" w:color="auto" w:fill="FFFFFF"/>
        </w:rPr>
        <w:t>*</w:t>
      </w:r>
      <w:r>
        <w:rPr>
          <w:rFonts w:hint="eastAsia" w:ascii="宋体" w:hAnsi="宋体" w:cs="宋体"/>
          <w:b/>
          <w:szCs w:val="21"/>
          <w:highlight w:val="none"/>
        </w:rPr>
        <w:t>备注：</w:t>
      </w:r>
      <w:r>
        <w:rPr>
          <w:rFonts w:hint="eastAsia" w:ascii="宋体" w:hAnsi="宋体" w:cs="宋体"/>
          <w:szCs w:val="21"/>
          <w:highlight w:val="none"/>
        </w:rPr>
        <w:t>投标人编制投标文件（商务技术文件部分）时，建议按此目录（序号和内容）提供评标标准相应的商务技术资料。 </w:t>
      </w:r>
    </w:p>
    <w:p>
      <w:pPr>
        <w:snapToGrid w:val="0"/>
        <w:spacing w:line="288" w:lineRule="auto"/>
        <w:ind w:firstLine="426" w:firstLineChars="202"/>
        <w:rPr>
          <w:rFonts w:ascii="宋体" w:hAnsi="宋体" w:cs="宋体"/>
          <w:b/>
          <w:szCs w:val="21"/>
          <w:highlight w:val="none"/>
        </w:rPr>
      </w:pPr>
      <w:r>
        <w:rPr>
          <w:rFonts w:hint="eastAsia" w:ascii="宋体" w:hAnsi="宋体" w:cs="宋体"/>
          <w:b/>
          <w:szCs w:val="21"/>
          <w:highlight w:val="none"/>
        </w:rPr>
        <w:t>一、评标方法</w:t>
      </w:r>
    </w:p>
    <w:p>
      <w:pPr>
        <w:snapToGrid w:val="0"/>
        <w:spacing w:line="288" w:lineRule="auto"/>
        <w:ind w:firstLine="426" w:firstLineChars="202"/>
        <w:rPr>
          <w:rFonts w:ascii="宋体" w:hAnsi="宋体" w:cs="宋体"/>
          <w:kern w:val="0"/>
          <w:szCs w:val="21"/>
          <w:highlight w:val="none"/>
        </w:rPr>
      </w:pPr>
      <w:r>
        <w:rPr>
          <w:rFonts w:hint="eastAsia" w:ascii="宋体" w:hAnsi="宋体" w:cs="宋体"/>
          <w:b/>
          <w:kern w:val="0"/>
          <w:szCs w:val="21"/>
          <w:highlight w:val="none"/>
        </w:rPr>
        <w:t>1.本项目采用综合评分法。</w:t>
      </w:r>
      <w:r>
        <w:rPr>
          <w:rFonts w:hint="eastAsia" w:ascii="宋体" w:hAnsi="宋体" w:cs="宋体"/>
          <w:kern w:val="0"/>
          <w:szCs w:val="21"/>
          <w:highlight w:val="none"/>
        </w:rPr>
        <w:t>综合评分法，是指投标文件满足招标文件全部实质性要求，且按照评审因素的量化指标评审得分最高的投标人为中标候选人的评标方法。</w:t>
      </w:r>
    </w:p>
    <w:p>
      <w:pPr>
        <w:snapToGrid w:val="0"/>
        <w:spacing w:line="288" w:lineRule="auto"/>
        <w:ind w:firstLine="426" w:firstLineChars="202"/>
        <w:rPr>
          <w:rFonts w:ascii="宋体" w:hAnsi="宋体" w:cs="宋体"/>
          <w:kern w:val="0"/>
          <w:szCs w:val="21"/>
          <w:highlight w:val="none"/>
        </w:rPr>
      </w:pPr>
      <w:r>
        <w:rPr>
          <w:rFonts w:hint="eastAsia" w:ascii="宋体" w:hAnsi="宋体" w:cs="宋体"/>
          <w:b/>
          <w:szCs w:val="21"/>
          <w:highlight w:val="none"/>
        </w:rPr>
        <w:t>二、评标标准</w:t>
      </w:r>
    </w:p>
    <w:p>
      <w:pPr>
        <w:snapToGrid w:val="0"/>
        <w:spacing w:line="288" w:lineRule="auto"/>
        <w:ind w:firstLine="426" w:firstLineChars="202"/>
        <w:rPr>
          <w:rFonts w:ascii="宋体" w:hAnsi="宋体" w:cs="宋体"/>
          <w:b/>
          <w:szCs w:val="21"/>
          <w:highlight w:val="none"/>
        </w:rPr>
      </w:pPr>
      <w:r>
        <w:rPr>
          <w:rFonts w:hint="eastAsia" w:ascii="宋体" w:hAnsi="宋体" w:cs="宋体"/>
          <w:b/>
          <w:szCs w:val="21"/>
          <w:highlight w:val="none"/>
        </w:rPr>
        <w:t>2.评标标准：</w:t>
      </w:r>
      <w:r>
        <w:rPr>
          <w:rFonts w:hint="eastAsia" w:ascii="宋体" w:hAnsi="宋体" w:cs="宋体"/>
          <w:kern w:val="0"/>
          <w:szCs w:val="21"/>
          <w:highlight w:val="none"/>
        </w:rPr>
        <w:t>见评标办法前附表。</w:t>
      </w:r>
    </w:p>
    <w:p>
      <w:pPr>
        <w:snapToGrid w:val="0"/>
        <w:spacing w:line="288" w:lineRule="auto"/>
        <w:ind w:firstLine="426" w:firstLineChars="202"/>
        <w:rPr>
          <w:rFonts w:ascii="宋体" w:hAnsi="宋体" w:cs="宋体"/>
          <w:b/>
          <w:szCs w:val="21"/>
          <w:highlight w:val="none"/>
        </w:rPr>
      </w:pPr>
      <w:r>
        <w:rPr>
          <w:rFonts w:hint="eastAsia" w:ascii="宋体" w:hAnsi="宋体" w:cs="宋体"/>
          <w:b/>
          <w:szCs w:val="21"/>
          <w:highlight w:val="none"/>
        </w:rPr>
        <w:t>三、评标程序</w:t>
      </w:r>
    </w:p>
    <w:p>
      <w:pPr>
        <w:snapToGrid w:val="0"/>
        <w:spacing w:line="288" w:lineRule="auto"/>
        <w:ind w:firstLine="426" w:firstLineChars="202"/>
        <w:rPr>
          <w:rFonts w:ascii="宋体" w:hAnsi="宋体" w:cs="宋体"/>
          <w:kern w:val="0"/>
          <w:szCs w:val="21"/>
          <w:highlight w:val="none"/>
        </w:rPr>
      </w:pPr>
      <w:r>
        <w:rPr>
          <w:rFonts w:hint="eastAsia" w:ascii="宋体" w:hAnsi="宋体" w:cs="宋体"/>
          <w:b/>
          <w:kern w:val="0"/>
          <w:szCs w:val="21"/>
          <w:highlight w:val="none"/>
        </w:rPr>
        <w:t>3.1符合性审查。</w:t>
      </w:r>
      <w:r>
        <w:rPr>
          <w:rFonts w:hint="eastAsia" w:ascii="宋体" w:hAnsi="宋体" w:cs="宋体"/>
          <w:kern w:val="0"/>
          <w:szCs w:val="21"/>
          <w:highlight w:val="none"/>
        </w:rPr>
        <w:t>评标委员会应当对符合资格的投标人的投标文件进行符合性审查，以确定其是否满足招标文件的实质性要求。不满足招标文件的实质性要求的，投标无效。</w:t>
      </w:r>
    </w:p>
    <w:p>
      <w:pPr>
        <w:snapToGrid w:val="0"/>
        <w:spacing w:line="288" w:lineRule="auto"/>
        <w:ind w:firstLine="426" w:firstLineChars="202"/>
        <w:rPr>
          <w:rFonts w:ascii="宋体" w:hAnsi="宋体" w:cs="宋体"/>
          <w:kern w:val="0"/>
          <w:szCs w:val="21"/>
          <w:highlight w:val="none"/>
        </w:rPr>
      </w:pPr>
      <w:r>
        <w:rPr>
          <w:rFonts w:hint="eastAsia" w:ascii="宋体" w:hAnsi="宋体" w:cs="宋体"/>
          <w:b/>
          <w:kern w:val="0"/>
          <w:szCs w:val="21"/>
          <w:highlight w:val="none"/>
        </w:rPr>
        <w:t>3.2 比较与评价。</w:t>
      </w: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pPr>
        <w:snapToGrid w:val="0"/>
        <w:spacing w:line="288" w:lineRule="auto"/>
        <w:ind w:firstLine="426" w:firstLineChars="202"/>
        <w:rPr>
          <w:rFonts w:ascii="宋体" w:hAnsi="宋体" w:cs="宋体"/>
          <w:kern w:val="0"/>
          <w:szCs w:val="21"/>
          <w:highlight w:val="none"/>
        </w:rPr>
      </w:pPr>
      <w:r>
        <w:rPr>
          <w:rFonts w:hint="eastAsia" w:ascii="宋体" w:hAnsi="宋体" w:cs="宋体"/>
          <w:b/>
          <w:kern w:val="0"/>
          <w:szCs w:val="21"/>
          <w:highlight w:val="none"/>
        </w:rPr>
        <w:t>3.3汇总商务技术得分。</w:t>
      </w:r>
      <w:r>
        <w:rPr>
          <w:rFonts w:hint="eastAsia" w:ascii="宋体" w:hAnsi="宋体" w:cs="宋体"/>
          <w:kern w:val="0"/>
          <w:szCs w:val="21"/>
          <w:highlight w:val="none"/>
        </w:rPr>
        <w:t>评标委员会各成员应当独立对每个投标人的商务和技术文件进行评价，并汇总商务技术得分情况。</w:t>
      </w:r>
    </w:p>
    <w:p>
      <w:pPr>
        <w:snapToGrid w:val="0"/>
        <w:spacing w:line="288" w:lineRule="auto"/>
        <w:ind w:firstLine="426" w:firstLineChars="202"/>
        <w:rPr>
          <w:rFonts w:ascii="宋体" w:hAnsi="宋体" w:cs="宋体"/>
          <w:b/>
          <w:kern w:val="0"/>
          <w:szCs w:val="21"/>
          <w:highlight w:val="none"/>
        </w:rPr>
      </w:pPr>
      <w:r>
        <w:rPr>
          <w:rFonts w:hint="eastAsia" w:ascii="宋体" w:hAnsi="宋体" w:cs="宋体"/>
          <w:b/>
          <w:kern w:val="0"/>
          <w:szCs w:val="21"/>
          <w:highlight w:val="none"/>
        </w:rPr>
        <w:t>3.4报价评审。</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3.4.1投标文件报价出现前后不一致的，按照下列规定修正：</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3.4.1.1投标文件中开标一览表(报价表)内容与投标文件中相应内容不一致的，以开标一览表(报价表)为准;</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3.4.1.2大写金额和小写金额不一致的，以大写金额为准;</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3.4.1.3单价金额小数点或者百分比有明显错位的，以开标一览表的总价为准，并修改单价;</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3.4.1.4总价金额与按单价汇总金额不一致的，以单价金额计算结果为准。</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288"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3.4.2投标文件出现不是唯一的、有选择性投标报价的，投标无效。</w:t>
      </w:r>
    </w:p>
    <w:p>
      <w:pPr>
        <w:snapToGrid w:val="0"/>
        <w:spacing w:line="288"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3.4.3投标报价超过招标文件中规定的预算金额或者最高限价的，投标无效。</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napToGrid w:val="0"/>
        <w:spacing w:before="0" w:line="288" w:lineRule="auto"/>
        <w:ind w:firstLine="424" w:firstLineChars="202"/>
        <w:rPr>
          <w:rFonts w:ascii="宋体" w:hAnsi="宋体" w:cs="宋体"/>
          <w:kern w:val="0"/>
          <w:sz w:val="21"/>
          <w:szCs w:val="21"/>
          <w:highlight w:val="none"/>
        </w:rPr>
      </w:pPr>
      <w:r>
        <w:rPr>
          <w:rFonts w:hint="eastAsia" w:ascii="宋体" w:hAnsi="宋体" w:cs="宋体"/>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6" w:firstLineChars="202"/>
        <w:rPr>
          <w:rFonts w:ascii="宋体" w:hAnsi="宋体" w:cs="宋体"/>
          <w:kern w:val="0"/>
          <w:szCs w:val="21"/>
          <w:highlight w:val="none"/>
        </w:rPr>
      </w:pPr>
      <w:r>
        <w:rPr>
          <w:rFonts w:hint="eastAsia" w:ascii="宋体" w:hAnsi="宋体" w:cs="宋体"/>
          <w:b/>
          <w:kern w:val="0"/>
          <w:szCs w:val="21"/>
          <w:highlight w:val="none"/>
        </w:rPr>
        <w:t>3.5排序与推荐。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288" w:lineRule="auto"/>
        <w:ind w:firstLine="424" w:firstLineChars="202"/>
        <w:rPr>
          <w:rFonts w:ascii="宋体" w:hAnsi="宋体" w:cs="宋体"/>
          <w:b/>
          <w:kern w:val="0"/>
          <w:szCs w:val="21"/>
          <w:highlight w:val="none"/>
        </w:rPr>
      </w:pP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288" w:lineRule="auto"/>
        <w:ind w:firstLine="426" w:firstLineChars="202"/>
        <w:rPr>
          <w:rFonts w:ascii="宋体" w:hAnsi="宋体" w:cs="宋体"/>
          <w:kern w:val="0"/>
          <w:szCs w:val="21"/>
          <w:highlight w:val="none"/>
        </w:rPr>
      </w:pPr>
      <w:r>
        <w:rPr>
          <w:rFonts w:hint="eastAsia" w:ascii="宋体" w:hAnsi="宋体" w:cs="宋体"/>
          <w:b/>
          <w:kern w:val="0"/>
          <w:szCs w:val="21"/>
          <w:highlight w:val="none"/>
        </w:rPr>
        <w:t>3.6编写评标报告。</w:t>
      </w:r>
      <w:r>
        <w:rPr>
          <w:rFonts w:hint="eastAsia" w:ascii="宋体" w:hAnsi="宋体" w:cs="宋体"/>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snapToGrid w:val="0"/>
        <w:spacing w:line="288" w:lineRule="auto"/>
        <w:ind w:firstLine="426" w:firstLineChars="202"/>
        <w:jc w:val="left"/>
        <w:rPr>
          <w:rFonts w:ascii="宋体" w:hAnsi="宋体" w:cs="宋体"/>
          <w:b/>
          <w:szCs w:val="21"/>
          <w:highlight w:val="none"/>
        </w:rPr>
      </w:pPr>
      <w:r>
        <w:rPr>
          <w:rFonts w:hint="eastAsia" w:ascii="宋体" w:hAnsi="宋体" w:cs="宋体"/>
          <w:b/>
          <w:szCs w:val="21"/>
          <w:highlight w:val="none"/>
        </w:rPr>
        <w:t>四、评标中的其他事项</w:t>
      </w:r>
    </w:p>
    <w:p>
      <w:pPr>
        <w:pStyle w:val="128"/>
        <w:snapToGrid w:val="0"/>
        <w:spacing w:before="0" w:line="288" w:lineRule="auto"/>
        <w:ind w:firstLine="426" w:firstLineChars="202"/>
        <w:rPr>
          <w:rFonts w:ascii="宋体" w:hAnsi="宋体" w:cs="宋体"/>
          <w:kern w:val="0"/>
          <w:sz w:val="21"/>
          <w:szCs w:val="21"/>
          <w:highlight w:val="none"/>
        </w:rPr>
      </w:pPr>
      <w:r>
        <w:rPr>
          <w:rFonts w:hint="eastAsia" w:ascii="宋体" w:hAnsi="宋体" w:cs="宋体"/>
          <w:b/>
          <w:kern w:val="0"/>
          <w:sz w:val="21"/>
          <w:szCs w:val="21"/>
          <w:highlight w:val="none"/>
        </w:rPr>
        <w:t>4.1投标人澄清、说明或者补正。</w:t>
      </w:r>
      <w:r>
        <w:rPr>
          <w:rFonts w:hint="eastAsia" w:ascii="宋体" w:hAnsi="宋体" w:cs="宋体"/>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napToGrid w:val="0"/>
        <w:spacing w:line="288" w:lineRule="auto"/>
        <w:ind w:firstLine="426" w:firstLineChars="202"/>
        <w:rPr>
          <w:rFonts w:cs="宋体"/>
          <w:sz w:val="21"/>
          <w:szCs w:val="21"/>
          <w:highlight w:val="none"/>
        </w:rPr>
      </w:pPr>
      <w:r>
        <w:rPr>
          <w:rFonts w:hint="eastAsia" w:cs="宋体"/>
          <w:b/>
          <w:kern w:val="0"/>
          <w:sz w:val="21"/>
          <w:szCs w:val="21"/>
          <w:highlight w:val="none"/>
        </w:rPr>
        <w:t>4.2投标无效。</w:t>
      </w:r>
      <w:r>
        <w:rPr>
          <w:rFonts w:hint="eastAsia" w:cs="宋体"/>
          <w:sz w:val="21"/>
          <w:szCs w:val="21"/>
          <w:highlight w:val="none"/>
        </w:rPr>
        <w:t>有下列情形之一的，投标无效：</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4.2.1投标人不具备招标文件中规定的资格要求的（投标人未提供有效的资格文件的，视为投标人不具备招标文件中规定的资格要求）；</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4.2.2投标文件未按照招标文件要求签署、盖章的；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4.2.4投标文件含有采购人不能接受的附加条件的；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4.2.5投标文件中承诺的投标有效期少于招标文件中载明的投标有效期的；</w:t>
      </w:r>
    </w:p>
    <w:p>
      <w:pPr>
        <w:snapToGrid w:val="0"/>
        <w:spacing w:line="288" w:lineRule="auto"/>
        <w:ind w:firstLine="424" w:firstLineChars="202"/>
        <w:jc w:val="left"/>
        <w:rPr>
          <w:rFonts w:ascii="宋体" w:hAnsi="宋体" w:cs="宋体"/>
          <w:kern w:val="0"/>
          <w:szCs w:val="21"/>
          <w:highlight w:val="none"/>
        </w:rPr>
      </w:pPr>
      <w:r>
        <w:rPr>
          <w:rFonts w:hint="eastAsia" w:ascii="宋体" w:hAnsi="宋体" w:cs="宋体"/>
          <w:kern w:val="0"/>
          <w:szCs w:val="21"/>
          <w:highlight w:val="none"/>
        </w:rPr>
        <w:t xml:space="preserve">   4.2.6投标文件出现不是唯一的、有选择性投标报价的;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4.2.7投标报价超过招标文件中规定的预算金额或者最高限价的;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4.2.9投标人对根据修正原则修正后的报价不确认的；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4.2.10投标人提供虚假材料投标的；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4.2.11投标人有恶意串通、妨碍其他投标人的竞争行为、损害采购人或者其他投标人的合法权益情形的；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4.2.12投标人仅提交备份投标文件，未在电子交易平台传输递交投标文件的，投标无效；</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4.2.13 投标文件不满足招标文件的其它实质性要求的；</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4.2.14法律、法规、规章（适用本市的）及省级以上规范性文件（适用本市的）规定的其他无效情形。</w:t>
      </w:r>
    </w:p>
    <w:p>
      <w:pPr>
        <w:pStyle w:val="3"/>
        <w:snapToGrid w:val="0"/>
        <w:spacing w:line="288" w:lineRule="auto"/>
        <w:ind w:firstLine="426" w:firstLineChars="202"/>
        <w:rPr>
          <w:rFonts w:cs="宋体"/>
          <w:sz w:val="21"/>
          <w:szCs w:val="21"/>
          <w:highlight w:val="none"/>
        </w:rPr>
      </w:pPr>
      <w:r>
        <w:rPr>
          <w:rFonts w:hint="eastAsia" w:cs="宋体"/>
          <w:b/>
          <w:sz w:val="21"/>
          <w:szCs w:val="21"/>
          <w:highlight w:val="none"/>
        </w:rPr>
        <w:t>5.废标。</w:t>
      </w:r>
      <w:r>
        <w:rPr>
          <w:rFonts w:hint="eastAsia" w:cs="宋体"/>
          <w:sz w:val="21"/>
          <w:szCs w:val="21"/>
          <w:highlight w:val="none"/>
        </w:rPr>
        <w:t>根据《中华人民共和国政府采购法》第三十六条之规定，在采购中，出现下列情形之一的，应予废标：</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5.1符合专业条件的供应商或者对招标文件作实质响应的供应商不足3家的；</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5.2出现影响采购公正的违法、违规行为的；</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5.3投标人的报价均超过了采购预算，采购人不能支付的；</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5.4因重大变故，采购任务取消的。</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废标后，采购代理机构应当将废标理由通知所有投标人。</w:t>
      </w:r>
    </w:p>
    <w:p>
      <w:pPr>
        <w:pStyle w:val="3"/>
        <w:snapToGrid w:val="0"/>
        <w:spacing w:line="288" w:lineRule="auto"/>
        <w:ind w:firstLine="426" w:firstLineChars="202"/>
        <w:rPr>
          <w:rFonts w:cs="宋体"/>
          <w:sz w:val="21"/>
          <w:szCs w:val="21"/>
          <w:highlight w:val="none"/>
        </w:rPr>
      </w:pPr>
      <w:r>
        <w:rPr>
          <w:rFonts w:hint="eastAsia" w:cs="宋体"/>
          <w:b/>
          <w:sz w:val="21"/>
          <w:szCs w:val="21"/>
          <w:highlight w:val="none"/>
        </w:rPr>
        <w:t>6.修改招标文件，重新组织采购活动。</w:t>
      </w:r>
      <w:r>
        <w:rPr>
          <w:rFonts w:hint="eastAsia" w:cs="宋体"/>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288" w:lineRule="auto"/>
        <w:ind w:firstLine="426" w:firstLineChars="202"/>
        <w:rPr>
          <w:rFonts w:cs="宋体"/>
          <w:sz w:val="21"/>
          <w:szCs w:val="21"/>
          <w:highlight w:val="none"/>
        </w:rPr>
      </w:pPr>
      <w:r>
        <w:rPr>
          <w:rFonts w:hint="eastAsia" w:cs="宋体"/>
          <w:b/>
          <w:kern w:val="0"/>
          <w:sz w:val="21"/>
          <w:szCs w:val="21"/>
          <w:highlight w:val="none"/>
        </w:rPr>
        <w:t>7.重新开展采购。</w:t>
      </w:r>
      <w:r>
        <w:rPr>
          <w:rFonts w:hint="eastAsia" w:cs="宋体"/>
          <w:sz w:val="21"/>
          <w:szCs w:val="21"/>
          <w:highlight w:val="none"/>
        </w:rPr>
        <w:t>有政府采购法第七十一条、第七十二条规定的违法行为之一，影响或者可能影响中标结果的，依照下列规定处理：</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7.1未确定中标供应商的，终止本次政府采购活动，重新开展政府采购活动。</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7.3政府采购合同已签订但尚未履行的，撤销合同，从合格的中标候选人中另行确定中标供应商；没有合格的中标候选人的，重新开展政府采购活动。</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7.4政府采购合同已经履行，给采购人、供应商造成损失的，由责任人承担赔偿责任。</w:t>
      </w:r>
    </w:p>
    <w:p>
      <w:pPr>
        <w:pStyle w:val="3"/>
        <w:snapToGrid w:val="0"/>
        <w:spacing w:line="288" w:lineRule="auto"/>
        <w:ind w:firstLine="424" w:firstLineChars="202"/>
        <w:rPr>
          <w:rFonts w:cs="宋体"/>
          <w:sz w:val="21"/>
          <w:szCs w:val="21"/>
          <w:highlight w:val="none"/>
        </w:rPr>
      </w:pPr>
      <w:r>
        <w:rPr>
          <w:rFonts w:hint="eastAsia" w:cs="宋体"/>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napToGrid w:val="0"/>
        <w:spacing w:line="288" w:lineRule="auto"/>
        <w:jc w:val="left"/>
        <w:rPr>
          <w:rFonts w:ascii="宋体" w:hAnsi="宋体" w:cs="宋体"/>
          <w:b/>
          <w:szCs w:val="21"/>
          <w:highlight w:val="none"/>
        </w:rPr>
      </w:pPr>
      <w:bookmarkStart w:id="402" w:name="第五部分"/>
      <w:bookmarkStart w:id="403" w:name="_Toc86217003"/>
      <w:r>
        <w:rPr>
          <w:rFonts w:ascii="宋体" w:hAnsi="宋体" w:cs="宋体"/>
          <w:b/>
          <w:szCs w:val="21"/>
          <w:highlight w:val="none"/>
        </w:rPr>
        <w:br w:type="page"/>
      </w:r>
    </w:p>
    <w:p>
      <w:pPr>
        <w:snapToGrid w:val="0"/>
        <w:spacing w:line="288" w:lineRule="auto"/>
        <w:jc w:val="center"/>
        <w:outlineLvl w:val="0"/>
        <w:rPr>
          <w:rFonts w:ascii="宋体" w:hAnsi="宋体" w:cs="宋体"/>
          <w:b/>
          <w:szCs w:val="21"/>
          <w:highlight w:val="none"/>
        </w:rPr>
      </w:pPr>
      <w:r>
        <w:rPr>
          <w:rFonts w:hint="eastAsia" w:ascii="宋体" w:hAnsi="宋体" w:cs="宋体"/>
          <w:b/>
          <w:szCs w:val="21"/>
          <w:highlight w:val="none"/>
        </w:rPr>
        <w:t>第五部分 拟签订的合同文本</w:t>
      </w:r>
    </w:p>
    <w:p>
      <w:pPr>
        <w:snapToGrid w:val="0"/>
        <w:spacing w:line="288" w:lineRule="auto"/>
        <w:rPr>
          <w:rFonts w:ascii="宋体" w:hAnsi="宋体" w:cs="宋体"/>
          <w:szCs w:val="21"/>
          <w:highlight w:val="none"/>
          <w:u w:val="single"/>
        </w:rPr>
      </w:pPr>
      <w:r>
        <w:rPr>
          <w:rFonts w:hint="eastAsia" w:ascii="宋体" w:hAnsi="宋体" w:cs="宋体"/>
          <w:szCs w:val="21"/>
          <w:highlight w:val="none"/>
        </w:rPr>
        <w:t>合同编号：</w:t>
      </w:r>
      <w:r>
        <w:rPr>
          <w:rFonts w:hint="eastAsia" w:ascii="宋体" w:hAnsi="宋体" w:cs="宋体"/>
          <w:szCs w:val="21"/>
          <w:highlight w:val="none"/>
          <w:u w:val="single"/>
        </w:rPr>
        <w:t xml:space="preserve">           </w:t>
      </w:r>
    </w:p>
    <w:p>
      <w:pPr>
        <w:snapToGrid w:val="0"/>
        <w:spacing w:line="288" w:lineRule="auto"/>
        <w:jc w:val="center"/>
        <w:rPr>
          <w:rFonts w:ascii="宋体" w:hAnsi="宋体" w:cs="宋体"/>
          <w:b/>
          <w:szCs w:val="21"/>
          <w:highlight w:val="none"/>
        </w:rPr>
      </w:pPr>
    </w:p>
    <w:p>
      <w:pPr>
        <w:snapToGrid w:val="0"/>
        <w:spacing w:line="288" w:lineRule="auto"/>
        <w:jc w:val="center"/>
        <w:rPr>
          <w:rFonts w:ascii="宋体" w:hAnsi="宋体" w:cs="宋体"/>
          <w:b/>
          <w:szCs w:val="21"/>
          <w:highlight w:val="none"/>
        </w:rPr>
      </w:pPr>
    </w:p>
    <w:p>
      <w:pPr>
        <w:snapToGrid w:val="0"/>
        <w:spacing w:line="288" w:lineRule="auto"/>
        <w:jc w:val="center"/>
        <w:rPr>
          <w:rFonts w:ascii="宋体" w:hAnsi="宋体" w:cs="宋体"/>
          <w:b/>
          <w:szCs w:val="21"/>
          <w:highlight w:val="none"/>
        </w:rPr>
      </w:pPr>
    </w:p>
    <w:p>
      <w:pPr>
        <w:snapToGrid w:val="0"/>
        <w:spacing w:line="288" w:lineRule="auto"/>
        <w:jc w:val="center"/>
        <w:outlineLvl w:val="1"/>
        <w:rPr>
          <w:rFonts w:ascii="宋体" w:hAnsi="宋体" w:cs="宋体"/>
          <w:b/>
          <w:szCs w:val="21"/>
          <w:highlight w:val="none"/>
        </w:rPr>
      </w:pPr>
      <w:r>
        <w:rPr>
          <w:rFonts w:hint="eastAsia" w:ascii="宋体" w:hAnsi="宋体" w:cs="宋体"/>
          <w:b/>
          <w:szCs w:val="21"/>
          <w:highlight w:val="none"/>
        </w:rPr>
        <w:t>政府采购合同参考范本</w:t>
      </w:r>
    </w:p>
    <w:p>
      <w:pPr>
        <w:snapToGrid w:val="0"/>
        <w:spacing w:line="288" w:lineRule="auto"/>
        <w:jc w:val="center"/>
        <w:rPr>
          <w:rFonts w:ascii="宋体" w:hAnsi="宋体" w:cs="宋体"/>
          <w:b/>
          <w:szCs w:val="21"/>
          <w:highlight w:val="none"/>
        </w:rPr>
      </w:pPr>
      <w:r>
        <w:rPr>
          <w:rFonts w:hint="eastAsia" w:ascii="宋体" w:hAnsi="宋体" w:cs="宋体"/>
          <w:b/>
          <w:szCs w:val="21"/>
          <w:highlight w:val="none"/>
        </w:rPr>
        <w:t>（服务类）</w:t>
      </w:r>
    </w:p>
    <w:p>
      <w:pPr>
        <w:snapToGrid w:val="0"/>
        <w:spacing w:line="288" w:lineRule="auto"/>
        <w:jc w:val="center"/>
        <w:outlineLvl w:val="1"/>
        <w:rPr>
          <w:rFonts w:ascii="宋体" w:hAnsi="宋体" w:cs="宋体"/>
          <w:b/>
          <w:szCs w:val="21"/>
          <w:highlight w:val="none"/>
        </w:rPr>
      </w:pPr>
      <w:r>
        <w:rPr>
          <w:rFonts w:hint="eastAsia" w:ascii="宋体" w:hAnsi="宋体" w:cs="宋体"/>
          <w:b/>
          <w:szCs w:val="21"/>
          <w:highlight w:val="none"/>
        </w:rPr>
        <w:t>第一部分 合同书</w:t>
      </w:r>
    </w:p>
    <w:p>
      <w:pPr>
        <w:snapToGrid w:val="0"/>
        <w:spacing w:line="288" w:lineRule="auto"/>
        <w:rPr>
          <w:rFonts w:ascii="宋体" w:hAnsi="宋体" w:cs="宋体"/>
          <w:szCs w:val="21"/>
          <w:highlight w:val="none"/>
        </w:rPr>
      </w:pPr>
    </w:p>
    <w:p>
      <w:pPr>
        <w:snapToGrid w:val="0"/>
        <w:spacing w:line="288" w:lineRule="auto"/>
        <w:rPr>
          <w:rFonts w:ascii="宋体" w:hAnsi="宋体" w:cs="宋体"/>
          <w:szCs w:val="21"/>
          <w:highlight w:val="none"/>
        </w:rPr>
      </w:pPr>
    </w:p>
    <w:p>
      <w:pPr>
        <w:snapToGrid w:val="0"/>
        <w:spacing w:line="288" w:lineRule="auto"/>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pStyle w:val="596"/>
        <w:adjustRightInd w:val="0"/>
        <w:snapToGrid w:val="0"/>
        <w:spacing w:line="288" w:lineRule="auto"/>
        <w:rPr>
          <w:rFonts w:ascii="宋体" w:hAnsi="宋体" w:eastAsia="宋体" w:cs="宋体"/>
          <w:sz w:val="21"/>
          <w:szCs w:val="21"/>
          <w:highlight w:val="none"/>
        </w:rPr>
      </w:pPr>
    </w:p>
    <w:p>
      <w:pPr>
        <w:pStyle w:val="596"/>
        <w:adjustRightInd w:val="0"/>
        <w:snapToGrid w:val="0"/>
        <w:spacing w:line="288" w:lineRule="auto"/>
        <w:rPr>
          <w:rFonts w:ascii="宋体" w:hAnsi="宋体" w:eastAsia="宋体" w:cs="宋体"/>
          <w:sz w:val="21"/>
          <w:szCs w:val="21"/>
          <w:highlight w:val="none"/>
        </w:rPr>
      </w:pPr>
    </w:p>
    <w:p>
      <w:pPr>
        <w:snapToGrid w:val="0"/>
        <w:spacing w:line="288" w:lineRule="auto"/>
        <w:rPr>
          <w:rFonts w:ascii="宋体" w:hAnsi="宋体" w:cs="宋体"/>
          <w:szCs w:val="21"/>
          <w:highlight w:val="none"/>
        </w:rPr>
      </w:pPr>
    </w:p>
    <w:p>
      <w:pPr>
        <w:snapToGrid w:val="0"/>
        <w:spacing w:line="288" w:lineRule="auto"/>
        <w:rPr>
          <w:rFonts w:ascii="宋体" w:hAnsi="宋体" w:cs="宋体"/>
          <w:szCs w:val="21"/>
          <w:highlight w:val="none"/>
          <w:u w:val="single"/>
        </w:rPr>
      </w:pPr>
      <w:r>
        <w:rPr>
          <w:rFonts w:hint="eastAsia" w:ascii="宋体" w:hAnsi="宋体" w:cs="宋体"/>
          <w:szCs w:val="21"/>
          <w:highlight w:val="none"/>
        </w:rPr>
        <w:t>甲方：</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rPr>
      </w:pPr>
    </w:p>
    <w:p>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pPr>
        <w:snapToGrid w:val="0"/>
        <w:spacing w:line="288" w:lineRule="auto"/>
        <w:rPr>
          <w:rFonts w:ascii="宋体" w:hAnsi="宋体" w:cs="宋体"/>
          <w:color w:val="auto"/>
          <w:szCs w:val="21"/>
          <w:highlight w:val="none"/>
        </w:rPr>
      </w:pPr>
    </w:p>
    <w:p>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签订地：</w:t>
      </w:r>
      <w:r>
        <w:rPr>
          <w:rFonts w:hint="eastAsia" w:ascii="宋体" w:hAnsi="宋体" w:cs="宋体"/>
          <w:color w:val="auto"/>
          <w:szCs w:val="21"/>
          <w:highlight w:val="none"/>
          <w:u w:val="single"/>
        </w:rPr>
        <w:t xml:space="preserve">                                     </w:t>
      </w:r>
    </w:p>
    <w:p>
      <w:pPr>
        <w:snapToGrid w:val="0"/>
        <w:spacing w:line="288" w:lineRule="auto"/>
        <w:rPr>
          <w:rFonts w:ascii="宋体" w:hAnsi="宋体" w:cs="宋体"/>
          <w:color w:val="auto"/>
          <w:szCs w:val="21"/>
          <w:highlight w:val="none"/>
        </w:rPr>
      </w:pPr>
    </w:p>
    <w:p>
      <w:pPr>
        <w:snapToGrid w:val="0"/>
        <w:spacing w:line="288" w:lineRule="auto"/>
        <w:rPr>
          <w:rFonts w:ascii="宋体" w:hAnsi="宋体" w:cs="宋体"/>
          <w:color w:val="auto"/>
          <w:szCs w:val="21"/>
          <w:highlight w:val="none"/>
          <w:u w:val="single"/>
        </w:rPr>
      </w:pPr>
      <w:r>
        <w:rPr>
          <w:rFonts w:hint="eastAsia" w:ascii="宋体" w:hAnsi="宋体" w:cs="宋体"/>
          <w:color w:val="auto"/>
          <w:szCs w:val="21"/>
          <w:highlight w:val="none"/>
        </w:rPr>
        <w:t>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288" w:lineRule="auto"/>
        <w:jc w:val="left"/>
        <w:rPr>
          <w:rFonts w:ascii="宋体" w:hAnsi="宋体" w:cs="宋体"/>
          <w:color w:val="auto"/>
          <w:kern w:val="0"/>
          <w:szCs w:val="21"/>
          <w:highlight w:val="none"/>
        </w:rPr>
      </w:pPr>
      <w:r>
        <w:rPr>
          <w:color w:val="auto"/>
          <w:highlight w:val="none"/>
        </w:rPr>
        <w:br w:type="page"/>
      </w:r>
      <w:r>
        <w:rPr>
          <w:rFonts w:ascii="宋体" w:hAnsi="宋体"/>
          <w:color w:val="auto"/>
          <w:szCs w:val="21"/>
          <w:highlight w:val="none"/>
          <w:u w:val="single"/>
          <w:lang w:val="zh-CN"/>
        </w:rPr>
        <w:t xml:space="preserve">        </w:t>
      </w:r>
      <w:r>
        <w:rPr>
          <w:rFonts w:hint="eastAsia" w:ascii="宋体" w:hAnsi="宋体"/>
          <w:color w:val="auto"/>
          <w:szCs w:val="21"/>
          <w:highlight w:val="none"/>
          <w:lang w:val="zh-CN"/>
        </w:rPr>
        <w:t>年</w:t>
      </w:r>
      <w:r>
        <w:rPr>
          <w:rFonts w:ascii="宋体" w:hAnsi="宋体"/>
          <w:color w:val="auto"/>
          <w:szCs w:val="21"/>
          <w:highlight w:val="none"/>
          <w:u w:val="single"/>
          <w:lang w:val="zh-CN"/>
        </w:rPr>
        <w:t xml:space="preserve">    </w:t>
      </w:r>
      <w:r>
        <w:rPr>
          <w:rFonts w:hint="eastAsia" w:ascii="宋体" w:hAnsi="宋体"/>
          <w:color w:val="auto"/>
          <w:szCs w:val="21"/>
          <w:highlight w:val="none"/>
          <w:lang w:val="zh-CN"/>
        </w:rPr>
        <w:t>月</w:t>
      </w:r>
      <w:r>
        <w:rPr>
          <w:rFonts w:ascii="宋体" w:hAnsi="宋体"/>
          <w:color w:val="auto"/>
          <w:szCs w:val="21"/>
          <w:highlight w:val="none"/>
          <w:u w:val="single"/>
          <w:lang w:val="zh-CN"/>
        </w:rPr>
        <w:t xml:space="preserve">    </w:t>
      </w:r>
      <w:r>
        <w:rPr>
          <w:rFonts w:hint="eastAsia" w:ascii="宋体" w:hAnsi="宋体"/>
          <w:color w:val="auto"/>
          <w:szCs w:val="21"/>
          <w:highlight w:val="none"/>
          <w:lang w:val="zh-CN"/>
        </w:rPr>
        <w:t>日</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s="宋体"/>
          <w:color w:val="auto"/>
          <w:szCs w:val="21"/>
          <w:highlight w:val="none"/>
          <w:u w:val="single"/>
          <w:lang w:eastAsia="zh-CN"/>
        </w:rPr>
        <w:t>杭州市钱塘区义蓬街道社区卫生服务中心（杭州市钱塘区义蓬街道妇女儿童健康服务站）</w:t>
      </w:r>
      <w:r>
        <w:rPr>
          <w:rFonts w:ascii="宋体" w:hAnsi="宋体"/>
          <w:color w:val="auto"/>
          <w:szCs w:val="21"/>
          <w:highlight w:val="none"/>
          <w:u w:val="single"/>
        </w:rPr>
        <w:t xml:space="preserve">   </w:t>
      </w:r>
      <w:r>
        <w:rPr>
          <w:rFonts w:hint="eastAsia" w:ascii="宋体" w:hAnsi="宋体"/>
          <w:color w:val="auto"/>
          <w:szCs w:val="21"/>
          <w:highlight w:val="none"/>
        </w:rPr>
        <w:t>以</w:t>
      </w:r>
      <w:r>
        <w:rPr>
          <w:rFonts w:ascii="宋体" w:hAnsi="宋体"/>
          <w:color w:val="auto"/>
          <w:szCs w:val="21"/>
          <w:highlight w:val="none"/>
          <w:u w:val="single"/>
        </w:rPr>
        <w:t xml:space="preserve">   （政府采购方式）  </w:t>
      </w:r>
      <w:r>
        <w:rPr>
          <w:rFonts w:hint="eastAsia" w:ascii="宋体" w:hAnsi="宋体"/>
          <w:color w:val="auto"/>
          <w:szCs w:val="21"/>
          <w:highlight w:val="none"/>
        </w:rPr>
        <w:t>对</w:t>
      </w:r>
      <w:r>
        <w:rPr>
          <w:rFonts w:ascii="宋体" w:hAnsi="宋体"/>
          <w:color w:val="auto"/>
          <w:szCs w:val="21"/>
          <w:highlight w:val="none"/>
          <w:u w:val="single"/>
        </w:rPr>
        <w:t xml:space="preserve">  </w:t>
      </w:r>
      <w:r>
        <w:rPr>
          <w:rFonts w:hint="eastAsia" w:ascii="宋体" w:hAnsi="宋体" w:cs="宋体"/>
          <w:color w:val="auto"/>
          <w:szCs w:val="21"/>
          <w:highlight w:val="none"/>
          <w:u w:val="single"/>
          <w:lang w:eastAsia="zh-CN"/>
        </w:rPr>
        <w:t>标识标牌及导视设施采购项目（文化设计采购项目）</w:t>
      </w:r>
      <w:r>
        <w:rPr>
          <w:rFonts w:hint="eastAsia" w:ascii="宋体" w:hAnsi="宋体" w:cs="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项目进行了采购。经</w:t>
      </w:r>
      <w:r>
        <w:rPr>
          <w:rFonts w:ascii="宋体" w:hAnsi="宋体"/>
          <w:color w:val="auto"/>
          <w:szCs w:val="21"/>
          <w:highlight w:val="none"/>
          <w:u w:val="single"/>
        </w:rPr>
        <w:t xml:space="preserve">   （相关评定主体名称）   </w:t>
      </w:r>
      <w:r>
        <w:rPr>
          <w:rFonts w:hint="eastAsia" w:ascii="宋体" w:hAnsi="宋体"/>
          <w:color w:val="auto"/>
          <w:szCs w:val="21"/>
          <w:highlight w:val="none"/>
        </w:rPr>
        <w:t>评定，</w:t>
      </w:r>
      <w:r>
        <w:rPr>
          <w:rFonts w:ascii="宋体" w:hAnsi="宋体"/>
          <w:color w:val="auto"/>
          <w:szCs w:val="21"/>
          <w:highlight w:val="none"/>
          <w:u w:val="single"/>
        </w:rPr>
        <w:t xml:space="preserve">   （中标</w:t>
      </w:r>
      <w:r>
        <w:rPr>
          <w:rFonts w:hint="eastAsia" w:ascii="宋体" w:hAnsi="宋体"/>
          <w:color w:val="auto"/>
          <w:szCs w:val="21"/>
          <w:highlight w:val="none"/>
          <w:u w:val="single"/>
        </w:rPr>
        <w:t>或者成交</w:t>
      </w:r>
      <w:r>
        <w:rPr>
          <w:rFonts w:ascii="宋体" w:hAnsi="宋体"/>
          <w:color w:val="auto"/>
          <w:szCs w:val="21"/>
          <w:highlight w:val="none"/>
          <w:u w:val="single"/>
        </w:rPr>
        <w:t xml:space="preserve">供应商名称） </w:t>
      </w:r>
      <w:r>
        <w:rPr>
          <w:rFonts w:hint="eastAsia" w:ascii="宋体" w:hAnsi="宋体"/>
          <w:color w:val="auto"/>
          <w:szCs w:val="21"/>
          <w:highlight w:val="none"/>
        </w:rPr>
        <w:t>为该项目</w:t>
      </w:r>
      <w:r>
        <w:rPr>
          <w:rFonts w:hint="eastAsia" w:ascii="宋体" w:hAnsi="宋体" w:cs="宋体"/>
          <w:color w:val="auto"/>
          <w:szCs w:val="21"/>
          <w:highlight w:val="none"/>
        </w:rPr>
        <w:t>中标或者成交供应商</w:t>
      </w:r>
      <w:r>
        <w:rPr>
          <w:rFonts w:hint="eastAsia" w:ascii="宋体" w:hAnsi="宋体"/>
          <w:color w:val="auto"/>
          <w:szCs w:val="21"/>
          <w:highlight w:val="none"/>
        </w:rPr>
        <w:t>。现于</w:t>
      </w:r>
      <w:r>
        <w:rPr>
          <w:rFonts w:hint="eastAsia" w:ascii="宋体" w:hAnsi="宋体" w:cs="宋体"/>
          <w:color w:val="auto"/>
          <w:szCs w:val="21"/>
          <w:highlight w:val="none"/>
        </w:rPr>
        <w:t>中标或者成交通知书</w:t>
      </w:r>
      <w:r>
        <w:rPr>
          <w:rFonts w:hint="eastAsia" w:ascii="宋体" w:hAnsi="宋体"/>
          <w:color w:val="auto"/>
          <w:szCs w:val="21"/>
          <w:highlight w:val="none"/>
        </w:rPr>
        <w:t>发出之日起10个工作日内，按照采购文件确定的事项签订本合同。</w:t>
      </w:r>
    </w:p>
    <w:p>
      <w:pPr>
        <w:snapToGrid w:val="0"/>
        <w:spacing w:line="288" w:lineRule="auto"/>
        <w:ind w:firstLine="424" w:firstLineChars="202"/>
        <w:rPr>
          <w:rFonts w:ascii="宋体" w:hAnsi="宋体"/>
          <w:color w:val="auto"/>
          <w:szCs w:val="21"/>
          <w:highlight w:val="none"/>
        </w:rPr>
      </w:pPr>
      <w:r>
        <w:rPr>
          <w:rFonts w:hint="eastAsia" w:ascii="宋体" w:hAnsi="宋体"/>
          <w:color w:val="auto"/>
          <w:szCs w:val="21"/>
          <w:highlight w:val="none"/>
          <w:lang w:val="zh-CN"/>
        </w:rPr>
        <w:t>根据《中华人民共和国民法典》《中华人民共和国政府采购法》等相关法律法规之规定，按照平等、自愿、公平和诚实信用的原则，经</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杭州市钱塘区义蓬街道社区卫生服务中心（杭州市钱塘区义蓬街道妇女儿童健康服务站）</w:t>
      </w:r>
      <w:r>
        <w:rPr>
          <w:rFonts w:ascii="宋体" w:hAnsi="宋体"/>
          <w:color w:val="auto"/>
          <w:szCs w:val="21"/>
          <w:highlight w:val="none"/>
          <w:u w:val="single"/>
        </w:rPr>
        <w:t xml:space="preserve">   </w:t>
      </w:r>
      <w:r>
        <w:rPr>
          <w:rFonts w:ascii="宋体" w:hAnsi="宋体"/>
          <w:color w:val="auto"/>
          <w:szCs w:val="21"/>
          <w:highlight w:val="none"/>
          <w:lang w:val="zh-CN"/>
        </w:rPr>
        <w:t>(以下简称：甲方)和</w:t>
      </w:r>
      <w:r>
        <w:rPr>
          <w:rFonts w:ascii="宋体" w:hAnsi="宋体"/>
          <w:color w:val="auto"/>
          <w:szCs w:val="21"/>
          <w:highlight w:val="none"/>
          <w:u w:val="single"/>
        </w:rPr>
        <w:t xml:space="preserve">   （中</w:t>
      </w:r>
      <w:r>
        <w:rPr>
          <w:rFonts w:hint="eastAsia" w:ascii="宋体" w:hAnsi="宋体"/>
          <w:color w:val="auto"/>
          <w:szCs w:val="21"/>
          <w:highlight w:val="none"/>
          <w:u w:val="single"/>
        </w:rPr>
        <w:t>或者成交</w:t>
      </w:r>
      <w:r>
        <w:rPr>
          <w:rFonts w:ascii="宋体" w:hAnsi="宋体"/>
          <w:color w:val="auto"/>
          <w:szCs w:val="21"/>
          <w:highlight w:val="none"/>
          <w:u w:val="single"/>
        </w:rPr>
        <w:t xml:space="preserve">标供应商名称）   </w:t>
      </w:r>
      <w:r>
        <w:rPr>
          <w:rFonts w:ascii="宋体" w:hAnsi="宋体"/>
          <w:color w:val="auto"/>
          <w:szCs w:val="21"/>
          <w:highlight w:val="none"/>
          <w:lang w:val="zh-CN"/>
        </w:rPr>
        <w:t>(以下简称：乙方)协商一致，约定以下合同</w:t>
      </w:r>
      <w:r>
        <w:rPr>
          <w:rFonts w:hint="eastAsia" w:ascii="宋体" w:hAnsi="宋体"/>
          <w:color w:val="auto"/>
          <w:szCs w:val="21"/>
          <w:highlight w:val="none"/>
        </w:rPr>
        <w:t>条款，以兹共同遵守、全面履行。</w:t>
      </w:r>
    </w:p>
    <w:p>
      <w:pPr>
        <w:snapToGrid w:val="0"/>
        <w:spacing w:line="288" w:lineRule="auto"/>
        <w:ind w:firstLine="426" w:firstLineChars="202"/>
        <w:rPr>
          <w:rFonts w:ascii="宋体" w:hAnsi="宋体"/>
          <w:color w:val="auto"/>
          <w:szCs w:val="21"/>
          <w:highlight w:val="none"/>
        </w:rPr>
      </w:pPr>
      <w:bookmarkStart w:id="404" w:name="_Toc20421"/>
      <w:bookmarkStart w:id="405" w:name="_Toc28855"/>
      <w:bookmarkStart w:id="406" w:name="_Toc22967"/>
      <w:bookmarkStart w:id="407" w:name="_Toc15367"/>
      <w:bookmarkStart w:id="408" w:name="_Toc19273"/>
      <w:r>
        <w:rPr>
          <w:rFonts w:ascii="宋体" w:hAnsi="宋体"/>
          <w:b/>
          <w:color w:val="auto"/>
          <w:szCs w:val="21"/>
          <w:highlight w:val="none"/>
        </w:rPr>
        <w:t xml:space="preserve">1.1 </w:t>
      </w:r>
      <w:r>
        <w:rPr>
          <w:rFonts w:hint="eastAsia" w:ascii="宋体" w:hAnsi="宋体"/>
          <w:b/>
          <w:color w:val="auto"/>
          <w:szCs w:val="21"/>
          <w:highlight w:val="none"/>
        </w:rPr>
        <w:t>合同组成部分</w:t>
      </w:r>
      <w:bookmarkEnd w:id="404"/>
      <w:bookmarkEnd w:id="405"/>
      <w:bookmarkEnd w:id="406"/>
      <w:bookmarkEnd w:id="407"/>
      <w:bookmarkEnd w:id="408"/>
    </w:p>
    <w:p>
      <w:pPr>
        <w:snapToGrid w:val="0"/>
        <w:spacing w:line="288" w:lineRule="auto"/>
        <w:ind w:firstLine="424" w:firstLineChars="202"/>
        <w:rPr>
          <w:rFonts w:ascii="宋体" w:hAnsi="宋体"/>
          <w:szCs w:val="21"/>
          <w:highlight w:val="none"/>
        </w:rPr>
      </w:pPr>
      <w:r>
        <w:rPr>
          <w:rFonts w:hint="eastAsia" w:ascii="宋体" w:hAnsi="宋体"/>
          <w:color w:val="auto"/>
          <w:szCs w:val="21"/>
          <w:highlight w:val="none"/>
        </w:rPr>
        <w:t>下列文件为本合同的组成部分，并构成一个</w:t>
      </w:r>
      <w:r>
        <w:rPr>
          <w:rFonts w:hint="eastAsia" w:ascii="宋体" w:hAnsi="宋体"/>
          <w:szCs w:val="21"/>
          <w:highlight w:val="none"/>
        </w:rPr>
        <w:t>整体，需综合解释、相互补充。如果下列文件内容出现不一致的情形，那么在保证按照采购文件确定的事项的前提下，组成本合同的多个文件的优先适用顺序如下：</w:t>
      </w:r>
    </w:p>
    <w:p>
      <w:pPr>
        <w:snapToGrid w:val="0"/>
        <w:spacing w:line="288" w:lineRule="auto"/>
        <w:ind w:firstLine="424" w:firstLineChars="202"/>
        <w:rPr>
          <w:rFonts w:ascii="宋体" w:hAnsi="宋体"/>
          <w:szCs w:val="21"/>
          <w:highlight w:val="none"/>
        </w:rPr>
      </w:pPr>
      <w:r>
        <w:rPr>
          <w:rFonts w:ascii="宋体" w:hAnsi="宋体"/>
          <w:szCs w:val="21"/>
          <w:highlight w:val="none"/>
        </w:rPr>
        <w:t xml:space="preserve">1.1.1 </w:t>
      </w:r>
      <w:r>
        <w:rPr>
          <w:rFonts w:hint="eastAsia" w:ascii="宋体" w:hAnsi="宋体"/>
          <w:szCs w:val="21"/>
          <w:highlight w:val="none"/>
        </w:rPr>
        <w:t>本合同及其补充合同、变更协议；</w:t>
      </w:r>
    </w:p>
    <w:p>
      <w:pPr>
        <w:snapToGrid w:val="0"/>
        <w:spacing w:line="288" w:lineRule="auto"/>
        <w:ind w:firstLine="424" w:firstLineChars="202"/>
        <w:rPr>
          <w:rFonts w:ascii="宋体" w:hAnsi="宋体"/>
          <w:szCs w:val="21"/>
          <w:highlight w:val="none"/>
        </w:rPr>
      </w:pPr>
      <w:r>
        <w:rPr>
          <w:rFonts w:ascii="宋体" w:hAnsi="宋体"/>
          <w:szCs w:val="21"/>
          <w:highlight w:val="none"/>
        </w:rPr>
        <w:t xml:space="preserve">1.1.2 </w:t>
      </w:r>
      <w:r>
        <w:rPr>
          <w:rFonts w:hint="eastAsia" w:ascii="宋体" w:hAnsi="宋体"/>
          <w:szCs w:val="21"/>
          <w:highlight w:val="none"/>
        </w:rPr>
        <w:t>中标或者成交通知书；</w:t>
      </w:r>
    </w:p>
    <w:p>
      <w:pPr>
        <w:snapToGrid w:val="0"/>
        <w:spacing w:line="288" w:lineRule="auto"/>
        <w:ind w:firstLine="424" w:firstLineChars="202"/>
        <w:rPr>
          <w:rFonts w:ascii="宋体" w:hAnsi="宋体"/>
          <w:szCs w:val="21"/>
          <w:highlight w:val="none"/>
        </w:rPr>
      </w:pPr>
      <w:r>
        <w:rPr>
          <w:rFonts w:ascii="宋体" w:hAnsi="宋体"/>
          <w:szCs w:val="21"/>
          <w:highlight w:val="none"/>
        </w:rPr>
        <w:t xml:space="preserve">1.1.3 </w:t>
      </w:r>
      <w:r>
        <w:rPr>
          <w:rFonts w:hint="eastAsia" w:ascii="宋体" w:hAnsi="宋体"/>
          <w:szCs w:val="21"/>
          <w:highlight w:val="none"/>
        </w:rPr>
        <w:t>投标或者响应文件（含澄清或者说明文件）；</w:t>
      </w:r>
    </w:p>
    <w:p>
      <w:pPr>
        <w:snapToGrid w:val="0"/>
        <w:spacing w:line="288" w:lineRule="auto"/>
        <w:ind w:firstLine="424" w:firstLineChars="202"/>
        <w:rPr>
          <w:rFonts w:ascii="宋体" w:hAnsi="宋体"/>
          <w:szCs w:val="21"/>
          <w:highlight w:val="none"/>
        </w:rPr>
      </w:pPr>
      <w:r>
        <w:rPr>
          <w:rFonts w:ascii="宋体" w:hAnsi="宋体"/>
          <w:szCs w:val="21"/>
          <w:highlight w:val="none"/>
        </w:rPr>
        <w:t xml:space="preserve">1.1.4 </w:t>
      </w:r>
      <w:r>
        <w:rPr>
          <w:rFonts w:hint="eastAsia" w:ascii="宋体" w:hAnsi="宋体"/>
          <w:szCs w:val="21"/>
          <w:highlight w:val="none"/>
        </w:rPr>
        <w:t>采购文件（含澄清或者修改文件）；</w:t>
      </w:r>
    </w:p>
    <w:p>
      <w:pPr>
        <w:snapToGrid w:val="0"/>
        <w:spacing w:line="288" w:lineRule="auto"/>
        <w:ind w:firstLine="424" w:firstLineChars="202"/>
        <w:rPr>
          <w:rFonts w:ascii="宋体" w:hAnsi="宋体"/>
          <w:szCs w:val="21"/>
          <w:highlight w:val="none"/>
        </w:rPr>
      </w:pPr>
      <w:r>
        <w:rPr>
          <w:rFonts w:ascii="宋体" w:hAnsi="宋体"/>
          <w:szCs w:val="21"/>
          <w:highlight w:val="none"/>
        </w:rPr>
        <w:t xml:space="preserve">1.1.5 </w:t>
      </w:r>
      <w:r>
        <w:rPr>
          <w:rFonts w:hint="eastAsia" w:ascii="宋体" w:hAnsi="宋体"/>
          <w:szCs w:val="21"/>
          <w:highlight w:val="none"/>
        </w:rPr>
        <w:t>其他相关采购文件。</w:t>
      </w:r>
    </w:p>
    <w:p>
      <w:pPr>
        <w:snapToGrid w:val="0"/>
        <w:spacing w:line="288" w:lineRule="auto"/>
        <w:ind w:firstLine="426" w:firstLineChars="202"/>
        <w:rPr>
          <w:rFonts w:ascii="宋体" w:hAnsi="宋体"/>
          <w:b/>
          <w:szCs w:val="21"/>
          <w:highlight w:val="none"/>
        </w:rPr>
      </w:pPr>
      <w:bookmarkStart w:id="409" w:name="_Toc6311"/>
      <w:bookmarkStart w:id="410" w:name="_Toc18585"/>
      <w:bookmarkStart w:id="411" w:name="_Toc22185"/>
      <w:bookmarkStart w:id="412" w:name="_Toc2918"/>
      <w:bookmarkStart w:id="413" w:name="_Toc6773"/>
      <w:r>
        <w:rPr>
          <w:rFonts w:ascii="宋体" w:hAnsi="宋体"/>
          <w:b/>
          <w:szCs w:val="21"/>
          <w:highlight w:val="none"/>
        </w:rPr>
        <w:t xml:space="preserve">1.2 </w:t>
      </w:r>
      <w:r>
        <w:rPr>
          <w:rFonts w:hint="eastAsia" w:ascii="宋体" w:hAnsi="宋体"/>
          <w:b/>
          <w:szCs w:val="21"/>
          <w:highlight w:val="none"/>
        </w:rPr>
        <w:t>标的</w:t>
      </w:r>
      <w:bookmarkEnd w:id="409"/>
      <w:bookmarkEnd w:id="410"/>
      <w:bookmarkEnd w:id="411"/>
      <w:bookmarkEnd w:id="412"/>
      <w:bookmarkEnd w:id="413"/>
    </w:p>
    <w:p>
      <w:pPr>
        <w:snapToGrid w:val="0"/>
        <w:spacing w:line="288" w:lineRule="auto"/>
        <w:ind w:firstLine="424" w:firstLineChars="202"/>
        <w:rPr>
          <w:rFonts w:ascii="宋体" w:hAnsi="宋体"/>
          <w:szCs w:val="21"/>
          <w:highlight w:val="none"/>
          <w:u w:val="single"/>
        </w:rPr>
      </w:pPr>
      <w:r>
        <w:rPr>
          <w:rFonts w:ascii="宋体" w:hAnsi="宋体"/>
          <w:szCs w:val="21"/>
          <w:highlight w:val="none"/>
        </w:rPr>
        <w:t xml:space="preserve">1.2.1 </w:t>
      </w:r>
      <w:r>
        <w:rPr>
          <w:rFonts w:hint="eastAsia" w:ascii="宋体" w:hAnsi="宋体"/>
          <w:szCs w:val="21"/>
          <w:highlight w:val="none"/>
        </w:rPr>
        <w:t>服务内容</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w:t>
      </w:r>
    </w:p>
    <w:p>
      <w:pPr>
        <w:snapToGrid w:val="0"/>
        <w:spacing w:line="288" w:lineRule="auto"/>
        <w:ind w:firstLine="424" w:firstLineChars="202"/>
        <w:rPr>
          <w:rFonts w:ascii="宋体" w:hAnsi="宋体"/>
          <w:szCs w:val="21"/>
          <w:highlight w:val="none"/>
          <w:u w:val="single"/>
        </w:rPr>
      </w:pPr>
      <w:r>
        <w:rPr>
          <w:rFonts w:ascii="宋体" w:hAnsi="宋体"/>
          <w:szCs w:val="21"/>
          <w:highlight w:val="none"/>
        </w:rPr>
        <w:t xml:space="preserve">1.2.2 </w:t>
      </w:r>
      <w:r>
        <w:rPr>
          <w:rFonts w:hint="eastAsia" w:ascii="宋体" w:hAnsi="宋体"/>
          <w:szCs w:val="21"/>
          <w:highlight w:val="none"/>
        </w:rPr>
        <w:t>服务标准</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w:t>
      </w:r>
    </w:p>
    <w:p>
      <w:pPr>
        <w:snapToGrid w:val="0"/>
        <w:spacing w:line="288" w:lineRule="auto"/>
        <w:ind w:firstLine="424" w:firstLineChars="202"/>
        <w:rPr>
          <w:rFonts w:ascii="宋体" w:hAnsi="宋体"/>
          <w:szCs w:val="21"/>
          <w:highlight w:val="none"/>
          <w:u w:val="single"/>
        </w:rPr>
      </w:pPr>
      <w:r>
        <w:rPr>
          <w:rFonts w:ascii="宋体" w:hAnsi="宋体"/>
          <w:szCs w:val="21"/>
          <w:highlight w:val="none"/>
        </w:rPr>
        <w:t xml:space="preserve">1.2.3 </w:t>
      </w:r>
      <w:r>
        <w:rPr>
          <w:rFonts w:hint="eastAsia" w:ascii="宋体" w:hAnsi="宋体"/>
          <w:szCs w:val="21"/>
          <w:highlight w:val="none"/>
        </w:rPr>
        <w:t>技术保障：</w:t>
      </w:r>
      <w:r>
        <w:rPr>
          <w:rFonts w:ascii="宋体" w:hAnsi="宋体"/>
          <w:szCs w:val="21"/>
          <w:highlight w:val="none"/>
          <w:u w:val="single"/>
        </w:rPr>
        <w:t xml:space="preserve">　　　　　　　　　                      　      </w:t>
      </w:r>
      <w:r>
        <w:rPr>
          <w:rFonts w:hint="eastAsia" w:ascii="宋体" w:hAnsi="宋体"/>
          <w:szCs w:val="21"/>
          <w:highlight w:val="none"/>
          <w:u w:val="single"/>
        </w:rPr>
        <w:t>；</w:t>
      </w:r>
    </w:p>
    <w:p>
      <w:pPr>
        <w:snapToGrid w:val="0"/>
        <w:spacing w:line="288" w:lineRule="auto"/>
        <w:ind w:firstLine="424" w:firstLineChars="202"/>
        <w:jc w:val="left"/>
        <w:rPr>
          <w:rFonts w:ascii="宋体" w:hAnsi="宋体"/>
          <w:szCs w:val="21"/>
          <w:highlight w:val="none"/>
        </w:rPr>
      </w:pPr>
      <w:r>
        <w:rPr>
          <w:rFonts w:hint="eastAsia" w:ascii="宋体" w:hAnsi="宋体"/>
          <w:szCs w:val="21"/>
          <w:highlight w:val="none"/>
        </w:rPr>
        <w:t>1.2.4 服务人员组成：</w:t>
      </w:r>
      <w:r>
        <w:rPr>
          <w:rFonts w:ascii="宋体" w:hAnsi="宋体"/>
          <w:szCs w:val="21"/>
          <w:highlight w:val="none"/>
          <w:u w:val="single"/>
        </w:rPr>
        <w:t xml:space="preserve">　　             　      </w:t>
      </w:r>
      <w:r>
        <w:rPr>
          <w:rFonts w:hint="eastAsia" w:ascii="宋体" w:hAnsi="宋体"/>
          <w:szCs w:val="21"/>
          <w:highlight w:val="none"/>
        </w:rPr>
        <w:t>；</w:t>
      </w:r>
    </w:p>
    <w:p>
      <w:pPr>
        <w:pStyle w:val="957"/>
        <w:widowControl w:val="0"/>
        <w:adjustRightInd w:val="0"/>
        <w:snapToGrid w:val="0"/>
        <w:spacing w:before="0" w:beforeAutospacing="0" w:after="0" w:afterAutospacing="0" w:line="288" w:lineRule="auto"/>
        <w:ind w:firstLine="424" w:firstLineChars="202"/>
        <w:rPr>
          <w:sz w:val="21"/>
          <w:szCs w:val="21"/>
          <w:highlight w:val="none"/>
        </w:rPr>
      </w:pPr>
      <w:r>
        <w:rPr>
          <w:rFonts w:hint="eastAsia"/>
          <w:sz w:val="21"/>
          <w:szCs w:val="21"/>
          <w:highlight w:val="none"/>
        </w:rPr>
        <w:t>1.2.5合同</w:t>
      </w:r>
      <w:r>
        <w:rPr>
          <w:rFonts w:hint="eastAsia"/>
          <w:sz w:val="21"/>
          <w:szCs w:val="21"/>
          <w:highlight w:val="none"/>
          <w:u w:val="single"/>
        </w:rPr>
        <w:t xml:space="preserve">     </w:t>
      </w:r>
      <w:r>
        <w:rPr>
          <w:rFonts w:hint="eastAsia"/>
          <w:sz w:val="21"/>
          <w:szCs w:val="21"/>
          <w:highlight w:val="none"/>
        </w:rPr>
        <w:t>（是</w:t>
      </w:r>
      <w:r>
        <w:rPr>
          <w:rFonts w:hint="eastAsia" w:cs="仿宋"/>
          <w:sz w:val="21"/>
          <w:szCs w:val="21"/>
          <w:highlight w:val="none"/>
        </w:rPr>
        <w:t>/</w:t>
      </w:r>
      <w:r>
        <w:rPr>
          <w:rFonts w:hint="eastAsia"/>
          <w:sz w:val="21"/>
          <w:szCs w:val="21"/>
          <w:highlight w:val="none"/>
        </w:rPr>
        <w:t>否）涉及货物。若涉及货物的的，则：</w:t>
      </w:r>
    </w:p>
    <w:p>
      <w:pPr>
        <w:snapToGrid w:val="0"/>
        <w:spacing w:line="288" w:lineRule="auto"/>
        <w:ind w:firstLine="424" w:firstLineChars="202"/>
        <w:rPr>
          <w:rFonts w:ascii="宋体" w:hAnsi="宋体" w:cs="宋体"/>
          <w:szCs w:val="21"/>
          <w:highlight w:val="none"/>
          <w:u w:val="single"/>
        </w:rPr>
      </w:pPr>
      <w:bookmarkStart w:id="414" w:name="_Toc1386"/>
      <w:bookmarkStart w:id="415" w:name="_Toc4929"/>
      <w:bookmarkStart w:id="416" w:name="_Toc13918"/>
      <w:bookmarkStart w:id="417" w:name="_Toc5635"/>
      <w:bookmarkStart w:id="418" w:name="_Toc21124"/>
      <w:r>
        <w:rPr>
          <w:rFonts w:hint="eastAsia" w:ascii="宋体" w:hAnsi="宋体" w:cs="宋体"/>
          <w:szCs w:val="21"/>
          <w:highlight w:val="none"/>
        </w:rPr>
        <w:t>1.2.5.1 货物名称、品牌、规格型号、花色：</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4" w:firstLineChars="202"/>
        <w:rPr>
          <w:rFonts w:ascii="宋体" w:hAnsi="宋体" w:cs="宋体"/>
          <w:szCs w:val="21"/>
          <w:highlight w:val="none"/>
          <w:u w:val="single"/>
        </w:rPr>
      </w:pPr>
      <w:r>
        <w:rPr>
          <w:rFonts w:hint="eastAsia" w:ascii="宋体" w:hAnsi="宋体" w:cs="宋体"/>
          <w:szCs w:val="21"/>
          <w:highlight w:val="none"/>
        </w:rPr>
        <w:t>1.2.5.2 货物数量：</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4" w:firstLineChars="202"/>
        <w:rPr>
          <w:rFonts w:ascii="宋体" w:hAnsi="宋体" w:cs="宋体"/>
          <w:szCs w:val="21"/>
          <w:highlight w:val="none"/>
          <w:u w:val="single"/>
        </w:rPr>
      </w:pPr>
      <w:r>
        <w:rPr>
          <w:rFonts w:hint="eastAsia" w:ascii="宋体" w:hAnsi="宋体" w:cs="宋体"/>
          <w:szCs w:val="21"/>
          <w:highlight w:val="none"/>
        </w:rPr>
        <w:t>1.2.5.3 货物质量：</w:t>
      </w:r>
      <w:r>
        <w:rPr>
          <w:rFonts w:hint="eastAsia" w:ascii="宋体" w:hAnsi="宋体" w:cs="宋体"/>
          <w:szCs w:val="21"/>
          <w:highlight w:val="none"/>
          <w:u w:val="single"/>
        </w:rPr>
        <w:t xml:space="preserve">　　　　　　　　　                      　 </w:t>
      </w:r>
      <w:r>
        <w:rPr>
          <w:rFonts w:hint="eastAsia" w:ascii="宋体" w:hAnsi="宋体" w:cs="宋体"/>
          <w:szCs w:val="21"/>
          <w:highlight w:val="none"/>
        </w:rPr>
        <w:t>；</w:t>
      </w:r>
    </w:p>
    <w:p>
      <w:pPr>
        <w:snapToGrid w:val="0"/>
        <w:spacing w:line="288" w:lineRule="auto"/>
        <w:ind w:firstLine="426" w:firstLineChars="202"/>
        <w:rPr>
          <w:rFonts w:ascii="宋体" w:hAnsi="宋体"/>
          <w:b/>
          <w:szCs w:val="21"/>
          <w:highlight w:val="none"/>
        </w:rPr>
      </w:pPr>
      <w:r>
        <w:rPr>
          <w:rFonts w:ascii="宋体" w:hAnsi="宋体"/>
          <w:b/>
          <w:szCs w:val="21"/>
          <w:highlight w:val="none"/>
        </w:rPr>
        <w:t>1.3 价款</w:t>
      </w:r>
      <w:bookmarkEnd w:id="414"/>
      <w:bookmarkEnd w:id="415"/>
      <w:bookmarkEnd w:id="416"/>
      <w:bookmarkEnd w:id="417"/>
      <w:bookmarkEnd w:id="418"/>
    </w:p>
    <w:p>
      <w:pPr>
        <w:snapToGrid w:val="0"/>
        <w:spacing w:line="288" w:lineRule="auto"/>
        <w:ind w:firstLine="424" w:firstLineChars="202"/>
        <w:rPr>
          <w:rFonts w:ascii="宋体" w:hAnsi="宋体"/>
          <w:szCs w:val="21"/>
          <w:highlight w:val="none"/>
        </w:rPr>
      </w:pPr>
      <w:r>
        <w:rPr>
          <w:rFonts w:hint="eastAsia" w:ascii="宋体" w:hAnsi="宋体" w:cs="宋体"/>
          <w:szCs w:val="21"/>
          <w:highlight w:val="none"/>
        </w:rPr>
        <w:t>本项目采用以下第</w:t>
      </w:r>
      <w:r>
        <w:rPr>
          <w:rFonts w:hint="eastAsia" w:ascii="宋体" w:hAnsi="宋体" w:cs="宋体"/>
          <w:szCs w:val="21"/>
          <w:highlight w:val="none"/>
          <w:u w:val="single"/>
        </w:rPr>
        <w:t xml:space="preserve">     </w:t>
      </w:r>
      <w:r>
        <w:rPr>
          <w:rFonts w:hint="eastAsia" w:ascii="宋体" w:hAnsi="宋体" w:cs="宋体"/>
          <w:szCs w:val="21"/>
          <w:highlight w:val="none"/>
        </w:rPr>
        <w:t>条款规定的计价方式计价。</w:t>
      </w:r>
    </w:p>
    <w:p>
      <w:pPr>
        <w:snapToGrid w:val="0"/>
        <w:spacing w:line="288" w:lineRule="auto"/>
        <w:ind w:firstLine="424" w:firstLineChars="202"/>
        <w:rPr>
          <w:rFonts w:ascii="宋体" w:hAnsi="宋体"/>
          <w:szCs w:val="21"/>
          <w:highlight w:val="none"/>
        </w:rPr>
      </w:pPr>
      <w:r>
        <w:rPr>
          <w:rFonts w:hint="eastAsia" w:ascii="宋体" w:hAnsi="宋体"/>
          <w:szCs w:val="21"/>
          <w:highlight w:val="none"/>
        </w:rPr>
        <w:t>1.3.1总价合同，</w:t>
      </w:r>
      <w:r>
        <w:rPr>
          <w:rFonts w:ascii="宋体" w:hAnsi="宋体"/>
          <w:szCs w:val="21"/>
          <w:highlight w:val="none"/>
        </w:rPr>
        <w:t>本合同总价</w:t>
      </w:r>
      <w:r>
        <w:rPr>
          <w:rFonts w:hint="eastAsia" w:ascii="宋体" w:hAnsi="宋体"/>
          <w:szCs w:val="21"/>
          <w:highlight w:val="none"/>
        </w:rPr>
        <w:t>（含税）</w:t>
      </w:r>
      <w:r>
        <w:rPr>
          <w:rFonts w:ascii="宋体" w:hAnsi="宋体"/>
          <w:szCs w:val="21"/>
          <w:highlight w:val="none"/>
        </w:rPr>
        <w:t>为</w:t>
      </w:r>
      <w:r>
        <w:rPr>
          <w:rFonts w:hint="eastAsia"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（大写：</w:t>
      </w:r>
      <w:r>
        <w:rPr>
          <w:rFonts w:ascii="宋体" w:hAnsi="宋体"/>
          <w:szCs w:val="21"/>
          <w:highlight w:val="none"/>
          <w:u w:val="single"/>
        </w:rPr>
        <w:t xml:space="preserve">                 </w:t>
      </w:r>
      <w:r>
        <w:rPr>
          <w:rFonts w:hint="eastAsia" w:ascii="宋体" w:hAnsi="宋体"/>
          <w:szCs w:val="21"/>
          <w:highlight w:val="none"/>
        </w:rPr>
        <w:t>元人民币）</w:t>
      </w:r>
      <w:r>
        <w:rPr>
          <w:rFonts w:ascii="宋体" w:hAnsi="宋体"/>
          <w:szCs w:val="21"/>
          <w:highlight w:val="none"/>
        </w:rPr>
        <w:t>。</w:t>
      </w:r>
    </w:p>
    <w:p>
      <w:pPr>
        <w:snapToGrid w:val="0"/>
        <w:spacing w:line="288" w:lineRule="auto"/>
        <w:ind w:firstLine="424" w:firstLineChars="202"/>
        <w:rPr>
          <w:rFonts w:ascii="宋体" w:hAnsi="宋体"/>
          <w:szCs w:val="21"/>
          <w:highlight w:val="none"/>
          <w:u w:val="single"/>
        </w:rPr>
      </w:pPr>
      <w:r>
        <w:rPr>
          <w:rFonts w:ascii="宋体" w:hAnsi="宋体"/>
          <w:szCs w:val="21"/>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adjustRightInd w:val="0"/>
              <w:snapToGrid w:val="0"/>
              <w:spacing w:line="288" w:lineRule="auto"/>
              <w:jc w:val="center"/>
              <w:rPr>
                <w:rFonts w:hAnsi="宋体"/>
                <w:sz w:val="21"/>
                <w:szCs w:val="21"/>
                <w:highlight w:val="none"/>
              </w:rPr>
            </w:pPr>
            <w:r>
              <w:rPr>
                <w:rFonts w:hAnsi="宋体"/>
                <w:sz w:val="21"/>
                <w:szCs w:val="21"/>
                <w:highlight w:val="none"/>
              </w:rPr>
              <w:t>序号</w:t>
            </w:r>
          </w:p>
        </w:tc>
        <w:tc>
          <w:tcPr>
            <w:tcW w:w="3402" w:type="dxa"/>
            <w:vAlign w:val="center"/>
          </w:tcPr>
          <w:p>
            <w:pPr>
              <w:pStyle w:val="317"/>
              <w:adjustRightInd w:val="0"/>
              <w:snapToGrid w:val="0"/>
              <w:spacing w:line="288" w:lineRule="auto"/>
              <w:jc w:val="center"/>
              <w:rPr>
                <w:rFonts w:hAnsi="宋体"/>
                <w:sz w:val="21"/>
                <w:szCs w:val="21"/>
                <w:highlight w:val="none"/>
              </w:rPr>
            </w:pPr>
            <w:r>
              <w:rPr>
                <w:rFonts w:hint="eastAsia" w:hAnsi="宋体"/>
                <w:sz w:val="21"/>
                <w:szCs w:val="21"/>
                <w:highlight w:val="none"/>
              </w:rPr>
              <w:t>分项名称</w:t>
            </w:r>
          </w:p>
        </w:tc>
        <w:tc>
          <w:tcPr>
            <w:tcW w:w="2552" w:type="dxa"/>
            <w:vAlign w:val="center"/>
          </w:tcPr>
          <w:p>
            <w:pPr>
              <w:pStyle w:val="317"/>
              <w:adjustRightInd w:val="0"/>
              <w:snapToGrid w:val="0"/>
              <w:spacing w:line="288" w:lineRule="auto"/>
              <w:jc w:val="center"/>
              <w:rPr>
                <w:rFonts w:hAnsi="宋体"/>
                <w:sz w:val="21"/>
                <w:szCs w:val="21"/>
                <w:highlight w:val="none"/>
              </w:rPr>
            </w:pPr>
            <w:r>
              <w:rPr>
                <w:rFonts w:hAnsi="宋体"/>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adjustRightInd w:val="0"/>
              <w:snapToGrid w:val="0"/>
              <w:spacing w:line="288" w:lineRule="auto"/>
              <w:jc w:val="center"/>
              <w:rPr>
                <w:rFonts w:hAnsi="宋体"/>
                <w:sz w:val="21"/>
                <w:szCs w:val="21"/>
                <w:highlight w:val="none"/>
              </w:rPr>
            </w:pPr>
          </w:p>
        </w:tc>
        <w:tc>
          <w:tcPr>
            <w:tcW w:w="3402" w:type="dxa"/>
            <w:vAlign w:val="center"/>
          </w:tcPr>
          <w:p>
            <w:pPr>
              <w:pStyle w:val="317"/>
              <w:adjustRightInd w:val="0"/>
              <w:snapToGrid w:val="0"/>
              <w:spacing w:line="288" w:lineRule="auto"/>
              <w:jc w:val="center"/>
              <w:rPr>
                <w:rFonts w:hAnsi="宋体"/>
                <w:sz w:val="21"/>
                <w:szCs w:val="21"/>
                <w:highlight w:val="none"/>
              </w:rPr>
            </w:pPr>
          </w:p>
        </w:tc>
        <w:tc>
          <w:tcPr>
            <w:tcW w:w="2552" w:type="dxa"/>
            <w:vAlign w:val="center"/>
          </w:tcPr>
          <w:p>
            <w:pPr>
              <w:pStyle w:val="317"/>
              <w:adjustRightInd w:val="0"/>
              <w:snapToGrid w:val="0"/>
              <w:spacing w:line="288" w:lineRule="auto"/>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adjustRightInd w:val="0"/>
              <w:snapToGrid w:val="0"/>
              <w:spacing w:line="288" w:lineRule="auto"/>
              <w:jc w:val="center"/>
              <w:rPr>
                <w:rFonts w:hAnsi="宋体"/>
                <w:sz w:val="21"/>
                <w:szCs w:val="21"/>
                <w:highlight w:val="none"/>
              </w:rPr>
            </w:pPr>
          </w:p>
        </w:tc>
        <w:tc>
          <w:tcPr>
            <w:tcW w:w="3402" w:type="dxa"/>
            <w:vAlign w:val="center"/>
          </w:tcPr>
          <w:p>
            <w:pPr>
              <w:pStyle w:val="317"/>
              <w:adjustRightInd w:val="0"/>
              <w:snapToGrid w:val="0"/>
              <w:spacing w:line="288" w:lineRule="auto"/>
              <w:jc w:val="center"/>
              <w:rPr>
                <w:rFonts w:hAnsi="宋体"/>
                <w:sz w:val="21"/>
                <w:szCs w:val="21"/>
                <w:highlight w:val="none"/>
              </w:rPr>
            </w:pPr>
          </w:p>
        </w:tc>
        <w:tc>
          <w:tcPr>
            <w:tcW w:w="2552" w:type="dxa"/>
            <w:vAlign w:val="center"/>
          </w:tcPr>
          <w:p>
            <w:pPr>
              <w:pStyle w:val="317"/>
              <w:adjustRightInd w:val="0"/>
              <w:snapToGrid w:val="0"/>
              <w:spacing w:line="288" w:lineRule="auto"/>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adjustRightInd w:val="0"/>
              <w:snapToGrid w:val="0"/>
              <w:spacing w:line="288" w:lineRule="auto"/>
              <w:jc w:val="center"/>
              <w:rPr>
                <w:rFonts w:hAnsi="宋体"/>
                <w:sz w:val="21"/>
                <w:szCs w:val="21"/>
                <w:highlight w:val="none"/>
              </w:rPr>
            </w:pPr>
          </w:p>
        </w:tc>
        <w:tc>
          <w:tcPr>
            <w:tcW w:w="3402" w:type="dxa"/>
            <w:vAlign w:val="center"/>
          </w:tcPr>
          <w:p>
            <w:pPr>
              <w:pStyle w:val="317"/>
              <w:adjustRightInd w:val="0"/>
              <w:snapToGrid w:val="0"/>
              <w:spacing w:line="288" w:lineRule="auto"/>
              <w:jc w:val="center"/>
              <w:rPr>
                <w:rFonts w:hAnsi="宋体"/>
                <w:sz w:val="21"/>
                <w:szCs w:val="21"/>
                <w:highlight w:val="none"/>
              </w:rPr>
            </w:pPr>
          </w:p>
        </w:tc>
        <w:tc>
          <w:tcPr>
            <w:tcW w:w="2552" w:type="dxa"/>
            <w:vAlign w:val="center"/>
          </w:tcPr>
          <w:p>
            <w:pPr>
              <w:pStyle w:val="317"/>
              <w:adjustRightInd w:val="0"/>
              <w:snapToGrid w:val="0"/>
              <w:spacing w:line="288" w:lineRule="auto"/>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adjustRightInd w:val="0"/>
              <w:snapToGrid w:val="0"/>
              <w:spacing w:line="288" w:lineRule="auto"/>
              <w:jc w:val="center"/>
              <w:rPr>
                <w:rFonts w:hAnsi="宋体"/>
                <w:sz w:val="21"/>
                <w:szCs w:val="21"/>
                <w:highlight w:val="none"/>
              </w:rPr>
            </w:pPr>
          </w:p>
        </w:tc>
        <w:tc>
          <w:tcPr>
            <w:tcW w:w="3402" w:type="dxa"/>
            <w:vAlign w:val="center"/>
          </w:tcPr>
          <w:p>
            <w:pPr>
              <w:pStyle w:val="317"/>
              <w:adjustRightInd w:val="0"/>
              <w:snapToGrid w:val="0"/>
              <w:spacing w:line="288" w:lineRule="auto"/>
              <w:jc w:val="center"/>
              <w:rPr>
                <w:rFonts w:hAnsi="宋体"/>
                <w:sz w:val="21"/>
                <w:szCs w:val="21"/>
                <w:highlight w:val="none"/>
              </w:rPr>
            </w:pPr>
          </w:p>
        </w:tc>
        <w:tc>
          <w:tcPr>
            <w:tcW w:w="2552" w:type="dxa"/>
            <w:vAlign w:val="center"/>
          </w:tcPr>
          <w:p>
            <w:pPr>
              <w:pStyle w:val="317"/>
              <w:adjustRightInd w:val="0"/>
              <w:snapToGrid w:val="0"/>
              <w:spacing w:line="288" w:lineRule="auto"/>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adjustRightInd w:val="0"/>
              <w:snapToGrid w:val="0"/>
              <w:spacing w:line="288" w:lineRule="auto"/>
              <w:jc w:val="center"/>
              <w:rPr>
                <w:rFonts w:hAnsi="宋体"/>
                <w:sz w:val="21"/>
                <w:szCs w:val="21"/>
                <w:highlight w:val="none"/>
              </w:rPr>
            </w:pPr>
            <w:r>
              <w:rPr>
                <w:rFonts w:hint="eastAsia" w:hAnsi="宋体"/>
                <w:sz w:val="21"/>
                <w:szCs w:val="21"/>
                <w:highlight w:val="none"/>
              </w:rPr>
              <w:t>总价</w:t>
            </w:r>
          </w:p>
        </w:tc>
        <w:tc>
          <w:tcPr>
            <w:tcW w:w="2552" w:type="dxa"/>
            <w:vAlign w:val="center"/>
          </w:tcPr>
          <w:p>
            <w:pPr>
              <w:pStyle w:val="317"/>
              <w:adjustRightInd w:val="0"/>
              <w:snapToGrid w:val="0"/>
              <w:spacing w:line="288" w:lineRule="auto"/>
              <w:jc w:val="center"/>
              <w:rPr>
                <w:rFonts w:hAnsi="宋体"/>
                <w:sz w:val="21"/>
                <w:szCs w:val="21"/>
                <w:highlight w:val="none"/>
              </w:rPr>
            </w:pPr>
          </w:p>
        </w:tc>
      </w:tr>
    </w:tbl>
    <w:p>
      <w:pPr>
        <w:snapToGrid w:val="0"/>
        <w:spacing w:line="288" w:lineRule="auto"/>
        <w:ind w:firstLine="424" w:firstLineChars="202"/>
        <w:rPr>
          <w:rFonts w:ascii="宋体" w:hAnsi="宋体"/>
          <w:szCs w:val="21"/>
          <w:highlight w:val="none"/>
        </w:rPr>
      </w:pPr>
      <w:bookmarkStart w:id="419" w:name="_Toc30158"/>
      <w:bookmarkStart w:id="420" w:name="_Toc3654"/>
      <w:bookmarkStart w:id="421" w:name="_Toc14993"/>
      <w:bookmarkStart w:id="422" w:name="_Toc26916"/>
      <w:bookmarkStart w:id="423" w:name="_Toc30506"/>
      <w:r>
        <w:rPr>
          <w:rFonts w:hint="eastAsia" w:ascii="宋体" w:hAnsi="宋体"/>
          <w:bCs/>
          <w:szCs w:val="21"/>
          <w:highlight w:val="none"/>
        </w:rPr>
        <w:t>1.3.2单价合同，本合同单价（含税）标准为：</w:t>
      </w:r>
      <w:r>
        <w:rPr>
          <w:rFonts w:hint="eastAsia" w:ascii="宋体" w:hAnsi="宋体"/>
          <w:bCs/>
          <w:szCs w:val="21"/>
          <w:highlight w:val="none"/>
          <w:u w:val="single"/>
        </w:rPr>
        <w:t xml:space="preserve">                   </w:t>
      </w:r>
      <w:r>
        <w:rPr>
          <w:rFonts w:ascii="宋体" w:hAnsi="宋体"/>
          <w:szCs w:val="21"/>
          <w:highlight w:val="none"/>
        </w:rPr>
        <w:t>。</w:t>
      </w:r>
      <w:r>
        <w:rPr>
          <w:rFonts w:hint="eastAsia" w:ascii="宋体" w:hAnsi="宋体"/>
          <w:szCs w:val="21"/>
          <w:highlight w:val="none"/>
        </w:rPr>
        <w:t>服务工作量的计量方式为：</w:t>
      </w:r>
      <w:r>
        <w:rPr>
          <w:rFonts w:hint="eastAsia" w:ascii="宋体" w:hAnsi="宋体"/>
          <w:bCs/>
          <w:szCs w:val="21"/>
          <w:highlight w:val="none"/>
          <w:u w:val="single"/>
        </w:rPr>
        <w:t xml:space="preserve">       </w:t>
      </w:r>
      <w:r>
        <w:rPr>
          <w:rFonts w:hint="eastAsia" w:ascii="宋体" w:hAnsi="宋体" w:cs="宋体"/>
          <w:b/>
          <w:i/>
          <w:szCs w:val="21"/>
          <w:highlight w:val="none"/>
          <w:u w:val="single"/>
        </w:rPr>
        <w:t>合同专用条款</w:t>
      </w:r>
      <w:r>
        <w:rPr>
          <w:rFonts w:hint="eastAsia" w:ascii="宋体" w:hAnsi="宋体"/>
          <w:bCs/>
          <w:szCs w:val="21"/>
          <w:highlight w:val="none"/>
          <w:u w:val="single"/>
        </w:rPr>
        <w:t xml:space="preserve">     </w:t>
      </w:r>
      <w:r>
        <w:rPr>
          <w:rFonts w:ascii="宋体" w:hAnsi="宋体"/>
          <w:szCs w:val="21"/>
          <w:highlight w:val="none"/>
        </w:rPr>
        <w:t>。</w:t>
      </w:r>
      <w:r>
        <w:rPr>
          <w:rFonts w:hint="eastAsia" w:ascii="宋体" w:hAnsi="宋体"/>
          <w:szCs w:val="21"/>
          <w:highlight w:val="none"/>
        </w:rPr>
        <w:t>单价合同，在合同履行期间内，根据实际完成的工作量据实结算，但结算总价上限不得超过预算金额或者双方确定的金额￥</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（大写：</w:t>
      </w:r>
      <w:r>
        <w:rPr>
          <w:rFonts w:ascii="宋体" w:hAnsi="宋体"/>
          <w:szCs w:val="21"/>
          <w:highlight w:val="none"/>
          <w:u w:val="single"/>
        </w:rPr>
        <w:t xml:space="preserve">                 </w:t>
      </w:r>
      <w:r>
        <w:rPr>
          <w:rFonts w:hint="eastAsia" w:ascii="宋体" w:hAnsi="宋体"/>
          <w:szCs w:val="21"/>
          <w:highlight w:val="none"/>
        </w:rPr>
        <w:t>元人民币）。</w:t>
      </w:r>
    </w:p>
    <w:p>
      <w:pPr>
        <w:pStyle w:val="957"/>
        <w:widowControl w:val="0"/>
        <w:adjustRightInd w:val="0"/>
        <w:snapToGrid w:val="0"/>
        <w:spacing w:before="0" w:beforeAutospacing="0" w:after="0" w:afterAutospacing="0" w:line="288" w:lineRule="auto"/>
        <w:ind w:firstLine="424" w:firstLineChars="202"/>
        <w:rPr>
          <w:sz w:val="21"/>
          <w:szCs w:val="21"/>
          <w:highlight w:val="none"/>
        </w:rPr>
      </w:pPr>
      <w:r>
        <w:rPr>
          <w:rFonts w:hint="eastAsia"/>
          <w:sz w:val="21"/>
          <w:szCs w:val="21"/>
          <w:highlight w:val="none"/>
        </w:rPr>
        <w:t>1.3.3其他计价方式：</w:t>
      </w:r>
      <w:r>
        <w:rPr>
          <w:rFonts w:hint="eastAsia"/>
          <w:sz w:val="21"/>
          <w:szCs w:val="21"/>
          <w:highlight w:val="none"/>
          <w:u w:val="single"/>
        </w:rPr>
        <w:t xml:space="preserve">                   </w:t>
      </w:r>
      <w:r>
        <w:rPr>
          <w:rFonts w:hint="eastAsia"/>
          <w:sz w:val="21"/>
          <w:szCs w:val="21"/>
          <w:highlight w:val="none"/>
        </w:rPr>
        <w:t>。</w:t>
      </w:r>
    </w:p>
    <w:bookmarkEnd w:id="419"/>
    <w:bookmarkEnd w:id="420"/>
    <w:bookmarkEnd w:id="421"/>
    <w:bookmarkEnd w:id="422"/>
    <w:bookmarkEnd w:id="423"/>
    <w:p>
      <w:pPr>
        <w:pStyle w:val="957"/>
        <w:widowControl w:val="0"/>
        <w:adjustRightInd w:val="0"/>
        <w:snapToGrid w:val="0"/>
        <w:spacing w:before="0" w:beforeAutospacing="0" w:after="0" w:afterAutospacing="0" w:line="288" w:lineRule="auto"/>
        <w:ind w:firstLine="426" w:firstLineChars="202"/>
        <w:rPr>
          <w:b/>
          <w:sz w:val="21"/>
          <w:szCs w:val="21"/>
          <w:highlight w:val="none"/>
        </w:rPr>
      </w:pPr>
      <w:bookmarkStart w:id="424" w:name="_Toc1814"/>
      <w:bookmarkStart w:id="425" w:name="_Toc22618"/>
      <w:bookmarkStart w:id="426" w:name="_Toc10340"/>
      <w:bookmarkStart w:id="427" w:name="_Toc8772"/>
      <w:bookmarkStart w:id="428" w:name="_Toc31421"/>
      <w:bookmarkStart w:id="429" w:name="_Toc3625"/>
      <w:bookmarkStart w:id="430" w:name="_Toc4760"/>
      <w:bookmarkStart w:id="431" w:name="_Toc11108"/>
      <w:r>
        <w:rPr>
          <w:rFonts w:hint="eastAsia"/>
          <w:b/>
          <w:sz w:val="21"/>
          <w:szCs w:val="21"/>
          <w:highlight w:val="none"/>
        </w:rPr>
        <w:t>1.4履约保证金</w:t>
      </w:r>
    </w:p>
    <w:p>
      <w:pPr>
        <w:pStyle w:val="957"/>
        <w:widowControl w:val="0"/>
        <w:adjustRightInd w:val="0"/>
        <w:snapToGrid w:val="0"/>
        <w:spacing w:before="0" w:beforeAutospacing="0" w:after="0" w:afterAutospacing="0" w:line="288" w:lineRule="auto"/>
        <w:ind w:firstLine="424" w:firstLineChars="202"/>
        <w:rPr>
          <w:sz w:val="21"/>
          <w:szCs w:val="21"/>
          <w:highlight w:val="none"/>
        </w:rPr>
      </w:pPr>
      <w:r>
        <w:rPr>
          <w:rFonts w:hint="eastAsia"/>
          <w:sz w:val="21"/>
          <w:szCs w:val="21"/>
          <w:highlight w:val="none"/>
        </w:rPr>
        <w:t>乙方</w:t>
      </w:r>
      <w:r>
        <w:rPr>
          <w:rFonts w:hint="eastAsia"/>
          <w:sz w:val="21"/>
          <w:szCs w:val="21"/>
          <w:highlight w:val="none"/>
          <w:u w:val="single"/>
        </w:rPr>
        <w:t xml:space="preserve">     </w:t>
      </w:r>
      <w:r>
        <w:rPr>
          <w:rFonts w:hint="eastAsia"/>
          <w:sz w:val="21"/>
          <w:szCs w:val="21"/>
          <w:highlight w:val="none"/>
        </w:rPr>
        <w:t>（是</w:t>
      </w:r>
      <w:r>
        <w:rPr>
          <w:rFonts w:hint="eastAsia" w:cs="仿宋"/>
          <w:sz w:val="21"/>
          <w:szCs w:val="21"/>
          <w:highlight w:val="none"/>
        </w:rPr>
        <w:t>/</w:t>
      </w:r>
      <w:r>
        <w:rPr>
          <w:rFonts w:hint="eastAsia"/>
          <w:sz w:val="21"/>
          <w:szCs w:val="21"/>
          <w:highlight w:val="none"/>
        </w:rPr>
        <w:t>否）需要支付履约保证金。若需要支付履约保证金的，则：</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1.4.1履约保证金的比例为合同金额的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1.4.2履约保证金支付方式详见</w:t>
      </w:r>
      <w:r>
        <w:rPr>
          <w:rFonts w:hint="eastAsia" w:ascii="宋体" w:hAnsi="宋体" w:cs="宋体"/>
          <w:kern w:val="0"/>
          <w:szCs w:val="21"/>
          <w:highlight w:val="none"/>
          <w:u w:val="single"/>
        </w:rPr>
        <w:t xml:space="preserve">    </w:t>
      </w:r>
      <w:r>
        <w:rPr>
          <w:rFonts w:hint="eastAsia" w:ascii="宋体" w:hAnsi="宋体" w:cs="宋体"/>
          <w:b/>
          <w:i/>
          <w:szCs w:val="21"/>
          <w:highlight w:val="none"/>
          <w:u w:val="single"/>
        </w:rPr>
        <w:t>合同专用条款</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1.4.4甲方在项目验收结束后及时退还履约保证金。甲方在项目通过验收之日起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Cs w:val="21"/>
          <w:highlight w:val="none"/>
          <w:u w:val="single"/>
        </w:rPr>
        <w:t xml:space="preserve">  0.05（可根据情况修改）  </w:t>
      </w:r>
      <w:r>
        <w:rPr>
          <w:rFonts w:hint="eastAsia" w:ascii="宋体" w:hAnsi="宋体" w:cs="宋体"/>
          <w:kern w:val="0"/>
          <w:szCs w:val="21"/>
          <w:highlight w:val="none"/>
        </w:rPr>
        <w:t>%计算，最高限额为本合同履约保证金的</w:t>
      </w:r>
      <w:r>
        <w:rPr>
          <w:rFonts w:hint="eastAsia" w:ascii="宋体" w:hAnsi="宋体" w:cs="宋体"/>
          <w:kern w:val="0"/>
          <w:szCs w:val="21"/>
          <w:highlight w:val="none"/>
          <w:u w:val="single"/>
        </w:rPr>
        <w:t xml:space="preserve">  20  </w:t>
      </w:r>
      <w:r>
        <w:rPr>
          <w:rFonts w:hint="eastAsia" w:ascii="宋体" w:hAnsi="宋体" w:cs="宋体"/>
          <w:kern w:val="0"/>
          <w:szCs w:val="21"/>
          <w:highlight w:val="none"/>
        </w:rPr>
        <w:t xml:space="preserve"> %。</w:t>
      </w:r>
    </w:p>
    <w:p>
      <w:pPr>
        <w:snapToGrid w:val="0"/>
        <w:spacing w:line="288" w:lineRule="auto"/>
        <w:ind w:firstLine="426" w:firstLineChars="202"/>
        <w:rPr>
          <w:rFonts w:ascii="宋体" w:hAnsi="宋体" w:cs="宋体"/>
          <w:b/>
          <w:szCs w:val="21"/>
          <w:highlight w:val="none"/>
        </w:rPr>
      </w:pPr>
      <w:r>
        <w:rPr>
          <w:rFonts w:hint="eastAsia" w:ascii="宋体" w:hAnsi="宋体" w:cs="宋体"/>
          <w:b/>
          <w:szCs w:val="21"/>
          <w:highlight w:val="none"/>
        </w:rPr>
        <w:t>1.5</w:t>
      </w:r>
      <w:bookmarkEnd w:id="424"/>
      <w:bookmarkEnd w:id="425"/>
      <w:bookmarkEnd w:id="426"/>
      <w:r>
        <w:rPr>
          <w:rFonts w:hint="eastAsia" w:ascii="宋体" w:hAnsi="宋体" w:cs="宋体"/>
          <w:b/>
          <w:szCs w:val="21"/>
          <w:highlight w:val="none"/>
        </w:rPr>
        <w:t>预付款</w:t>
      </w:r>
    </w:p>
    <w:p>
      <w:pPr>
        <w:pStyle w:val="957"/>
        <w:widowControl w:val="0"/>
        <w:adjustRightInd w:val="0"/>
        <w:snapToGrid w:val="0"/>
        <w:spacing w:before="0" w:beforeAutospacing="0" w:after="0" w:afterAutospacing="0" w:line="288" w:lineRule="auto"/>
        <w:ind w:firstLine="424" w:firstLineChars="202"/>
        <w:rPr>
          <w:sz w:val="21"/>
          <w:szCs w:val="21"/>
          <w:highlight w:val="none"/>
        </w:rPr>
      </w:pPr>
      <w:r>
        <w:rPr>
          <w:rFonts w:hint="eastAsia"/>
          <w:sz w:val="21"/>
          <w:szCs w:val="21"/>
          <w:highlight w:val="none"/>
        </w:rPr>
        <w:t>甲方</w:t>
      </w:r>
      <w:r>
        <w:rPr>
          <w:rFonts w:hint="eastAsia"/>
          <w:sz w:val="21"/>
          <w:szCs w:val="21"/>
          <w:highlight w:val="none"/>
          <w:u w:val="single"/>
        </w:rPr>
        <w:t xml:space="preserve">     </w:t>
      </w:r>
      <w:r>
        <w:rPr>
          <w:rFonts w:hint="eastAsia"/>
          <w:sz w:val="21"/>
          <w:szCs w:val="21"/>
          <w:highlight w:val="none"/>
        </w:rPr>
        <w:t>（是</w:t>
      </w:r>
      <w:r>
        <w:rPr>
          <w:rFonts w:hint="eastAsia" w:cs="仿宋"/>
          <w:sz w:val="21"/>
          <w:szCs w:val="21"/>
          <w:highlight w:val="none"/>
        </w:rPr>
        <w:t>/</w:t>
      </w:r>
      <w:r>
        <w:rPr>
          <w:rFonts w:hint="eastAsia"/>
          <w:sz w:val="21"/>
          <w:szCs w:val="21"/>
          <w:highlight w:val="none"/>
        </w:rPr>
        <w:t>否）需要支付预付款。若需要支付预付款的，则：</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1.5.1预付款比例、支付方式、时间详见</w:t>
      </w:r>
      <w:r>
        <w:rPr>
          <w:rFonts w:hint="eastAsia" w:ascii="宋体" w:hAnsi="宋体" w:cs="宋体"/>
          <w:kern w:val="0"/>
          <w:szCs w:val="21"/>
          <w:highlight w:val="none"/>
          <w:u w:val="single"/>
        </w:rPr>
        <w:t xml:space="preserve">    </w:t>
      </w:r>
      <w:r>
        <w:rPr>
          <w:rFonts w:hint="eastAsia" w:ascii="宋体" w:hAnsi="宋体" w:cs="宋体"/>
          <w:b/>
          <w:i/>
          <w:szCs w:val="21"/>
          <w:highlight w:val="none"/>
          <w:u w:val="single"/>
        </w:rPr>
        <w:t>合同专用条款</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pStyle w:val="957"/>
        <w:widowControl w:val="0"/>
        <w:adjustRightInd w:val="0"/>
        <w:snapToGrid w:val="0"/>
        <w:spacing w:before="0" w:beforeAutospacing="0" w:after="0" w:afterAutospacing="0" w:line="288" w:lineRule="auto"/>
        <w:ind w:firstLine="424" w:firstLineChars="202"/>
        <w:rPr>
          <w:sz w:val="21"/>
          <w:szCs w:val="21"/>
          <w:highlight w:val="none"/>
        </w:rPr>
      </w:pPr>
      <w:r>
        <w:rPr>
          <w:rFonts w:hint="eastAsia"/>
          <w:sz w:val="21"/>
          <w:szCs w:val="21"/>
          <w:highlight w:val="none"/>
        </w:rPr>
        <w:t>1.5.2预付款的扣回方式详见</w:t>
      </w:r>
      <w:r>
        <w:rPr>
          <w:rFonts w:hint="eastAsia"/>
          <w:sz w:val="21"/>
          <w:szCs w:val="21"/>
          <w:highlight w:val="none"/>
          <w:u w:val="single"/>
        </w:rPr>
        <w:t xml:space="preserve">    </w:t>
      </w:r>
      <w:r>
        <w:rPr>
          <w:rFonts w:hint="eastAsia"/>
          <w:b/>
          <w:i/>
          <w:sz w:val="21"/>
          <w:szCs w:val="21"/>
          <w:highlight w:val="none"/>
          <w:u w:val="single"/>
        </w:rPr>
        <w:t>合同专用条款</w:t>
      </w:r>
      <w:r>
        <w:rPr>
          <w:rFonts w:hint="eastAsia"/>
          <w:sz w:val="21"/>
          <w:szCs w:val="21"/>
          <w:highlight w:val="none"/>
          <w:u w:val="single"/>
        </w:rPr>
        <w:t xml:space="preserve">           </w:t>
      </w:r>
      <w:r>
        <w:rPr>
          <w:rFonts w:hint="eastAsia"/>
          <w:sz w:val="21"/>
          <w:szCs w:val="21"/>
          <w:highlight w:val="none"/>
        </w:rPr>
        <w:t>；</w:t>
      </w:r>
    </w:p>
    <w:p>
      <w:pPr>
        <w:pStyle w:val="957"/>
        <w:widowControl w:val="0"/>
        <w:adjustRightInd w:val="0"/>
        <w:snapToGrid w:val="0"/>
        <w:spacing w:before="0" w:beforeAutospacing="0" w:after="0" w:afterAutospacing="0" w:line="288" w:lineRule="auto"/>
        <w:ind w:firstLine="424" w:firstLineChars="202"/>
        <w:rPr>
          <w:sz w:val="21"/>
          <w:szCs w:val="21"/>
          <w:highlight w:val="none"/>
          <w:u w:val="single"/>
        </w:rPr>
      </w:pPr>
      <w:r>
        <w:rPr>
          <w:rFonts w:hint="eastAsia"/>
          <w:sz w:val="21"/>
          <w:szCs w:val="21"/>
          <w:highlight w:val="none"/>
        </w:rPr>
        <w:t>1.5.3预付款的担保措施详见</w:t>
      </w:r>
      <w:r>
        <w:rPr>
          <w:rFonts w:hint="eastAsia"/>
          <w:sz w:val="21"/>
          <w:szCs w:val="21"/>
          <w:highlight w:val="none"/>
          <w:u w:val="single"/>
        </w:rPr>
        <w:t xml:space="preserve">    </w:t>
      </w:r>
      <w:r>
        <w:rPr>
          <w:rFonts w:hint="eastAsia"/>
          <w:b/>
          <w:i/>
          <w:sz w:val="21"/>
          <w:szCs w:val="21"/>
          <w:highlight w:val="none"/>
          <w:u w:val="single"/>
        </w:rPr>
        <w:t>合同专用条款</w:t>
      </w:r>
      <w:r>
        <w:rPr>
          <w:rFonts w:hint="eastAsia"/>
          <w:sz w:val="21"/>
          <w:szCs w:val="21"/>
          <w:highlight w:val="none"/>
          <w:u w:val="single"/>
        </w:rPr>
        <w:t xml:space="preserve">          </w:t>
      </w:r>
      <w:r>
        <w:rPr>
          <w:rFonts w:hint="eastAsia"/>
          <w:sz w:val="21"/>
          <w:szCs w:val="21"/>
          <w:highlight w:val="none"/>
        </w:rPr>
        <w:t>。</w:t>
      </w:r>
    </w:p>
    <w:p>
      <w:pPr>
        <w:pStyle w:val="957"/>
        <w:widowControl w:val="0"/>
        <w:adjustRightInd w:val="0"/>
        <w:snapToGrid w:val="0"/>
        <w:spacing w:before="0" w:beforeAutospacing="0" w:after="0" w:afterAutospacing="0" w:line="288" w:lineRule="auto"/>
        <w:ind w:firstLine="426" w:firstLineChars="202"/>
        <w:rPr>
          <w:b/>
          <w:bCs/>
          <w:sz w:val="21"/>
          <w:szCs w:val="21"/>
          <w:highlight w:val="none"/>
        </w:rPr>
      </w:pPr>
      <w:r>
        <w:rPr>
          <w:rFonts w:hint="eastAsia"/>
          <w:b/>
          <w:bCs/>
          <w:sz w:val="21"/>
          <w:szCs w:val="21"/>
          <w:highlight w:val="none"/>
        </w:rPr>
        <w:t>1.6资金支付</w:t>
      </w:r>
    </w:p>
    <w:p>
      <w:pPr>
        <w:pStyle w:val="957"/>
        <w:widowControl w:val="0"/>
        <w:adjustRightInd w:val="0"/>
        <w:snapToGrid w:val="0"/>
        <w:spacing w:before="0" w:beforeAutospacing="0" w:after="0" w:afterAutospacing="0" w:line="288" w:lineRule="auto"/>
        <w:ind w:firstLine="424" w:firstLineChars="202"/>
        <w:rPr>
          <w:sz w:val="21"/>
          <w:szCs w:val="21"/>
          <w:highlight w:val="none"/>
        </w:rPr>
      </w:pPr>
      <w:r>
        <w:rPr>
          <w:rFonts w:hint="eastAsia"/>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288" w:lineRule="auto"/>
        <w:ind w:firstLine="424" w:firstLineChars="202"/>
        <w:rPr>
          <w:rFonts w:ascii="宋体" w:hAnsi="宋体" w:cs="宋体"/>
          <w:szCs w:val="21"/>
          <w:highlight w:val="none"/>
        </w:rPr>
      </w:pPr>
      <w:r>
        <w:rPr>
          <w:rFonts w:hint="eastAsia" w:ascii="宋体" w:hAnsi="宋体" w:cs="宋体"/>
          <w:szCs w:val="21"/>
          <w:highlight w:val="none"/>
        </w:rPr>
        <w:t>1.6.2资金支付的方式、时间和条件详见</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napToGrid w:val="0"/>
        <w:spacing w:line="288" w:lineRule="auto"/>
        <w:ind w:firstLine="426" w:firstLineChars="202"/>
        <w:rPr>
          <w:rFonts w:ascii="宋体" w:hAnsi="宋体"/>
          <w:b/>
          <w:szCs w:val="21"/>
          <w:highlight w:val="none"/>
        </w:rPr>
      </w:pPr>
      <w:r>
        <w:rPr>
          <w:rFonts w:ascii="宋体" w:hAnsi="宋体"/>
          <w:b/>
          <w:szCs w:val="21"/>
          <w:highlight w:val="none"/>
        </w:rPr>
        <w:t>1.</w:t>
      </w:r>
      <w:r>
        <w:rPr>
          <w:rFonts w:hint="eastAsia" w:ascii="宋体" w:hAnsi="宋体"/>
          <w:b/>
          <w:szCs w:val="21"/>
          <w:highlight w:val="none"/>
        </w:rPr>
        <w:t>7</w:t>
      </w:r>
      <w:r>
        <w:rPr>
          <w:rFonts w:ascii="宋体" w:hAnsi="宋体"/>
          <w:b/>
          <w:szCs w:val="21"/>
          <w:highlight w:val="none"/>
        </w:rPr>
        <w:t xml:space="preserve"> 履行期限</w:t>
      </w:r>
      <w:r>
        <w:rPr>
          <w:rFonts w:hint="eastAsia" w:ascii="宋体" w:hAnsi="宋体"/>
          <w:b/>
          <w:szCs w:val="21"/>
          <w:highlight w:val="none"/>
        </w:rPr>
        <w:t>、地点和方式</w:t>
      </w:r>
      <w:bookmarkEnd w:id="427"/>
      <w:bookmarkEnd w:id="428"/>
      <w:bookmarkEnd w:id="429"/>
      <w:bookmarkEnd w:id="430"/>
      <w:bookmarkEnd w:id="431"/>
    </w:p>
    <w:p>
      <w:pPr>
        <w:snapToGrid w:val="0"/>
        <w:spacing w:line="288" w:lineRule="auto"/>
        <w:ind w:firstLine="424" w:firstLineChars="202"/>
        <w:rPr>
          <w:rFonts w:ascii="宋体" w:hAnsi="宋体"/>
          <w:szCs w:val="21"/>
          <w:highlight w:val="none"/>
          <w:u w:val="single"/>
        </w:rPr>
      </w:pPr>
      <w:r>
        <w:rPr>
          <w:rFonts w:ascii="宋体" w:hAnsi="宋体"/>
          <w:szCs w:val="21"/>
          <w:highlight w:val="none"/>
        </w:rPr>
        <w:t>1.</w:t>
      </w:r>
      <w:r>
        <w:rPr>
          <w:rFonts w:hint="eastAsia" w:ascii="宋体" w:hAnsi="宋体"/>
          <w:szCs w:val="21"/>
          <w:highlight w:val="none"/>
        </w:rPr>
        <w:t>7</w:t>
      </w:r>
      <w:r>
        <w:rPr>
          <w:rFonts w:ascii="宋体" w:hAnsi="宋体"/>
          <w:szCs w:val="21"/>
          <w:highlight w:val="none"/>
        </w:rPr>
        <w:t xml:space="preserve">.1 </w:t>
      </w:r>
      <w:r>
        <w:rPr>
          <w:rFonts w:hint="eastAsia" w:ascii="宋体" w:hAnsi="宋体"/>
          <w:szCs w:val="21"/>
          <w:highlight w:val="none"/>
        </w:rPr>
        <w:t>服务交付（实施）的时间（期限）</w:t>
      </w:r>
      <w:r>
        <w:rPr>
          <w:rFonts w:ascii="宋体" w:hAnsi="宋体"/>
          <w:szCs w:val="21"/>
          <w:highlight w:val="none"/>
        </w:rPr>
        <w:t>：</w:t>
      </w:r>
      <w:r>
        <w:rPr>
          <w:rFonts w:hint="eastAsia" w:ascii="宋体" w:hAnsi="宋体"/>
          <w:b/>
          <w:i/>
          <w:szCs w:val="21"/>
          <w:highlight w:val="none"/>
          <w:u w:val="single"/>
        </w:rPr>
        <w:t>合同专用条款</w:t>
      </w:r>
      <w:r>
        <w:rPr>
          <w:rFonts w:hint="eastAsia" w:ascii="宋体" w:hAnsi="宋体"/>
          <w:szCs w:val="21"/>
          <w:highlight w:val="none"/>
        </w:rPr>
        <w:t>；</w:t>
      </w:r>
    </w:p>
    <w:p>
      <w:pPr>
        <w:snapToGrid w:val="0"/>
        <w:spacing w:line="288" w:lineRule="auto"/>
        <w:ind w:firstLine="424" w:firstLineChars="202"/>
        <w:rPr>
          <w:rFonts w:ascii="宋体" w:hAnsi="宋体"/>
          <w:szCs w:val="21"/>
          <w:highlight w:val="none"/>
        </w:rPr>
      </w:pPr>
      <w:r>
        <w:rPr>
          <w:rFonts w:ascii="宋体" w:hAnsi="宋体"/>
          <w:szCs w:val="21"/>
          <w:highlight w:val="none"/>
        </w:rPr>
        <w:t>1.</w:t>
      </w:r>
      <w:r>
        <w:rPr>
          <w:rFonts w:hint="eastAsia" w:ascii="宋体" w:hAnsi="宋体"/>
          <w:szCs w:val="21"/>
          <w:highlight w:val="none"/>
        </w:rPr>
        <w:t>7</w:t>
      </w:r>
      <w:r>
        <w:rPr>
          <w:rFonts w:ascii="宋体" w:hAnsi="宋体"/>
          <w:szCs w:val="21"/>
          <w:highlight w:val="none"/>
        </w:rPr>
        <w:t xml:space="preserve">.2 </w:t>
      </w:r>
      <w:r>
        <w:rPr>
          <w:rFonts w:hint="eastAsia" w:ascii="宋体" w:hAnsi="宋体"/>
          <w:szCs w:val="21"/>
          <w:highlight w:val="none"/>
        </w:rPr>
        <w:t>服</w:t>
      </w:r>
      <w:r>
        <w:rPr>
          <w:rFonts w:hint="eastAsia" w:ascii="宋体" w:hAnsi="宋体" w:cs="宋体"/>
          <w:szCs w:val="21"/>
          <w:highlight w:val="none"/>
        </w:rPr>
        <w:t>务交付（实施）的地点（地域范围）：</w:t>
      </w:r>
      <w:r>
        <w:rPr>
          <w:rFonts w:hint="eastAsia" w:ascii="宋体" w:hAnsi="宋体"/>
          <w:b/>
          <w:i/>
          <w:szCs w:val="21"/>
          <w:highlight w:val="none"/>
          <w:u w:val="single"/>
        </w:rPr>
        <w:t>合同专用条款</w:t>
      </w:r>
      <w:r>
        <w:rPr>
          <w:rFonts w:hint="eastAsia" w:ascii="宋体" w:hAnsi="宋体"/>
          <w:szCs w:val="21"/>
          <w:highlight w:val="none"/>
        </w:rPr>
        <w:t>；</w:t>
      </w:r>
    </w:p>
    <w:p>
      <w:pPr>
        <w:snapToGrid w:val="0"/>
        <w:spacing w:line="288" w:lineRule="auto"/>
        <w:ind w:firstLine="424" w:firstLineChars="202"/>
        <w:rPr>
          <w:rFonts w:ascii="宋体" w:hAnsi="宋体"/>
          <w:szCs w:val="21"/>
          <w:highlight w:val="none"/>
        </w:rPr>
      </w:pPr>
      <w:r>
        <w:rPr>
          <w:rFonts w:ascii="宋体" w:hAnsi="宋体"/>
          <w:szCs w:val="21"/>
          <w:highlight w:val="none"/>
        </w:rPr>
        <w:t>1.</w:t>
      </w:r>
      <w:r>
        <w:rPr>
          <w:rFonts w:hint="eastAsia" w:ascii="宋体" w:hAnsi="宋体"/>
          <w:szCs w:val="21"/>
          <w:highlight w:val="none"/>
        </w:rPr>
        <w:t>7</w:t>
      </w:r>
      <w:r>
        <w:rPr>
          <w:rFonts w:ascii="宋体" w:hAnsi="宋体"/>
          <w:szCs w:val="21"/>
          <w:highlight w:val="none"/>
        </w:rPr>
        <w:t xml:space="preserve">.3 </w:t>
      </w:r>
      <w:r>
        <w:rPr>
          <w:rFonts w:hint="eastAsia" w:ascii="宋体" w:hAnsi="宋体"/>
          <w:szCs w:val="21"/>
          <w:highlight w:val="none"/>
        </w:rPr>
        <w:t>服务交付（实施）的方式：</w:t>
      </w:r>
      <w:r>
        <w:rPr>
          <w:rFonts w:hint="eastAsia" w:ascii="宋体" w:hAnsi="宋体"/>
          <w:b/>
          <w:i/>
          <w:szCs w:val="21"/>
          <w:highlight w:val="none"/>
          <w:u w:val="single"/>
        </w:rPr>
        <w:t>合同专用条款</w:t>
      </w:r>
      <w:r>
        <w:rPr>
          <w:rFonts w:hint="eastAsia" w:ascii="宋体" w:hAnsi="宋体"/>
          <w:szCs w:val="21"/>
          <w:highlight w:val="none"/>
        </w:rPr>
        <w:t>。</w:t>
      </w:r>
    </w:p>
    <w:p>
      <w:pPr>
        <w:snapToGrid w:val="0"/>
        <w:spacing w:line="288" w:lineRule="auto"/>
        <w:ind w:firstLine="424" w:firstLineChars="202"/>
        <w:rPr>
          <w:rFonts w:ascii="宋体" w:hAnsi="宋体"/>
          <w:bCs/>
          <w:szCs w:val="21"/>
          <w:highlight w:val="none"/>
        </w:rPr>
      </w:pPr>
      <w:bookmarkStart w:id="432" w:name="_Toc24662"/>
      <w:bookmarkStart w:id="433" w:name="_Toc3079"/>
      <w:bookmarkStart w:id="434" w:name="_Toc5698"/>
      <w:bookmarkStart w:id="435" w:name="_Toc8586"/>
      <w:bookmarkStart w:id="436" w:name="_Toc2375"/>
      <w:r>
        <w:rPr>
          <w:rFonts w:hint="eastAsia" w:ascii="宋体" w:hAnsi="宋体"/>
          <w:bCs/>
          <w:szCs w:val="21"/>
          <w:highlight w:val="none"/>
        </w:rPr>
        <w:t>1.7.4若服务涉及货物的，则货物的：</w:t>
      </w:r>
    </w:p>
    <w:p>
      <w:pPr>
        <w:snapToGrid w:val="0"/>
        <w:spacing w:line="288" w:lineRule="auto"/>
        <w:ind w:firstLine="424" w:firstLineChars="202"/>
        <w:rPr>
          <w:rFonts w:ascii="宋体" w:hAnsi="宋体" w:cs="宋体"/>
          <w:szCs w:val="21"/>
          <w:highlight w:val="none"/>
          <w:u w:val="single"/>
        </w:rPr>
      </w:pPr>
      <w:r>
        <w:rPr>
          <w:rFonts w:hint="eastAsia" w:ascii="宋体" w:hAnsi="宋体" w:cs="宋体"/>
          <w:szCs w:val="21"/>
          <w:highlight w:val="none"/>
        </w:rPr>
        <w:t>1.7.4.1 交付期限：详见</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napToGrid w:val="0"/>
        <w:spacing w:line="288" w:lineRule="auto"/>
        <w:ind w:firstLine="424" w:firstLineChars="202"/>
        <w:rPr>
          <w:rFonts w:ascii="宋体" w:hAnsi="宋体" w:cs="宋体"/>
          <w:szCs w:val="21"/>
          <w:highlight w:val="none"/>
        </w:rPr>
      </w:pPr>
      <w:r>
        <w:rPr>
          <w:rFonts w:hint="eastAsia" w:ascii="宋体" w:hAnsi="宋体" w:cs="宋体"/>
          <w:szCs w:val="21"/>
          <w:highlight w:val="none"/>
        </w:rPr>
        <w:t>1.7.4.2 交付地点：</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napToGrid w:val="0"/>
        <w:spacing w:line="288" w:lineRule="auto"/>
        <w:ind w:firstLine="424" w:firstLineChars="202"/>
        <w:rPr>
          <w:rFonts w:ascii="宋体" w:hAnsi="宋体" w:cs="宋体"/>
          <w:szCs w:val="21"/>
          <w:highlight w:val="none"/>
        </w:rPr>
      </w:pPr>
      <w:r>
        <w:rPr>
          <w:rFonts w:hint="eastAsia" w:ascii="宋体" w:hAnsi="宋体" w:cs="宋体"/>
          <w:szCs w:val="21"/>
          <w:highlight w:val="none"/>
        </w:rPr>
        <w:t>1.7.4.3 交付方式：</w:t>
      </w:r>
      <w:r>
        <w:rPr>
          <w:rFonts w:hint="eastAsia" w:ascii="宋体" w:hAnsi="宋体" w:cs="宋体"/>
          <w:b/>
          <w:i/>
          <w:szCs w:val="21"/>
          <w:highlight w:val="none"/>
          <w:u w:val="single"/>
        </w:rPr>
        <w:t>合同专用条款</w:t>
      </w:r>
      <w:r>
        <w:rPr>
          <w:rFonts w:hint="eastAsia" w:ascii="宋体" w:hAnsi="宋体" w:cs="宋体"/>
          <w:szCs w:val="21"/>
          <w:highlight w:val="none"/>
        </w:rPr>
        <w:t>。</w:t>
      </w:r>
    </w:p>
    <w:p>
      <w:pPr>
        <w:snapToGrid w:val="0"/>
        <w:spacing w:line="288" w:lineRule="auto"/>
        <w:ind w:firstLine="426" w:firstLineChars="202"/>
        <w:rPr>
          <w:rFonts w:ascii="宋体" w:hAnsi="宋体"/>
          <w:szCs w:val="21"/>
          <w:highlight w:val="none"/>
          <w:u w:val="single"/>
        </w:rPr>
      </w:pPr>
      <w:r>
        <w:rPr>
          <w:rFonts w:ascii="宋体" w:hAnsi="宋体"/>
          <w:b/>
          <w:szCs w:val="21"/>
          <w:highlight w:val="none"/>
        </w:rPr>
        <w:t>1.</w:t>
      </w:r>
      <w:r>
        <w:rPr>
          <w:rFonts w:hint="eastAsia" w:ascii="宋体" w:hAnsi="宋体"/>
          <w:b/>
          <w:szCs w:val="21"/>
          <w:highlight w:val="none"/>
        </w:rPr>
        <w:t>8违约责任</w:t>
      </w:r>
      <w:bookmarkEnd w:id="432"/>
      <w:bookmarkEnd w:id="433"/>
      <w:bookmarkEnd w:id="434"/>
      <w:bookmarkEnd w:id="435"/>
      <w:bookmarkEnd w:id="436"/>
    </w:p>
    <w:p>
      <w:pPr>
        <w:snapToGrid w:val="0"/>
        <w:spacing w:line="288" w:lineRule="auto"/>
        <w:ind w:firstLine="424" w:firstLineChars="202"/>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.1 除不可抗力外，如果乙方没有按照本合同约定的期限</w:t>
      </w:r>
      <w:r>
        <w:rPr>
          <w:rFonts w:hint="eastAsia" w:ascii="宋体" w:hAnsi="宋体"/>
          <w:szCs w:val="21"/>
          <w:highlight w:val="none"/>
        </w:rPr>
        <w:t>、</w:t>
      </w:r>
      <w:r>
        <w:rPr>
          <w:rFonts w:ascii="宋体" w:hAnsi="宋体"/>
          <w:szCs w:val="21"/>
          <w:highlight w:val="none"/>
        </w:rPr>
        <w:t>地点和方式</w:t>
      </w:r>
      <w:r>
        <w:rPr>
          <w:rFonts w:hint="eastAsia" w:ascii="宋体" w:hAnsi="宋体"/>
          <w:szCs w:val="21"/>
          <w:highlight w:val="none"/>
        </w:rPr>
        <w:t>交付服务成果或者实施服务</w:t>
      </w:r>
      <w:r>
        <w:rPr>
          <w:rFonts w:ascii="宋体" w:hAnsi="宋体"/>
          <w:szCs w:val="21"/>
          <w:highlight w:val="none"/>
        </w:rPr>
        <w:t>，那么甲方可要求乙方支付违约金</w:t>
      </w:r>
      <w:r>
        <w:rPr>
          <w:rFonts w:hint="eastAsia" w:ascii="宋体" w:hAnsi="宋体"/>
          <w:szCs w:val="21"/>
          <w:highlight w:val="none"/>
        </w:rPr>
        <w:t>，迟延履行</w:t>
      </w:r>
      <w:r>
        <w:rPr>
          <w:rFonts w:ascii="宋体" w:hAnsi="宋体"/>
          <w:szCs w:val="21"/>
          <w:highlight w:val="none"/>
        </w:rPr>
        <w:t>违约金按每迟延</w:t>
      </w:r>
      <w:r>
        <w:rPr>
          <w:rFonts w:hint="eastAsia" w:ascii="宋体" w:hAnsi="宋体"/>
          <w:szCs w:val="21"/>
          <w:highlight w:val="none"/>
        </w:rPr>
        <w:t>履行</w:t>
      </w:r>
      <w:r>
        <w:rPr>
          <w:rFonts w:ascii="宋体" w:hAnsi="宋体"/>
          <w:szCs w:val="21"/>
          <w:highlight w:val="none"/>
        </w:rPr>
        <w:t>一日的应提供而未</w:t>
      </w:r>
      <w:r>
        <w:rPr>
          <w:rFonts w:hint="eastAsia" w:ascii="宋体" w:hAnsi="宋体"/>
          <w:szCs w:val="21"/>
          <w:highlight w:val="none"/>
        </w:rPr>
        <w:t>提供</w:t>
      </w:r>
      <w:r>
        <w:rPr>
          <w:rFonts w:ascii="宋体" w:hAnsi="宋体"/>
          <w:szCs w:val="21"/>
          <w:highlight w:val="none"/>
        </w:rPr>
        <w:t>服务价格的</w:t>
      </w:r>
      <w:r>
        <w:rPr>
          <w:rFonts w:hint="eastAsia" w:ascii="宋体" w:hAnsi="宋体"/>
          <w:szCs w:val="21"/>
          <w:highlight w:val="none"/>
          <w:u w:val="single"/>
        </w:rPr>
        <w:t>0.05</w:t>
      </w:r>
      <w:r>
        <w:rPr>
          <w:rFonts w:ascii="宋体" w:hAnsi="宋体"/>
          <w:szCs w:val="21"/>
          <w:highlight w:val="none"/>
          <w:u w:val="single"/>
        </w:rPr>
        <w:t xml:space="preserve"> </w:t>
      </w:r>
      <w:r>
        <w:rPr>
          <w:rFonts w:ascii="宋体" w:hAnsi="宋体"/>
          <w:szCs w:val="21"/>
          <w:highlight w:val="none"/>
        </w:rPr>
        <w:t>%计算</w:t>
      </w:r>
      <w:r>
        <w:rPr>
          <w:rFonts w:hint="eastAsia" w:ascii="宋体" w:hAnsi="宋体"/>
          <w:szCs w:val="21"/>
          <w:highlight w:val="none"/>
        </w:rPr>
        <w:t>，</w:t>
      </w:r>
      <w:r>
        <w:rPr>
          <w:rFonts w:ascii="宋体" w:hAnsi="宋体"/>
          <w:szCs w:val="21"/>
          <w:highlight w:val="none"/>
        </w:rPr>
        <w:t>最高限额为</w:t>
      </w:r>
      <w:r>
        <w:rPr>
          <w:rFonts w:hint="eastAsia" w:ascii="宋体" w:hAnsi="宋体"/>
          <w:szCs w:val="21"/>
          <w:highlight w:val="none"/>
        </w:rPr>
        <w:t>本</w:t>
      </w:r>
      <w:r>
        <w:rPr>
          <w:rFonts w:ascii="宋体" w:hAnsi="宋体"/>
          <w:szCs w:val="21"/>
          <w:highlight w:val="none"/>
        </w:rPr>
        <w:t>合同总价的</w:t>
      </w:r>
      <w:r>
        <w:rPr>
          <w:rFonts w:ascii="宋体" w:hAnsi="宋体"/>
          <w:szCs w:val="21"/>
          <w:highlight w:val="none"/>
          <w:u w:val="single"/>
        </w:rPr>
        <w:t xml:space="preserve">  20   </w:t>
      </w:r>
      <w:r>
        <w:rPr>
          <w:rFonts w:ascii="宋体" w:hAnsi="宋体"/>
          <w:szCs w:val="21"/>
          <w:highlight w:val="none"/>
        </w:rPr>
        <w:t>%</w:t>
      </w:r>
      <w:r>
        <w:rPr>
          <w:rFonts w:hint="eastAsia" w:ascii="宋体" w:hAnsi="宋体"/>
          <w:szCs w:val="21"/>
          <w:highlight w:val="none"/>
        </w:rPr>
        <w:t>；</w:t>
      </w:r>
      <w:r>
        <w:rPr>
          <w:rFonts w:ascii="宋体" w:hAnsi="宋体"/>
          <w:szCs w:val="21"/>
          <w:highlight w:val="none"/>
        </w:rPr>
        <w:t>迟延</w:t>
      </w:r>
      <w:r>
        <w:rPr>
          <w:rFonts w:hint="eastAsia" w:ascii="宋体" w:hAnsi="宋体"/>
          <w:szCs w:val="21"/>
          <w:highlight w:val="none"/>
        </w:rPr>
        <w:t>履行</w:t>
      </w:r>
      <w:r>
        <w:rPr>
          <w:rFonts w:ascii="宋体" w:hAnsi="宋体"/>
          <w:szCs w:val="21"/>
          <w:highlight w:val="none"/>
        </w:rPr>
        <w:t>的违约金计算数额达到前述最高限额之日起</w:t>
      </w:r>
      <w:r>
        <w:rPr>
          <w:rFonts w:hint="eastAsia" w:ascii="宋体" w:hAnsi="宋体"/>
          <w:szCs w:val="21"/>
          <w:highlight w:val="none"/>
        </w:rPr>
        <w:t>，</w:t>
      </w:r>
      <w:r>
        <w:rPr>
          <w:rFonts w:ascii="宋体" w:hAnsi="宋体"/>
          <w:szCs w:val="21"/>
          <w:highlight w:val="none"/>
        </w:rPr>
        <w:t>甲方有权在要求乙方支付违约金的同时</w:t>
      </w:r>
      <w:r>
        <w:rPr>
          <w:rFonts w:hint="eastAsia" w:ascii="宋体" w:hAnsi="宋体"/>
          <w:szCs w:val="21"/>
          <w:highlight w:val="none"/>
        </w:rPr>
        <w:t>，书面通知乙方</w:t>
      </w:r>
      <w:r>
        <w:rPr>
          <w:rFonts w:ascii="宋体" w:hAnsi="宋体"/>
          <w:szCs w:val="21"/>
          <w:highlight w:val="none"/>
        </w:rPr>
        <w:t>解除本合同</w:t>
      </w:r>
      <w:r>
        <w:rPr>
          <w:rFonts w:hint="eastAsia" w:ascii="宋体" w:hAnsi="宋体"/>
          <w:szCs w:val="21"/>
          <w:highlight w:val="none"/>
        </w:rPr>
        <w:t>；</w:t>
      </w:r>
    </w:p>
    <w:p>
      <w:pPr>
        <w:snapToGrid w:val="0"/>
        <w:spacing w:line="288" w:lineRule="auto"/>
        <w:ind w:firstLine="424" w:firstLineChars="202"/>
        <w:rPr>
          <w:rFonts w:ascii="宋体" w:hAnsi="宋体"/>
          <w:szCs w:val="21"/>
          <w:highlight w:val="none"/>
        </w:rPr>
      </w:pPr>
      <w:r>
        <w:rPr>
          <w:rFonts w:hint="eastAsia" w:ascii="宋体" w:hAnsi="宋体"/>
          <w:szCs w:val="21"/>
          <w:highlight w:val="none"/>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snapToGrid w:val="0"/>
        <w:spacing w:line="288" w:lineRule="auto"/>
        <w:ind w:firstLine="424" w:firstLineChars="202"/>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3</w:t>
      </w:r>
      <w:r>
        <w:rPr>
          <w:rFonts w:hint="eastAsia" w:ascii="宋体" w:hAnsi="宋体" w:cs="宋体"/>
          <w:szCs w:val="21"/>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Cs w:val="21"/>
          <w:highlight w:val="none"/>
          <w:u w:val="single"/>
        </w:rPr>
        <w:t xml:space="preserve">   0.05   </w:t>
      </w:r>
      <w:r>
        <w:rPr>
          <w:rFonts w:hint="eastAsia" w:ascii="宋体" w:hAnsi="宋体" w:cs="宋体"/>
          <w:szCs w:val="21"/>
          <w:highlight w:val="none"/>
        </w:rPr>
        <w:t>%计算，最高限额为本合同总价的</w:t>
      </w:r>
      <w:r>
        <w:rPr>
          <w:rFonts w:hint="eastAsia" w:ascii="宋体" w:hAnsi="宋体" w:cs="宋体"/>
          <w:szCs w:val="21"/>
          <w:highlight w:val="none"/>
          <w:u w:val="single"/>
        </w:rPr>
        <w:t xml:space="preserve">   20</w:t>
      </w:r>
      <w:r>
        <w:rPr>
          <w:rFonts w:hint="eastAsia" w:ascii="宋体" w:hAnsi="宋体" w:cs="宋体"/>
          <w:kern w:val="0"/>
          <w:szCs w:val="21"/>
          <w:highlight w:val="none"/>
          <w:u w:val="single"/>
        </w:rPr>
        <w:t>（可根据情况修改）</w:t>
      </w:r>
      <w:r>
        <w:rPr>
          <w:rFonts w:hint="eastAsia" w:ascii="宋体" w:hAnsi="宋体" w:cs="宋体"/>
          <w:szCs w:val="21"/>
          <w:highlight w:val="none"/>
          <w:u w:val="single"/>
        </w:rPr>
        <w:t xml:space="preserve">   </w:t>
      </w:r>
      <w:r>
        <w:rPr>
          <w:rFonts w:hint="eastAsia" w:ascii="宋体" w:hAnsi="宋体" w:cs="宋体"/>
          <w:szCs w:val="21"/>
          <w:highlight w:val="none"/>
        </w:rPr>
        <w:t>%；迟延付款的违约金计算数额达到前述最高限额之日起，乙方有权在要求甲方支付违约金的同时，书面通知甲方解除本合同</w:t>
      </w:r>
      <w:r>
        <w:rPr>
          <w:rFonts w:hint="eastAsia" w:ascii="宋体" w:hAnsi="宋体"/>
          <w:szCs w:val="21"/>
          <w:highlight w:val="none"/>
        </w:rPr>
        <w:t>；</w:t>
      </w:r>
    </w:p>
    <w:p>
      <w:pPr>
        <w:snapToGrid w:val="0"/>
        <w:spacing w:line="288" w:lineRule="auto"/>
        <w:ind w:firstLine="424" w:firstLineChars="202"/>
        <w:rPr>
          <w:rFonts w:ascii="宋体" w:hAnsi="宋体" w:cs="宋体"/>
          <w:szCs w:val="21"/>
          <w:highlight w:val="none"/>
        </w:rPr>
      </w:pPr>
      <w:bookmarkStart w:id="437" w:name="_Toc9497"/>
      <w:bookmarkStart w:id="438" w:name="_Toc32454"/>
      <w:bookmarkStart w:id="439" w:name="_Toc30329"/>
      <w:bookmarkStart w:id="440" w:name="_Toc18683"/>
      <w:bookmarkStart w:id="441" w:name="_Toc26807"/>
      <w:r>
        <w:rPr>
          <w:rFonts w:hint="eastAsia" w:ascii="宋体" w:hAnsi="宋体" w:cs="宋体"/>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288" w:lineRule="auto"/>
        <w:ind w:firstLine="424" w:firstLineChars="202"/>
        <w:rPr>
          <w:rFonts w:ascii="宋体" w:hAnsi="宋体" w:cs="宋体"/>
          <w:szCs w:val="21"/>
          <w:highlight w:val="none"/>
        </w:rPr>
      </w:pPr>
      <w:r>
        <w:rPr>
          <w:rFonts w:hint="eastAsia" w:ascii="宋体" w:hAnsi="宋体" w:cs="宋体"/>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288" w:lineRule="auto"/>
        <w:ind w:firstLine="424" w:firstLineChars="202"/>
        <w:rPr>
          <w:rFonts w:ascii="宋体" w:hAnsi="宋体" w:cs="宋体"/>
          <w:szCs w:val="21"/>
          <w:highlight w:val="none"/>
        </w:rPr>
      </w:pPr>
      <w:r>
        <w:rPr>
          <w:rFonts w:hint="eastAsia" w:ascii="宋体" w:hAnsi="宋体" w:cs="宋体"/>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napToGrid w:val="0"/>
        <w:spacing w:line="288" w:lineRule="auto"/>
        <w:ind w:right="-420" w:rightChars="-200" w:firstLine="424" w:firstLineChars="202"/>
        <w:rPr>
          <w:rFonts w:ascii="宋体" w:hAnsi="宋体" w:cs="宋体"/>
          <w:szCs w:val="21"/>
          <w:highlight w:val="none"/>
        </w:rPr>
      </w:pPr>
      <w:r>
        <w:rPr>
          <w:rFonts w:hint="eastAsia" w:ascii="宋体" w:hAnsi="宋体" w:cs="宋体"/>
          <w:szCs w:val="21"/>
          <w:highlight w:val="none"/>
        </w:rPr>
        <w:t>1.8.7违约责任</w:t>
      </w:r>
      <w:r>
        <w:rPr>
          <w:rFonts w:hint="eastAsia" w:ascii="宋体" w:hAnsi="宋体" w:cs="宋体"/>
          <w:b/>
          <w:i/>
          <w:szCs w:val="21"/>
          <w:highlight w:val="none"/>
          <w:u w:val="single"/>
        </w:rPr>
        <w:t>合同专用条款</w:t>
      </w:r>
      <w:r>
        <w:rPr>
          <w:rFonts w:hint="eastAsia" w:ascii="宋体" w:hAnsi="宋体" w:cs="宋体"/>
          <w:szCs w:val="21"/>
          <w:highlight w:val="none"/>
        </w:rPr>
        <w:t>另有约定的，从其约定。</w:t>
      </w:r>
    </w:p>
    <w:bookmarkEnd w:id="437"/>
    <w:bookmarkEnd w:id="438"/>
    <w:bookmarkEnd w:id="439"/>
    <w:bookmarkEnd w:id="440"/>
    <w:bookmarkEnd w:id="441"/>
    <w:p>
      <w:pPr>
        <w:snapToGrid w:val="0"/>
        <w:spacing w:line="288" w:lineRule="auto"/>
        <w:ind w:firstLine="426" w:firstLineChars="202"/>
        <w:rPr>
          <w:rFonts w:ascii="宋体" w:hAnsi="宋体" w:cs="宋体"/>
          <w:b/>
          <w:szCs w:val="21"/>
          <w:highlight w:val="none"/>
        </w:rPr>
      </w:pPr>
      <w:bookmarkStart w:id="442" w:name="_Toc16021"/>
      <w:bookmarkStart w:id="443" w:name="_Toc15583"/>
      <w:bookmarkStart w:id="444" w:name="_Toc28375"/>
      <w:r>
        <w:rPr>
          <w:rFonts w:hint="eastAsia" w:ascii="宋体" w:hAnsi="宋体" w:cs="宋体"/>
          <w:b/>
          <w:szCs w:val="21"/>
          <w:highlight w:val="none"/>
        </w:rPr>
        <w:t>1.9合同争议的解决</w:t>
      </w:r>
      <w:bookmarkEnd w:id="442"/>
      <w:bookmarkEnd w:id="443"/>
      <w:bookmarkEnd w:id="444"/>
    </w:p>
    <w:p>
      <w:pPr>
        <w:snapToGrid w:val="0"/>
        <w:spacing w:line="288" w:lineRule="auto"/>
        <w:ind w:right="-420" w:rightChars="-200" w:firstLine="424" w:firstLineChars="202"/>
        <w:rPr>
          <w:rFonts w:ascii="宋体" w:hAnsi="宋体" w:cs="宋体"/>
          <w:szCs w:val="21"/>
          <w:highlight w:val="none"/>
        </w:rPr>
      </w:pPr>
      <w:r>
        <w:rPr>
          <w:rFonts w:hint="eastAsia" w:ascii="宋体" w:hAnsi="宋体" w:cs="宋体"/>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Cs w:val="21"/>
          <w:highlight w:val="none"/>
          <w:u w:val="single"/>
        </w:rPr>
        <w:t xml:space="preserve">      </w:t>
      </w:r>
      <w:r>
        <w:rPr>
          <w:rFonts w:hint="eastAsia" w:ascii="宋体" w:hAnsi="宋体" w:cs="宋体"/>
          <w:szCs w:val="21"/>
          <w:highlight w:val="none"/>
        </w:rPr>
        <w:t>条款规定的方式解决：</w:t>
      </w:r>
    </w:p>
    <w:p>
      <w:pPr>
        <w:snapToGrid w:val="0"/>
        <w:spacing w:line="288" w:lineRule="auto"/>
        <w:ind w:right="-420" w:rightChars="-200" w:firstLine="424" w:firstLineChars="202"/>
        <w:rPr>
          <w:rFonts w:ascii="宋体" w:hAnsi="宋体" w:cs="宋体"/>
          <w:szCs w:val="21"/>
          <w:highlight w:val="none"/>
        </w:rPr>
      </w:pPr>
      <w:r>
        <w:rPr>
          <w:rFonts w:hint="eastAsia" w:ascii="宋体" w:hAnsi="宋体" w:cs="宋体"/>
          <w:szCs w:val="21"/>
          <w:highlight w:val="none"/>
        </w:rPr>
        <w:t>1.9.1 将争议提交</w:t>
      </w:r>
      <w:r>
        <w:rPr>
          <w:rFonts w:hint="eastAsia" w:ascii="宋体" w:hAnsi="宋体" w:cs="宋体"/>
          <w:b/>
          <w:i/>
          <w:szCs w:val="21"/>
          <w:highlight w:val="none"/>
          <w:u w:val="single"/>
        </w:rPr>
        <w:t>合同专用条款</w:t>
      </w:r>
      <w:r>
        <w:rPr>
          <w:rFonts w:hint="eastAsia" w:ascii="宋体" w:hAnsi="宋体" w:cs="宋体"/>
          <w:szCs w:val="21"/>
          <w:highlight w:val="none"/>
        </w:rPr>
        <w:t>仲裁委员会依申请仲裁时其现行有效的仲裁规则裁决；</w:t>
      </w:r>
    </w:p>
    <w:p>
      <w:pPr>
        <w:snapToGrid w:val="0"/>
        <w:spacing w:line="288" w:lineRule="auto"/>
        <w:ind w:right="-420" w:rightChars="-200" w:firstLine="424" w:firstLineChars="202"/>
        <w:rPr>
          <w:rFonts w:ascii="宋体" w:hAnsi="宋体" w:cs="宋体"/>
          <w:szCs w:val="21"/>
          <w:highlight w:val="none"/>
        </w:rPr>
      </w:pPr>
      <w:r>
        <w:rPr>
          <w:rFonts w:hint="eastAsia" w:ascii="宋体" w:hAnsi="宋体" w:cs="宋体"/>
          <w:szCs w:val="21"/>
          <w:highlight w:val="none"/>
        </w:rPr>
        <w:t>1.9.2 向</w:t>
      </w:r>
      <w:r>
        <w:rPr>
          <w:rFonts w:hint="eastAsia" w:ascii="宋体" w:hAnsi="宋体" w:cs="宋体"/>
          <w:b/>
          <w:i/>
          <w:szCs w:val="21"/>
          <w:highlight w:val="none"/>
          <w:u w:val="single"/>
        </w:rPr>
        <w:t>合同专用条款</w:t>
      </w:r>
      <w:r>
        <w:rPr>
          <w:rFonts w:hint="eastAsia" w:ascii="宋体" w:hAnsi="宋体" w:cs="宋体"/>
          <w:szCs w:val="21"/>
          <w:highlight w:val="none"/>
        </w:rPr>
        <w:t>人民法院起诉。</w:t>
      </w:r>
    </w:p>
    <w:p>
      <w:pPr>
        <w:snapToGrid w:val="0"/>
        <w:spacing w:line="288" w:lineRule="auto"/>
        <w:ind w:firstLine="426" w:firstLineChars="202"/>
        <w:rPr>
          <w:rFonts w:ascii="宋体" w:hAnsi="宋体" w:cs="宋体"/>
          <w:b/>
          <w:szCs w:val="21"/>
          <w:highlight w:val="none"/>
        </w:rPr>
      </w:pPr>
      <w:bookmarkStart w:id="445" w:name="_Toc15322"/>
      <w:bookmarkStart w:id="446" w:name="_Toc7245"/>
      <w:bookmarkStart w:id="447" w:name="_Toc11173"/>
      <w:r>
        <w:rPr>
          <w:rFonts w:hint="eastAsia" w:ascii="宋体" w:hAnsi="宋体" w:cs="宋体"/>
          <w:b/>
          <w:szCs w:val="21"/>
          <w:highlight w:val="none"/>
        </w:rPr>
        <w:t>2.0 合同生效</w:t>
      </w:r>
      <w:bookmarkEnd w:id="445"/>
      <w:bookmarkEnd w:id="446"/>
      <w:bookmarkEnd w:id="447"/>
    </w:p>
    <w:p>
      <w:pPr>
        <w:snapToGrid w:val="0"/>
        <w:spacing w:line="288" w:lineRule="auto"/>
        <w:ind w:firstLine="424" w:firstLineChars="202"/>
        <w:rPr>
          <w:rFonts w:ascii="宋体" w:hAnsi="宋体" w:cs="宋体"/>
          <w:b/>
          <w:szCs w:val="21"/>
          <w:highlight w:val="none"/>
        </w:rPr>
      </w:pPr>
      <w:r>
        <w:rPr>
          <w:rFonts w:hint="eastAsia" w:ascii="宋体" w:hAnsi="宋体" w:cs="宋体"/>
          <w:szCs w:val="21"/>
          <w:highlight w:val="none"/>
        </w:rPr>
        <w:t>本合同自双方当事人盖章签字时生效。</w:t>
      </w:r>
    </w:p>
    <w:p>
      <w:pPr>
        <w:autoSpaceDE w:val="0"/>
        <w:autoSpaceDN w:val="0"/>
        <w:snapToGrid w:val="0"/>
        <w:spacing w:line="288" w:lineRule="auto"/>
        <w:ind w:firstLine="424" w:firstLineChars="202"/>
        <w:rPr>
          <w:rFonts w:ascii="宋体" w:hAnsi="宋体"/>
          <w:szCs w:val="21"/>
          <w:highlight w:val="none"/>
          <w:lang w:val="zh-CN"/>
        </w:rPr>
      </w:pPr>
    </w:p>
    <w:p>
      <w:pPr>
        <w:autoSpaceDE w:val="0"/>
        <w:autoSpaceDN w:val="0"/>
        <w:snapToGrid w:val="0"/>
        <w:spacing w:line="288" w:lineRule="auto"/>
        <w:ind w:firstLine="426" w:firstLineChars="202"/>
        <w:rPr>
          <w:rFonts w:ascii="宋体" w:hAnsi="宋体"/>
          <w:szCs w:val="21"/>
          <w:highlight w:val="none"/>
          <w:lang w:val="zh-CN"/>
        </w:rPr>
      </w:pPr>
      <w:r>
        <w:rPr>
          <w:rFonts w:hint="eastAsia" w:ascii="宋体" w:hAnsi="宋体"/>
          <w:b/>
          <w:szCs w:val="21"/>
          <w:highlight w:val="none"/>
          <w:lang w:val="zh-CN"/>
        </w:rPr>
        <w:t>甲方</w:t>
      </w:r>
      <w:r>
        <w:rPr>
          <w:rFonts w:hint="eastAsia" w:ascii="宋体" w:hAnsi="宋体"/>
          <w:szCs w:val="21"/>
          <w:highlight w:val="none"/>
          <w:lang w:val="zh-CN"/>
        </w:rPr>
        <w:t>：</w:t>
      </w:r>
      <w:r>
        <w:rPr>
          <w:rFonts w:ascii="宋体" w:hAnsi="宋体"/>
          <w:szCs w:val="21"/>
          <w:highlight w:val="none"/>
          <w:lang w:val="zh-CN"/>
        </w:rPr>
        <w:t xml:space="preserve">                             </w:t>
      </w:r>
      <w:r>
        <w:rPr>
          <w:rFonts w:ascii="宋体" w:hAnsi="宋体"/>
          <w:b/>
          <w:szCs w:val="21"/>
          <w:highlight w:val="none"/>
          <w:lang w:val="zh-CN"/>
        </w:rPr>
        <w:t xml:space="preserve">      乙方</w:t>
      </w:r>
      <w:r>
        <w:rPr>
          <w:rFonts w:hint="eastAsia" w:ascii="宋体" w:hAnsi="宋体"/>
          <w:szCs w:val="21"/>
          <w:highlight w:val="none"/>
          <w:lang w:val="zh-CN"/>
        </w:rPr>
        <w:t>：</w:t>
      </w:r>
    </w:p>
    <w:p>
      <w:pPr>
        <w:autoSpaceDE w:val="0"/>
        <w:autoSpaceDN w:val="0"/>
        <w:snapToGrid w:val="0"/>
        <w:spacing w:line="288" w:lineRule="auto"/>
        <w:ind w:firstLine="424" w:firstLineChars="202"/>
        <w:rPr>
          <w:rFonts w:ascii="宋体" w:hAnsi="宋体"/>
          <w:szCs w:val="21"/>
          <w:highlight w:val="none"/>
          <w:lang w:val="zh-CN"/>
        </w:rPr>
      </w:pPr>
      <w:r>
        <w:rPr>
          <w:rFonts w:hint="eastAsia" w:ascii="宋体" w:hAnsi="宋体"/>
          <w:szCs w:val="21"/>
          <w:highlight w:val="none"/>
          <w:lang w:val="zh-CN"/>
        </w:rPr>
        <w:t>统一社会信用代码：</w:t>
      </w:r>
      <w:r>
        <w:rPr>
          <w:rFonts w:ascii="宋体" w:hAnsi="宋体"/>
          <w:szCs w:val="21"/>
          <w:highlight w:val="none"/>
          <w:lang w:val="zh-CN"/>
        </w:rPr>
        <w:t xml:space="preserve">                        </w:t>
      </w:r>
      <w:r>
        <w:rPr>
          <w:rFonts w:hint="eastAsia" w:ascii="宋体" w:hAnsi="宋体"/>
          <w:szCs w:val="21"/>
          <w:highlight w:val="none"/>
          <w:lang w:val="zh-CN"/>
        </w:rPr>
        <w:t>统一社会信用代码或身份证号码：</w:t>
      </w:r>
    </w:p>
    <w:p>
      <w:pPr>
        <w:autoSpaceDE w:val="0"/>
        <w:autoSpaceDN w:val="0"/>
        <w:snapToGrid w:val="0"/>
        <w:spacing w:line="288" w:lineRule="auto"/>
        <w:ind w:firstLine="424" w:firstLineChars="202"/>
        <w:rPr>
          <w:rFonts w:ascii="宋体" w:hAnsi="宋体"/>
          <w:szCs w:val="21"/>
          <w:highlight w:val="none"/>
          <w:lang w:val="zh-CN"/>
        </w:rPr>
      </w:pP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住所：</w:t>
      </w:r>
      <w:r>
        <w:rPr>
          <w:rFonts w:ascii="宋体" w:hAnsi="宋体"/>
          <w:szCs w:val="21"/>
          <w:highlight w:val="none"/>
          <w:lang w:val="zh-CN"/>
        </w:rPr>
        <w:t xml:space="preserve">                                   </w:t>
      </w:r>
      <w:r>
        <w:rPr>
          <w:rFonts w:hint="eastAsia" w:ascii="宋体" w:hAnsi="宋体"/>
          <w:szCs w:val="21"/>
          <w:highlight w:val="none"/>
          <w:lang w:val="zh-CN"/>
        </w:rPr>
        <w:t>住所：</w:t>
      </w: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法定代表人或</w:t>
      </w:r>
      <w:r>
        <w:rPr>
          <w:rFonts w:ascii="宋体" w:hAnsi="宋体"/>
          <w:szCs w:val="21"/>
          <w:highlight w:val="none"/>
          <w:lang w:val="zh-CN"/>
        </w:rPr>
        <w:t xml:space="preserve">                             </w:t>
      </w:r>
      <w:r>
        <w:rPr>
          <w:rFonts w:hint="eastAsia" w:ascii="宋体" w:hAnsi="宋体"/>
          <w:szCs w:val="21"/>
          <w:highlight w:val="none"/>
          <w:lang w:val="zh-CN"/>
        </w:rPr>
        <w:t>法定代表人或</w:t>
      </w: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授权代表（签字）：</w:t>
      </w:r>
      <w:r>
        <w:rPr>
          <w:rFonts w:ascii="宋体" w:hAnsi="宋体"/>
          <w:szCs w:val="21"/>
          <w:highlight w:val="none"/>
          <w:lang w:val="zh-CN"/>
        </w:rPr>
        <w:t xml:space="preserve">                       授权代表（签字）: </w:t>
      </w: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联系人：</w:t>
      </w:r>
      <w:r>
        <w:rPr>
          <w:rFonts w:ascii="宋体" w:hAnsi="宋体"/>
          <w:szCs w:val="21"/>
          <w:highlight w:val="none"/>
          <w:lang w:val="zh-CN"/>
        </w:rPr>
        <w:t xml:space="preserve">                                 </w:t>
      </w:r>
      <w:r>
        <w:rPr>
          <w:rFonts w:hint="eastAsia" w:ascii="宋体" w:hAnsi="宋体"/>
          <w:szCs w:val="21"/>
          <w:highlight w:val="none"/>
          <w:lang w:val="zh-CN"/>
        </w:rPr>
        <w:t>联系人：</w:t>
      </w: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约定送达地址：</w:t>
      </w:r>
      <w:r>
        <w:rPr>
          <w:rFonts w:ascii="宋体" w:hAnsi="宋体"/>
          <w:szCs w:val="21"/>
          <w:highlight w:val="none"/>
          <w:lang w:val="zh-CN"/>
        </w:rPr>
        <w:t xml:space="preserve">                           </w:t>
      </w:r>
      <w:r>
        <w:rPr>
          <w:rFonts w:hint="eastAsia" w:ascii="宋体" w:hAnsi="宋体"/>
          <w:szCs w:val="21"/>
          <w:highlight w:val="none"/>
          <w:lang w:val="zh-CN"/>
        </w:rPr>
        <w:t>约定送达地址：</w:t>
      </w: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邮政编码：</w:t>
      </w:r>
      <w:r>
        <w:rPr>
          <w:rFonts w:ascii="宋体" w:hAnsi="宋体"/>
          <w:szCs w:val="21"/>
          <w:highlight w:val="none"/>
          <w:lang w:val="zh-CN"/>
        </w:rPr>
        <w:t xml:space="preserve">                               </w:t>
      </w:r>
      <w:r>
        <w:rPr>
          <w:rFonts w:hint="eastAsia" w:ascii="宋体" w:hAnsi="宋体"/>
          <w:szCs w:val="21"/>
          <w:highlight w:val="none"/>
          <w:lang w:val="zh-CN"/>
        </w:rPr>
        <w:t>邮政编码：</w:t>
      </w: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电话</w:t>
      </w:r>
      <w:r>
        <w:rPr>
          <w:rFonts w:ascii="宋体" w:hAnsi="宋体"/>
          <w:szCs w:val="21"/>
          <w:highlight w:val="none"/>
          <w:lang w:val="zh-CN"/>
        </w:rPr>
        <w:t xml:space="preserve">:                                    电话: </w:t>
      </w:r>
    </w:p>
    <w:p>
      <w:pPr>
        <w:autoSpaceDE w:val="0"/>
        <w:autoSpaceDN w:val="0"/>
        <w:snapToGrid w:val="0"/>
        <w:spacing w:line="288" w:lineRule="auto"/>
        <w:rPr>
          <w:rFonts w:ascii="宋体" w:hAnsi="宋体"/>
          <w:szCs w:val="21"/>
          <w:highlight w:val="none"/>
          <w:lang w:val="zh-CN"/>
        </w:rPr>
      </w:pPr>
      <w:r>
        <w:rPr>
          <w:rFonts w:hint="eastAsia" w:ascii="宋体" w:hAnsi="宋体"/>
          <w:szCs w:val="21"/>
          <w:highlight w:val="none"/>
          <w:lang w:val="zh-CN"/>
        </w:rPr>
        <w:t>传真</w:t>
      </w:r>
      <w:r>
        <w:rPr>
          <w:rFonts w:ascii="宋体" w:hAnsi="宋体"/>
          <w:szCs w:val="21"/>
          <w:highlight w:val="none"/>
          <w:lang w:val="zh-CN"/>
        </w:rPr>
        <w:t xml:space="preserve">:                                    </w:t>
      </w:r>
      <w:r>
        <w:rPr>
          <w:rFonts w:hint="eastAsia" w:ascii="宋体" w:hAnsi="宋体"/>
          <w:szCs w:val="21"/>
          <w:highlight w:val="none"/>
          <w:lang w:val="zh-CN"/>
        </w:rPr>
        <w:t>传真</w:t>
      </w:r>
      <w:r>
        <w:rPr>
          <w:rFonts w:ascii="宋体" w:hAnsi="宋体"/>
          <w:szCs w:val="21"/>
          <w:highlight w:val="none"/>
          <w:lang w:val="zh-CN"/>
        </w:rPr>
        <w:t>:</w:t>
      </w:r>
    </w:p>
    <w:p>
      <w:pPr>
        <w:autoSpaceDE w:val="0"/>
        <w:autoSpaceDN w:val="0"/>
        <w:snapToGrid w:val="0"/>
        <w:spacing w:line="288" w:lineRule="auto"/>
        <w:rPr>
          <w:rFonts w:ascii="宋体" w:hAnsi="宋体"/>
          <w:szCs w:val="21"/>
          <w:highlight w:val="none"/>
        </w:rPr>
      </w:pPr>
      <w:r>
        <w:rPr>
          <w:rFonts w:hint="eastAsia" w:ascii="宋体" w:hAnsi="宋体"/>
          <w:szCs w:val="21"/>
          <w:highlight w:val="none"/>
          <w:lang w:val="zh-CN"/>
        </w:rPr>
        <w:t>电子邮箱：</w:t>
      </w:r>
      <w:r>
        <w:rPr>
          <w:rFonts w:ascii="宋体" w:hAnsi="宋体"/>
          <w:szCs w:val="21"/>
          <w:highlight w:val="none"/>
          <w:lang w:val="zh-CN"/>
        </w:rPr>
        <w:t xml:space="preserve">                               </w:t>
      </w:r>
      <w:r>
        <w:rPr>
          <w:rFonts w:hint="eastAsia" w:ascii="宋体" w:hAnsi="宋体"/>
          <w:szCs w:val="21"/>
          <w:highlight w:val="none"/>
          <w:lang w:val="zh-CN"/>
        </w:rPr>
        <w:t>电子邮箱：</w:t>
      </w:r>
    </w:p>
    <w:p>
      <w:pPr>
        <w:autoSpaceDE w:val="0"/>
        <w:autoSpaceDN w:val="0"/>
        <w:snapToGrid w:val="0"/>
        <w:spacing w:line="288" w:lineRule="auto"/>
        <w:rPr>
          <w:rFonts w:ascii="宋体" w:hAnsi="宋体"/>
          <w:szCs w:val="21"/>
          <w:highlight w:val="none"/>
        </w:rPr>
      </w:pPr>
      <w:r>
        <w:rPr>
          <w:rFonts w:hint="eastAsia" w:ascii="宋体" w:hAnsi="宋体"/>
          <w:szCs w:val="21"/>
          <w:highlight w:val="none"/>
        </w:rPr>
        <w:t>开户银行：</w:t>
      </w:r>
      <w:r>
        <w:rPr>
          <w:rFonts w:ascii="宋体" w:hAnsi="宋体"/>
          <w:szCs w:val="21"/>
          <w:highlight w:val="none"/>
        </w:rPr>
        <w:t xml:space="preserve">                               开户银行： </w:t>
      </w:r>
    </w:p>
    <w:p>
      <w:pPr>
        <w:autoSpaceDE w:val="0"/>
        <w:autoSpaceDN w:val="0"/>
        <w:snapToGrid w:val="0"/>
        <w:spacing w:line="288" w:lineRule="auto"/>
        <w:rPr>
          <w:rFonts w:ascii="宋体" w:hAnsi="宋体"/>
          <w:szCs w:val="21"/>
          <w:highlight w:val="none"/>
        </w:rPr>
      </w:pPr>
      <w:r>
        <w:rPr>
          <w:rFonts w:hint="eastAsia" w:ascii="宋体" w:hAnsi="宋体"/>
          <w:szCs w:val="21"/>
          <w:highlight w:val="none"/>
        </w:rPr>
        <w:t>开户名称：</w:t>
      </w:r>
      <w:r>
        <w:rPr>
          <w:rFonts w:ascii="宋体" w:hAnsi="宋体"/>
          <w:szCs w:val="21"/>
          <w:highlight w:val="none"/>
        </w:rPr>
        <w:t xml:space="preserve">                               开户名称： </w:t>
      </w:r>
    </w:p>
    <w:p>
      <w:pPr>
        <w:autoSpaceDE w:val="0"/>
        <w:autoSpaceDN w:val="0"/>
        <w:snapToGrid w:val="0"/>
        <w:spacing w:line="288" w:lineRule="auto"/>
        <w:rPr>
          <w:rFonts w:ascii="宋体" w:hAnsi="宋体"/>
          <w:szCs w:val="21"/>
          <w:highlight w:val="none"/>
        </w:rPr>
      </w:pPr>
      <w:r>
        <w:rPr>
          <w:rFonts w:hint="eastAsia" w:ascii="宋体" w:hAnsi="宋体"/>
          <w:szCs w:val="21"/>
          <w:highlight w:val="none"/>
        </w:rPr>
        <w:t>开户账号：</w:t>
      </w:r>
      <w:r>
        <w:rPr>
          <w:rFonts w:ascii="宋体" w:hAnsi="宋体"/>
          <w:szCs w:val="21"/>
          <w:highlight w:val="none"/>
          <w:lang w:val="zh-CN"/>
        </w:rPr>
        <w:t xml:space="preserve">                               </w:t>
      </w:r>
      <w:r>
        <w:rPr>
          <w:rFonts w:hint="eastAsia" w:ascii="宋体" w:hAnsi="宋体"/>
          <w:szCs w:val="21"/>
          <w:highlight w:val="none"/>
        </w:rPr>
        <w:t>开户账号：</w:t>
      </w:r>
    </w:p>
    <w:p>
      <w:pPr>
        <w:snapToGrid w:val="0"/>
        <w:spacing w:line="288" w:lineRule="auto"/>
        <w:jc w:val="left"/>
        <w:rPr>
          <w:rFonts w:ascii="宋体" w:hAnsi="宋体"/>
          <w:b/>
          <w:szCs w:val="21"/>
          <w:highlight w:val="none"/>
        </w:rPr>
      </w:pPr>
    </w:p>
    <w:p>
      <w:pPr>
        <w:snapToGrid w:val="0"/>
        <w:spacing w:line="288" w:lineRule="auto"/>
        <w:jc w:val="left"/>
        <w:rPr>
          <w:rFonts w:ascii="宋体" w:hAnsi="宋体"/>
          <w:b/>
          <w:szCs w:val="21"/>
          <w:highlight w:val="none"/>
        </w:rPr>
      </w:pPr>
      <w:r>
        <w:rPr>
          <w:rFonts w:ascii="宋体" w:hAnsi="宋体"/>
          <w:b/>
          <w:szCs w:val="21"/>
          <w:highlight w:val="none"/>
        </w:rPr>
        <w:br w:type="page"/>
      </w:r>
    </w:p>
    <w:p>
      <w:pPr>
        <w:pStyle w:val="699"/>
        <w:spacing w:after="0" w:line="288" w:lineRule="auto"/>
        <w:ind w:left="0" w:leftChars="0" w:firstLine="0" w:firstLineChars="0"/>
        <w:jc w:val="center"/>
        <w:outlineLvl w:val="1"/>
        <w:rPr>
          <w:rFonts w:ascii="宋体" w:hAnsi="宋体"/>
          <w:b/>
          <w:sz w:val="21"/>
          <w:highlight w:val="none"/>
        </w:rPr>
      </w:pPr>
      <w:r>
        <w:rPr>
          <w:rFonts w:hint="eastAsia" w:ascii="宋体" w:hAnsi="宋体"/>
          <w:b/>
          <w:sz w:val="21"/>
          <w:highlight w:val="none"/>
        </w:rPr>
        <w:t>第二部分</w:t>
      </w:r>
      <w:r>
        <w:rPr>
          <w:rFonts w:ascii="宋体" w:hAnsi="宋体"/>
          <w:b/>
          <w:sz w:val="21"/>
          <w:highlight w:val="none"/>
        </w:rPr>
        <w:t xml:space="preserve"> </w:t>
      </w:r>
      <w:r>
        <w:rPr>
          <w:rFonts w:hint="eastAsia" w:ascii="宋体" w:hAnsi="宋体"/>
          <w:b/>
          <w:sz w:val="21"/>
          <w:highlight w:val="none"/>
        </w:rPr>
        <w:t>合同一般条款</w:t>
      </w:r>
    </w:p>
    <w:p>
      <w:pPr>
        <w:snapToGrid w:val="0"/>
        <w:spacing w:line="288" w:lineRule="auto"/>
        <w:ind w:firstLine="424" w:firstLineChars="201"/>
        <w:rPr>
          <w:rFonts w:ascii="宋体" w:hAnsi="宋体"/>
          <w:b/>
          <w:szCs w:val="21"/>
          <w:highlight w:val="none"/>
        </w:rPr>
      </w:pPr>
      <w:bookmarkStart w:id="448" w:name="_Toc5228"/>
      <w:bookmarkStart w:id="449" w:name="_Toc31297"/>
      <w:bookmarkStart w:id="450" w:name="_Toc25079"/>
      <w:bookmarkStart w:id="451" w:name="_Toc14021"/>
      <w:bookmarkStart w:id="452" w:name="_Toc19680"/>
      <w:r>
        <w:rPr>
          <w:rFonts w:ascii="宋体" w:hAnsi="宋体"/>
          <w:b/>
          <w:szCs w:val="21"/>
          <w:highlight w:val="none"/>
        </w:rPr>
        <w:t>2.1 定义</w:t>
      </w:r>
      <w:bookmarkEnd w:id="448"/>
      <w:bookmarkEnd w:id="449"/>
      <w:bookmarkEnd w:id="450"/>
      <w:bookmarkEnd w:id="451"/>
      <w:bookmarkEnd w:id="452"/>
    </w:p>
    <w:p>
      <w:pPr>
        <w:snapToGrid w:val="0"/>
        <w:spacing w:line="288" w:lineRule="auto"/>
        <w:ind w:firstLine="422" w:firstLineChars="201"/>
        <w:rPr>
          <w:rFonts w:ascii="宋体" w:hAnsi="宋体"/>
          <w:szCs w:val="21"/>
          <w:highlight w:val="none"/>
        </w:rPr>
      </w:pPr>
      <w:r>
        <w:rPr>
          <w:rFonts w:ascii="宋体" w:hAnsi="宋体"/>
          <w:szCs w:val="21"/>
          <w:highlight w:val="none"/>
        </w:rPr>
        <w:t>本合同中的下列</w:t>
      </w:r>
      <w:r>
        <w:rPr>
          <w:rFonts w:hint="eastAsia" w:ascii="宋体" w:hAnsi="宋体"/>
          <w:szCs w:val="21"/>
          <w:highlight w:val="none"/>
        </w:rPr>
        <w:t>词</w:t>
      </w:r>
      <w:r>
        <w:rPr>
          <w:rFonts w:ascii="宋体" w:hAnsi="宋体"/>
          <w:szCs w:val="21"/>
          <w:highlight w:val="none"/>
        </w:rPr>
        <w:t>语应</w:t>
      </w:r>
      <w:r>
        <w:rPr>
          <w:rFonts w:hint="eastAsia" w:ascii="宋体" w:hAnsi="宋体"/>
          <w:szCs w:val="21"/>
          <w:highlight w:val="none"/>
        </w:rPr>
        <w:t>按以下内容进行</w:t>
      </w:r>
      <w:r>
        <w:rPr>
          <w:rFonts w:ascii="宋体" w:hAnsi="宋体"/>
          <w:szCs w:val="21"/>
          <w:highlight w:val="none"/>
        </w:rPr>
        <w:t>解释：</w:t>
      </w:r>
    </w:p>
    <w:p>
      <w:pPr>
        <w:snapToGrid w:val="0"/>
        <w:spacing w:line="288" w:lineRule="auto"/>
        <w:ind w:firstLine="422" w:firstLineChars="201"/>
        <w:rPr>
          <w:rFonts w:ascii="宋体" w:hAnsi="宋体"/>
          <w:szCs w:val="21"/>
          <w:highlight w:val="none"/>
        </w:rPr>
      </w:pPr>
      <w:r>
        <w:rPr>
          <w:rFonts w:ascii="宋体" w:hAnsi="宋体"/>
          <w:szCs w:val="21"/>
          <w:highlight w:val="none"/>
        </w:rPr>
        <w:t>2.1.1 “合同”系指采购人和</w:t>
      </w:r>
      <w:r>
        <w:rPr>
          <w:rFonts w:hint="eastAsia" w:ascii="宋体" w:hAnsi="宋体" w:cs="宋体"/>
          <w:szCs w:val="21"/>
          <w:highlight w:val="none"/>
        </w:rPr>
        <w:t>中标或成交</w:t>
      </w:r>
      <w:r>
        <w:rPr>
          <w:rFonts w:ascii="宋体" w:hAnsi="宋体"/>
          <w:szCs w:val="21"/>
          <w:highlight w:val="none"/>
        </w:rPr>
        <w:t>供应商签订的载明双方当事人所达成的协议，并包括所有的附件、附录和构成合同的其他文件。</w:t>
      </w:r>
    </w:p>
    <w:p>
      <w:pPr>
        <w:snapToGrid w:val="0"/>
        <w:spacing w:line="288" w:lineRule="auto"/>
        <w:ind w:firstLine="422" w:firstLineChars="201"/>
        <w:rPr>
          <w:rFonts w:ascii="宋体" w:hAnsi="宋体"/>
          <w:szCs w:val="21"/>
          <w:highlight w:val="none"/>
        </w:rPr>
      </w:pPr>
      <w:r>
        <w:rPr>
          <w:rFonts w:ascii="宋体" w:hAnsi="宋体"/>
          <w:szCs w:val="21"/>
          <w:highlight w:val="none"/>
        </w:rPr>
        <w:t>2.1.2 “合同价”系指根据合同约定，</w:t>
      </w:r>
      <w:r>
        <w:rPr>
          <w:rFonts w:hint="eastAsia" w:ascii="宋体" w:hAnsi="宋体" w:cs="宋体"/>
          <w:szCs w:val="21"/>
          <w:highlight w:val="none"/>
        </w:rPr>
        <w:t>中标或成交</w:t>
      </w:r>
      <w:r>
        <w:rPr>
          <w:rFonts w:ascii="宋体" w:hAnsi="宋体"/>
          <w:szCs w:val="21"/>
          <w:highlight w:val="none"/>
        </w:rPr>
        <w:t>供应商在完全履行合同义务后</w:t>
      </w:r>
      <w:r>
        <w:rPr>
          <w:rFonts w:hint="eastAsia" w:ascii="宋体" w:hAnsi="宋体"/>
          <w:szCs w:val="21"/>
          <w:highlight w:val="none"/>
        </w:rPr>
        <w:t>，</w:t>
      </w:r>
      <w:r>
        <w:rPr>
          <w:rFonts w:ascii="宋体" w:hAnsi="宋体"/>
          <w:szCs w:val="21"/>
          <w:highlight w:val="none"/>
        </w:rPr>
        <w:t>采购人应支付给</w:t>
      </w:r>
      <w:r>
        <w:rPr>
          <w:rFonts w:hint="eastAsia" w:ascii="宋体" w:hAnsi="宋体" w:cs="宋体"/>
          <w:szCs w:val="21"/>
          <w:highlight w:val="none"/>
        </w:rPr>
        <w:t>中标或成交</w:t>
      </w:r>
      <w:r>
        <w:rPr>
          <w:rFonts w:ascii="宋体" w:hAnsi="宋体"/>
          <w:szCs w:val="21"/>
          <w:highlight w:val="none"/>
        </w:rPr>
        <w:t>供应商的价格。</w:t>
      </w:r>
    </w:p>
    <w:p>
      <w:pPr>
        <w:snapToGrid w:val="0"/>
        <w:spacing w:line="288" w:lineRule="auto"/>
        <w:ind w:firstLine="422" w:firstLineChars="201"/>
        <w:rPr>
          <w:rFonts w:ascii="宋体" w:hAnsi="宋体"/>
          <w:szCs w:val="21"/>
          <w:highlight w:val="none"/>
        </w:rPr>
      </w:pPr>
      <w:r>
        <w:rPr>
          <w:rFonts w:ascii="宋体" w:hAnsi="宋体"/>
          <w:szCs w:val="21"/>
          <w:highlight w:val="none"/>
        </w:rPr>
        <w:t>2.1.3 “</w:t>
      </w:r>
      <w:r>
        <w:rPr>
          <w:rFonts w:hint="eastAsia" w:ascii="宋体" w:hAnsi="宋体"/>
          <w:szCs w:val="21"/>
          <w:highlight w:val="none"/>
        </w:rPr>
        <w:t>服务</w:t>
      </w:r>
      <w:r>
        <w:rPr>
          <w:rFonts w:ascii="宋体" w:hAnsi="宋体"/>
          <w:szCs w:val="21"/>
          <w:highlight w:val="none"/>
        </w:rPr>
        <w:t>”系指</w:t>
      </w:r>
      <w:r>
        <w:rPr>
          <w:rFonts w:hint="eastAsia" w:ascii="宋体" w:hAnsi="宋体" w:cs="宋体"/>
          <w:szCs w:val="21"/>
          <w:highlight w:val="none"/>
        </w:rPr>
        <w:t>中标或成交</w:t>
      </w:r>
      <w:r>
        <w:rPr>
          <w:rFonts w:hint="eastAsia" w:ascii="宋体" w:hAnsi="宋体"/>
          <w:szCs w:val="21"/>
          <w:highlight w:val="none"/>
        </w:rPr>
        <w:t>供应商</w:t>
      </w:r>
      <w:r>
        <w:rPr>
          <w:rFonts w:ascii="宋体" w:hAnsi="宋体"/>
          <w:szCs w:val="21"/>
          <w:highlight w:val="none"/>
        </w:rPr>
        <w:t>根据合同约定应向采购人</w:t>
      </w:r>
      <w:r>
        <w:rPr>
          <w:rFonts w:hint="eastAsia" w:ascii="宋体" w:hAnsi="宋体"/>
          <w:szCs w:val="21"/>
          <w:highlight w:val="none"/>
        </w:rPr>
        <w:t>履行</w:t>
      </w:r>
      <w:r>
        <w:rPr>
          <w:rFonts w:ascii="宋体" w:hAnsi="宋体"/>
          <w:szCs w:val="21"/>
          <w:highlight w:val="none"/>
        </w:rPr>
        <w:t>的</w:t>
      </w:r>
      <w:r>
        <w:rPr>
          <w:rFonts w:hint="eastAsia" w:ascii="宋体" w:hAnsi="宋体"/>
          <w:szCs w:val="21"/>
          <w:highlight w:val="none"/>
        </w:rPr>
        <w:t>除货物和工程以外的其他政府采购对象，包括采购人自身需要的服务和向社会公众提供的公共服务。</w:t>
      </w:r>
    </w:p>
    <w:p>
      <w:pPr>
        <w:snapToGrid w:val="0"/>
        <w:spacing w:line="288" w:lineRule="auto"/>
        <w:ind w:firstLine="422" w:firstLineChars="201"/>
        <w:rPr>
          <w:rFonts w:ascii="宋体" w:hAnsi="宋体"/>
          <w:szCs w:val="21"/>
          <w:highlight w:val="none"/>
        </w:rPr>
      </w:pPr>
      <w:r>
        <w:rPr>
          <w:rFonts w:ascii="宋体" w:hAnsi="宋体"/>
          <w:szCs w:val="21"/>
          <w:highlight w:val="none"/>
        </w:rPr>
        <w:t>2.1.4 “</w:t>
      </w:r>
      <w:r>
        <w:rPr>
          <w:rFonts w:hint="eastAsia" w:ascii="宋体" w:hAnsi="宋体"/>
          <w:szCs w:val="21"/>
          <w:highlight w:val="none"/>
        </w:rPr>
        <w:t>甲方</w:t>
      </w:r>
      <w:r>
        <w:rPr>
          <w:rFonts w:ascii="宋体" w:hAnsi="宋体"/>
          <w:szCs w:val="21"/>
          <w:highlight w:val="none"/>
        </w:rPr>
        <w:t>”系指与</w:t>
      </w:r>
      <w:r>
        <w:rPr>
          <w:rFonts w:hint="eastAsia" w:ascii="宋体" w:hAnsi="宋体" w:cs="宋体"/>
          <w:szCs w:val="21"/>
          <w:highlight w:val="none"/>
        </w:rPr>
        <w:t>中标或成交</w:t>
      </w:r>
      <w:r>
        <w:rPr>
          <w:rFonts w:hint="eastAsia" w:ascii="宋体" w:hAnsi="宋体"/>
          <w:szCs w:val="21"/>
          <w:highlight w:val="none"/>
        </w:rPr>
        <w:t>供应商</w:t>
      </w:r>
      <w:r>
        <w:rPr>
          <w:rFonts w:ascii="宋体" w:hAnsi="宋体"/>
          <w:szCs w:val="21"/>
          <w:highlight w:val="none"/>
        </w:rPr>
        <w:t>签署合同的采购人</w:t>
      </w:r>
      <w:r>
        <w:rPr>
          <w:rFonts w:hint="eastAsia" w:ascii="宋体" w:hAnsi="宋体"/>
          <w:szCs w:val="21"/>
          <w:highlight w:val="none"/>
        </w:rPr>
        <w:t>；采购人委托采购代理机构代表其与乙方签订合同的，采购人的授权委托书作为合同附件。</w:t>
      </w:r>
    </w:p>
    <w:p>
      <w:pPr>
        <w:snapToGrid w:val="0"/>
        <w:spacing w:line="288" w:lineRule="auto"/>
        <w:ind w:firstLine="422" w:firstLineChars="201"/>
        <w:rPr>
          <w:rFonts w:ascii="宋体" w:hAnsi="宋体"/>
          <w:szCs w:val="21"/>
          <w:highlight w:val="none"/>
        </w:rPr>
      </w:pPr>
      <w:r>
        <w:rPr>
          <w:rFonts w:ascii="宋体" w:hAnsi="宋体"/>
          <w:szCs w:val="21"/>
          <w:highlight w:val="none"/>
        </w:rPr>
        <w:t>2.1.5 “乙方”系指根据合同约定提供服务的</w:t>
      </w:r>
      <w:r>
        <w:rPr>
          <w:rFonts w:hint="eastAsia" w:ascii="宋体" w:hAnsi="宋体" w:cs="宋体"/>
          <w:szCs w:val="21"/>
          <w:highlight w:val="none"/>
        </w:rPr>
        <w:t>中标或成交</w:t>
      </w:r>
      <w:r>
        <w:rPr>
          <w:rFonts w:ascii="宋体" w:hAnsi="宋体"/>
          <w:szCs w:val="21"/>
          <w:highlight w:val="none"/>
        </w:rPr>
        <w:t>供应商</w:t>
      </w:r>
      <w:r>
        <w:rPr>
          <w:rFonts w:hint="eastAsia" w:ascii="宋体" w:hAnsi="宋体"/>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288" w:lineRule="auto"/>
        <w:ind w:firstLine="422" w:firstLineChars="201"/>
        <w:rPr>
          <w:rFonts w:ascii="宋体" w:hAnsi="宋体"/>
          <w:szCs w:val="21"/>
          <w:highlight w:val="none"/>
        </w:rPr>
      </w:pPr>
      <w:r>
        <w:rPr>
          <w:rFonts w:ascii="宋体" w:hAnsi="宋体"/>
          <w:szCs w:val="21"/>
          <w:highlight w:val="none"/>
        </w:rPr>
        <w:t>2.1.6 “现场”系指合同约定提供服务的地点。</w:t>
      </w:r>
    </w:p>
    <w:p>
      <w:pPr>
        <w:snapToGrid w:val="0"/>
        <w:spacing w:line="288" w:lineRule="auto"/>
        <w:ind w:firstLine="424" w:firstLineChars="201"/>
        <w:rPr>
          <w:rFonts w:ascii="宋体" w:hAnsi="宋体"/>
          <w:b/>
          <w:szCs w:val="21"/>
          <w:highlight w:val="none"/>
        </w:rPr>
      </w:pPr>
      <w:bookmarkStart w:id="453" w:name="_Toc23289"/>
      <w:bookmarkStart w:id="454" w:name="_Toc16752"/>
      <w:bookmarkStart w:id="455" w:name="_Toc31402"/>
      <w:bookmarkStart w:id="456" w:name="_Toc3769"/>
      <w:bookmarkStart w:id="457" w:name="_Toc19539"/>
      <w:r>
        <w:rPr>
          <w:rFonts w:ascii="宋体" w:hAnsi="宋体"/>
          <w:b/>
          <w:szCs w:val="21"/>
          <w:highlight w:val="none"/>
        </w:rPr>
        <w:t>2.2 技术规范</w:t>
      </w:r>
      <w:bookmarkEnd w:id="453"/>
      <w:bookmarkEnd w:id="454"/>
      <w:bookmarkEnd w:id="455"/>
      <w:bookmarkEnd w:id="456"/>
      <w:bookmarkEnd w:id="457"/>
    </w:p>
    <w:p>
      <w:pPr>
        <w:snapToGrid w:val="0"/>
        <w:spacing w:line="288" w:lineRule="auto"/>
        <w:ind w:firstLine="422" w:firstLineChars="201"/>
        <w:rPr>
          <w:rFonts w:ascii="宋体" w:hAnsi="宋体"/>
          <w:szCs w:val="21"/>
          <w:highlight w:val="none"/>
        </w:rPr>
      </w:pPr>
      <w:r>
        <w:rPr>
          <w:rFonts w:hint="eastAsia" w:ascii="宋体" w:hAnsi="宋体"/>
          <w:szCs w:val="21"/>
          <w:highlight w:val="none"/>
        </w:rPr>
        <w:t>服务</w:t>
      </w:r>
      <w:r>
        <w:rPr>
          <w:rFonts w:ascii="宋体" w:hAnsi="宋体"/>
          <w:szCs w:val="21"/>
          <w:highlight w:val="none"/>
        </w:rPr>
        <w:t>所应遵守的技术规范应与采购文件规定的技术规范和技术规范附件(如果有的话)及其技术规范偏差表(如果被甲方接受的话)相一致</w:t>
      </w:r>
      <w:r>
        <w:rPr>
          <w:rFonts w:hint="eastAsia" w:ascii="宋体" w:hAnsi="宋体"/>
          <w:szCs w:val="21"/>
          <w:highlight w:val="none"/>
        </w:rPr>
        <w:t>；</w:t>
      </w:r>
      <w:r>
        <w:rPr>
          <w:rFonts w:ascii="宋体" w:hAnsi="宋体"/>
          <w:szCs w:val="21"/>
          <w:highlight w:val="none"/>
        </w:rPr>
        <w:t>如果采购文件中没有技术规范的相应说明，那么应以国家有关部门最新颁布的相应标准</w:t>
      </w:r>
      <w:r>
        <w:rPr>
          <w:rFonts w:hint="eastAsia" w:ascii="宋体" w:hAnsi="宋体"/>
          <w:szCs w:val="21"/>
          <w:highlight w:val="none"/>
        </w:rPr>
        <w:t>和</w:t>
      </w:r>
      <w:r>
        <w:rPr>
          <w:rFonts w:ascii="宋体" w:hAnsi="宋体"/>
          <w:szCs w:val="21"/>
          <w:highlight w:val="none"/>
        </w:rPr>
        <w:t>规范为准。</w:t>
      </w:r>
    </w:p>
    <w:p>
      <w:pPr>
        <w:snapToGrid w:val="0"/>
        <w:spacing w:line="288" w:lineRule="auto"/>
        <w:ind w:firstLine="424" w:firstLineChars="201"/>
        <w:rPr>
          <w:rFonts w:ascii="宋体" w:hAnsi="宋体"/>
          <w:b/>
          <w:szCs w:val="21"/>
          <w:highlight w:val="none"/>
        </w:rPr>
      </w:pPr>
      <w:bookmarkStart w:id="458" w:name="_Toc4133"/>
      <w:bookmarkStart w:id="459" w:name="_Toc13673"/>
      <w:bookmarkStart w:id="460" w:name="_Toc27945"/>
      <w:bookmarkStart w:id="461" w:name="_Toc12412"/>
      <w:bookmarkStart w:id="462" w:name="_Toc9161"/>
      <w:r>
        <w:rPr>
          <w:rFonts w:ascii="宋体" w:hAnsi="宋体"/>
          <w:b/>
          <w:szCs w:val="21"/>
          <w:highlight w:val="none"/>
        </w:rPr>
        <w:t>2.3 知识产权</w:t>
      </w:r>
      <w:bookmarkEnd w:id="458"/>
      <w:bookmarkEnd w:id="459"/>
      <w:bookmarkEnd w:id="460"/>
      <w:bookmarkEnd w:id="461"/>
      <w:bookmarkEnd w:id="462"/>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2.3.1 </w:t>
      </w:r>
      <w:r>
        <w:rPr>
          <w:rFonts w:hint="eastAsia" w:ascii="宋体" w:hAnsi="宋体"/>
          <w:szCs w:val="21"/>
          <w:highlight w:val="none"/>
        </w:rPr>
        <w:t>乙</w:t>
      </w:r>
      <w:r>
        <w:rPr>
          <w:rFonts w:ascii="宋体" w:hAnsi="宋体"/>
          <w:szCs w:val="21"/>
          <w:highlight w:val="none"/>
        </w:rPr>
        <w:t>方应保证</w:t>
      </w:r>
      <w:r>
        <w:rPr>
          <w:rFonts w:hint="eastAsia" w:ascii="宋体" w:hAnsi="宋体"/>
          <w:szCs w:val="21"/>
          <w:highlight w:val="none"/>
        </w:rPr>
        <w:t>其提供的服务</w:t>
      </w:r>
      <w:r>
        <w:rPr>
          <w:rFonts w:ascii="宋体" w:hAnsi="宋体"/>
          <w:szCs w:val="21"/>
          <w:highlight w:val="none"/>
        </w:rPr>
        <w:t>不受任何第三方提出的侵犯其著作权、商标权、专利权等知识产权方面的起诉</w:t>
      </w:r>
      <w:r>
        <w:rPr>
          <w:rFonts w:hint="eastAsia" w:ascii="宋体" w:hAnsi="宋体"/>
          <w:szCs w:val="21"/>
          <w:highlight w:val="none"/>
        </w:rPr>
        <w:t>；</w:t>
      </w:r>
      <w:r>
        <w:rPr>
          <w:rFonts w:ascii="宋体" w:hAnsi="宋体"/>
          <w:szCs w:val="21"/>
          <w:highlight w:val="none"/>
        </w:rPr>
        <w:t>如果任何第三方提出侵权</w:t>
      </w:r>
      <w:r>
        <w:rPr>
          <w:rFonts w:hint="eastAsia" w:ascii="宋体" w:hAnsi="宋体"/>
          <w:szCs w:val="21"/>
          <w:highlight w:val="none"/>
        </w:rPr>
        <w:t>指控</w:t>
      </w:r>
      <w:r>
        <w:rPr>
          <w:rFonts w:ascii="宋体" w:hAnsi="宋体"/>
          <w:szCs w:val="21"/>
          <w:highlight w:val="none"/>
        </w:rPr>
        <w:t>，那么乙方须与该第三方交涉并承担由此发生的一切责任、费用和赔偿</w:t>
      </w:r>
      <w:r>
        <w:rPr>
          <w:rFonts w:hint="eastAsia" w:ascii="宋体" w:hAnsi="宋体"/>
          <w:szCs w:val="21"/>
          <w:highlight w:val="none"/>
        </w:rPr>
        <w:t>，乙方还应及时澄清相关信息，使甲方声誉免受损害，甲方保留追责的权利。</w:t>
      </w:r>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2.3.2 </w:t>
      </w:r>
      <w:r>
        <w:rPr>
          <w:rFonts w:hint="eastAsia" w:ascii="宋体" w:hAnsi="宋体"/>
          <w:szCs w:val="21"/>
          <w:highlight w:val="none"/>
        </w:rPr>
        <w:t>合同涉及技术成果的归属和收益的分成办法的，</w:t>
      </w:r>
      <w:r>
        <w:rPr>
          <w:rFonts w:ascii="宋体" w:hAnsi="宋体"/>
          <w:szCs w:val="21"/>
          <w:highlight w:val="none"/>
        </w:rPr>
        <w:t>详见</w:t>
      </w:r>
      <w:r>
        <w:rPr>
          <w:rFonts w:ascii="宋体" w:hAnsi="宋体"/>
          <w:b/>
          <w:i/>
          <w:szCs w:val="21"/>
          <w:highlight w:val="none"/>
          <w:u w:val="single"/>
        </w:rPr>
        <w:t>合同专用条款</w:t>
      </w:r>
      <w:r>
        <w:rPr>
          <w:rFonts w:ascii="宋体" w:hAnsi="宋体"/>
          <w:szCs w:val="21"/>
          <w:highlight w:val="none"/>
        </w:rPr>
        <w:t>。</w:t>
      </w:r>
    </w:p>
    <w:p>
      <w:pPr>
        <w:snapToGrid w:val="0"/>
        <w:spacing w:line="288" w:lineRule="auto"/>
        <w:ind w:firstLine="424" w:firstLineChars="201"/>
        <w:rPr>
          <w:rFonts w:ascii="宋体" w:hAnsi="宋体"/>
          <w:b/>
          <w:szCs w:val="21"/>
          <w:highlight w:val="none"/>
        </w:rPr>
      </w:pPr>
      <w:r>
        <w:rPr>
          <w:rFonts w:ascii="宋体" w:hAnsi="宋体"/>
          <w:b/>
          <w:szCs w:val="21"/>
          <w:highlight w:val="none"/>
        </w:rPr>
        <w:t xml:space="preserve">2.4 </w:t>
      </w:r>
      <w:r>
        <w:rPr>
          <w:rFonts w:hint="eastAsia" w:ascii="宋体" w:hAnsi="宋体"/>
          <w:b/>
          <w:szCs w:val="21"/>
          <w:highlight w:val="none"/>
        </w:rPr>
        <w:t>履约检查和问题反馈</w:t>
      </w:r>
    </w:p>
    <w:p>
      <w:pPr>
        <w:snapToGrid w:val="0"/>
        <w:spacing w:line="288" w:lineRule="auto"/>
        <w:ind w:firstLine="422" w:firstLineChars="201"/>
        <w:rPr>
          <w:rFonts w:ascii="宋体" w:hAnsi="宋体"/>
          <w:szCs w:val="21"/>
          <w:highlight w:val="none"/>
        </w:rPr>
      </w:pPr>
      <w:r>
        <w:rPr>
          <w:rFonts w:ascii="宋体" w:hAnsi="宋体"/>
          <w:szCs w:val="21"/>
          <w:highlight w:val="none"/>
        </w:rPr>
        <w:t>2.4.1甲方</w:t>
      </w:r>
      <w:r>
        <w:rPr>
          <w:rFonts w:hint="eastAsia" w:ascii="宋体" w:hAnsi="宋体"/>
          <w:szCs w:val="21"/>
          <w:highlight w:val="none"/>
        </w:rPr>
        <w:t>有权</w:t>
      </w:r>
      <w:r>
        <w:rPr>
          <w:rFonts w:ascii="宋体" w:hAnsi="宋体"/>
          <w:szCs w:val="21"/>
          <w:highlight w:val="none"/>
        </w:rPr>
        <w:t>在其认为必要时</w:t>
      </w:r>
      <w:r>
        <w:rPr>
          <w:rFonts w:hint="eastAsia" w:ascii="宋体" w:hAnsi="宋体"/>
          <w:szCs w:val="21"/>
          <w:highlight w:val="none"/>
        </w:rPr>
        <w:t>，对乙方是否能够按照合同约定提供服务进行履约检查，以确保乙方所提供的服务能够依约满足甲方之项目需求，但不得因履约检查妨碍乙方的正常工作，乙方应予积极配合；</w:t>
      </w:r>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2.4.2 </w:t>
      </w:r>
      <w:r>
        <w:rPr>
          <w:rFonts w:hint="eastAsia" w:ascii="宋体" w:hAnsi="宋体"/>
          <w:szCs w:val="21"/>
          <w:highlight w:val="none"/>
        </w:rPr>
        <w:t>合同履行期间，甲方有权将履行过程中出现的问题反馈给乙方，双方当事人应以书面形式约定需要完善和改进的内容。</w:t>
      </w:r>
    </w:p>
    <w:p>
      <w:pPr>
        <w:snapToGrid w:val="0"/>
        <w:spacing w:line="288" w:lineRule="auto"/>
        <w:ind w:firstLine="424" w:firstLineChars="201"/>
        <w:rPr>
          <w:rFonts w:ascii="宋体" w:hAnsi="宋体"/>
          <w:b/>
          <w:szCs w:val="21"/>
          <w:highlight w:val="none"/>
        </w:rPr>
      </w:pPr>
      <w:bookmarkStart w:id="463" w:name="_Toc31233"/>
      <w:bookmarkStart w:id="464" w:name="_Toc22011"/>
      <w:bookmarkStart w:id="465" w:name="_Toc32670"/>
      <w:bookmarkStart w:id="466" w:name="_Toc26555"/>
      <w:bookmarkStart w:id="467" w:name="_Toc15447"/>
      <w:r>
        <w:rPr>
          <w:rFonts w:ascii="宋体" w:hAnsi="宋体"/>
          <w:b/>
          <w:szCs w:val="21"/>
          <w:highlight w:val="none"/>
        </w:rPr>
        <w:t>2.5 结算方式和付款条件</w:t>
      </w:r>
      <w:bookmarkEnd w:id="463"/>
      <w:bookmarkEnd w:id="464"/>
      <w:bookmarkEnd w:id="465"/>
      <w:bookmarkEnd w:id="466"/>
      <w:bookmarkEnd w:id="467"/>
    </w:p>
    <w:p>
      <w:pPr>
        <w:snapToGrid w:val="0"/>
        <w:spacing w:line="288" w:lineRule="auto"/>
        <w:ind w:firstLine="422" w:firstLineChars="201"/>
        <w:rPr>
          <w:rFonts w:ascii="宋体" w:hAnsi="宋体"/>
          <w:szCs w:val="21"/>
          <w:highlight w:val="none"/>
        </w:rPr>
      </w:pPr>
      <w:r>
        <w:rPr>
          <w:rFonts w:ascii="宋体" w:hAnsi="宋体"/>
          <w:szCs w:val="21"/>
          <w:highlight w:val="none"/>
        </w:rPr>
        <w:t>详见</w:t>
      </w:r>
      <w:r>
        <w:rPr>
          <w:rFonts w:ascii="宋体" w:hAnsi="宋体"/>
          <w:b/>
          <w:i/>
          <w:szCs w:val="21"/>
          <w:highlight w:val="none"/>
          <w:u w:val="single"/>
        </w:rPr>
        <w:t>合同专用条款</w:t>
      </w:r>
      <w:r>
        <w:rPr>
          <w:rFonts w:ascii="宋体" w:hAnsi="宋体"/>
          <w:szCs w:val="21"/>
          <w:highlight w:val="none"/>
        </w:rPr>
        <w:t>。</w:t>
      </w:r>
    </w:p>
    <w:p>
      <w:pPr>
        <w:snapToGrid w:val="0"/>
        <w:spacing w:line="288" w:lineRule="auto"/>
        <w:ind w:firstLine="424" w:firstLineChars="201"/>
        <w:rPr>
          <w:rFonts w:ascii="宋体" w:hAnsi="宋体"/>
          <w:b/>
          <w:szCs w:val="21"/>
          <w:highlight w:val="none"/>
        </w:rPr>
      </w:pPr>
      <w:bookmarkStart w:id="468" w:name="_Toc13154"/>
      <w:bookmarkStart w:id="469" w:name="_Toc16163"/>
      <w:bookmarkStart w:id="470" w:name="_Toc13467"/>
      <w:bookmarkStart w:id="471" w:name="_Toc30507"/>
      <w:bookmarkStart w:id="472" w:name="_Toc18990"/>
      <w:r>
        <w:rPr>
          <w:rFonts w:ascii="宋体" w:hAnsi="宋体"/>
          <w:b/>
          <w:szCs w:val="21"/>
          <w:highlight w:val="none"/>
        </w:rPr>
        <w:t>2.6 技术资料和保密义务</w:t>
      </w:r>
      <w:bookmarkEnd w:id="468"/>
      <w:bookmarkEnd w:id="469"/>
      <w:bookmarkEnd w:id="470"/>
      <w:bookmarkEnd w:id="471"/>
      <w:bookmarkEnd w:id="472"/>
    </w:p>
    <w:p>
      <w:pPr>
        <w:snapToGrid w:val="0"/>
        <w:spacing w:line="288" w:lineRule="auto"/>
        <w:ind w:firstLine="422" w:firstLineChars="201"/>
        <w:rPr>
          <w:rFonts w:ascii="宋体" w:hAnsi="宋体"/>
          <w:szCs w:val="21"/>
          <w:highlight w:val="none"/>
        </w:rPr>
      </w:pPr>
      <w:r>
        <w:rPr>
          <w:rFonts w:ascii="宋体" w:hAnsi="宋体"/>
          <w:szCs w:val="21"/>
          <w:highlight w:val="none"/>
        </w:rPr>
        <w:t>2.6.1 乙方有权依据合同约定和项目需要，向甲方了解有关情况，调阅有关资料等，甲方应予积极配合；</w:t>
      </w:r>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2.6.2 </w:t>
      </w:r>
      <w:r>
        <w:rPr>
          <w:rFonts w:hint="eastAsia" w:ascii="宋体" w:hAnsi="宋体"/>
          <w:szCs w:val="21"/>
          <w:highlight w:val="none"/>
        </w:rPr>
        <w:t>乙方有义务妥善保管和保护由甲方提供的前款信息和资料等；</w:t>
      </w:r>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2.6.3 </w:t>
      </w:r>
      <w:r>
        <w:rPr>
          <w:rFonts w:hint="eastAsia" w:ascii="宋体" w:hAnsi="宋体"/>
          <w:szCs w:val="21"/>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Cs w:val="21"/>
          <w:highlight w:val="none"/>
        </w:rPr>
        <w:t>技术情报</w:t>
      </w:r>
      <w:r>
        <w:rPr>
          <w:rFonts w:hint="eastAsia" w:ascii="宋体" w:hAnsi="宋体"/>
          <w:szCs w:val="21"/>
          <w:highlight w:val="none"/>
        </w:rPr>
        <w:t>、</w:t>
      </w:r>
      <w:r>
        <w:rPr>
          <w:rFonts w:ascii="宋体" w:hAnsi="宋体"/>
          <w:szCs w:val="21"/>
          <w:highlight w:val="none"/>
        </w:rPr>
        <w:t>技术资料</w:t>
      </w:r>
      <w:r>
        <w:rPr>
          <w:rFonts w:hint="eastAsia" w:ascii="宋体" w:hAnsi="宋体"/>
          <w:szCs w:val="21"/>
          <w:highlight w:val="none"/>
        </w:rPr>
        <w:t>、商业秘密和商业信息等，并采取一切合理和必要措施和方式防止任何第三方接触到对方当事人的上述保密信息和资料。</w:t>
      </w:r>
    </w:p>
    <w:p>
      <w:pPr>
        <w:snapToGrid w:val="0"/>
        <w:spacing w:line="288" w:lineRule="auto"/>
        <w:ind w:firstLine="424" w:firstLineChars="201"/>
        <w:rPr>
          <w:rFonts w:ascii="宋体" w:hAnsi="宋体"/>
          <w:b/>
          <w:szCs w:val="21"/>
          <w:highlight w:val="none"/>
        </w:rPr>
      </w:pPr>
      <w:bookmarkStart w:id="473" w:name="_Toc19069"/>
      <w:r>
        <w:rPr>
          <w:rFonts w:ascii="宋体" w:hAnsi="宋体"/>
          <w:b/>
          <w:szCs w:val="21"/>
          <w:highlight w:val="none"/>
        </w:rPr>
        <w:t xml:space="preserve">2.7 </w:t>
      </w:r>
      <w:r>
        <w:rPr>
          <w:rFonts w:hint="eastAsia" w:ascii="宋体" w:hAnsi="宋体"/>
          <w:b/>
          <w:szCs w:val="21"/>
          <w:highlight w:val="none"/>
        </w:rPr>
        <w:t>质量保证</w:t>
      </w:r>
      <w:bookmarkEnd w:id="473"/>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2.7.1 </w:t>
      </w:r>
      <w:r>
        <w:rPr>
          <w:rFonts w:hint="eastAsia" w:ascii="宋体" w:hAnsi="宋体"/>
          <w:szCs w:val="21"/>
          <w:highlight w:val="none"/>
        </w:rPr>
        <w:t>乙方应建立和完善履行合同的内部质量保证体系，并提供相关内部规章制度给甲方，以便甲方进行监督检查；</w:t>
      </w:r>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2.7.2 </w:t>
      </w:r>
      <w:r>
        <w:rPr>
          <w:rFonts w:hint="eastAsia" w:ascii="宋体" w:hAnsi="宋体"/>
          <w:szCs w:val="21"/>
          <w:highlight w:val="none"/>
        </w:rPr>
        <w:t>乙方应保证履行合同的人员数量和素质、软件和硬件设备的配置、场地、环境和设施等满足全面履行合同的要求，并应接受甲方的监督检查。</w:t>
      </w:r>
    </w:p>
    <w:p>
      <w:pPr>
        <w:snapToGrid w:val="0"/>
        <w:spacing w:line="288" w:lineRule="auto"/>
        <w:ind w:firstLine="424" w:firstLineChars="201"/>
        <w:rPr>
          <w:rFonts w:ascii="宋体" w:hAnsi="宋体"/>
          <w:b/>
          <w:szCs w:val="21"/>
          <w:highlight w:val="none"/>
        </w:rPr>
      </w:pPr>
      <w:bookmarkStart w:id="474" w:name="_Toc22267"/>
      <w:r>
        <w:rPr>
          <w:rFonts w:ascii="宋体" w:hAnsi="宋体"/>
          <w:b/>
          <w:szCs w:val="21"/>
          <w:highlight w:val="none"/>
        </w:rPr>
        <w:t xml:space="preserve">2.8 </w:t>
      </w:r>
      <w:r>
        <w:rPr>
          <w:rFonts w:hint="eastAsia" w:ascii="宋体" w:hAnsi="宋体"/>
          <w:b/>
          <w:szCs w:val="21"/>
          <w:highlight w:val="none"/>
        </w:rPr>
        <w:t>延迟履行</w:t>
      </w:r>
      <w:bookmarkEnd w:id="474"/>
    </w:p>
    <w:p>
      <w:pPr>
        <w:snapToGrid w:val="0"/>
        <w:spacing w:line="288" w:lineRule="auto"/>
        <w:ind w:firstLine="422" w:firstLineChars="201"/>
        <w:rPr>
          <w:rFonts w:ascii="宋体" w:hAnsi="宋体"/>
          <w:szCs w:val="21"/>
          <w:highlight w:val="none"/>
        </w:rPr>
      </w:pPr>
      <w:r>
        <w:rPr>
          <w:rFonts w:hint="eastAsia" w:ascii="宋体" w:hAnsi="宋体"/>
          <w:szCs w:val="21"/>
          <w:highlight w:val="none"/>
        </w:rPr>
        <w:t>甲乙双方签订合同后，乙方应按照合同约定履行合同义务，除不可抗力外，乙方不得延迟履行。</w:t>
      </w:r>
      <w:r>
        <w:rPr>
          <w:rFonts w:ascii="宋体" w:hAnsi="宋体"/>
          <w:szCs w:val="21"/>
          <w:highlight w:val="none"/>
        </w:rPr>
        <w:t>在合同履行过程中，如果</w:t>
      </w:r>
      <w:r>
        <w:rPr>
          <w:rFonts w:hint="eastAsia" w:ascii="宋体" w:hAnsi="宋体"/>
          <w:szCs w:val="21"/>
          <w:highlight w:val="none"/>
        </w:rPr>
        <w:t>因不可抗力，</w:t>
      </w:r>
      <w:r>
        <w:rPr>
          <w:rFonts w:ascii="宋体" w:hAnsi="宋体"/>
          <w:szCs w:val="21"/>
          <w:highlight w:val="none"/>
        </w:rPr>
        <w:t>乙方遇到不能按时</w:t>
      </w:r>
      <w:r>
        <w:rPr>
          <w:rFonts w:hint="eastAsia" w:ascii="宋体" w:hAnsi="宋体"/>
          <w:szCs w:val="21"/>
          <w:highlight w:val="none"/>
        </w:rPr>
        <w:t>提供服务</w:t>
      </w:r>
      <w:r>
        <w:rPr>
          <w:rFonts w:ascii="宋体" w:hAnsi="宋体"/>
          <w:szCs w:val="21"/>
          <w:highlight w:val="none"/>
        </w:rPr>
        <w:t>的情况，应及时以书面形式将不能按时</w:t>
      </w:r>
      <w:r>
        <w:rPr>
          <w:rFonts w:hint="eastAsia" w:ascii="宋体" w:hAnsi="宋体"/>
          <w:szCs w:val="21"/>
          <w:highlight w:val="none"/>
        </w:rPr>
        <w:t>提供服务</w:t>
      </w:r>
      <w:r>
        <w:rPr>
          <w:rFonts w:ascii="宋体" w:hAnsi="宋体"/>
          <w:szCs w:val="21"/>
          <w:highlight w:val="none"/>
        </w:rPr>
        <w:t>的理由、预期延误时间通知甲方</w:t>
      </w:r>
      <w:r>
        <w:rPr>
          <w:rFonts w:hint="eastAsia" w:ascii="宋体" w:hAnsi="宋体"/>
          <w:szCs w:val="21"/>
          <w:highlight w:val="none"/>
        </w:rPr>
        <w:t>；甲</w:t>
      </w:r>
      <w:r>
        <w:rPr>
          <w:rFonts w:ascii="宋体" w:hAnsi="宋体"/>
          <w:szCs w:val="21"/>
          <w:highlight w:val="none"/>
        </w:rPr>
        <w:t>方收到乙方通知后，认为其理由正当的，可以书面形式酌情同意乙方可以延长</w:t>
      </w:r>
      <w:r>
        <w:rPr>
          <w:rFonts w:hint="eastAsia" w:ascii="宋体" w:hAnsi="宋体"/>
          <w:szCs w:val="21"/>
          <w:highlight w:val="none"/>
        </w:rPr>
        <w:t>履行</w:t>
      </w:r>
      <w:r>
        <w:rPr>
          <w:rFonts w:ascii="宋体" w:hAnsi="宋体"/>
          <w:szCs w:val="21"/>
          <w:highlight w:val="none"/>
        </w:rPr>
        <w:t>的具体时间。</w:t>
      </w:r>
    </w:p>
    <w:p>
      <w:pPr>
        <w:snapToGrid w:val="0"/>
        <w:spacing w:line="288" w:lineRule="auto"/>
        <w:ind w:firstLine="424" w:firstLineChars="201"/>
        <w:rPr>
          <w:rFonts w:ascii="宋体" w:hAnsi="宋体"/>
          <w:b/>
          <w:szCs w:val="21"/>
          <w:highlight w:val="none"/>
        </w:rPr>
      </w:pPr>
      <w:bookmarkStart w:id="475" w:name="_Toc10611"/>
      <w:r>
        <w:rPr>
          <w:rFonts w:ascii="宋体" w:hAnsi="宋体"/>
          <w:b/>
          <w:szCs w:val="21"/>
          <w:highlight w:val="none"/>
        </w:rPr>
        <w:t xml:space="preserve">2.9 </w:t>
      </w:r>
      <w:r>
        <w:rPr>
          <w:rFonts w:hint="eastAsia" w:ascii="宋体" w:hAnsi="宋体"/>
          <w:b/>
          <w:szCs w:val="21"/>
          <w:highlight w:val="none"/>
        </w:rPr>
        <w:t>合同变更</w:t>
      </w:r>
      <w:bookmarkEnd w:id="475"/>
    </w:p>
    <w:p>
      <w:pPr>
        <w:snapToGrid w:val="0"/>
        <w:spacing w:line="288" w:lineRule="auto"/>
        <w:ind w:firstLine="422" w:firstLineChars="201"/>
        <w:rPr>
          <w:rFonts w:ascii="宋体" w:hAnsi="宋体"/>
          <w:szCs w:val="21"/>
          <w:highlight w:val="none"/>
        </w:rPr>
      </w:pPr>
      <w:r>
        <w:rPr>
          <w:rFonts w:hint="eastAsia" w:ascii="宋体" w:hAnsi="宋体"/>
          <w:szCs w:val="21"/>
          <w:highlight w:val="none"/>
        </w:rPr>
        <w:t>合同继续履行将损害国家利益和社会公共利益的，双方当事人应当以书面形式变更合同。有过错的一方应当承担赔偿责任，双方当事人都有过错的，各自承担相应的责任。</w:t>
      </w:r>
    </w:p>
    <w:p>
      <w:pPr>
        <w:snapToGrid w:val="0"/>
        <w:spacing w:line="288" w:lineRule="auto"/>
        <w:ind w:firstLine="424" w:firstLineChars="201"/>
        <w:rPr>
          <w:rFonts w:ascii="宋体" w:hAnsi="宋体"/>
          <w:b/>
          <w:szCs w:val="21"/>
          <w:highlight w:val="none"/>
        </w:rPr>
      </w:pPr>
      <w:bookmarkStart w:id="476" w:name="_Toc23368"/>
      <w:bookmarkStart w:id="477" w:name="_Toc21830"/>
      <w:bookmarkStart w:id="478" w:name="_Toc26689"/>
      <w:bookmarkStart w:id="479" w:name="_Toc42"/>
      <w:bookmarkStart w:id="480" w:name="_Toc10663"/>
      <w:r>
        <w:rPr>
          <w:rFonts w:ascii="宋体" w:hAnsi="宋体"/>
          <w:b/>
          <w:szCs w:val="21"/>
          <w:highlight w:val="none"/>
        </w:rPr>
        <w:t>2.10 合同转让和分包</w:t>
      </w:r>
      <w:bookmarkEnd w:id="476"/>
      <w:bookmarkEnd w:id="477"/>
      <w:bookmarkEnd w:id="478"/>
      <w:bookmarkEnd w:id="479"/>
      <w:bookmarkEnd w:id="480"/>
    </w:p>
    <w:p>
      <w:pPr>
        <w:snapToGrid w:val="0"/>
        <w:spacing w:line="288" w:lineRule="auto"/>
        <w:ind w:firstLine="422" w:firstLineChars="201"/>
        <w:rPr>
          <w:rFonts w:ascii="宋体" w:hAnsi="宋体"/>
          <w:szCs w:val="21"/>
          <w:highlight w:val="none"/>
        </w:rPr>
      </w:pPr>
      <w:r>
        <w:rPr>
          <w:rFonts w:ascii="宋体" w:hAnsi="宋体"/>
          <w:szCs w:val="21"/>
          <w:highlight w:val="none"/>
        </w:rPr>
        <w:t>合同的权利义务依法不</w:t>
      </w:r>
      <w:r>
        <w:rPr>
          <w:rFonts w:hint="eastAsia" w:ascii="宋体" w:hAnsi="宋体"/>
          <w:szCs w:val="21"/>
          <w:highlight w:val="none"/>
        </w:rPr>
        <w:t>得</w:t>
      </w:r>
      <w:r>
        <w:rPr>
          <w:rFonts w:ascii="宋体" w:hAnsi="宋体"/>
          <w:szCs w:val="21"/>
          <w:highlight w:val="none"/>
        </w:rPr>
        <w:t>转让</w:t>
      </w:r>
      <w:r>
        <w:rPr>
          <w:rFonts w:hint="eastAsia" w:ascii="宋体" w:hAnsi="宋体"/>
          <w:szCs w:val="21"/>
          <w:highlight w:val="none"/>
        </w:rPr>
        <w:t>，</w:t>
      </w:r>
      <w:r>
        <w:rPr>
          <w:rFonts w:ascii="宋体" w:hAnsi="宋体"/>
          <w:szCs w:val="21"/>
          <w:highlight w:val="none"/>
        </w:rPr>
        <w:t>但经甲方</w:t>
      </w:r>
      <w:r>
        <w:rPr>
          <w:rFonts w:hint="eastAsia" w:ascii="宋体" w:hAnsi="宋体"/>
          <w:szCs w:val="21"/>
          <w:highlight w:val="none"/>
        </w:rPr>
        <w:t>同意，乙方可以依法采取分包方式履行合同，即：依法可以</w:t>
      </w:r>
      <w:r>
        <w:rPr>
          <w:rFonts w:ascii="宋体" w:hAnsi="宋体"/>
          <w:szCs w:val="21"/>
          <w:highlight w:val="none"/>
        </w:rPr>
        <w:t>将合同项下的部分非主体、非关键性工作分包给他人完成</w:t>
      </w:r>
      <w:r>
        <w:rPr>
          <w:rFonts w:hint="eastAsia" w:ascii="宋体" w:hAnsi="宋体"/>
          <w:szCs w:val="21"/>
          <w:highlight w:val="none"/>
        </w:rPr>
        <w:t>，</w:t>
      </w:r>
      <w:r>
        <w:rPr>
          <w:rFonts w:ascii="宋体" w:hAnsi="宋体"/>
          <w:szCs w:val="21"/>
          <w:highlight w:val="none"/>
        </w:rPr>
        <w:t>接受分包的人应当具备相应的资格条件，并不得再次分包</w:t>
      </w:r>
      <w:r>
        <w:rPr>
          <w:rFonts w:hint="eastAsia" w:ascii="宋体" w:hAnsi="宋体"/>
          <w:szCs w:val="21"/>
          <w:highlight w:val="none"/>
        </w:rPr>
        <w:t>，</w:t>
      </w:r>
      <w:r>
        <w:rPr>
          <w:rFonts w:ascii="宋体" w:hAnsi="宋体"/>
          <w:szCs w:val="21"/>
          <w:highlight w:val="none"/>
        </w:rPr>
        <w:t>且乙方应就分包项目向甲方负责</w:t>
      </w:r>
      <w:r>
        <w:rPr>
          <w:rFonts w:hint="eastAsia" w:ascii="宋体" w:hAnsi="宋体"/>
          <w:szCs w:val="21"/>
          <w:highlight w:val="none"/>
        </w:rPr>
        <w:t>，</w:t>
      </w:r>
      <w:r>
        <w:rPr>
          <w:rFonts w:ascii="宋体" w:hAnsi="宋体"/>
          <w:szCs w:val="21"/>
          <w:highlight w:val="none"/>
        </w:rPr>
        <w:t>并</w:t>
      </w:r>
      <w:r>
        <w:rPr>
          <w:rFonts w:hint="eastAsia" w:ascii="宋体" w:hAnsi="宋体"/>
          <w:szCs w:val="21"/>
          <w:highlight w:val="none"/>
        </w:rPr>
        <w:t>与分包供应商就分包项目向甲方承担连带责任。</w:t>
      </w:r>
    </w:p>
    <w:p>
      <w:pPr>
        <w:snapToGrid w:val="0"/>
        <w:spacing w:line="288" w:lineRule="auto"/>
        <w:ind w:firstLine="424" w:firstLineChars="201"/>
        <w:rPr>
          <w:rFonts w:ascii="宋体" w:hAnsi="宋体"/>
          <w:b/>
          <w:szCs w:val="21"/>
          <w:highlight w:val="none"/>
        </w:rPr>
      </w:pPr>
      <w:bookmarkStart w:id="481" w:name="_Toc4720"/>
      <w:bookmarkStart w:id="482" w:name="_Toc26633"/>
      <w:bookmarkStart w:id="483" w:name="_Toc32494"/>
      <w:bookmarkStart w:id="484" w:name="_Toc14371"/>
      <w:bookmarkStart w:id="485" w:name="_Toc25571"/>
      <w:r>
        <w:rPr>
          <w:rFonts w:ascii="宋体" w:hAnsi="宋体"/>
          <w:b/>
          <w:szCs w:val="21"/>
          <w:highlight w:val="none"/>
        </w:rPr>
        <w:t>2.11 不可抗力</w:t>
      </w:r>
      <w:bookmarkEnd w:id="481"/>
      <w:bookmarkEnd w:id="482"/>
      <w:bookmarkEnd w:id="483"/>
      <w:bookmarkEnd w:id="484"/>
      <w:bookmarkEnd w:id="485"/>
    </w:p>
    <w:p>
      <w:pPr>
        <w:snapToGrid w:val="0"/>
        <w:spacing w:line="288" w:lineRule="auto"/>
        <w:ind w:firstLine="422" w:firstLineChars="201"/>
        <w:rPr>
          <w:rFonts w:ascii="宋体" w:hAnsi="宋体"/>
          <w:szCs w:val="21"/>
          <w:highlight w:val="none"/>
        </w:rPr>
      </w:pPr>
      <w:r>
        <w:rPr>
          <w:rFonts w:ascii="宋体" w:hAnsi="宋体"/>
          <w:szCs w:val="21"/>
          <w:highlight w:val="none"/>
        </w:rPr>
        <w:t>2.11.1如果任何一方遭遇法律规定的不可抗力，致使合同履行受阻时，履行合同的期限应予延长，延长的期限应相当于不可抗力所影响的时间</w:t>
      </w:r>
      <w:r>
        <w:rPr>
          <w:rFonts w:hint="eastAsia" w:ascii="宋体" w:hAnsi="宋体"/>
          <w:szCs w:val="21"/>
          <w:highlight w:val="none"/>
        </w:rPr>
        <w:t>；</w:t>
      </w:r>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2.11.2 </w:t>
      </w:r>
      <w:r>
        <w:rPr>
          <w:rFonts w:hint="eastAsia" w:ascii="宋体" w:hAnsi="宋体"/>
          <w:szCs w:val="21"/>
          <w:highlight w:val="none"/>
        </w:rPr>
        <w:t>因不可抗力致使不能实现合同目的的，当事人可以解除合同；</w:t>
      </w:r>
    </w:p>
    <w:p>
      <w:pPr>
        <w:snapToGrid w:val="0"/>
        <w:spacing w:line="288" w:lineRule="auto"/>
        <w:ind w:firstLine="422" w:firstLineChars="201"/>
        <w:rPr>
          <w:rFonts w:ascii="宋体" w:hAnsi="宋体"/>
          <w:szCs w:val="21"/>
          <w:highlight w:val="none"/>
        </w:rPr>
      </w:pPr>
      <w:r>
        <w:rPr>
          <w:rFonts w:ascii="宋体" w:hAnsi="宋体"/>
          <w:szCs w:val="21"/>
          <w:highlight w:val="none"/>
        </w:rPr>
        <w:t xml:space="preserve">2.11.3 </w:t>
      </w:r>
      <w:r>
        <w:rPr>
          <w:rFonts w:hint="eastAsia" w:ascii="宋体" w:hAnsi="宋体"/>
          <w:szCs w:val="21"/>
          <w:highlight w:val="none"/>
        </w:rPr>
        <w:t>因</w:t>
      </w:r>
      <w:r>
        <w:rPr>
          <w:rFonts w:ascii="宋体" w:hAnsi="宋体"/>
          <w:szCs w:val="21"/>
          <w:highlight w:val="none"/>
        </w:rPr>
        <w:t>不可抗力致使合同有变更必要的，双方当事人应在</w:t>
      </w:r>
      <w:r>
        <w:rPr>
          <w:rFonts w:ascii="宋体" w:hAnsi="宋体"/>
          <w:b/>
          <w:i/>
          <w:szCs w:val="21"/>
          <w:highlight w:val="none"/>
          <w:u w:val="single"/>
        </w:rPr>
        <w:t>合同专用条款</w:t>
      </w:r>
      <w:r>
        <w:rPr>
          <w:rFonts w:ascii="宋体" w:hAnsi="宋体"/>
          <w:szCs w:val="21"/>
          <w:highlight w:val="none"/>
        </w:rPr>
        <w:t>约定时间内以书面形式变更合同</w:t>
      </w:r>
      <w:r>
        <w:rPr>
          <w:rFonts w:hint="eastAsia" w:ascii="宋体" w:hAnsi="宋体"/>
          <w:szCs w:val="21"/>
          <w:highlight w:val="none"/>
        </w:rPr>
        <w:t>；</w:t>
      </w:r>
    </w:p>
    <w:p>
      <w:pPr>
        <w:snapToGrid w:val="0"/>
        <w:spacing w:line="288" w:lineRule="auto"/>
        <w:ind w:firstLine="422" w:firstLineChars="201"/>
        <w:rPr>
          <w:rFonts w:ascii="宋体" w:hAnsi="宋体"/>
          <w:szCs w:val="21"/>
          <w:highlight w:val="none"/>
        </w:rPr>
      </w:pPr>
      <w:r>
        <w:rPr>
          <w:rFonts w:ascii="宋体" w:hAnsi="宋体"/>
          <w:szCs w:val="21"/>
          <w:highlight w:val="none"/>
        </w:rPr>
        <w:t>2.11.4受</w:t>
      </w:r>
      <w:r>
        <w:rPr>
          <w:rFonts w:hint="eastAsia" w:ascii="宋体" w:hAnsi="宋体"/>
          <w:szCs w:val="21"/>
          <w:highlight w:val="none"/>
        </w:rPr>
        <w:t>不可抗力</w:t>
      </w:r>
      <w:r>
        <w:rPr>
          <w:rFonts w:ascii="宋体" w:hAnsi="宋体"/>
          <w:szCs w:val="21"/>
          <w:highlight w:val="none"/>
        </w:rPr>
        <w:t>影响的一方在不可抗力发生后</w:t>
      </w:r>
      <w:r>
        <w:rPr>
          <w:rFonts w:hint="eastAsia" w:ascii="宋体" w:hAnsi="宋体"/>
          <w:szCs w:val="21"/>
          <w:highlight w:val="none"/>
        </w:rPr>
        <w:t>，</w:t>
      </w:r>
      <w:r>
        <w:rPr>
          <w:rFonts w:ascii="宋体" w:hAnsi="宋体"/>
          <w:szCs w:val="21"/>
          <w:highlight w:val="none"/>
        </w:rPr>
        <w:t>应在</w:t>
      </w:r>
      <w:r>
        <w:rPr>
          <w:rFonts w:ascii="宋体" w:hAnsi="宋体"/>
          <w:b/>
          <w:i/>
          <w:szCs w:val="21"/>
          <w:highlight w:val="none"/>
          <w:u w:val="single"/>
        </w:rPr>
        <w:t>合同专用条款</w:t>
      </w:r>
      <w:r>
        <w:rPr>
          <w:rFonts w:ascii="宋体" w:hAnsi="宋体"/>
          <w:szCs w:val="21"/>
          <w:highlight w:val="none"/>
        </w:rPr>
        <w:t>约定时间内以书面形式通知</w:t>
      </w:r>
      <w:r>
        <w:rPr>
          <w:rFonts w:hint="eastAsia" w:ascii="宋体" w:hAnsi="宋体"/>
          <w:szCs w:val="21"/>
          <w:highlight w:val="none"/>
        </w:rPr>
        <w:t>对</w:t>
      </w:r>
      <w:r>
        <w:rPr>
          <w:rFonts w:ascii="宋体" w:hAnsi="宋体"/>
          <w:szCs w:val="21"/>
          <w:highlight w:val="none"/>
        </w:rPr>
        <w:t>方当事人，并在</w:t>
      </w:r>
      <w:r>
        <w:rPr>
          <w:rFonts w:ascii="宋体" w:hAnsi="宋体"/>
          <w:b/>
          <w:i/>
          <w:szCs w:val="21"/>
          <w:highlight w:val="none"/>
          <w:u w:val="single"/>
        </w:rPr>
        <w:t>合同专用条款</w:t>
      </w:r>
      <w:r>
        <w:rPr>
          <w:rFonts w:ascii="宋体" w:hAnsi="宋体"/>
          <w:szCs w:val="21"/>
          <w:highlight w:val="none"/>
        </w:rPr>
        <w:t>约定时间内，将有关部门出具的证明文件送达</w:t>
      </w:r>
      <w:r>
        <w:rPr>
          <w:rFonts w:hint="eastAsia" w:ascii="宋体" w:hAnsi="宋体"/>
          <w:szCs w:val="21"/>
          <w:highlight w:val="none"/>
        </w:rPr>
        <w:t>对方当事人</w:t>
      </w:r>
      <w:r>
        <w:rPr>
          <w:rFonts w:ascii="宋体" w:hAnsi="宋体"/>
          <w:szCs w:val="21"/>
          <w:highlight w:val="none"/>
        </w:rPr>
        <w:t>。</w:t>
      </w:r>
    </w:p>
    <w:p>
      <w:pPr>
        <w:snapToGrid w:val="0"/>
        <w:spacing w:line="288" w:lineRule="auto"/>
        <w:ind w:firstLine="424" w:firstLineChars="201"/>
        <w:rPr>
          <w:rFonts w:ascii="宋体" w:hAnsi="宋体"/>
          <w:b/>
          <w:szCs w:val="21"/>
          <w:highlight w:val="none"/>
        </w:rPr>
      </w:pPr>
      <w:bookmarkStart w:id="486" w:name="_Toc14115"/>
      <w:bookmarkStart w:id="487" w:name="_Toc23854"/>
      <w:bookmarkStart w:id="488" w:name="_Toc25783"/>
      <w:bookmarkStart w:id="489" w:name="_Toc24465"/>
      <w:bookmarkStart w:id="490" w:name="_Toc3638"/>
      <w:r>
        <w:rPr>
          <w:rFonts w:ascii="宋体" w:hAnsi="宋体"/>
          <w:b/>
          <w:szCs w:val="21"/>
          <w:highlight w:val="none"/>
        </w:rPr>
        <w:t>2.12 税费</w:t>
      </w:r>
      <w:bookmarkEnd w:id="486"/>
      <w:bookmarkEnd w:id="487"/>
      <w:bookmarkEnd w:id="488"/>
      <w:bookmarkEnd w:id="489"/>
      <w:bookmarkEnd w:id="490"/>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均按照中华人民共和国法律的相关规定缴纳。</w:t>
      </w:r>
    </w:p>
    <w:p>
      <w:pPr>
        <w:snapToGrid w:val="0"/>
        <w:spacing w:line="288" w:lineRule="auto"/>
        <w:ind w:firstLine="424" w:firstLineChars="201"/>
        <w:rPr>
          <w:rFonts w:ascii="宋体" w:hAnsi="宋体"/>
          <w:b/>
          <w:color w:val="auto"/>
          <w:szCs w:val="21"/>
          <w:highlight w:val="none"/>
        </w:rPr>
      </w:pPr>
      <w:bookmarkStart w:id="491" w:name="_Toc30105"/>
      <w:bookmarkStart w:id="492" w:name="_Toc14814"/>
      <w:bookmarkStart w:id="493" w:name="_Toc25525"/>
      <w:bookmarkStart w:id="494" w:name="_Toc7315"/>
      <w:bookmarkStart w:id="495" w:name="_Toc26883"/>
      <w:r>
        <w:rPr>
          <w:rFonts w:ascii="宋体" w:hAnsi="宋体"/>
          <w:b/>
          <w:color w:val="auto"/>
          <w:szCs w:val="21"/>
          <w:highlight w:val="none"/>
        </w:rPr>
        <w:t>2.13 乙方破产</w:t>
      </w:r>
      <w:bookmarkEnd w:id="491"/>
      <w:bookmarkEnd w:id="492"/>
      <w:bookmarkEnd w:id="493"/>
      <w:bookmarkEnd w:id="494"/>
      <w:bookmarkEnd w:id="495"/>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pPr>
        <w:snapToGrid w:val="0"/>
        <w:spacing w:line="288" w:lineRule="auto"/>
        <w:ind w:firstLine="424" w:firstLineChars="201"/>
        <w:rPr>
          <w:rFonts w:ascii="宋体" w:hAnsi="宋体"/>
          <w:b/>
          <w:color w:val="auto"/>
          <w:szCs w:val="21"/>
          <w:highlight w:val="none"/>
        </w:rPr>
      </w:pPr>
      <w:bookmarkStart w:id="496" w:name="_Toc2016"/>
      <w:bookmarkStart w:id="497" w:name="_Toc1123"/>
      <w:bookmarkStart w:id="498" w:name="_Toc23323"/>
      <w:r>
        <w:rPr>
          <w:rFonts w:ascii="宋体" w:hAnsi="宋体"/>
          <w:b/>
          <w:color w:val="auto"/>
          <w:szCs w:val="21"/>
          <w:highlight w:val="none"/>
        </w:rPr>
        <w:t>2.14 合同中止、终止</w:t>
      </w:r>
      <w:bookmarkEnd w:id="496"/>
      <w:bookmarkEnd w:id="497"/>
      <w:bookmarkEnd w:id="498"/>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 xml:space="preserve">2.14.1 </w:t>
      </w:r>
      <w:r>
        <w:rPr>
          <w:rFonts w:hint="eastAsia" w:ascii="宋体" w:hAnsi="宋体"/>
          <w:color w:val="auto"/>
          <w:szCs w:val="21"/>
          <w:highlight w:val="none"/>
        </w:rPr>
        <w:t>双方当事人不得擅自中止或者终止合同；</w:t>
      </w:r>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pPr>
        <w:snapToGrid w:val="0"/>
        <w:spacing w:line="288" w:lineRule="auto"/>
        <w:ind w:firstLine="424" w:firstLineChars="201"/>
        <w:rPr>
          <w:rFonts w:ascii="宋体" w:hAnsi="宋体"/>
          <w:b/>
          <w:color w:val="auto"/>
          <w:szCs w:val="21"/>
          <w:highlight w:val="none"/>
        </w:rPr>
      </w:pPr>
      <w:bookmarkStart w:id="499" w:name="_Toc14525"/>
      <w:bookmarkStart w:id="500" w:name="_Toc1969"/>
      <w:bookmarkStart w:id="501" w:name="_Toc17363"/>
      <w:r>
        <w:rPr>
          <w:rFonts w:ascii="宋体" w:hAnsi="宋体"/>
          <w:b/>
          <w:color w:val="auto"/>
          <w:szCs w:val="21"/>
          <w:highlight w:val="none"/>
        </w:rPr>
        <w:t>2.15 检验和验收</w:t>
      </w:r>
      <w:bookmarkEnd w:id="499"/>
      <w:bookmarkEnd w:id="500"/>
      <w:bookmarkEnd w:id="501"/>
    </w:p>
    <w:p>
      <w:pPr>
        <w:tabs>
          <w:tab w:val="left" w:pos="360"/>
          <w:tab w:val="left" w:pos="540"/>
          <w:tab w:val="left" w:pos="1080"/>
        </w:tabs>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 xml:space="preserve">2.15.1 </w:t>
      </w:r>
      <w:r>
        <w:rPr>
          <w:rFonts w:hint="eastAsia" w:ascii="宋体" w:hAnsi="宋体"/>
          <w:color w:val="auto"/>
          <w:szCs w:val="21"/>
          <w:highlight w:val="none"/>
        </w:rPr>
        <w:t>乙方按照</w:t>
      </w:r>
      <w:r>
        <w:rPr>
          <w:rFonts w:ascii="宋体" w:hAnsi="宋体"/>
          <w:b/>
          <w:i/>
          <w:color w:val="auto"/>
          <w:szCs w:val="21"/>
          <w:highlight w:val="none"/>
          <w:u w:val="single"/>
        </w:rPr>
        <w:t>合同专用条款</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ascii="宋体" w:hAnsi="宋体"/>
          <w:b/>
          <w:i/>
          <w:color w:val="auto"/>
          <w:szCs w:val="21"/>
          <w:highlight w:val="none"/>
          <w:u w:val="single"/>
        </w:rPr>
        <w:t>合同专用条款</w:t>
      </w:r>
      <w:r>
        <w:rPr>
          <w:rFonts w:ascii="宋体" w:hAnsi="宋体"/>
          <w:color w:val="auto"/>
          <w:szCs w:val="21"/>
          <w:highlight w:val="none"/>
        </w:rPr>
        <w:t>的约定进行定期验收</w:t>
      </w:r>
      <w:r>
        <w:rPr>
          <w:rFonts w:hint="eastAsia" w:ascii="宋体" w:hAnsi="宋体"/>
          <w:color w:val="auto"/>
          <w:szCs w:val="21"/>
          <w:highlight w:val="none"/>
        </w:rPr>
        <w:t>；</w:t>
      </w:r>
    </w:p>
    <w:p>
      <w:pPr>
        <w:tabs>
          <w:tab w:val="left" w:pos="360"/>
          <w:tab w:val="left" w:pos="540"/>
          <w:tab w:val="left" w:pos="1080"/>
        </w:tabs>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 xml:space="preserve">2.15.2 </w:t>
      </w:r>
      <w:r>
        <w:rPr>
          <w:rFonts w:hint="eastAsia" w:ascii="宋体" w:hAnsi="宋体"/>
          <w:color w:val="auto"/>
          <w:szCs w:val="21"/>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 xml:space="preserve">2.15.3 </w:t>
      </w:r>
      <w:r>
        <w:rPr>
          <w:rFonts w:hint="eastAsia" w:ascii="宋体" w:hAnsi="宋体"/>
          <w:color w:val="auto"/>
          <w:szCs w:val="21"/>
          <w:highlight w:val="none"/>
        </w:rPr>
        <w:t>检验和验收标准、程序等具体内容以及前述验收书的效力详见</w:t>
      </w:r>
      <w:r>
        <w:rPr>
          <w:rFonts w:ascii="宋体" w:hAnsi="宋体"/>
          <w:b/>
          <w:i/>
          <w:color w:val="auto"/>
          <w:szCs w:val="21"/>
          <w:highlight w:val="none"/>
          <w:u w:val="single"/>
        </w:rPr>
        <w:t>合同专用条款</w:t>
      </w:r>
      <w:r>
        <w:rPr>
          <w:rFonts w:hint="eastAsia" w:ascii="宋体" w:hAnsi="宋体"/>
          <w:i/>
          <w:color w:val="auto"/>
          <w:szCs w:val="21"/>
          <w:highlight w:val="none"/>
        </w:rPr>
        <w:t>。</w:t>
      </w:r>
    </w:p>
    <w:p>
      <w:pPr>
        <w:snapToGrid w:val="0"/>
        <w:spacing w:line="288" w:lineRule="auto"/>
        <w:ind w:firstLine="424" w:firstLineChars="201"/>
        <w:rPr>
          <w:rFonts w:ascii="宋体" w:hAnsi="宋体"/>
          <w:b/>
          <w:color w:val="auto"/>
          <w:szCs w:val="21"/>
          <w:highlight w:val="none"/>
        </w:rPr>
      </w:pPr>
      <w:bookmarkStart w:id="502" w:name="_Toc12666"/>
      <w:bookmarkStart w:id="503" w:name="_Toc31892"/>
      <w:bookmarkStart w:id="504" w:name="_Toc25198"/>
      <w:bookmarkStart w:id="505" w:name="_Toc2308"/>
      <w:bookmarkStart w:id="506" w:name="_Toc9808"/>
      <w:r>
        <w:rPr>
          <w:rFonts w:ascii="宋体" w:hAnsi="宋体"/>
          <w:b/>
          <w:color w:val="auto"/>
          <w:szCs w:val="21"/>
          <w:highlight w:val="none"/>
        </w:rPr>
        <w:t>2.16 通知和送达</w:t>
      </w:r>
      <w:bookmarkEnd w:id="502"/>
      <w:bookmarkEnd w:id="503"/>
      <w:bookmarkEnd w:id="504"/>
      <w:bookmarkEnd w:id="505"/>
      <w:bookmarkEnd w:id="506"/>
    </w:p>
    <w:p>
      <w:pPr>
        <w:snapToGrid w:val="0"/>
        <w:spacing w:line="288" w:lineRule="auto"/>
        <w:ind w:firstLine="422" w:firstLineChars="201"/>
        <w:rPr>
          <w:rFonts w:ascii="宋体" w:hAnsi="宋体"/>
          <w:color w:val="auto"/>
          <w:szCs w:val="21"/>
          <w:highlight w:val="none"/>
        </w:rPr>
      </w:pPr>
      <w:bookmarkStart w:id="507" w:name="_Toc18401"/>
      <w:bookmarkStart w:id="508" w:name="_Toc27674"/>
      <w:r>
        <w:rPr>
          <w:rFonts w:ascii="宋体" w:hAnsi="宋体"/>
          <w:color w:val="auto"/>
          <w:szCs w:val="21"/>
          <w:highlight w:val="none"/>
        </w:rPr>
        <w:t>2.17.1</w:t>
      </w:r>
      <w:r>
        <w:rPr>
          <w:rFonts w:hint="eastAsia" w:ascii="宋体" w:hAnsi="宋体"/>
          <w:color w:val="auto"/>
          <w:szCs w:val="21"/>
          <w:highlight w:val="none"/>
        </w:rPr>
        <w:t>任何一方因履行合同而以合同第一部分尾部所列明的传真或电子邮件</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发出的所有通知、文件、材料，均视为已向对方当事人送达；任何一方变更上述送达方式或者地址的，应于</w:t>
      </w:r>
      <w:r>
        <w:rPr>
          <w:rFonts w:ascii="宋体" w:hAnsi="宋体"/>
          <w:color w:val="auto"/>
          <w:szCs w:val="21"/>
          <w:highlight w:val="none"/>
          <w:u w:val="single"/>
        </w:rPr>
        <w:t>3</w:t>
      </w:r>
      <w:r>
        <w:rPr>
          <w:rFonts w:hint="eastAsia" w:ascii="宋体" w:hAnsi="宋体"/>
          <w:color w:val="auto"/>
          <w:szCs w:val="21"/>
          <w:highlight w:val="none"/>
        </w:rPr>
        <w:t>个工作日内书面通知对方当事人，在对方当事人收到有关变更通知之前，变更前的约定送达方式或者地址仍视为有效。</w:t>
      </w:r>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Cs w:val="21"/>
          <w:highlight w:val="none"/>
        </w:rPr>
        <w:t>的，邮件挂号寄出或者交邮之日之次日视为送达。</w:t>
      </w:r>
      <w:bookmarkEnd w:id="507"/>
      <w:bookmarkEnd w:id="508"/>
    </w:p>
    <w:p>
      <w:pPr>
        <w:snapToGrid w:val="0"/>
        <w:spacing w:line="288" w:lineRule="auto"/>
        <w:ind w:firstLine="424" w:firstLineChars="201"/>
        <w:rPr>
          <w:rFonts w:ascii="宋体" w:hAnsi="宋体"/>
          <w:b/>
          <w:color w:val="auto"/>
          <w:szCs w:val="21"/>
          <w:highlight w:val="none"/>
        </w:rPr>
      </w:pPr>
      <w:bookmarkStart w:id="509" w:name="_Toc27644"/>
      <w:bookmarkStart w:id="510" w:name="_Toc28906"/>
      <w:bookmarkStart w:id="511" w:name="_Toc20808"/>
      <w:bookmarkStart w:id="512" w:name="_Toc12254"/>
      <w:bookmarkStart w:id="513" w:name="_Toc5063"/>
      <w:r>
        <w:rPr>
          <w:rFonts w:ascii="宋体" w:hAnsi="宋体"/>
          <w:b/>
          <w:color w:val="auto"/>
          <w:szCs w:val="21"/>
          <w:highlight w:val="none"/>
        </w:rPr>
        <w:t xml:space="preserve">2.17 </w:t>
      </w:r>
      <w:r>
        <w:rPr>
          <w:rFonts w:hint="eastAsia" w:ascii="宋体" w:hAnsi="宋体"/>
          <w:b/>
          <w:color w:val="auto"/>
          <w:szCs w:val="21"/>
          <w:highlight w:val="none"/>
        </w:rPr>
        <w:t>合同使用的文字和</w:t>
      </w:r>
      <w:r>
        <w:rPr>
          <w:rFonts w:ascii="宋体" w:hAnsi="宋体"/>
          <w:b/>
          <w:color w:val="auto"/>
          <w:szCs w:val="21"/>
          <w:highlight w:val="none"/>
        </w:rPr>
        <w:t>适用的法律</w:t>
      </w:r>
      <w:bookmarkEnd w:id="509"/>
      <w:bookmarkEnd w:id="510"/>
      <w:bookmarkEnd w:id="511"/>
      <w:bookmarkEnd w:id="512"/>
      <w:bookmarkEnd w:id="513"/>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2.17.1 合同使用汉语书就</w:t>
      </w:r>
      <w:r>
        <w:rPr>
          <w:rFonts w:hint="eastAsia" w:ascii="宋体" w:hAnsi="宋体"/>
          <w:color w:val="auto"/>
          <w:szCs w:val="21"/>
          <w:highlight w:val="none"/>
        </w:rPr>
        <w:t>、</w:t>
      </w:r>
      <w:r>
        <w:rPr>
          <w:rFonts w:ascii="宋体" w:hAnsi="宋体"/>
          <w:color w:val="auto"/>
          <w:szCs w:val="21"/>
          <w:highlight w:val="none"/>
        </w:rPr>
        <w:t>变更和解释</w:t>
      </w:r>
      <w:r>
        <w:rPr>
          <w:rFonts w:hint="eastAsia" w:ascii="宋体" w:hAnsi="宋体"/>
          <w:color w:val="auto"/>
          <w:szCs w:val="21"/>
          <w:highlight w:val="none"/>
        </w:rPr>
        <w:t>；</w:t>
      </w:r>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 xml:space="preserve">2.17.2 </w:t>
      </w:r>
      <w:r>
        <w:rPr>
          <w:rFonts w:hint="eastAsia" w:ascii="宋体" w:hAnsi="宋体"/>
          <w:color w:val="auto"/>
          <w:szCs w:val="21"/>
          <w:highlight w:val="none"/>
        </w:rPr>
        <w:t>合同适用</w:t>
      </w:r>
      <w:r>
        <w:rPr>
          <w:rFonts w:ascii="宋体" w:hAnsi="宋体"/>
          <w:color w:val="auto"/>
          <w:szCs w:val="21"/>
          <w:highlight w:val="none"/>
        </w:rPr>
        <w:t>中华人民共和国法律。</w:t>
      </w:r>
    </w:p>
    <w:p>
      <w:pPr>
        <w:snapToGrid w:val="0"/>
        <w:spacing w:line="288" w:lineRule="auto"/>
        <w:ind w:firstLine="424" w:firstLineChars="201"/>
        <w:rPr>
          <w:rFonts w:ascii="宋体" w:hAnsi="宋体" w:cs="宋体"/>
          <w:b/>
          <w:color w:val="auto"/>
          <w:szCs w:val="21"/>
          <w:highlight w:val="none"/>
        </w:rPr>
      </w:pPr>
      <w:bookmarkStart w:id="514" w:name="_Toc30599"/>
      <w:bookmarkStart w:id="515" w:name="_Toc18540"/>
      <w:bookmarkStart w:id="516" w:name="_Toc4355"/>
      <w:r>
        <w:rPr>
          <w:rFonts w:hint="eastAsia" w:ascii="宋体" w:hAnsi="宋体" w:cs="宋体"/>
          <w:b/>
          <w:color w:val="auto"/>
          <w:szCs w:val="21"/>
          <w:highlight w:val="none"/>
        </w:rPr>
        <w:t>2.18 计量单位</w:t>
      </w:r>
      <w:bookmarkEnd w:id="514"/>
      <w:bookmarkEnd w:id="515"/>
      <w:bookmarkEnd w:id="516"/>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pPr>
        <w:snapToGrid w:val="0"/>
        <w:spacing w:line="288" w:lineRule="auto"/>
        <w:ind w:firstLine="424" w:firstLineChars="201"/>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19</w:t>
      </w:r>
      <w:r>
        <w:rPr>
          <w:rFonts w:ascii="宋体" w:hAnsi="宋体"/>
          <w:b/>
          <w:color w:val="auto"/>
          <w:szCs w:val="21"/>
          <w:highlight w:val="none"/>
        </w:rPr>
        <w:t>合同份数</w:t>
      </w:r>
    </w:p>
    <w:p>
      <w:pPr>
        <w:snapToGrid w:val="0"/>
        <w:spacing w:line="288" w:lineRule="auto"/>
        <w:ind w:firstLine="422" w:firstLineChars="201"/>
        <w:rPr>
          <w:rFonts w:ascii="宋体" w:hAnsi="宋体"/>
          <w:color w:val="auto"/>
          <w:szCs w:val="21"/>
          <w:highlight w:val="none"/>
        </w:rPr>
      </w:pPr>
      <w:r>
        <w:rPr>
          <w:rFonts w:ascii="宋体" w:hAnsi="宋体"/>
          <w:color w:val="auto"/>
          <w:szCs w:val="21"/>
          <w:highlight w:val="none"/>
        </w:rPr>
        <w:t>合同份数按</w:t>
      </w:r>
      <w:r>
        <w:rPr>
          <w:rFonts w:ascii="宋体" w:hAnsi="宋体"/>
          <w:b/>
          <w:i/>
          <w:color w:val="auto"/>
          <w:szCs w:val="21"/>
          <w:highlight w:val="none"/>
          <w:u w:val="single"/>
        </w:rPr>
        <w:t>合同专用条款</w:t>
      </w:r>
      <w:r>
        <w:rPr>
          <w:rFonts w:ascii="宋体" w:hAnsi="宋体"/>
          <w:color w:val="auto"/>
          <w:szCs w:val="21"/>
          <w:highlight w:val="none"/>
        </w:rPr>
        <w:t>规定</w:t>
      </w:r>
      <w:r>
        <w:rPr>
          <w:rFonts w:hint="eastAsia" w:ascii="宋体" w:hAnsi="宋体"/>
          <w:color w:val="auto"/>
          <w:szCs w:val="21"/>
          <w:highlight w:val="none"/>
        </w:rPr>
        <w:t>，</w:t>
      </w:r>
      <w:r>
        <w:rPr>
          <w:rFonts w:ascii="宋体" w:hAnsi="宋体"/>
          <w:color w:val="auto"/>
          <w:szCs w:val="21"/>
          <w:highlight w:val="none"/>
        </w:rPr>
        <w:t>每份均具有同等法律效力</w:t>
      </w:r>
      <w:r>
        <w:rPr>
          <w:rFonts w:hint="eastAsia" w:ascii="宋体" w:hAnsi="宋体"/>
          <w:color w:val="auto"/>
          <w:szCs w:val="21"/>
          <w:highlight w:val="none"/>
        </w:rPr>
        <w:t>。</w:t>
      </w:r>
    </w:p>
    <w:p>
      <w:pPr>
        <w:snapToGrid w:val="0"/>
        <w:spacing w:line="288" w:lineRule="auto"/>
        <w:jc w:val="center"/>
        <w:outlineLvl w:val="1"/>
        <w:rPr>
          <w:rFonts w:ascii="宋体" w:hAnsi="宋体" w:cs="宋体"/>
          <w:b/>
          <w:color w:val="auto"/>
          <w:szCs w:val="21"/>
          <w:highlight w:val="none"/>
        </w:rPr>
      </w:pPr>
      <w:r>
        <w:rPr>
          <w:rFonts w:hint="eastAsia" w:ascii="宋体" w:hAnsi="宋体" w:cs="宋体"/>
          <w:color w:val="auto"/>
          <w:kern w:val="0"/>
          <w:szCs w:val="21"/>
          <w:highlight w:val="none"/>
        </w:rPr>
        <w:br w:type="page"/>
      </w:r>
      <w:r>
        <w:rPr>
          <w:rFonts w:hint="eastAsia" w:ascii="宋体" w:hAnsi="宋体" w:cs="宋体"/>
          <w:b/>
          <w:color w:val="auto"/>
          <w:szCs w:val="21"/>
          <w:highlight w:val="none"/>
        </w:rPr>
        <w:t>第三部分 合同专用条款</w:t>
      </w:r>
    </w:p>
    <w:p>
      <w:pPr>
        <w:snapToGrid w:val="0"/>
        <w:spacing w:line="288" w:lineRule="auto"/>
        <w:ind w:right="-420" w:rightChars="-200"/>
        <w:rPr>
          <w:rFonts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13"/>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35" w:type="pct"/>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4465" w:type="pct"/>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1.5.3</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1.7.2</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1.7.3</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1.7.4.1</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1.7.4.2</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1.7.4.3</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1.8.7</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1.9.2</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4465" w:type="pct"/>
            <w:vAlign w:val="center"/>
          </w:tcPr>
          <w:p>
            <w:pPr>
              <w:snapToGrid w:val="0"/>
              <w:spacing w:line="288" w:lineRule="auto"/>
              <w:ind w:right="-420" w:rightChars="-20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4465" w:type="pct"/>
            <w:vAlign w:val="center"/>
          </w:tcPr>
          <w:p>
            <w:pPr>
              <w:snapToGrid w:val="0"/>
              <w:spacing w:line="288" w:lineRule="auto"/>
              <w:ind w:right="-420" w:rightChars="-20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w:t>
            </w:r>
            <w:r>
              <w:rPr>
                <w:rFonts w:ascii="宋体" w:hAnsi="宋体" w:cs="宋体"/>
                <w:color w:val="auto"/>
                <w:szCs w:val="21"/>
                <w:highlight w:val="none"/>
              </w:rPr>
              <w:t>3</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11.4</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1</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3</w:t>
            </w:r>
          </w:p>
        </w:tc>
        <w:tc>
          <w:tcPr>
            <w:tcW w:w="4465" w:type="pct"/>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35" w:type="pct"/>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2.19</w:t>
            </w:r>
          </w:p>
        </w:tc>
        <w:tc>
          <w:tcPr>
            <w:tcW w:w="4465" w:type="pct"/>
            <w:vAlign w:val="center"/>
          </w:tcPr>
          <w:p>
            <w:pPr>
              <w:snapToGrid w:val="0"/>
              <w:spacing w:line="288" w:lineRule="auto"/>
              <w:jc w:val="center"/>
              <w:rPr>
                <w:rFonts w:ascii="宋体" w:hAnsi="宋体" w:cs="宋体"/>
                <w:color w:val="auto"/>
                <w:szCs w:val="21"/>
                <w:highlight w:val="none"/>
              </w:rPr>
            </w:pPr>
          </w:p>
        </w:tc>
      </w:tr>
    </w:tbl>
    <w:p>
      <w:pPr>
        <w:widowControl/>
        <w:adjustRightInd/>
        <w:jc w:val="left"/>
        <w:rPr>
          <w:rFonts w:ascii="宋体" w:hAnsi="宋体" w:cs="宋体"/>
          <w:b/>
          <w:color w:val="auto"/>
          <w:szCs w:val="21"/>
          <w:highlight w:val="none"/>
        </w:rPr>
      </w:pPr>
      <w:r>
        <w:rPr>
          <w:rFonts w:ascii="宋体" w:hAnsi="宋体" w:cs="宋体"/>
          <w:b/>
          <w:color w:val="auto"/>
          <w:szCs w:val="21"/>
          <w:highlight w:val="none"/>
        </w:rPr>
        <w:br w:type="page"/>
      </w:r>
    </w:p>
    <w:p>
      <w:pPr>
        <w:snapToGrid w:val="0"/>
        <w:spacing w:line="288"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第六部分</w:t>
      </w:r>
      <w:bookmarkEnd w:id="402"/>
      <w:r>
        <w:rPr>
          <w:rFonts w:hint="eastAsia" w:ascii="宋体" w:hAnsi="宋体" w:cs="宋体"/>
          <w:b/>
          <w:color w:val="auto"/>
          <w:szCs w:val="21"/>
          <w:highlight w:val="none"/>
        </w:rPr>
        <w:t xml:space="preserve"> </w:t>
      </w:r>
      <w:bookmarkEnd w:id="403"/>
      <w:r>
        <w:rPr>
          <w:rFonts w:hint="eastAsia" w:ascii="宋体" w:hAnsi="宋体" w:cs="宋体"/>
          <w:b/>
          <w:color w:val="auto"/>
          <w:szCs w:val="21"/>
          <w:highlight w:val="none"/>
        </w:rPr>
        <w:t>应提交的有关格式范例</w:t>
      </w:r>
    </w:p>
    <w:p>
      <w:pPr>
        <w:snapToGrid w:val="0"/>
        <w:spacing w:line="288" w:lineRule="auto"/>
        <w:jc w:val="center"/>
        <w:rPr>
          <w:rFonts w:ascii="宋体" w:hAnsi="宋体" w:cs="宋体"/>
          <w:b/>
          <w:color w:val="auto"/>
          <w:kern w:val="0"/>
          <w:szCs w:val="21"/>
          <w:highlight w:val="none"/>
        </w:rPr>
      </w:pPr>
    </w:p>
    <w:p>
      <w:pPr>
        <w:snapToGrid w:val="0"/>
        <w:spacing w:line="288" w:lineRule="auto"/>
        <w:jc w:val="center"/>
        <w:outlineLvl w:val="1"/>
        <w:rPr>
          <w:rFonts w:ascii="宋体" w:hAnsi="宋体" w:cs="宋体"/>
          <w:b/>
          <w:color w:val="auto"/>
          <w:kern w:val="0"/>
          <w:szCs w:val="21"/>
          <w:highlight w:val="none"/>
        </w:rPr>
      </w:pPr>
      <w:r>
        <w:rPr>
          <w:rFonts w:hint="eastAsia" w:ascii="宋体" w:hAnsi="宋体" w:cs="宋体"/>
          <w:b/>
          <w:color w:val="auto"/>
          <w:kern w:val="0"/>
          <w:szCs w:val="21"/>
          <w:highlight w:val="none"/>
        </w:rPr>
        <w:t>资格文件部分</w:t>
      </w:r>
    </w:p>
    <w:p>
      <w:pPr>
        <w:snapToGrid w:val="0"/>
        <w:spacing w:line="288" w:lineRule="auto"/>
        <w:jc w:val="center"/>
        <w:rPr>
          <w:rFonts w:ascii="宋体" w:hAnsi="宋体" w:cs="宋体"/>
          <w:b/>
          <w:color w:val="auto"/>
          <w:kern w:val="0"/>
          <w:szCs w:val="21"/>
          <w:highlight w:val="none"/>
        </w:rPr>
      </w:pPr>
    </w:p>
    <w:p>
      <w:pPr>
        <w:snapToGrid w:val="0"/>
        <w:spacing w:line="288"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pPr>
        <w:snapToGrid w:val="0"/>
        <w:spacing w:line="288" w:lineRule="auto"/>
        <w:rPr>
          <w:rFonts w:ascii="宋体" w:hAnsi="宋体" w:cs="宋体"/>
          <w:b/>
          <w:color w:val="auto"/>
          <w:kern w:val="0"/>
          <w:szCs w:val="21"/>
          <w:highlight w:val="none"/>
        </w:rPr>
      </w:pP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（1）符合参加政府采购活动应当具备的一般条件的承诺函……………（页码）</w:t>
      </w:r>
    </w:p>
    <w:p>
      <w:pPr>
        <w:snapToGrid w:val="0"/>
        <w:spacing w:line="288" w:lineRule="auto"/>
        <w:rPr>
          <w:rFonts w:ascii="宋体" w:hAnsi="宋体" w:cs="宋体"/>
          <w:color w:val="auto"/>
          <w:szCs w:val="21"/>
          <w:highlight w:val="none"/>
        </w:rPr>
      </w:pPr>
      <w:r>
        <w:rPr>
          <w:rFonts w:hint="eastAsia" w:ascii="宋体" w:hAnsi="宋体" w:cs="宋体"/>
          <w:snapToGrid w:val="0"/>
          <w:color w:val="auto"/>
          <w:kern w:val="28"/>
          <w:szCs w:val="21"/>
          <w:highlight w:val="none"/>
        </w:rPr>
        <w:t>（2）联合协议</w:t>
      </w:r>
      <w:r>
        <w:rPr>
          <w:rFonts w:hint="eastAsia" w:ascii="宋体" w:hAnsi="宋体" w:cs="宋体"/>
          <w:color w:val="auto"/>
          <w:szCs w:val="21"/>
          <w:highlight w:val="none"/>
        </w:rPr>
        <w:t>………………………………………………………………（页码）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）本项目的特定资格要求………………………………………………（页码）</w:t>
      </w:r>
    </w:p>
    <w:p>
      <w:pPr>
        <w:snapToGrid w:val="0"/>
        <w:spacing w:line="288" w:lineRule="auto"/>
        <w:rPr>
          <w:rFonts w:ascii="宋体" w:hAnsi="宋体" w:cs="宋体"/>
          <w:color w:val="auto"/>
          <w:szCs w:val="21"/>
          <w:highlight w:val="none"/>
        </w:rPr>
      </w:pPr>
    </w:p>
    <w:p>
      <w:pPr>
        <w:snapToGrid w:val="0"/>
        <w:spacing w:line="288" w:lineRule="auto"/>
        <w:ind w:right="480"/>
        <w:jc w:val="center"/>
        <w:rPr>
          <w:rFonts w:ascii="宋体" w:hAnsi="宋体" w:cs="宋体"/>
          <w:b/>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color w:val="auto"/>
          <w:kern w:val="0"/>
          <w:szCs w:val="21"/>
          <w:highlight w:val="none"/>
        </w:rPr>
        <w:t>一、 符合参加政府采购活动应当具备的一般条件的承诺函</w:t>
      </w:r>
    </w:p>
    <w:p>
      <w:pPr>
        <w:snapToGrid w:val="0"/>
        <w:spacing w:line="288" w:lineRule="auto"/>
        <w:rPr>
          <w:rFonts w:ascii="宋体" w:hAnsi="宋体" w:cs="宋体"/>
          <w:color w:val="auto"/>
          <w:szCs w:val="21"/>
          <w:highlight w:val="none"/>
        </w:rPr>
      </w:pP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eastAsia="zh-CN"/>
        </w:rPr>
        <w:t>杭州市钱塘区义蓬街道社区卫生服务中心（杭州市钱塘区义蓬街道妇女儿童健康服务站）</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浙江求是招标代理有限公司</w:t>
      </w:r>
      <w:r>
        <w:rPr>
          <w:rFonts w:hint="eastAsia" w:ascii="宋体" w:hAnsi="宋体" w:cs="宋体"/>
          <w:color w:val="auto"/>
          <w:szCs w:val="21"/>
          <w:highlight w:val="none"/>
        </w:rPr>
        <w:t>：</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】政府采购活动，郑重承诺：</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（三）不存在以下情况：</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pPr>
        <w:snapToGrid w:val="0"/>
        <w:spacing w:line="288" w:lineRule="auto"/>
        <w:ind w:firstLine="424" w:firstLineChars="202"/>
        <w:rPr>
          <w:rFonts w:ascii="宋体" w:hAnsi="宋体" w:cs="宋体"/>
          <w:color w:val="auto"/>
          <w:kern w:val="0"/>
          <w:szCs w:val="21"/>
          <w:highlight w:val="none"/>
          <w:lang w:val="zh-CN"/>
        </w:rPr>
      </w:pP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snapToGrid w:val="0"/>
        <w:spacing w:line="288" w:lineRule="auto"/>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pPr>
        <w:snapToGrid w:val="0"/>
        <w:spacing w:line="288" w:lineRule="auto"/>
        <w:ind w:firstLine="424" w:firstLineChars="201"/>
        <w:jc w:val="center"/>
        <w:rPr>
          <w:rFonts w:ascii="宋体" w:hAnsi="宋体" w:cs="宋体"/>
          <w:b/>
          <w:color w:val="auto"/>
          <w:kern w:val="0"/>
          <w:szCs w:val="21"/>
          <w:highlight w:val="none"/>
        </w:rPr>
      </w:pPr>
      <w:r>
        <w:rPr>
          <w:rFonts w:hint="eastAsia" w:ascii="宋体" w:hAnsi="宋体" w:cs="宋体"/>
          <w:b/>
          <w:color w:val="auto"/>
          <w:kern w:val="0"/>
          <w:szCs w:val="21"/>
          <w:highlight w:val="none"/>
        </w:rPr>
        <w:t>二、联合协议（如果有）</w:t>
      </w:r>
    </w:p>
    <w:p>
      <w:pPr>
        <w:snapToGrid w:val="0"/>
        <w:spacing w:line="288" w:lineRule="auto"/>
        <w:ind w:firstLine="424" w:firstLineChars="201"/>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[以联合体形式投标的，提供联合协议（附件5）；本项目不接受联合体投标或者投标人不以联合体形式投标的，则不需要提供）]</w:t>
      </w:r>
    </w:p>
    <w:p>
      <w:pPr>
        <w:snapToGrid w:val="0"/>
        <w:spacing w:line="288" w:lineRule="auto"/>
        <w:ind w:right="480" w:firstLine="424" w:firstLineChars="201"/>
        <w:jc w:val="center"/>
        <w:rPr>
          <w:rFonts w:ascii="宋体" w:hAnsi="宋体" w:cs="宋体"/>
          <w:b/>
          <w:color w:val="auto"/>
          <w:kern w:val="0"/>
          <w:szCs w:val="21"/>
          <w:highlight w:val="none"/>
        </w:rPr>
      </w:pPr>
    </w:p>
    <w:p>
      <w:pPr>
        <w:snapToGrid w:val="0"/>
        <w:spacing w:line="288" w:lineRule="auto"/>
        <w:ind w:right="480" w:firstLine="424" w:firstLineChars="201"/>
        <w:jc w:val="center"/>
        <w:rPr>
          <w:rFonts w:ascii="宋体" w:hAnsi="宋体" w:cs="宋体"/>
          <w:b/>
          <w:color w:val="auto"/>
          <w:kern w:val="0"/>
          <w:szCs w:val="21"/>
          <w:highlight w:val="none"/>
        </w:rPr>
      </w:pPr>
    </w:p>
    <w:p>
      <w:pPr>
        <w:snapToGrid w:val="0"/>
        <w:spacing w:line="288" w:lineRule="auto"/>
        <w:ind w:right="480" w:firstLine="424" w:firstLineChars="201"/>
        <w:jc w:val="center"/>
        <w:rPr>
          <w:rFonts w:ascii="宋体" w:hAnsi="宋体" w:cs="宋体"/>
          <w:b/>
          <w:color w:val="auto"/>
          <w:kern w:val="0"/>
          <w:szCs w:val="21"/>
          <w:highlight w:val="none"/>
        </w:rPr>
      </w:pPr>
      <w:r>
        <w:rPr>
          <w:rFonts w:hint="eastAsia" w:ascii="宋体" w:hAnsi="宋体" w:cs="宋体"/>
          <w:b/>
          <w:color w:val="auto"/>
          <w:kern w:val="0"/>
          <w:szCs w:val="21"/>
          <w:highlight w:val="none"/>
        </w:rPr>
        <w:t>三、落实政府采购政策需满足的资格要求</w:t>
      </w:r>
    </w:p>
    <w:p>
      <w:pPr>
        <w:snapToGrid w:val="0"/>
        <w:spacing w:line="288"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pPr>
        <w:snapToGrid w:val="0"/>
        <w:spacing w:line="288" w:lineRule="auto"/>
        <w:ind w:firstLine="424" w:firstLineChars="201"/>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w:t>
      </w:r>
      <w:r>
        <w:rPr>
          <w:rFonts w:ascii="宋体" w:hAnsi="宋体" w:cs="宋体"/>
          <w:color w:val="auto"/>
          <w:szCs w:val="21"/>
          <w:highlight w:val="none"/>
        </w:rPr>
        <w:t>7</w:t>
      </w:r>
      <w:r>
        <w:rPr>
          <w:rFonts w:hint="eastAsia" w:ascii="宋体" w:hAnsi="宋体" w:cs="宋体"/>
          <w:color w:val="auto"/>
          <w:szCs w:val="21"/>
          <w:highlight w:val="none"/>
        </w:rPr>
        <w:t xml:space="preserve">）。 </w:t>
      </w:r>
    </w:p>
    <w:p>
      <w:pPr>
        <w:snapToGrid w:val="0"/>
        <w:spacing w:line="288" w:lineRule="auto"/>
        <w:ind w:firstLine="422" w:firstLineChars="201"/>
        <w:jc w:val="left"/>
        <w:rPr>
          <w:rFonts w:ascii="宋体" w:hAnsi="宋体" w:cs="宋体"/>
          <w:color w:val="auto"/>
          <w:szCs w:val="21"/>
          <w:highlight w:val="none"/>
        </w:rPr>
      </w:pPr>
    </w:p>
    <w:p>
      <w:pPr>
        <w:snapToGrid w:val="0"/>
        <w:spacing w:line="288" w:lineRule="auto"/>
        <w:ind w:firstLine="424" w:firstLineChars="201"/>
        <w:jc w:val="left"/>
        <w:rPr>
          <w:rFonts w:ascii="宋体" w:hAnsi="宋体" w:cs="宋体"/>
          <w:color w:val="auto"/>
          <w:szCs w:val="21"/>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w:t>
      </w:r>
      <w:r>
        <w:rPr>
          <w:rFonts w:ascii="宋体" w:hAnsi="宋体" w:cs="宋体"/>
          <w:color w:val="auto"/>
          <w:szCs w:val="21"/>
          <w:highlight w:val="none"/>
        </w:rPr>
        <w:t>5</w:t>
      </w:r>
      <w:r>
        <w:rPr>
          <w:rFonts w:hint="eastAsia" w:ascii="宋体" w:hAnsi="宋体" w:cs="宋体"/>
          <w:color w:val="auto"/>
          <w:szCs w:val="21"/>
          <w:highlight w:val="none"/>
        </w:rPr>
        <w:t>）和中小企业声明函（附件</w:t>
      </w:r>
      <w:r>
        <w:rPr>
          <w:rFonts w:ascii="宋体" w:hAnsi="宋体" w:cs="宋体"/>
          <w:color w:val="auto"/>
          <w:szCs w:val="21"/>
          <w:highlight w:val="none"/>
        </w:rPr>
        <w:t>7</w:t>
      </w:r>
      <w:r>
        <w:rPr>
          <w:rFonts w:hint="eastAsia" w:ascii="宋体" w:hAnsi="宋体" w:cs="宋体"/>
          <w:color w:val="auto"/>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视同符合了资格条件，无需再与其他中小企业组成联合体参加政府采购活动，无需提供联合协议。</w:t>
      </w:r>
    </w:p>
    <w:p>
      <w:pPr>
        <w:snapToGrid w:val="0"/>
        <w:spacing w:line="288" w:lineRule="auto"/>
        <w:ind w:firstLine="422" w:firstLineChars="201"/>
        <w:rPr>
          <w:rFonts w:ascii="宋体" w:hAnsi="宋体" w:cs="宋体"/>
          <w:color w:val="auto"/>
          <w:szCs w:val="21"/>
          <w:highlight w:val="none"/>
        </w:rPr>
      </w:pPr>
    </w:p>
    <w:p>
      <w:pPr>
        <w:snapToGrid w:val="0"/>
        <w:spacing w:line="288"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w:t>
      </w:r>
      <w:r>
        <w:rPr>
          <w:rFonts w:ascii="宋体" w:hAnsi="宋体" w:cs="宋体"/>
          <w:color w:val="auto"/>
          <w:szCs w:val="21"/>
          <w:highlight w:val="none"/>
        </w:rPr>
        <w:t>7</w:t>
      </w:r>
      <w:r>
        <w:rPr>
          <w:rFonts w:hint="eastAsia" w:ascii="宋体" w:hAnsi="宋体" w:cs="宋体"/>
          <w:color w:val="auto"/>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视同符合了资格条件，无需再向中小企业分包，无需提供分包意向协议。</w:t>
      </w:r>
    </w:p>
    <w:p>
      <w:pPr>
        <w:snapToGrid w:val="0"/>
        <w:spacing w:line="288" w:lineRule="auto"/>
        <w:ind w:firstLine="424" w:firstLineChars="201"/>
        <w:jc w:val="center"/>
        <w:rPr>
          <w:rFonts w:ascii="宋体" w:hAnsi="宋体" w:cs="宋体"/>
          <w:b/>
          <w:color w:val="auto"/>
          <w:kern w:val="0"/>
          <w:szCs w:val="21"/>
          <w:highlight w:val="none"/>
        </w:rPr>
      </w:pPr>
    </w:p>
    <w:p>
      <w:pPr>
        <w:rPr>
          <w:rFonts w:ascii="宋体" w:hAnsi="宋体" w:cs="宋体"/>
          <w:b/>
          <w:color w:val="auto"/>
          <w:kern w:val="0"/>
          <w:szCs w:val="21"/>
          <w:highlight w:val="none"/>
        </w:rPr>
      </w:pPr>
      <w:r>
        <w:rPr>
          <w:rFonts w:ascii="宋体" w:hAnsi="宋体" w:cs="宋体"/>
          <w:b/>
          <w:color w:val="auto"/>
          <w:kern w:val="0"/>
          <w:szCs w:val="21"/>
          <w:highlight w:val="none"/>
        </w:rPr>
        <w:br w:type="page"/>
      </w:r>
    </w:p>
    <w:p>
      <w:pPr>
        <w:snapToGrid w:val="0"/>
        <w:spacing w:line="288" w:lineRule="auto"/>
        <w:jc w:val="left"/>
        <w:outlineLvl w:val="1"/>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7</w:t>
      </w:r>
      <w:r>
        <w:rPr>
          <w:rFonts w:hint="eastAsia" w:ascii="宋体" w:hAnsi="宋体" w:cs="宋体"/>
          <w:b/>
          <w:szCs w:val="21"/>
          <w:highlight w:val="none"/>
        </w:rPr>
        <w:t>：中小企业声明函</w:t>
      </w:r>
    </w:p>
    <w:p>
      <w:pPr>
        <w:snapToGrid w:val="0"/>
        <w:spacing w:line="288" w:lineRule="auto"/>
        <w:jc w:val="center"/>
        <w:rPr>
          <w:rFonts w:ascii="宋体" w:hAnsi="宋体" w:cs="宋体"/>
          <w:szCs w:val="21"/>
          <w:highlight w:val="none"/>
          <w:u w:val="single"/>
        </w:rPr>
      </w:pPr>
    </w:p>
    <w:p>
      <w:pPr>
        <w:snapToGrid w:val="0"/>
        <w:spacing w:line="288" w:lineRule="auto"/>
        <w:jc w:val="center"/>
        <w:rPr>
          <w:rFonts w:ascii="宋体" w:hAnsi="宋体" w:cs="宋体"/>
          <w:b/>
          <w:szCs w:val="21"/>
          <w:highlight w:val="none"/>
        </w:rPr>
      </w:pPr>
      <w:r>
        <w:rPr>
          <w:rFonts w:hint="eastAsia" w:ascii="宋体" w:hAnsi="宋体" w:cs="宋体"/>
          <w:b/>
          <w:szCs w:val="21"/>
          <w:highlight w:val="none"/>
        </w:rPr>
        <w:t>中小企业声明函（服务）</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Cs w:val="21"/>
          <w:highlight w:val="none"/>
          <w:u w:val="single"/>
          <w:lang w:eastAsia="zh-CN"/>
        </w:rPr>
        <w:t>杭州市钱塘区义蓬街道社区卫生服务中心（杭州市钱塘区义蓬街道妇女儿童健康服务站）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标识标牌及导视设施采购项目（文化设计采购项目）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lang w:eastAsia="zh-CN"/>
        </w:rPr>
        <w:t>标识标牌及导视设施采购项目（文化设计采购项目）</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其他未列明行业</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；承接企业为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cs="宋体"/>
          <w:color w:val="auto"/>
          <w:szCs w:val="21"/>
          <w:highlight w:val="none"/>
        </w:rPr>
        <w:t>属于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napToGrid w:val="0"/>
        <w:spacing w:line="288" w:lineRule="auto"/>
        <w:ind w:firstLine="424" w:firstLineChars="202"/>
        <w:jc w:val="left"/>
        <w:rPr>
          <w:rFonts w:ascii="宋体" w:hAnsi="宋体" w:cs="宋体"/>
          <w:szCs w:val="21"/>
          <w:highlight w:val="none"/>
        </w:rPr>
      </w:pPr>
      <w:r>
        <w:rPr>
          <w:rFonts w:hint="eastAsia" w:ascii="宋体" w:hAnsi="宋体" w:cs="宋体"/>
          <w:color w:val="auto"/>
          <w:szCs w:val="21"/>
          <w:highlight w:val="none"/>
        </w:rPr>
        <w:t>本企业对上述声明内容的真实性负责。如有</w:t>
      </w:r>
      <w:r>
        <w:rPr>
          <w:rFonts w:hint="eastAsia" w:ascii="宋体" w:hAnsi="宋体" w:cs="宋体"/>
          <w:szCs w:val="21"/>
          <w:highlight w:val="none"/>
        </w:rPr>
        <w:t>虚假，将依法承担相应责任。</w:t>
      </w:r>
    </w:p>
    <w:p>
      <w:pPr>
        <w:snapToGrid w:val="0"/>
        <w:spacing w:line="288" w:lineRule="auto"/>
        <w:ind w:right="2180" w:firstLine="424" w:firstLineChars="202"/>
        <w:rPr>
          <w:rFonts w:ascii="宋体" w:hAnsi="宋体" w:cs="宋体"/>
          <w:szCs w:val="21"/>
          <w:highlight w:val="none"/>
        </w:rPr>
      </w:pPr>
    </w:p>
    <w:p>
      <w:pPr>
        <w:snapToGrid w:val="0"/>
        <w:spacing w:line="288" w:lineRule="auto"/>
        <w:ind w:right="2180" w:firstLine="424" w:firstLineChars="202"/>
        <w:rPr>
          <w:rFonts w:ascii="宋体" w:hAnsi="宋体" w:cs="宋体"/>
          <w:szCs w:val="21"/>
          <w:highlight w:val="none"/>
        </w:rPr>
      </w:pPr>
      <w:r>
        <w:rPr>
          <w:rFonts w:hint="eastAsia" w:ascii="宋体" w:hAnsi="宋体" w:cs="宋体"/>
          <w:szCs w:val="21"/>
          <w:highlight w:val="none"/>
        </w:rPr>
        <w:t>投标人名称（电子签名）：</w:t>
      </w:r>
    </w:p>
    <w:p>
      <w:pPr>
        <w:snapToGrid w:val="0"/>
        <w:spacing w:line="288" w:lineRule="auto"/>
        <w:ind w:right="1120" w:firstLine="424" w:firstLineChars="202"/>
        <w:rPr>
          <w:rFonts w:ascii="宋体" w:hAnsi="宋体" w:cs="宋体"/>
          <w:szCs w:val="21"/>
          <w:highlight w:val="none"/>
        </w:rPr>
      </w:pPr>
      <w:r>
        <w:rPr>
          <w:rFonts w:hint="eastAsia" w:ascii="宋体" w:hAnsi="宋体" w:cs="宋体"/>
          <w:szCs w:val="21"/>
          <w:highlight w:val="none"/>
        </w:rPr>
        <w:t>日 期：</w:t>
      </w:r>
    </w:p>
    <w:p>
      <w:pPr>
        <w:snapToGrid w:val="0"/>
        <w:spacing w:line="288" w:lineRule="auto"/>
        <w:ind w:firstLine="426" w:firstLineChars="202"/>
        <w:jc w:val="left"/>
        <w:rPr>
          <w:rFonts w:ascii="宋体" w:hAnsi="宋体" w:cs="宋体"/>
          <w:b/>
          <w:szCs w:val="21"/>
          <w:highlight w:val="none"/>
        </w:rPr>
      </w:pPr>
    </w:p>
    <w:p>
      <w:pPr>
        <w:snapToGrid w:val="0"/>
        <w:spacing w:line="288" w:lineRule="auto"/>
        <w:ind w:firstLine="426" w:firstLineChars="202"/>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napToGrid w:val="0"/>
        <w:spacing w:line="288" w:lineRule="auto"/>
        <w:ind w:right="420" w:firstLine="424" w:firstLineChars="202"/>
        <w:rPr>
          <w:rFonts w:ascii="宋体" w:hAnsi="宋体" w:cs="宋体"/>
          <w:szCs w:val="21"/>
          <w:highlight w:val="none"/>
        </w:rPr>
      </w:pPr>
    </w:p>
    <w:p>
      <w:pPr>
        <w:snapToGrid w:val="0"/>
        <w:spacing w:line="288" w:lineRule="auto"/>
        <w:ind w:right="420" w:firstLine="424" w:firstLineChars="202"/>
        <w:rPr>
          <w:rFonts w:ascii="宋体" w:hAnsi="宋体" w:cs="宋体"/>
          <w:szCs w:val="21"/>
          <w:highlight w:val="none"/>
        </w:rPr>
      </w:pPr>
      <w:r>
        <w:rPr>
          <w:rFonts w:hint="eastAsia" w:ascii="宋体" w:hAnsi="宋体" w:cs="宋体"/>
          <w:szCs w:val="21"/>
          <w:highlight w:val="none"/>
        </w:rPr>
        <w:t xml:space="preserve">   注：</w:t>
      </w:r>
    </w:p>
    <w:p>
      <w:pPr>
        <w:snapToGrid w:val="0"/>
        <w:spacing w:line="288" w:lineRule="auto"/>
        <w:ind w:right="420" w:firstLine="424" w:firstLineChars="202"/>
        <w:rPr>
          <w:rFonts w:ascii="宋体" w:hAnsi="宋体" w:cs="宋体"/>
          <w:szCs w:val="21"/>
          <w:highlight w:val="none"/>
        </w:rPr>
      </w:pPr>
      <w:r>
        <w:rPr>
          <w:rFonts w:hint="eastAsia" w:ascii="宋体" w:hAnsi="宋体" w:cs="宋体"/>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288" w:lineRule="auto"/>
        <w:ind w:right="420" w:firstLine="424" w:firstLineChars="202"/>
        <w:rPr>
          <w:rFonts w:ascii="宋体" w:hAnsi="宋体" w:cs="宋体"/>
          <w:szCs w:val="21"/>
          <w:highlight w:val="none"/>
        </w:rPr>
      </w:pPr>
      <w:r>
        <w:rPr>
          <w:rFonts w:hint="eastAsia" w:ascii="宋体" w:hAnsi="宋体" w:cs="宋体"/>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highlight w:val="none"/>
        </w:rPr>
      </w:pPr>
      <w:r>
        <w:rPr>
          <w:highlight w:val="none"/>
        </w:rPr>
        <w:br w:type="page"/>
      </w:r>
    </w:p>
    <w:p>
      <w:pPr>
        <w:rPr>
          <w:highlight w:val="none"/>
        </w:rPr>
      </w:pPr>
    </w:p>
    <w:p>
      <w:pPr>
        <w:snapToGrid w:val="0"/>
        <w:spacing w:line="288" w:lineRule="auto"/>
        <w:ind w:firstLine="424" w:firstLineChars="201"/>
        <w:jc w:val="center"/>
        <w:rPr>
          <w:rFonts w:ascii="宋体" w:hAnsi="宋体" w:cs="宋体"/>
          <w:b/>
          <w:color w:val="auto"/>
          <w:kern w:val="0"/>
          <w:szCs w:val="21"/>
          <w:highlight w:val="none"/>
        </w:rPr>
      </w:pPr>
      <w:r>
        <w:rPr>
          <w:rFonts w:hint="eastAsia" w:ascii="宋体" w:hAnsi="宋体" w:cs="宋体"/>
          <w:b/>
          <w:color w:val="auto"/>
          <w:kern w:val="0"/>
          <w:szCs w:val="21"/>
          <w:highlight w:val="none"/>
        </w:rPr>
        <w:t>四、本项目的特定资格要求</w:t>
      </w:r>
    </w:p>
    <w:p>
      <w:pPr>
        <w:snapToGrid w:val="0"/>
        <w:spacing w:line="288" w:lineRule="auto"/>
        <w:ind w:firstLine="422" w:firstLineChars="201"/>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pPr>
        <w:snapToGrid w:val="0"/>
        <w:spacing w:line="288" w:lineRule="auto"/>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pPr>
        <w:snapToGrid w:val="0"/>
        <w:spacing w:line="288" w:lineRule="auto"/>
        <w:ind w:right="56"/>
        <w:jc w:val="center"/>
        <w:outlineLvl w:val="1"/>
        <w:rPr>
          <w:rFonts w:ascii="宋体" w:hAnsi="宋体" w:cs="宋体"/>
          <w:b/>
          <w:color w:val="auto"/>
          <w:kern w:val="0"/>
          <w:szCs w:val="21"/>
          <w:highlight w:val="none"/>
        </w:rPr>
      </w:pPr>
      <w:r>
        <w:rPr>
          <w:rFonts w:hint="eastAsia" w:ascii="宋体" w:hAnsi="宋体" w:cs="宋体"/>
          <w:b/>
          <w:color w:val="auto"/>
          <w:kern w:val="0"/>
          <w:szCs w:val="21"/>
          <w:highlight w:val="none"/>
        </w:rPr>
        <w:t>商务技术文件部分</w:t>
      </w:r>
    </w:p>
    <w:p>
      <w:pPr>
        <w:snapToGrid w:val="0"/>
        <w:spacing w:line="288" w:lineRule="auto"/>
        <w:rPr>
          <w:rFonts w:ascii="宋体" w:hAnsi="宋体" w:cs="宋体"/>
          <w:b/>
          <w:color w:val="auto"/>
          <w:kern w:val="0"/>
          <w:szCs w:val="21"/>
          <w:highlight w:val="none"/>
        </w:rPr>
      </w:pPr>
    </w:p>
    <w:p>
      <w:pPr>
        <w:snapToGrid w:val="0"/>
        <w:spacing w:line="288"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（1）投标函…………………………………………………………………………………（页码）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（2）授权委托书或法定代表人（单位负责人、自然人本人）身份证明…</w:t>
      </w:r>
      <w:r>
        <w:rPr>
          <w:rFonts w:hint="eastAsia" w:ascii="宋体" w:hAnsi="宋体" w:cs="宋体"/>
          <w:szCs w:val="21"/>
          <w:highlight w:val="none"/>
          <w:lang w:eastAsia="zh-CN"/>
        </w:rPr>
        <w:t>………</w:t>
      </w:r>
      <w:r>
        <w:rPr>
          <w:rFonts w:hint="eastAsia" w:ascii="宋体" w:hAnsi="宋体" w:cs="宋体"/>
          <w:color w:val="auto"/>
          <w:szCs w:val="21"/>
          <w:highlight w:val="none"/>
        </w:rPr>
        <w:t>……（页码）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）分包意向协议…………………………………………………………………………（页码）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）符合性审查资料………………………………………………………………………（页码）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r>
        <w:rPr>
          <w:rFonts w:hint="eastAsia" w:ascii="宋体" w:hAnsi="宋体" w:cs="宋体"/>
          <w:szCs w:val="21"/>
          <w:highlight w:val="none"/>
          <w:lang w:eastAsia="zh-CN"/>
        </w:rPr>
        <w:t>…</w:t>
      </w:r>
      <w:r>
        <w:rPr>
          <w:rFonts w:hint="eastAsia" w:ascii="宋体" w:hAnsi="宋体" w:cs="宋体"/>
          <w:color w:val="auto"/>
          <w:szCs w:val="21"/>
          <w:highlight w:val="none"/>
        </w:rPr>
        <w:t>……………………（页码）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）投标标的清单……………………………………………………</w:t>
      </w:r>
      <w:r>
        <w:rPr>
          <w:rFonts w:hint="eastAsia" w:ascii="宋体" w:hAnsi="宋体" w:cs="宋体"/>
          <w:szCs w:val="21"/>
          <w:highlight w:val="none"/>
          <w:lang w:eastAsia="zh-CN"/>
        </w:rPr>
        <w:t>……</w:t>
      </w:r>
      <w:r>
        <w:rPr>
          <w:rFonts w:hint="eastAsia" w:ascii="宋体" w:hAnsi="宋体" w:cs="宋体"/>
          <w:color w:val="auto"/>
          <w:szCs w:val="21"/>
          <w:highlight w:val="none"/>
        </w:rPr>
        <w:t>………………（页码）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）商务技术偏离表………………………………………………………………………（页码）</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w:t>
      </w:r>
      <w:r>
        <w:rPr>
          <w:rFonts w:hint="eastAsia" w:ascii="宋体" w:hAnsi="宋体" w:cs="宋体"/>
          <w:szCs w:val="21"/>
          <w:highlight w:val="none"/>
          <w:lang w:eastAsia="zh-CN"/>
        </w:rPr>
        <w:t>…</w:t>
      </w:r>
      <w:r>
        <w:rPr>
          <w:rFonts w:hint="eastAsia" w:ascii="宋体" w:hAnsi="宋体" w:cs="宋体"/>
          <w:color w:val="auto"/>
          <w:szCs w:val="21"/>
          <w:highlight w:val="none"/>
        </w:rPr>
        <w:t>…………………（页码）</w:t>
      </w:r>
    </w:p>
    <w:p>
      <w:pPr>
        <w:snapToGrid w:val="0"/>
        <w:spacing w:line="288" w:lineRule="auto"/>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pPr>
        <w:snapToGrid w:val="0"/>
        <w:spacing w:line="288" w:lineRule="auto"/>
        <w:jc w:val="center"/>
        <w:rPr>
          <w:rFonts w:ascii="宋体" w:hAnsi="宋体" w:cs="宋体"/>
          <w:b/>
          <w:color w:val="auto"/>
          <w:szCs w:val="21"/>
          <w:highlight w:val="none"/>
        </w:rPr>
      </w:pPr>
      <w:r>
        <w:rPr>
          <w:rFonts w:hint="eastAsia" w:ascii="宋体" w:hAnsi="宋体" w:cs="宋体"/>
          <w:b/>
          <w:color w:val="auto"/>
          <w:kern w:val="0"/>
          <w:szCs w:val="21"/>
          <w:highlight w:val="none"/>
        </w:rPr>
        <w:t>一、投标</w:t>
      </w:r>
      <w:r>
        <w:rPr>
          <w:rFonts w:hint="eastAsia" w:ascii="宋体" w:hAnsi="宋体" w:cs="宋体"/>
          <w:b/>
          <w:color w:val="auto"/>
          <w:szCs w:val="21"/>
          <w:highlight w:val="none"/>
        </w:rPr>
        <w:t>函</w:t>
      </w: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eastAsia="zh-CN"/>
        </w:rPr>
        <w:t>杭州市钱塘区义蓬街道社区卫生服务中心（杭州市钱塘区义蓬街道妇女儿童健康服务站）</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浙江求是招标代理有限公司</w:t>
      </w:r>
      <w:r>
        <w:rPr>
          <w:rFonts w:hint="eastAsia" w:ascii="宋体" w:hAnsi="宋体" w:cs="宋体"/>
          <w:color w:val="auto"/>
          <w:szCs w:val="21"/>
          <w:highlight w:val="none"/>
        </w:rPr>
        <w:t>：</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】招标的有关活动，并对此项目进行投标。为此：</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2.1资格文件：</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2.1.1承诺函；</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w:t>
      </w:r>
      <w:bookmarkStart w:id="517" w:name="_Hlk101257010"/>
      <w:r>
        <w:rPr>
          <w:rFonts w:hint="eastAsia" w:ascii="宋体" w:hAnsi="宋体" w:cs="宋体"/>
          <w:color w:val="auto"/>
          <w:szCs w:val="21"/>
          <w:highlight w:val="none"/>
        </w:rPr>
        <w:t>（如果有)</w:t>
      </w:r>
      <w:bookmarkEnd w:id="517"/>
      <w:r>
        <w:rPr>
          <w:rFonts w:hint="eastAsia" w:ascii="宋体" w:hAnsi="宋体" w:cs="宋体"/>
          <w:snapToGrid w:val="0"/>
          <w:color w:val="auto"/>
          <w:kern w:val="28"/>
          <w:szCs w:val="21"/>
          <w:highlight w:val="none"/>
        </w:rPr>
        <w:t>；</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落实政府采购政策需满足的资格要求（如果有）；</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本项目的特定资格要求（如果有)。</w:t>
      </w:r>
    </w:p>
    <w:p>
      <w:pPr>
        <w:snapToGrid w:val="0"/>
        <w:spacing w:line="288" w:lineRule="auto"/>
        <w:ind w:firstLine="424" w:firstLineChars="202"/>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分包意向协议（如果有)；</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6</w:t>
      </w:r>
      <w:r>
        <w:rPr>
          <w:rFonts w:hint="eastAsia" w:ascii="宋体" w:hAnsi="宋体" w:cs="宋体"/>
          <w:color w:val="auto"/>
          <w:szCs w:val="21"/>
          <w:highlight w:val="none"/>
        </w:rPr>
        <w:t>投标标的清单；</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7</w:t>
      </w:r>
      <w:r>
        <w:rPr>
          <w:rFonts w:hint="eastAsia" w:ascii="宋体" w:hAnsi="宋体" w:cs="宋体"/>
          <w:color w:val="auto"/>
          <w:szCs w:val="21"/>
          <w:highlight w:val="none"/>
        </w:rPr>
        <w:t>商务技术偏离表；</w:t>
      </w:r>
    </w:p>
    <w:p>
      <w:pPr>
        <w:snapToGrid w:val="0"/>
        <w:spacing w:line="288" w:lineRule="auto"/>
        <w:ind w:firstLine="424" w:firstLineChars="202"/>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2.3.1开标一览表（报价表）；</w:t>
      </w:r>
    </w:p>
    <w:p>
      <w:pPr>
        <w:snapToGrid w:val="0"/>
        <w:spacing w:line="288" w:lineRule="auto"/>
        <w:ind w:firstLine="424" w:firstLineChars="202"/>
        <w:rPr>
          <w:rFonts w:hint="eastAsia" w:ascii="宋体" w:hAnsi="宋体" w:cs="宋体"/>
          <w:color w:val="auto"/>
          <w:szCs w:val="21"/>
          <w:highlight w:val="none"/>
        </w:rPr>
      </w:pPr>
      <w:r>
        <w:rPr>
          <w:rFonts w:hint="eastAsia" w:ascii="宋体" w:hAnsi="宋体" w:cs="宋体"/>
          <w:szCs w:val="21"/>
          <w:highlight w:val="none"/>
        </w:rPr>
        <w:t>2.3.2报价情况说明（如供应商报价低于项目预算50%的，应当提交本文档，详细阐述不影响产品质量或者诚信履约的具体原因）；</w:t>
      </w:r>
    </w:p>
    <w:p>
      <w:pPr>
        <w:snapToGrid w:val="0"/>
        <w:spacing w:line="288" w:lineRule="auto"/>
        <w:ind w:firstLine="424" w:firstLineChars="202"/>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中小企业声明函（如果有）</w:t>
      </w:r>
      <w:r>
        <w:rPr>
          <w:rFonts w:hint="eastAsia" w:ascii="宋体" w:hAnsi="宋体" w:cs="宋体"/>
          <w:color w:val="auto"/>
          <w:szCs w:val="21"/>
          <w:highlight w:val="none"/>
          <w:lang w:eastAsia="zh-CN"/>
        </w:rPr>
        <w:t>。</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4、如我方中标，我方承诺：</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288" w:lineRule="auto"/>
        <w:ind w:firstLine="424" w:firstLineChars="202"/>
        <w:rPr>
          <w:rFonts w:ascii="宋体" w:hAnsi="宋体" w:cs="宋体"/>
          <w:color w:val="auto"/>
          <w:szCs w:val="21"/>
          <w:highlight w:val="none"/>
        </w:rPr>
      </w:pP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投标人名称（电子签名）：</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line="288" w:lineRule="auto"/>
        <w:ind w:firstLine="424" w:firstLineChars="202"/>
        <w:rPr>
          <w:rFonts w:ascii="宋体" w:hAnsi="宋体" w:cs="宋体"/>
          <w:color w:val="auto"/>
          <w:kern w:val="0"/>
          <w:szCs w:val="21"/>
          <w:highlight w:val="none"/>
          <w:u w:val="single"/>
        </w:rPr>
      </w:pPr>
    </w:p>
    <w:p>
      <w:pPr>
        <w:snapToGrid w:val="0"/>
        <w:spacing w:line="288" w:lineRule="auto"/>
        <w:ind w:right="420" w:firstLine="424" w:firstLineChars="202"/>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adjustRightInd/>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pPr>
        <w:snapToGrid w:val="0"/>
        <w:spacing w:line="288"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二、授权委托书或法定代表人（单位负责人、自然人本人）身份证明</w:t>
      </w:r>
    </w:p>
    <w:p>
      <w:pPr>
        <w:snapToGrid w:val="0"/>
        <w:spacing w:line="288" w:lineRule="auto"/>
        <w:rPr>
          <w:rFonts w:ascii="宋体" w:hAnsi="宋体" w:cs="宋体"/>
          <w:color w:val="auto"/>
          <w:szCs w:val="21"/>
          <w:highlight w:val="none"/>
        </w:rPr>
      </w:pPr>
    </w:p>
    <w:p>
      <w:pPr>
        <w:snapToGrid w:val="0"/>
        <w:spacing w:line="288" w:lineRule="auto"/>
        <w:jc w:val="center"/>
        <w:rPr>
          <w:rFonts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pPr>
        <w:snapToGrid w:val="0"/>
        <w:spacing w:line="288"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杭州市钱塘区义蓬街道社区卫生服务中心（杭州市钱塘区义蓬街道妇女儿童健康服务站）</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浙江求是招标代理有限公司</w:t>
      </w: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pPr>
        <w:snapToGrid w:val="0"/>
        <w:spacing w:line="288" w:lineRule="auto"/>
        <w:ind w:firstLine="424" w:firstLineChars="202"/>
        <w:rPr>
          <w:rFonts w:ascii="宋体" w:hAnsi="宋体" w:cs="宋体"/>
          <w:color w:val="auto"/>
          <w:kern w:val="0"/>
          <w:szCs w:val="21"/>
          <w:highlight w:val="none"/>
          <w:lang w:val="zh-CN"/>
        </w:rPr>
      </w:pP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签发日期：  年  月   日</w:t>
      </w:r>
    </w:p>
    <w:p>
      <w:pPr>
        <w:snapToGrid w:val="0"/>
        <w:spacing w:line="288" w:lineRule="auto"/>
        <w:rPr>
          <w:rFonts w:ascii="宋体" w:hAnsi="宋体" w:cs="宋体"/>
          <w:b/>
          <w:color w:val="auto"/>
          <w:kern w:val="0"/>
          <w:szCs w:val="21"/>
          <w:highlight w:val="none"/>
          <w:lang w:val="zh-CN"/>
        </w:rPr>
      </w:pPr>
    </w:p>
    <w:p>
      <w:pPr>
        <w:snapToGrid w:val="0"/>
        <w:spacing w:line="288"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授权委托书（适用于联合体投标）</w:t>
      </w:r>
    </w:p>
    <w:p>
      <w:pPr>
        <w:snapToGrid w:val="0"/>
        <w:spacing w:line="288"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杭州市钱塘区义蓬街道社区卫生服务中心（杭州市钱塘区义蓬街道妇女儿童健康服务站）</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浙江求是招标代理有限公司</w:t>
      </w: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pPr>
        <w:snapToGrid w:val="0"/>
        <w:spacing w:line="288" w:lineRule="auto"/>
        <w:rPr>
          <w:rFonts w:ascii="宋体" w:hAnsi="宋体" w:cs="宋体"/>
          <w:color w:val="auto"/>
          <w:szCs w:val="21"/>
          <w:highlight w:val="none"/>
        </w:rPr>
      </w:pPr>
    </w:p>
    <w:p>
      <w:pPr>
        <w:snapToGrid w:val="0"/>
        <w:spacing w:line="288"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288"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288" w:lineRule="auto"/>
        <w:rPr>
          <w:rFonts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288"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pPr>
        <w:autoSpaceDE w:val="0"/>
        <w:autoSpaceDN w:val="0"/>
        <w:snapToGrid w:val="0"/>
        <w:spacing w:line="288" w:lineRule="auto"/>
        <w:jc w:val="center"/>
        <w:rPr>
          <w:rFonts w:ascii="宋体" w:hAnsi="宋体" w:cs="宋体"/>
          <w:b/>
          <w:color w:val="auto"/>
          <w:kern w:val="0"/>
          <w:szCs w:val="21"/>
          <w:highlight w:val="none"/>
          <w:lang w:val="zh-CN"/>
        </w:rPr>
      </w:pPr>
    </w:p>
    <w:p>
      <w:pPr>
        <w:autoSpaceDE w:val="0"/>
        <w:autoSpaceDN w:val="0"/>
        <w:snapToGrid w:val="0"/>
        <w:spacing w:line="288" w:lineRule="auto"/>
        <w:jc w:val="center"/>
        <w:rPr>
          <w:rFonts w:ascii="宋体" w:hAnsi="宋体" w:cs="宋体"/>
          <w:b/>
          <w:color w:val="auto"/>
          <w:szCs w:val="21"/>
          <w:highlight w:val="none"/>
        </w:rPr>
      </w:pPr>
      <w:r>
        <w:rPr>
          <w:rFonts w:hint="eastAsia" w:ascii="宋体" w:hAnsi="宋体" w:cs="宋体"/>
          <w:b/>
          <w:color w:val="auto"/>
          <w:kern w:val="0"/>
          <w:szCs w:val="21"/>
          <w:highlight w:val="none"/>
          <w:lang w:val="zh-CN"/>
        </w:rPr>
        <w:t>法定代表人、单位负责人或自然人本人</w:t>
      </w:r>
      <w:r>
        <w:rPr>
          <w:rFonts w:hint="eastAsia" w:ascii="宋体" w:hAnsi="宋体" w:cs="宋体"/>
          <w:b/>
          <w:color w:val="auto"/>
          <w:szCs w:val="21"/>
          <w:highlight w:val="none"/>
        </w:rPr>
        <w:t>的身份证明</w:t>
      </w:r>
    </w:p>
    <w:p>
      <w:pPr>
        <w:autoSpaceDE w:val="0"/>
        <w:autoSpaceDN w:val="0"/>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（适用于法定代表人、单位负责人或者自然人本人代表投标人参加投标）</w:t>
      </w:r>
    </w:p>
    <w:p>
      <w:pPr>
        <w:pStyle w:val="146"/>
        <w:adjustRightInd w:val="0"/>
        <w:snapToGrid w:val="0"/>
        <w:spacing w:line="288" w:lineRule="auto"/>
        <w:rPr>
          <w:rFonts w:hAnsi="宋体" w:cs="宋体"/>
          <w:bCs/>
          <w:color w:val="auto"/>
          <w:highlight w:val="none"/>
        </w:rPr>
      </w:pPr>
      <w:r>
        <w:rPr>
          <w:rFonts w:hint="eastAsia" w:hAnsi="宋体" w:cs="宋体"/>
          <w:bCs/>
          <w:color w:val="auto"/>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207" w:type="dxa"/>
          </w:tcPr>
          <w:p>
            <w:pPr>
              <w:pStyle w:val="146"/>
              <w:adjustRightInd w:val="0"/>
              <w:snapToGrid w:val="0"/>
              <w:spacing w:line="288" w:lineRule="auto"/>
              <w:rPr>
                <w:rFonts w:hAnsi="宋体" w:cs="宋体"/>
                <w:bCs/>
                <w:color w:val="auto"/>
                <w:highlight w:val="none"/>
              </w:rPr>
            </w:pPr>
            <w:r>
              <w:rPr>
                <w:rFonts w:hint="eastAsia" w:hAnsi="宋体" w:cs="宋体"/>
                <w:bCs/>
                <w:color w:val="auto"/>
                <w:highlight w:val="none"/>
              </w:rPr>
              <w:t>正面：                                 反面：</w:t>
            </w:r>
          </w:p>
          <w:p>
            <w:pPr>
              <w:pStyle w:val="146"/>
              <w:adjustRightInd w:val="0"/>
              <w:snapToGrid w:val="0"/>
              <w:spacing w:line="288" w:lineRule="auto"/>
              <w:rPr>
                <w:rFonts w:hAnsi="宋体" w:cs="宋体"/>
                <w:bCs/>
                <w:color w:val="auto"/>
                <w:highlight w:val="none"/>
              </w:rPr>
            </w:pPr>
          </w:p>
        </w:tc>
      </w:tr>
    </w:tbl>
    <w:p>
      <w:pPr>
        <w:snapToGrid w:val="0"/>
        <w:spacing w:line="288" w:lineRule="auto"/>
        <w:rPr>
          <w:rFonts w:ascii="宋体" w:hAnsi="宋体" w:cs="宋体"/>
          <w:color w:val="auto"/>
          <w:kern w:val="0"/>
          <w:szCs w:val="21"/>
          <w:highlight w:val="none"/>
          <w:lang w:val="zh-CN"/>
        </w:rPr>
      </w:pPr>
    </w:p>
    <w:p>
      <w:pPr>
        <w:snapToGrid w:val="0"/>
        <w:spacing w:line="288"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pPr>
        <w:snapToGrid w:val="0"/>
        <w:spacing w:line="288"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pPr>
        <w:snapToGrid w:val="0"/>
        <w:spacing w:line="288" w:lineRule="auto"/>
        <w:ind w:right="480"/>
        <w:rPr>
          <w:rFonts w:ascii="宋体" w:hAnsi="宋体" w:cs="宋体"/>
          <w:b/>
          <w:color w:val="auto"/>
          <w:kern w:val="0"/>
          <w:szCs w:val="21"/>
          <w:highlight w:val="none"/>
        </w:rPr>
      </w:pPr>
      <w:r>
        <w:rPr>
          <w:color w:val="auto"/>
          <w:highlight w:val="none"/>
        </w:rPr>
        <w:br w:type="page"/>
      </w:r>
      <w:r>
        <w:rPr>
          <w:rFonts w:hint="eastAsia" w:ascii="宋体" w:hAnsi="宋体" w:cs="宋体"/>
          <w:b/>
          <w:color w:val="auto"/>
          <w:kern w:val="0"/>
          <w:szCs w:val="21"/>
          <w:highlight w:val="none"/>
        </w:rPr>
        <w:t>三、分包意向协议（如果有）</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中标后以分包方式履行合同的，提供分包意向协议(附件6</w:t>
      </w:r>
      <w:r>
        <w:rPr>
          <w:rFonts w:ascii="宋体" w:hAnsi="宋体" w:cs="宋体"/>
          <w:b/>
          <w:color w:val="auto"/>
          <w:szCs w:val="21"/>
          <w:highlight w:val="none"/>
        </w:rPr>
        <w:t>)</w:t>
      </w:r>
      <w:r>
        <w:rPr>
          <w:rFonts w:hint="eastAsia" w:ascii="宋体" w:hAnsi="宋体" w:cs="宋体"/>
          <w:b/>
          <w:color w:val="auto"/>
          <w:szCs w:val="21"/>
          <w:highlight w:val="none"/>
        </w:rPr>
        <w:t>；采购人不同意分包或者投标人中标后不以分包方式履行合同的，则不需要提供。</w:t>
      </w:r>
      <w:r>
        <w:rPr>
          <w:rFonts w:hint="eastAsia" w:ascii="宋体" w:hAnsi="宋体" w:cs="宋体"/>
          <w:color w:val="auto"/>
          <w:szCs w:val="21"/>
          <w:highlight w:val="none"/>
        </w:rPr>
        <w:t>]</w:t>
      </w:r>
    </w:p>
    <w:p>
      <w:pPr>
        <w:snapToGrid w:val="0"/>
        <w:spacing w:line="288" w:lineRule="auto"/>
        <w:rPr>
          <w:rFonts w:ascii="宋体" w:hAnsi="宋体" w:cs="宋体"/>
          <w:color w:val="auto"/>
          <w:kern w:val="0"/>
          <w:szCs w:val="21"/>
          <w:highlight w:val="none"/>
        </w:rPr>
      </w:pPr>
    </w:p>
    <w:p>
      <w:pPr>
        <w:snapToGrid w:val="0"/>
        <w:spacing w:line="288"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57"/>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857"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3685"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418"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857"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685"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418"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见投标文件</w:t>
            </w:r>
          </w:p>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857"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685"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投标函</w:t>
            </w:r>
          </w:p>
        </w:tc>
        <w:tc>
          <w:tcPr>
            <w:tcW w:w="1418"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857"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3685"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 系指实质性要求条款，招标文件无其它实质性要求的，无需提供）</w:t>
            </w:r>
          </w:p>
        </w:tc>
        <w:tc>
          <w:tcPr>
            <w:tcW w:w="1418"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pPr>
        <w:snapToGrid w:val="0"/>
        <w:spacing w:line="288"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adjustRightInd/>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pPr>
        <w:snapToGrid w:val="0"/>
        <w:spacing w:line="288" w:lineRule="auto"/>
        <w:jc w:val="center"/>
        <w:rPr>
          <w:rFonts w:ascii="宋体" w:hAnsi="宋体" w:cs="宋体"/>
          <w:color w:val="auto"/>
          <w:szCs w:val="21"/>
          <w:highlight w:val="none"/>
        </w:rPr>
      </w:pPr>
      <w:r>
        <w:rPr>
          <w:rFonts w:hint="eastAsia" w:ascii="宋体" w:hAnsi="宋体" w:cs="宋体"/>
          <w:b/>
          <w:color w:val="auto"/>
          <w:kern w:val="0"/>
          <w:szCs w:val="21"/>
          <w:highlight w:val="none"/>
        </w:rPr>
        <w:t>五、评标标准相应的商务技术资料</w:t>
      </w:r>
    </w:p>
    <w:p>
      <w:pPr>
        <w:snapToGrid w:val="0"/>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pPr>
        <w:snapToGrid w:val="0"/>
        <w:spacing w:line="288" w:lineRule="auto"/>
        <w:jc w:val="center"/>
        <w:rPr>
          <w:rFonts w:ascii="宋体" w:hAnsi="宋体" w:cs="宋体"/>
          <w:b/>
          <w:color w:val="auto"/>
          <w:kern w:val="0"/>
          <w:szCs w:val="21"/>
          <w:highlight w:val="none"/>
        </w:rPr>
      </w:pPr>
    </w:p>
    <w:p>
      <w:pPr>
        <w:snapToGrid w:val="0"/>
        <w:spacing w:line="288" w:lineRule="auto"/>
        <w:jc w:val="center"/>
        <w:rPr>
          <w:rFonts w:ascii="宋体" w:hAnsi="宋体" w:cs="宋体"/>
          <w:b/>
          <w:color w:val="auto"/>
          <w:kern w:val="0"/>
          <w:szCs w:val="21"/>
          <w:highlight w:val="none"/>
        </w:rPr>
      </w:pPr>
    </w:p>
    <w:p>
      <w:pPr>
        <w:snapToGrid w:val="0"/>
        <w:spacing w:line="288" w:lineRule="auto"/>
        <w:rPr>
          <w:rFonts w:ascii="宋体" w:hAnsi="宋体" w:cs="宋体"/>
          <w:b/>
          <w:color w:val="auto"/>
          <w:kern w:val="0"/>
          <w:szCs w:val="21"/>
          <w:highlight w:val="none"/>
        </w:rPr>
      </w:pPr>
      <w:r>
        <w:rPr>
          <w:rFonts w:hint="eastAsia" w:ascii="宋体" w:hAnsi="宋体" w:cs="宋体"/>
          <w:b/>
          <w:color w:val="auto"/>
          <w:kern w:val="0"/>
          <w:szCs w:val="21"/>
          <w:highlight w:val="none"/>
        </w:rPr>
        <w:t>六、投标标的清单</w:t>
      </w:r>
    </w:p>
    <w:tbl>
      <w:tblPr>
        <w:tblStyle w:val="6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76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服务时间</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highlight w:val="none"/>
              </w:rPr>
            </w:pPr>
          </w:p>
        </w:tc>
      </w:tr>
    </w:tbl>
    <w:p>
      <w:pPr>
        <w:snapToGrid w:val="0"/>
        <w:spacing w:line="288"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snapToGrid w:val="0"/>
        <w:spacing w:line="288" w:lineRule="auto"/>
        <w:jc w:val="center"/>
        <w:rPr>
          <w:rFonts w:ascii="宋体" w:hAnsi="宋体" w:cs="宋体"/>
          <w:b/>
          <w:color w:val="auto"/>
          <w:kern w:val="0"/>
          <w:szCs w:val="21"/>
          <w:highlight w:val="none"/>
        </w:rPr>
      </w:pPr>
    </w:p>
    <w:p>
      <w:pPr>
        <w:snapToGrid w:val="0"/>
        <w:spacing w:line="288" w:lineRule="auto"/>
        <w:jc w:val="center"/>
        <w:rPr>
          <w:rFonts w:ascii="宋体" w:hAnsi="宋体" w:cs="宋体"/>
          <w:b/>
          <w:color w:val="auto"/>
          <w:kern w:val="0"/>
          <w:szCs w:val="21"/>
          <w:highlight w:val="none"/>
        </w:rPr>
      </w:pPr>
    </w:p>
    <w:p>
      <w:pPr>
        <w:snapToGrid w:val="0"/>
        <w:spacing w:line="288"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3" w:type="dxa"/>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46" w:type="dxa"/>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6" w:type="dxa"/>
            <w:vAlign w:val="center"/>
          </w:tcPr>
          <w:p>
            <w:pPr>
              <w:snapToGrid w:val="0"/>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pPr>
              <w:snapToGrid w:val="0"/>
              <w:spacing w:line="288"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3" w:type="dxa"/>
            <w:vAlign w:val="center"/>
          </w:tcPr>
          <w:p>
            <w:pPr>
              <w:snapToGrid w:val="0"/>
              <w:spacing w:line="288" w:lineRule="auto"/>
              <w:jc w:val="center"/>
              <w:rPr>
                <w:rFonts w:ascii="宋体" w:hAnsi="宋体" w:cs="宋体"/>
                <w:b/>
                <w:color w:val="auto"/>
                <w:kern w:val="0"/>
                <w:szCs w:val="21"/>
                <w:highlight w:val="none"/>
              </w:rPr>
            </w:pPr>
          </w:p>
        </w:tc>
        <w:tc>
          <w:tcPr>
            <w:tcW w:w="3546" w:type="dxa"/>
            <w:vAlign w:val="center"/>
          </w:tcPr>
          <w:p>
            <w:pPr>
              <w:snapToGrid w:val="0"/>
              <w:spacing w:line="288" w:lineRule="auto"/>
              <w:jc w:val="center"/>
              <w:rPr>
                <w:rFonts w:ascii="宋体" w:hAnsi="宋体" w:cs="宋体"/>
                <w:b/>
                <w:color w:val="auto"/>
                <w:kern w:val="0"/>
                <w:szCs w:val="21"/>
                <w:highlight w:val="none"/>
              </w:rPr>
            </w:pPr>
          </w:p>
        </w:tc>
        <w:tc>
          <w:tcPr>
            <w:tcW w:w="1276" w:type="dxa"/>
            <w:vAlign w:val="center"/>
          </w:tcPr>
          <w:p>
            <w:pPr>
              <w:snapToGrid w:val="0"/>
              <w:spacing w:line="288" w:lineRule="auto"/>
              <w:jc w:val="center"/>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pPr>
              <w:snapToGrid w:val="0"/>
              <w:spacing w:line="288"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3" w:type="dxa"/>
            <w:vAlign w:val="center"/>
          </w:tcPr>
          <w:p>
            <w:pPr>
              <w:snapToGrid w:val="0"/>
              <w:spacing w:line="288" w:lineRule="auto"/>
              <w:jc w:val="center"/>
              <w:rPr>
                <w:rFonts w:ascii="宋体" w:hAnsi="宋体" w:cs="宋体"/>
                <w:b/>
                <w:color w:val="auto"/>
                <w:kern w:val="0"/>
                <w:szCs w:val="21"/>
                <w:highlight w:val="none"/>
              </w:rPr>
            </w:pPr>
          </w:p>
        </w:tc>
        <w:tc>
          <w:tcPr>
            <w:tcW w:w="3546" w:type="dxa"/>
            <w:vAlign w:val="center"/>
          </w:tcPr>
          <w:p>
            <w:pPr>
              <w:snapToGrid w:val="0"/>
              <w:spacing w:line="288" w:lineRule="auto"/>
              <w:jc w:val="center"/>
              <w:rPr>
                <w:rFonts w:ascii="宋体" w:hAnsi="宋体" w:cs="宋体"/>
                <w:b/>
                <w:color w:val="auto"/>
                <w:kern w:val="0"/>
                <w:szCs w:val="21"/>
                <w:highlight w:val="none"/>
              </w:rPr>
            </w:pPr>
          </w:p>
        </w:tc>
        <w:tc>
          <w:tcPr>
            <w:tcW w:w="1276" w:type="dxa"/>
            <w:vAlign w:val="center"/>
          </w:tcPr>
          <w:p>
            <w:pPr>
              <w:snapToGrid w:val="0"/>
              <w:spacing w:line="288" w:lineRule="auto"/>
              <w:jc w:val="center"/>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pPr>
              <w:snapToGrid w:val="0"/>
              <w:spacing w:line="288"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3" w:type="dxa"/>
            <w:vAlign w:val="center"/>
          </w:tcPr>
          <w:p>
            <w:pPr>
              <w:snapToGrid w:val="0"/>
              <w:spacing w:line="288" w:lineRule="auto"/>
              <w:jc w:val="center"/>
              <w:rPr>
                <w:rFonts w:ascii="宋体" w:hAnsi="宋体" w:cs="宋体"/>
                <w:b/>
                <w:color w:val="auto"/>
                <w:kern w:val="0"/>
                <w:szCs w:val="21"/>
                <w:highlight w:val="none"/>
              </w:rPr>
            </w:pPr>
          </w:p>
        </w:tc>
        <w:tc>
          <w:tcPr>
            <w:tcW w:w="3546" w:type="dxa"/>
            <w:vAlign w:val="center"/>
          </w:tcPr>
          <w:p>
            <w:pPr>
              <w:snapToGrid w:val="0"/>
              <w:spacing w:line="288" w:lineRule="auto"/>
              <w:jc w:val="center"/>
              <w:rPr>
                <w:rFonts w:ascii="宋体" w:hAnsi="宋体" w:cs="宋体"/>
                <w:b/>
                <w:color w:val="auto"/>
                <w:kern w:val="0"/>
                <w:szCs w:val="21"/>
                <w:highlight w:val="none"/>
              </w:rPr>
            </w:pPr>
          </w:p>
        </w:tc>
        <w:tc>
          <w:tcPr>
            <w:tcW w:w="1276" w:type="dxa"/>
            <w:vAlign w:val="center"/>
          </w:tcPr>
          <w:p>
            <w:pPr>
              <w:snapToGrid w:val="0"/>
              <w:spacing w:line="288" w:lineRule="auto"/>
              <w:jc w:val="center"/>
              <w:rPr>
                <w:rFonts w:ascii="宋体" w:hAnsi="宋体" w:cs="宋体"/>
                <w:b/>
                <w:color w:val="auto"/>
                <w:kern w:val="0"/>
                <w:szCs w:val="21"/>
                <w:highlight w:val="none"/>
              </w:rPr>
            </w:pPr>
          </w:p>
        </w:tc>
      </w:tr>
    </w:tbl>
    <w:p>
      <w:pPr>
        <w:snapToGri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投标人保证：除商务技术偏离表列出的偏离外，投标人响应招标文件的全部要求</w:t>
      </w:r>
    </w:p>
    <w:p>
      <w:pPr>
        <w:snapToGrid w:val="0"/>
        <w:spacing w:line="288" w:lineRule="auto"/>
        <w:rPr>
          <w:rFonts w:ascii="宋体" w:hAnsi="宋体" w:cs="宋体"/>
          <w:b/>
          <w:color w:val="auto"/>
          <w:kern w:val="0"/>
          <w:szCs w:val="21"/>
          <w:highlight w:val="none"/>
        </w:rPr>
      </w:pPr>
    </w:p>
    <w:p>
      <w:pPr>
        <w:snapToGrid w:val="0"/>
        <w:spacing w:line="288"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snapToGrid w:val="0"/>
        <w:spacing w:line="288" w:lineRule="auto"/>
        <w:jc w:val="left"/>
        <w:rPr>
          <w:rFonts w:ascii="宋体" w:hAnsi="宋体" w:cs="宋体"/>
          <w:b/>
          <w:bCs/>
          <w:color w:val="auto"/>
          <w:szCs w:val="21"/>
          <w:highlight w:val="none"/>
        </w:rPr>
      </w:pPr>
      <w:r>
        <w:rPr>
          <w:rFonts w:ascii="宋体" w:hAnsi="宋体" w:cs="宋体"/>
          <w:b/>
          <w:bCs/>
          <w:color w:val="auto"/>
          <w:szCs w:val="21"/>
          <w:highlight w:val="none"/>
        </w:rPr>
        <w:br w:type="page"/>
      </w:r>
    </w:p>
    <w:p>
      <w:pPr>
        <w:snapToGrid w:val="0"/>
        <w:spacing w:line="288" w:lineRule="auto"/>
        <w:jc w:val="center"/>
        <w:rPr>
          <w:rFonts w:ascii="宋体" w:hAnsi="宋体" w:cs="宋体"/>
          <w:b/>
          <w:color w:val="auto"/>
          <w:kern w:val="0"/>
          <w:szCs w:val="21"/>
          <w:highlight w:val="none"/>
        </w:rPr>
      </w:pPr>
      <w:r>
        <w:rPr>
          <w:rFonts w:hint="eastAsia" w:ascii="宋体" w:hAnsi="宋体" w:cs="宋体"/>
          <w:b/>
          <w:bCs/>
          <w:color w:val="auto"/>
          <w:szCs w:val="21"/>
          <w:highlight w:val="none"/>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zh-CN"/>
        </w:rPr>
        <w:t>政府采购供应商廉洁自律承诺书</w:t>
      </w:r>
    </w:p>
    <w:p>
      <w:pPr>
        <w:snapToGrid w:val="0"/>
        <w:spacing w:line="288" w:lineRule="auto"/>
        <w:rPr>
          <w:rFonts w:ascii="宋体" w:hAnsi="宋体" w:cs="宋体"/>
          <w:color w:val="auto"/>
          <w:szCs w:val="21"/>
          <w:highlight w:val="none"/>
        </w:rPr>
      </w:pPr>
    </w:p>
    <w:p>
      <w:pPr>
        <w:snapToGrid w:val="0"/>
        <w:spacing w:line="288"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杭州市钱塘区义蓬街道社区卫生服务中心（杭州市钱塘区义蓬街道妇女儿童健康服务站）</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浙江求是招标代理有限公司</w:t>
      </w:r>
      <w:r>
        <w:rPr>
          <w:rFonts w:hint="eastAsia" w:ascii="宋体" w:hAnsi="宋体" w:cs="宋体"/>
          <w:color w:val="auto"/>
          <w:kern w:val="0"/>
          <w:szCs w:val="21"/>
          <w:highlight w:val="none"/>
          <w:lang w:val="zh-CN"/>
        </w:rPr>
        <w:t>：</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一、不向项目有关人员及部门赠送礼金礼物、有价证券、回扣以及中介费、介绍费、咨询费等好处费；</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pPr>
        <w:autoSpaceDE w:val="0"/>
        <w:autoSpaceDN w:val="0"/>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pPr>
        <w:autoSpaceDE w:val="0"/>
        <w:autoSpaceDN w:val="0"/>
        <w:snapToGrid w:val="0"/>
        <w:spacing w:line="288" w:lineRule="auto"/>
        <w:jc w:val="left"/>
        <w:rPr>
          <w:rFonts w:ascii="宋体" w:hAnsi="宋体" w:cs="宋体"/>
          <w:color w:val="auto"/>
          <w:kern w:val="0"/>
          <w:szCs w:val="21"/>
          <w:highlight w:val="none"/>
          <w:lang w:val="zh-CN"/>
        </w:rPr>
      </w:pPr>
    </w:p>
    <w:p>
      <w:pPr>
        <w:autoSpaceDE w:val="0"/>
        <w:autoSpaceDN w:val="0"/>
        <w:snapToGrid w:val="0"/>
        <w:spacing w:line="288" w:lineRule="auto"/>
        <w:jc w:val="left"/>
        <w:rPr>
          <w:rFonts w:ascii="宋体" w:hAnsi="宋体" w:cs="宋体"/>
          <w:color w:val="auto"/>
          <w:kern w:val="0"/>
          <w:szCs w:val="21"/>
          <w:highlight w:val="none"/>
          <w:lang w:val="zh-CN"/>
        </w:rPr>
      </w:pPr>
    </w:p>
    <w:p>
      <w:pPr>
        <w:autoSpaceDE w:val="0"/>
        <w:autoSpaceDN w:val="0"/>
        <w:snapToGrid w:val="0"/>
        <w:spacing w:line="288" w:lineRule="auto"/>
        <w:ind w:right="112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w:t>
      </w:r>
    </w:p>
    <w:p>
      <w:pPr>
        <w:snapToGrid w:val="0"/>
        <w:spacing w:line="288" w:lineRule="auto"/>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pPr>
        <w:snapToGrid w:val="0"/>
        <w:spacing w:line="288" w:lineRule="auto"/>
        <w:rPr>
          <w:rFonts w:ascii="宋体" w:hAnsi="宋体" w:cs="宋体"/>
          <w:b/>
          <w:bCs/>
          <w:color w:val="auto"/>
          <w:szCs w:val="21"/>
          <w:highlight w:val="none"/>
        </w:rPr>
      </w:pPr>
    </w:p>
    <w:p>
      <w:pPr>
        <w:snapToGrid w:val="0"/>
        <w:spacing w:line="288"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snapToGrid w:val="0"/>
        <w:spacing w:line="288" w:lineRule="auto"/>
        <w:jc w:val="center"/>
        <w:outlineLvl w:val="1"/>
        <w:rPr>
          <w:rFonts w:ascii="宋体" w:hAnsi="宋体" w:cs="宋体"/>
          <w:b/>
          <w:bCs/>
          <w:color w:val="auto"/>
          <w:szCs w:val="21"/>
          <w:highlight w:val="none"/>
        </w:rPr>
      </w:pPr>
      <w:r>
        <w:rPr>
          <w:color w:val="auto"/>
          <w:highlight w:val="none"/>
        </w:rPr>
        <w:br w:type="page"/>
      </w:r>
      <w:r>
        <w:rPr>
          <w:rFonts w:hint="eastAsia" w:ascii="宋体" w:hAnsi="宋体" w:cs="宋体"/>
          <w:b/>
          <w:color w:val="auto"/>
          <w:kern w:val="0"/>
          <w:szCs w:val="21"/>
          <w:highlight w:val="none"/>
        </w:rPr>
        <w:t>报价文件部分</w:t>
      </w:r>
    </w:p>
    <w:p>
      <w:pPr>
        <w:snapToGrid w:val="0"/>
        <w:spacing w:line="288" w:lineRule="auto"/>
        <w:jc w:val="center"/>
        <w:rPr>
          <w:rFonts w:ascii="宋体" w:hAnsi="宋体" w:cs="宋体"/>
          <w:b/>
          <w:color w:val="auto"/>
          <w:kern w:val="0"/>
          <w:szCs w:val="21"/>
          <w:highlight w:val="none"/>
        </w:rPr>
      </w:pPr>
    </w:p>
    <w:p>
      <w:pPr>
        <w:snapToGrid w:val="0"/>
        <w:spacing w:line="288"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pPr>
        <w:snapToGrid w:val="0"/>
        <w:spacing w:line="288" w:lineRule="auto"/>
        <w:jc w:val="center"/>
        <w:rPr>
          <w:rFonts w:ascii="宋体" w:hAnsi="宋体" w:cs="宋体"/>
          <w:b/>
          <w:color w:val="auto"/>
          <w:kern w:val="0"/>
          <w:szCs w:val="21"/>
          <w:highlight w:val="none"/>
        </w:rPr>
      </w:pP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（1）开标一览表（报价表）………………………………………………………（页码）</w:t>
      </w:r>
    </w:p>
    <w:p>
      <w:pPr>
        <w:snapToGrid w:val="0"/>
        <w:spacing w:line="288" w:lineRule="auto"/>
        <w:rPr>
          <w:rFonts w:hint="eastAsia" w:ascii="宋体" w:hAnsi="宋体" w:cs="宋体"/>
          <w:szCs w:val="21"/>
          <w:highlight w:val="none"/>
        </w:rPr>
      </w:pPr>
      <w:r>
        <w:rPr>
          <w:rFonts w:hint="eastAsia" w:ascii="宋体" w:hAnsi="宋体" w:cs="宋体"/>
          <w:szCs w:val="21"/>
          <w:highlight w:val="none"/>
        </w:rPr>
        <w:t>（2）报价情况说明…………………………………………………………………（页码）</w:t>
      </w:r>
    </w:p>
    <w:p>
      <w:pPr>
        <w:pStyle w:val="690"/>
        <w:keepNext w:val="0"/>
        <w:pageBreakBefore w:val="0"/>
        <w:tabs>
          <w:tab w:val="clear" w:pos="720"/>
        </w:tabs>
        <w:snapToGrid w:val="0"/>
        <w:spacing w:line="288" w:lineRule="auto"/>
        <w:outlineLvl w:val="9"/>
        <w:rPr>
          <w:rFonts w:ascii="宋体" w:hAnsi="宋体" w:eastAsia="宋体" w:cs="宋体"/>
          <w:color w:val="auto"/>
          <w:kern w:val="2"/>
          <w:sz w:val="21"/>
          <w:szCs w:val="21"/>
          <w:highlight w:val="none"/>
        </w:rPr>
      </w:pPr>
      <w:r>
        <w:rPr>
          <w:color w:val="auto"/>
          <w:highlight w:val="none"/>
        </w:rPr>
        <w:br w:type="page"/>
      </w:r>
      <w:r>
        <w:rPr>
          <w:rFonts w:hint="eastAsia" w:ascii="宋体" w:hAnsi="宋体" w:eastAsia="宋体" w:cs="宋体"/>
          <w:color w:val="auto"/>
          <w:kern w:val="2"/>
          <w:sz w:val="21"/>
          <w:szCs w:val="21"/>
          <w:highlight w:val="none"/>
        </w:rPr>
        <w:t>一、开标一览表（报价表）</w:t>
      </w:r>
    </w:p>
    <w:p>
      <w:pPr>
        <w:snapToGrid w:val="0"/>
        <w:spacing w:line="288"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杭州市钱塘区义蓬街道社区卫生服务中心（杭州市钱塘区义蓬街道妇女儿童健康服务站）</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浙江求是招标代理有限公司</w:t>
      </w: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pPr>
        <w:snapToGrid w:val="0"/>
        <w:spacing w:line="288"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2"/>
        <w:tblW w:w="101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701"/>
        <w:gridCol w:w="1384"/>
        <w:gridCol w:w="1417"/>
        <w:gridCol w:w="1134"/>
        <w:gridCol w:w="113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710"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92"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701"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c>
          <w:tcPr>
            <w:tcW w:w="1701"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服务要求</w:t>
            </w:r>
          </w:p>
        </w:tc>
        <w:tc>
          <w:tcPr>
            <w:tcW w:w="1384"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服务时间</w:t>
            </w:r>
          </w:p>
        </w:tc>
        <w:tc>
          <w:tcPr>
            <w:tcW w:w="1417"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服务标准</w:t>
            </w:r>
          </w:p>
        </w:tc>
        <w:tc>
          <w:tcPr>
            <w:tcW w:w="1134"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服务人数</w:t>
            </w:r>
          </w:p>
        </w:tc>
        <w:tc>
          <w:tcPr>
            <w:tcW w:w="1134" w:type="dxa"/>
            <w:vAlign w:val="center"/>
          </w:tcPr>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710"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92"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X</w:t>
            </w:r>
            <w:r>
              <w:rPr>
                <w:rFonts w:ascii="宋体" w:hAnsi="宋体" w:cs="宋体"/>
                <w:color w:val="auto"/>
                <w:szCs w:val="21"/>
                <w:highlight w:val="none"/>
              </w:rPr>
              <w:t>X</w:t>
            </w:r>
          </w:p>
        </w:tc>
        <w:tc>
          <w:tcPr>
            <w:tcW w:w="1701"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384" w:type="dxa"/>
            <w:vAlign w:val="center"/>
          </w:tcPr>
          <w:p>
            <w:pPr>
              <w:snapToGrid w:val="0"/>
              <w:spacing w:line="288" w:lineRule="auto"/>
              <w:jc w:val="center"/>
              <w:rPr>
                <w:rFonts w:ascii="宋体" w:hAnsi="宋体" w:cs="宋体"/>
                <w:color w:val="auto"/>
                <w:szCs w:val="21"/>
                <w:highlight w:val="none"/>
              </w:rPr>
            </w:pPr>
          </w:p>
        </w:tc>
        <w:tc>
          <w:tcPr>
            <w:tcW w:w="1417"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710"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92"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X</w:t>
            </w:r>
            <w:r>
              <w:rPr>
                <w:rFonts w:ascii="宋体" w:hAnsi="宋体" w:cs="宋体"/>
                <w:color w:val="auto"/>
                <w:szCs w:val="21"/>
                <w:highlight w:val="none"/>
              </w:rPr>
              <w:t>X</w:t>
            </w:r>
          </w:p>
        </w:tc>
        <w:tc>
          <w:tcPr>
            <w:tcW w:w="1701"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384" w:type="dxa"/>
            <w:vAlign w:val="center"/>
          </w:tcPr>
          <w:p>
            <w:pPr>
              <w:snapToGrid w:val="0"/>
              <w:spacing w:line="288" w:lineRule="auto"/>
              <w:jc w:val="center"/>
              <w:rPr>
                <w:rFonts w:ascii="宋体" w:hAnsi="宋体" w:cs="宋体"/>
                <w:color w:val="auto"/>
                <w:szCs w:val="21"/>
                <w:highlight w:val="none"/>
              </w:rPr>
            </w:pPr>
          </w:p>
        </w:tc>
        <w:tc>
          <w:tcPr>
            <w:tcW w:w="1417"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710" w:type="dxa"/>
            <w:vAlign w:val="center"/>
          </w:tcPr>
          <w:p>
            <w:pPr>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992"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384" w:type="dxa"/>
            <w:vAlign w:val="center"/>
          </w:tcPr>
          <w:p>
            <w:pPr>
              <w:snapToGrid w:val="0"/>
              <w:spacing w:line="288" w:lineRule="auto"/>
              <w:jc w:val="center"/>
              <w:rPr>
                <w:rFonts w:ascii="宋体" w:hAnsi="宋体" w:cs="宋体"/>
                <w:color w:val="auto"/>
                <w:szCs w:val="21"/>
                <w:highlight w:val="none"/>
              </w:rPr>
            </w:pPr>
          </w:p>
        </w:tc>
        <w:tc>
          <w:tcPr>
            <w:tcW w:w="1417"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710" w:type="dxa"/>
            <w:vAlign w:val="center"/>
          </w:tcPr>
          <w:p>
            <w:pPr>
              <w:snapToGrid w:val="0"/>
              <w:spacing w:line="288" w:lineRule="auto"/>
              <w:jc w:val="center"/>
              <w:rPr>
                <w:rFonts w:ascii="宋体" w:hAnsi="宋体" w:cs="宋体"/>
                <w:color w:val="auto"/>
                <w:szCs w:val="21"/>
                <w:highlight w:val="none"/>
              </w:rPr>
            </w:pPr>
          </w:p>
        </w:tc>
        <w:tc>
          <w:tcPr>
            <w:tcW w:w="992"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384" w:type="dxa"/>
            <w:vAlign w:val="center"/>
          </w:tcPr>
          <w:p>
            <w:pPr>
              <w:snapToGrid w:val="0"/>
              <w:spacing w:line="288" w:lineRule="auto"/>
              <w:jc w:val="center"/>
              <w:rPr>
                <w:rFonts w:ascii="宋体" w:hAnsi="宋体" w:cs="宋体"/>
                <w:color w:val="auto"/>
                <w:szCs w:val="21"/>
                <w:highlight w:val="none"/>
              </w:rPr>
            </w:pPr>
          </w:p>
        </w:tc>
        <w:tc>
          <w:tcPr>
            <w:tcW w:w="1417"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97" w:hRule="atLeast"/>
        </w:trPr>
        <w:tc>
          <w:tcPr>
            <w:tcW w:w="710" w:type="dxa"/>
            <w:vAlign w:val="center"/>
          </w:tcPr>
          <w:p>
            <w:pPr>
              <w:snapToGrid w:val="0"/>
              <w:spacing w:line="288" w:lineRule="auto"/>
              <w:jc w:val="center"/>
              <w:rPr>
                <w:rFonts w:ascii="宋体" w:hAnsi="宋体" w:cs="宋体"/>
                <w:color w:val="auto"/>
                <w:szCs w:val="21"/>
                <w:highlight w:val="none"/>
              </w:rPr>
            </w:pPr>
          </w:p>
        </w:tc>
        <w:tc>
          <w:tcPr>
            <w:tcW w:w="992"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701" w:type="dxa"/>
            <w:vAlign w:val="center"/>
          </w:tcPr>
          <w:p>
            <w:pPr>
              <w:snapToGrid w:val="0"/>
              <w:spacing w:line="288" w:lineRule="auto"/>
              <w:jc w:val="center"/>
              <w:rPr>
                <w:rFonts w:ascii="宋体" w:hAnsi="宋体" w:cs="宋体"/>
                <w:color w:val="auto"/>
                <w:szCs w:val="21"/>
                <w:highlight w:val="none"/>
              </w:rPr>
            </w:pPr>
          </w:p>
        </w:tc>
        <w:tc>
          <w:tcPr>
            <w:tcW w:w="1384" w:type="dxa"/>
            <w:vAlign w:val="center"/>
          </w:tcPr>
          <w:p>
            <w:pPr>
              <w:snapToGrid w:val="0"/>
              <w:spacing w:line="288" w:lineRule="auto"/>
              <w:jc w:val="center"/>
              <w:rPr>
                <w:rFonts w:ascii="宋体" w:hAnsi="宋体" w:cs="宋体"/>
                <w:color w:val="auto"/>
                <w:szCs w:val="21"/>
                <w:highlight w:val="none"/>
              </w:rPr>
            </w:pPr>
          </w:p>
        </w:tc>
        <w:tc>
          <w:tcPr>
            <w:tcW w:w="1417"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c>
          <w:tcPr>
            <w:tcW w:w="1134" w:type="dxa"/>
            <w:vAlign w:val="center"/>
          </w:tcPr>
          <w:p>
            <w:pPr>
              <w:snapToGrid w:val="0"/>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2" w:type="dxa"/>
            <w:gridSpan w:val="9"/>
            <w:vAlign w:val="center"/>
          </w:tcPr>
          <w:p>
            <w:pPr>
              <w:snapToGrid w:val="0"/>
              <w:spacing w:line="288" w:lineRule="auto"/>
              <w:rPr>
                <w:rFonts w:ascii="宋体" w:hAnsi="宋体" w:cs="宋体"/>
                <w:b/>
                <w:color w:val="auto"/>
                <w:szCs w:val="21"/>
                <w:highlight w:val="none"/>
              </w:rPr>
            </w:pPr>
            <w:r>
              <w:rPr>
                <w:rFonts w:hint="eastAsia" w:ascii="宋体" w:hAnsi="宋体" w:cs="宋体"/>
                <w:b/>
                <w:color w:val="auto"/>
                <w:szCs w:val="21"/>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82" w:type="dxa"/>
            <w:gridSpan w:val="9"/>
            <w:vAlign w:val="center"/>
          </w:tcPr>
          <w:p>
            <w:pPr>
              <w:snapToGrid w:val="0"/>
              <w:spacing w:line="288" w:lineRule="auto"/>
              <w:rPr>
                <w:rFonts w:ascii="宋体" w:hAnsi="宋体" w:cs="宋体"/>
                <w:b/>
                <w:color w:val="auto"/>
                <w:szCs w:val="21"/>
                <w:highlight w:val="none"/>
              </w:rPr>
            </w:pPr>
            <w:r>
              <w:rPr>
                <w:rFonts w:hint="eastAsia" w:ascii="宋体" w:hAnsi="宋体" w:cs="宋体"/>
                <w:b/>
                <w:color w:val="auto"/>
                <w:szCs w:val="21"/>
                <w:highlight w:val="none"/>
              </w:rPr>
              <w:t>投标报价（大写）:</w:t>
            </w:r>
          </w:p>
        </w:tc>
      </w:tr>
    </w:tbl>
    <w:p>
      <w:pPr>
        <w:snapToGrid w:val="0"/>
        <w:spacing w:line="288" w:lineRule="auto"/>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w:t>
      </w: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；采购内容未包含在《开标一览表（报价表）》名称栏中，投标人不能作出合理解释的，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pPr>
        <w:snapToGrid w:val="0"/>
        <w:spacing w:line="288" w:lineRule="auto"/>
        <w:ind w:firstLine="424" w:firstLineChars="202"/>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288" w:lineRule="auto"/>
        <w:ind w:firstLine="424" w:firstLineChars="202"/>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line="288" w:lineRule="auto"/>
        <w:outlineLvl w:val="9"/>
        <w:rPr>
          <w:rFonts w:hint="eastAsia" w:ascii="宋体" w:hAnsi="宋体" w:eastAsia="宋体" w:cs="宋体"/>
          <w:kern w:val="2"/>
          <w:sz w:val="21"/>
          <w:szCs w:val="21"/>
          <w:highlight w:val="none"/>
        </w:rPr>
      </w:pPr>
      <w:r>
        <w:rPr>
          <w:color w:val="auto"/>
          <w:highlight w:val="none"/>
        </w:rPr>
        <w:br w:type="page"/>
      </w:r>
      <w:r>
        <w:rPr>
          <w:rFonts w:hint="eastAsia" w:ascii="宋体" w:hAnsi="宋体" w:eastAsia="宋体" w:cs="宋体"/>
          <w:kern w:val="2"/>
          <w:sz w:val="21"/>
          <w:szCs w:val="21"/>
          <w:highlight w:val="none"/>
        </w:rPr>
        <w:t>二、报价情况说明（如供应商报价低于项目预算50%的，应当提交本文档，详细阐述不影响产品质量或者诚信履约的具体原因）</w:t>
      </w:r>
    </w:p>
    <w:p>
      <w:p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br w:type="page"/>
      </w:r>
    </w:p>
    <w:p>
      <w:pPr>
        <w:pStyle w:val="690"/>
        <w:keepNext w:val="0"/>
        <w:pageBreakBefore w:val="0"/>
        <w:tabs>
          <w:tab w:val="clear" w:pos="720"/>
        </w:tabs>
        <w:snapToGrid w:val="0"/>
        <w:spacing w:line="288" w:lineRule="auto"/>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w:t>
      </w:r>
      <w:r>
        <w:rPr>
          <w:rFonts w:hint="eastAsia" w:ascii="宋体" w:hAnsi="宋体" w:eastAsia="宋体" w:cs="宋体"/>
          <w:color w:val="auto"/>
          <w:sz w:val="21"/>
          <w:szCs w:val="21"/>
          <w:highlight w:val="none"/>
        </w:rPr>
        <w:t>中小企业声明函（如果有）</w:t>
      </w:r>
    </w:p>
    <w:p>
      <w:pPr>
        <w:snapToGrid w:val="0"/>
        <w:spacing w:line="288" w:lineRule="auto"/>
        <w:jc w:val="left"/>
        <w:rPr>
          <w:rFonts w:ascii="宋体" w:hAnsi="宋体" w:cs="宋体"/>
          <w:b/>
          <w:color w:val="auto"/>
          <w:szCs w:val="21"/>
          <w:highlight w:val="none"/>
        </w:rPr>
      </w:pPr>
    </w:p>
    <w:p>
      <w:pPr>
        <w:snapToGrid w:val="0"/>
        <w:spacing w:line="288" w:lineRule="auto"/>
        <w:ind w:firstLine="424" w:firstLineChars="201"/>
        <w:jc w:val="left"/>
        <w:rPr>
          <w:rFonts w:ascii="宋体" w:hAnsi="宋体" w:cs="宋体"/>
          <w:b/>
          <w:color w:val="auto"/>
          <w:szCs w:val="21"/>
          <w:highlight w:val="none"/>
        </w:rPr>
      </w:pPr>
      <w:r>
        <w:rPr>
          <w:rFonts w:hint="eastAsia" w:ascii="宋体" w:hAnsi="宋体" w:cs="宋体"/>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Cs w:val="21"/>
          <w:highlight w:val="none"/>
        </w:rPr>
        <w:t>7</w:t>
      </w:r>
      <w:r>
        <w:rPr>
          <w:rFonts w:hint="eastAsia" w:ascii="宋体" w:hAnsi="宋体" w:cs="宋体"/>
          <w:b/>
          <w:color w:val="auto"/>
          <w:szCs w:val="21"/>
          <w:highlight w:val="none"/>
        </w:rPr>
        <w:t>）。]</w:t>
      </w:r>
    </w:p>
    <w:p>
      <w:pPr>
        <w:widowControl/>
        <w:adjustRightInd/>
        <w:jc w:val="left"/>
        <w:rPr>
          <w:rFonts w:ascii="宋体" w:hAnsi="宋体" w:cs="宋体"/>
          <w:b/>
          <w:color w:val="auto"/>
          <w:kern w:val="0"/>
          <w:szCs w:val="21"/>
          <w:highlight w:val="none"/>
        </w:rPr>
      </w:pPr>
      <w:r>
        <w:rPr>
          <w:rFonts w:ascii="宋体" w:hAnsi="宋体" w:cs="宋体"/>
          <w:bCs/>
          <w:color w:val="auto"/>
          <w:kern w:val="0"/>
          <w:szCs w:val="21"/>
          <w:highlight w:val="none"/>
        </w:rPr>
        <w:br w:type="page"/>
      </w:r>
    </w:p>
    <w:p>
      <w:pPr>
        <w:pStyle w:val="4"/>
        <w:keepNext w:val="0"/>
        <w:keepLines w:val="0"/>
        <w:snapToGrid w:val="0"/>
        <w:spacing w:before="0" w:after="0" w:line="288" w:lineRule="auto"/>
        <w:ind w:left="0" w:firstLine="0"/>
        <w:jc w:val="center"/>
        <w:rPr>
          <w:rFonts w:ascii="宋体" w:hAnsi="宋体" w:cs="宋体"/>
          <w:color w:val="auto"/>
          <w:sz w:val="21"/>
          <w:szCs w:val="21"/>
          <w:highlight w:val="none"/>
        </w:rPr>
      </w:pPr>
      <w:r>
        <w:rPr>
          <w:rFonts w:hint="eastAsia" w:ascii="宋体" w:hAnsi="宋体" w:cs="宋体"/>
          <w:color w:val="auto"/>
          <w:sz w:val="21"/>
          <w:szCs w:val="21"/>
          <w:highlight w:val="none"/>
        </w:rPr>
        <w:t>附件</w:t>
      </w:r>
    </w:p>
    <w:p>
      <w:pPr>
        <w:snapToGrid w:val="0"/>
        <w:spacing w:line="288" w:lineRule="auto"/>
        <w:outlineLvl w:val="1"/>
        <w:rPr>
          <w:rFonts w:ascii="宋体" w:hAnsi="宋体" w:cs="宋体"/>
          <w:b/>
          <w:color w:val="auto"/>
          <w:spacing w:val="6"/>
          <w:szCs w:val="21"/>
          <w:highlight w:val="none"/>
        </w:rPr>
      </w:pPr>
      <w:r>
        <w:rPr>
          <w:rFonts w:hint="eastAsia" w:ascii="宋体" w:hAnsi="宋体" w:cs="宋体"/>
          <w:b/>
          <w:color w:val="auto"/>
          <w:spacing w:val="6"/>
          <w:szCs w:val="21"/>
          <w:highlight w:val="none"/>
        </w:rPr>
        <w:t>附件1：</w:t>
      </w:r>
      <w:bookmarkStart w:id="518" w:name="OLE_LINK14"/>
      <w:bookmarkStart w:id="519" w:name="OLE_LINK13"/>
      <w:r>
        <w:rPr>
          <w:rFonts w:hint="eastAsia" w:ascii="宋体" w:hAnsi="宋体" w:cs="宋体"/>
          <w:b/>
          <w:color w:val="auto"/>
          <w:spacing w:val="6"/>
          <w:szCs w:val="21"/>
          <w:highlight w:val="none"/>
        </w:rPr>
        <w:t>残疾人福利性单位声明函</w:t>
      </w:r>
    </w:p>
    <w:bookmarkEnd w:id="518"/>
    <w:bookmarkEnd w:id="519"/>
    <w:p>
      <w:pPr>
        <w:snapToGrid w:val="0"/>
        <w:spacing w:line="288" w:lineRule="auto"/>
        <w:rPr>
          <w:rFonts w:ascii="宋体" w:hAnsi="宋体" w:cs="宋体"/>
          <w:b/>
          <w:color w:val="auto"/>
          <w:spacing w:val="6"/>
          <w:szCs w:val="21"/>
          <w:highlight w:val="none"/>
        </w:rPr>
      </w:pP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Cs w:val="21"/>
          <w:highlight w:val="none"/>
          <w:u w:val="single"/>
        </w:rPr>
        <w:t>(采购人)</w:t>
      </w:r>
      <w:r>
        <w:rPr>
          <w:rFonts w:hint="eastAsia" w:ascii="宋体" w:hAnsi="宋体" w:cs="宋体"/>
          <w:color w:val="auto"/>
          <w:szCs w:val="21"/>
          <w:highlight w:val="none"/>
        </w:rPr>
        <w:t>_单位的_</w:t>
      </w:r>
      <w:r>
        <w:rPr>
          <w:rFonts w:hint="eastAsia" w:ascii="宋体" w:hAnsi="宋体" w:cs="宋体"/>
          <w:color w:val="auto"/>
          <w:szCs w:val="21"/>
          <w:highlight w:val="none"/>
          <w:u w:val="single"/>
          <w:lang w:eastAsia="zh-CN"/>
        </w:rPr>
        <w:t>标识标牌及导视设施采购项目（文化设计采购项目）</w:t>
      </w:r>
      <w:r>
        <w:rPr>
          <w:rFonts w:hint="eastAsia" w:ascii="宋体" w:hAnsi="宋体" w:cs="宋体"/>
          <w:color w:val="auto"/>
          <w:szCs w:val="21"/>
          <w:highlight w:val="none"/>
        </w:rPr>
        <w:t>__项目采购活动提供本单位制造的货物（由本单位承担工程/提供服务），或者提供其他残疾人福利性单位制造的货物（不包括使用非残疾人福利性单位注册商标的货物）。</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napToGrid w:val="0"/>
        <w:spacing w:line="288" w:lineRule="auto"/>
        <w:ind w:firstLine="424" w:firstLineChars="202"/>
        <w:rPr>
          <w:rFonts w:ascii="宋体" w:hAnsi="宋体" w:cs="宋体"/>
          <w:color w:val="auto"/>
          <w:szCs w:val="21"/>
          <w:highlight w:val="none"/>
        </w:rPr>
      </w:pPr>
    </w:p>
    <w:p>
      <w:pPr>
        <w:tabs>
          <w:tab w:val="left" w:pos="4860"/>
        </w:tabs>
        <w:snapToGrid w:val="0"/>
        <w:spacing w:line="288" w:lineRule="auto"/>
        <w:ind w:right="1560" w:firstLine="424" w:firstLineChars="202"/>
        <w:rPr>
          <w:rFonts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pPr>
        <w:tabs>
          <w:tab w:val="left" w:pos="4860"/>
        </w:tabs>
        <w:snapToGrid w:val="0"/>
        <w:spacing w:line="288" w:lineRule="auto"/>
        <w:ind w:right="1560" w:firstLine="424" w:firstLineChars="202"/>
        <w:rPr>
          <w:rFonts w:ascii="宋体" w:hAnsi="宋体" w:cs="宋体"/>
          <w:color w:val="auto"/>
          <w:szCs w:val="21"/>
          <w:highlight w:val="none"/>
        </w:rPr>
      </w:pPr>
      <w:r>
        <w:rPr>
          <w:rFonts w:hint="eastAsia" w:ascii="宋体" w:hAnsi="宋体" w:cs="宋体"/>
          <w:color w:val="auto"/>
          <w:szCs w:val="21"/>
          <w:highlight w:val="none"/>
        </w:rPr>
        <w:t>日  期：</w:t>
      </w:r>
    </w:p>
    <w:p>
      <w:pPr>
        <w:widowControl/>
        <w:adjustRightInd/>
        <w:jc w:val="left"/>
        <w:rPr>
          <w:rFonts w:ascii="宋体" w:hAnsi="宋体" w:cs="宋体"/>
          <w:color w:val="auto"/>
          <w:szCs w:val="21"/>
          <w:highlight w:val="none"/>
        </w:rPr>
      </w:pPr>
      <w:r>
        <w:rPr>
          <w:rFonts w:ascii="宋体" w:hAnsi="宋体" w:cs="宋体"/>
          <w:color w:val="auto"/>
          <w:szCs w:val="21"/>
          <w:highlight w:val="none"/>
        </w:rPr>
        <w:br w:type="page"/>
      </w:r>
    </w:p>
    <w:p>
      <w:pPr>
        <w:snapToGrid w:val="0"/>
        <w:spacing w:line="288" w:lineRule="auto"/>
        <w:jc w:val="left"/>
        <w:outlineLvl w:val="1"/>
        <w:rPr>
          <w:rFonts w:ascii="宋体" w:hAnsi="宋体" w:cs="宋体"/>
          <w:b/>
          <w:spacing w:val="6"/>
          <w:szCs w:val="21"/>
          <w:highlight w:val="none"/>
        </w:rPr>
      </w:pPr>
      <w:r>
        <w:rPr>
          <w:rFonts w:hint="eastAsia" w:ascii="宋体" w:hAnsi="宋体" w:cs="宋体"/>
          <w:b/>
          <w:spacing w:val="6"/>
          <w:szCs w:val="21"/>
          <w:highlight w:val="none"/>
        </w:rPr>
        <w:t>附件2：质疑函范本及制作说明</w:t>
      </w:r>
    </w:p>
    <w:p>
      <w:pPr>
        <w:snapToGrid w:val="0"/>
        <w:spacing w:line="288" w:lineRule="auto"/>
        <w:jc w:val="center"/>
        <w:rPr>
          <w:rFonts w:ascii="宋体" w:hAnsi="宋体" w:cs="宋体"/>
          <w:b/>
          <w:spacing w:val="6"/>
          <w:szCs w:val="21"/>
          <w:highlight w:val="none"/>
        </w:rPr>
      </w:pPr>
      <w:r>
        <w:rPr>
          <w:rFonts w:hint="eastAsia" w:ascii="宋体" w:hAnsi="宋体" w:cs="宋体"/>
          <w:b/>
          <w:spacing w:val="6"/>
          <w:szCs w:val="21"/>
          <w:highlight w:val="none"/>
        </w:rPr>
        <w:t>质疑函范本</w:t>
      </w:r>
    </w:p>
    <w:p>
      <w:pPr>
        <w:snapToGrid w:val="0"/>
        <w:spacing w:before="240" w:beforeLines="100" w:line="288" w:lineRule="auto"/>
        <w:rPr>
          <w:rFonts w:ascii="宋体" w:hAnsi="宋体" w:cs="宋体"/>
          <w:bCs/>
          <w:szCs w:val="21"/>
          <w:highlight w:val="none"/>
        </w:rPr>
      </w:pPr>
      <w:r>
        <w:rPr>
          <w:rFonts w:hint="eastAsia" w:ascii="宋体" w:hAnsi="宋体" w:cs="宋体"/>
          <w:bCs/>
          <w:szCs w:val="21"/>
          <w:highlight w:val="none"/>
        </w:rPr>
        <w:t>一、质疑供应商基本信息</w:t>
      </w:r>
    </w:p>
    <w:p>
      <w:pPr>
        <w:snapToGrid w:val="0"/>
        <w:spacing w:line="288" w:lineRule="auto"/>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288" w:lineRule="auto"/>
        <w:rPr>
          <w:rFonts w:ascii="宋体" w:hAnsi="宋体" w:cs="宋体"/>
          <w:bCs/>
          <w:szCs w:val="21"/>
          <w:highlight w:val="none"/>
        </w:rPr>
      </w:pPr>
      <w:r>
        <w:rPr>
          <w:rFonts w:hint="eastAsia" w:ascii="宋体" w:hAnsi="宋体" w:cs="宋体"/>
          <w:bCs/>
          <w:szCs w:val="21"/>
          <w:highlight w:val="none"/>
        </w:rPr>
        <w:t>二、质疑项目基本情况</w:t>
      </w:r>
    </w:p>
    <w:p>
      <w:pPr>
        <w:snapToGrid w:val="0"/>
        <w:spacing w:line="288" w:lineRule="auto"/>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pPr>
        <w:snapToGrid w:val="0"/>
        <w:spacing w:line="288" w:lineRule="auto"/>
        <w:rPr>
          <w:rFonts w:ascii="宋体" w:hAnsi="宋体" w:cs="宋体"/>
          <w:bCs/>
          <w:szCs w:val="21"/>
          <w:highlight w:val="none"/>
        </w:rPr>
      </w:pPr>
      <w:r>
        <w:rPr>
          <w:rFonts w:hint="eastAsia" w:ascii="宋体" w:hAnsi="宋体" w:cs="宋体"/>
          <w:bCs/>
          <w:szCs w:val="21"/>
          <w:highlight w:val="none"/>
        </w:rPr>
        <w:t>三、质疑事项具体内容</w:t>
      </w:r>
    </w:p>
    <w:p>
      <w:pPr>
        <w:snapToGrid w:val="0"/>
        <w:spacing w:line="288" w:lineRule="auto"/>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质疑事项2</w:t>
      </w:r>
    </w:p>
    <w:p>
      <w:pPr>
        <w:snapToGrid w:val="0"/>
        <w:spacing w:line="288" w:lineRule="auto"/>
        <w:rPr>
          <w:rFonts w:ascii="宋体" w:hAnsi="宋体" w:cs="宋体"/>
          <w:szCs w:val="21"/>
          <w:highlight w:val="none"/>
        </w:rPr>
      </w:pPr>
      <w:r>
        <w:rPr>
          <w:rFonts w:hint="eastAsia" w:ascii="宋体" w:hAnsi="宋体" w:cs="宋体"/>
          <w:szCs w:val="21"/>
          <w:highlight w:val="none"/>
        </w:rPr>
        <w:t>……</w:t>
      </w:r>
    </w:p>
    <w:p>
      <w:pPr>
        <w:snapToGrid w:val="0"/>
        <w:spacing w:line="288" w:lineRule="auto"/>
        <w:rPr>
          <w:rFonts w:ascii="宋体" w:hAnsi="宋体" w:cs="宋体"/>
          <w:bCs/>
          <w:szCs w:val="21"/>
          <w:highlight w:val="none"/>
        </w:rPr>
      </w:pPr>
      <w:r>
        <w:rPr>
          <w:rFonts w:hint="eastAsia" w:ascii="宋体" w:hAnsi="宋体" w:cs="宋体"/>
          <w:bCs/>
          <w:szCs w:val="21"/>
          <w:highlight w:val="none"/>
        </w:rPr>
        <w:t>四、与质疑事项相关的质疑请求</w:t>
      </w:r>
    </w:p>
    <w:p>
      <w:pPr>
        <w:snapToGrid w:val="0"/>
        <w:spacing w:line="288" w:lineRule="auto"/>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p>
    <w:p>
      <w:pPr>
        <w:snapToGrid w:val="0"/>
        <w:spacing w:line="288" w:lineRule="auto"/>
        <w:rPr>
          <w:rFonts w:ascii="宋体" w:hAnsi="宋体" w:cs="宋体"/>
          <w:szCs w:val="21"/>
          <w:highlight w:val="none"/>
        </w:rPr>
      </w:pPr>
      <w:r>
        <w:rPr>
          <w:rFonts w:hint="eastAsia" w:ascii="宋体" w:hAnsi="宋体" w:cs="宋体"/>
          <w:szCs w:val="21"/>
          <w:highlight w:val="none"/>
        </w:rPr>
        <w:t xml:space="preserve">签字(签章)：                   公章：                      </w:t>
      </w:r>
    </w:p>
    <w:p>
      <w:pPr>
        <w:snapToGrid w:val="0"/>
        <w:spacing w:line="288" w:lineRule="auto"/>
        <w:rPr>
          <w:rFonts w:ascii="宋体" w:hAnsi="宋体" w:cs="宋体"/>
          <w:szCs w:val="21"/>
          <w:highlight w:val="none"/>
        </w:rPr>
      </w:pPr>
      <w:r>
        <w:rPr>
          <w:rFonts w:hint="eastAsia" w:ascii="宋体" w:hAnsi="宋体" w:cs="宋体"/>
          <w:szCs w:val="21"/>
          <w:highlight w:val="none"/>
        </w:rPr>
        <w:t xml:space="preserve">日期：    </w:t>
      </w:r>
    </w:p>
    <w:p>
      <w:pPr>
        <w:snapToGrid w:val="0"/>
        <w:spacing w:line="288" w:lineRule="auto"/>
        <w:rPr>
          <w:rFonts w:ascii="宋体" w:hAnsi="宋体" w:cs="宋体"/>
          <w:b/>
          <w:szCs w:val="21"/>
          <w:highlight w:val="none"/>
        </w:rPr>
      </w:pPr>
    </w:p>
    <w:p>
      <w:pPr>
        <w:snapToGrid w:val="0"/>
        <w:spacing w:line="288" w:lineRule="auto"/>
        <w:rPr>
          <w:rFonts w:ascii="宋体" w:hAnsi="宋体" w:cs="宋体"/>
          <w:b/>
          <w:szCs w:val="21"/>
          <w:highlight w:val="none"/>
        </w:rPr>
      </w:pPr>
      <w:r>
        <w:rPr>
          <w:rFonts w:hint="eastAsia" w:ascii="宋体" w:hAnsi="宋体" w:cs="宋体"/>
          <w:b/>
          <w:szCs w:val="21"/>
          <w:highlight w:val="none"/>
        </w:rPr>
        <w:t>质疑函制作说明：</w:t>
      </w:r>
    </w:p>
    <w:p>
      <w:pPr>
        <w:snapToGrid w:val="0"/>
        <w:spacing w:line="288" w:lineRule="auto"/>
        <w:ind w:firstLine="424" w:firstLineChars="202"/>
        <w:jc w:val="left"/>
        <w:rPr>
          <w:rFonts w:ascii="宋体" w:hAnsi="宋体" w:cs="宋体"/>
          <w:szCs w:val="21"/>
          <w:highlight w:val="none"/>
        </w:rPr>
      </w:pPr>
      <w:r>
        <w:rPr>
          <w:rFonts w:hint="eastAsia" w:ascii="宋体" w:hAnsi="宋体" w:cs="宋体"/>
          <w:szCs w:val="21"/>
          <w:highlight w:val="none"/>
        </w:rPr>
        <w:t>1.供应商提出质疑时，应提交质疑函和必要的证明材料。</w:t>
      </w:r>
    </w:p>
    <w:p>
      <w:pPr>
        <w:snapToGrid w:val="0"/>
        <w:spacing w:line="288" w:lineRule="auto"/>
        <w:ind w:firstLine="424" w:firstLineChars="202"/>
        <w:jc w:val="left"/>
        <w:rPr>
          <w:rFonts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pPr>
        <w:snapToGrid w:val="0"/>
        <w:spacing w:line="288" w:lineRule="auto"/>
        <w:ind w:firstLine="424" w:firstLineChars="202"/>
        <w:jc w:val="left"/>
        <w:rPr>
          <w:rFonts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pPr>
        <w:snapToGrid w:val="0"/>
        <w:spacing w:line="288" w:lineRule="auto"/>
        <w:ind w:firstLine="424" w:firstLineChars="202"/>
        <w:jc w:val="left"/>
        <w:rPr>
          <w:rFonts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pPr>
        <w:snapToGrid w:val="0"/>
        <w:spacing w:line="288" w:lineRule="auto"/>
        <w:ind w:firstLine="424" w:firstLineChars="202"/>
        <w:jc w:val="left"/>
        <w:rPr>
          <w:rFonts w:ascii="宋体" w:hAnsi="宋体" w:cs="宋体"/>
          <w:szCs w:val="21"/>
          <w:highlight w:val="none"/>
        </w:rPr>
      </w:pPr>
      <w:r>
        <w:rPr>
          <w:rFonts w:hint="eastAsia" w:ascii="宋体" w:hAnsi="宋体" w:cs="宋体"/>
          <w:szCs w:val="21"/>
          <w:highlight w:val="none"/>
        </w:rPr>
        <w:t>5.质疑函的质疑请求应与质疑事项相关。</w:t>
      </w:r>
    </w:p>
    <w:p>
      <w:pPr>
        <w:snapToGrid w:val="0"/>
        <w:spacing w:line="288" w:lineRule="auto"/>
        <w:ind w:firstLine="424" w:firstLineChars="202"/>
        <w:jc w:val="left"/>
        <w:rPr>
          <w:rFonts w:ascii="宋体" w:hAnsi="宋体" w:cs="宋体"/>
          <w:szCs w:val="21"/>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p>
      <w:pPr>
        <w:widowControl/>
        <w:adjustRightInd/>
        <w:jc w:val="left"/>
        <w:rPr>
          <w:rFonts w:ascii="宋体" w:hAnsi="宋体" w:cs="宋体"/>
          <w:szCs w:val="21"/>
          <w:highlight w:val="none"/>
        </w:rPr>
      </w:pPr>
      <w:r>
        <w:rPr>
          <w:rFonts w:ascii="宋体" w:hAnsi="宋体" w:cs="宋体"/>
          <w:szCs w:val="21"/>
          <w:highlight w:val="none"/>
        </w:rPr>
        <w:br w:type="page"/>
      </w:r>
    </w:p>
    <w:p>
      <w:pPr>
        <w:snapToGrid w:val="0"/>
        <w:spacing w:line="288" w:lineRule="auto"/>
        <w:jc w:val="left"/>
        <w:outlineLvl w:val="1"/>
        <w:rPr>
          <w:rFonts w:ascii="宋体" w:hAnsi="宋体" w:cs="宋体"/>
          <w:b/>
          <w:spacing w:val="6"/>
          <w:szCs w:val="21"/>
          <w:highlight w:val="none"/>
        </w:rPr>
      </w:pPr>
      <w:r>
        <w:rPr>
          <w:rFonts w:hint="eastAsia" w:ascii="宋体" w:hAnsi="宋体" w:cs="宋体"/>
          <w:b/>
          <w:spacing w:val="6"/>
          <w:szCs w:val="21"/>
          <w:highlight w:val="none"/>
        </w:rPr>
        <w:t>附件3：投诉书范本及制作说明</w:t>
      </w:r>
    </w:p>
    <w:p>
      <w:pPr>
        <w:snapToGrid w:val="0"/>
        <w:spacing w:line="288" w:lineRule="auto"/>
        <w:jc w:val="center"/>
        <w:rPr>
          <w:rFonts w:ascii="宋体" w:hAnsi="宋体" w:cs="宋体"/>
          <w:b/>
          <w:szCs w:val="21"/>
          <w:highlight w:val="none"/>
        </w:rPr>
      </w:pPr>
    </w:p>
    <w:p>
      <w:pPr>
        <w:snapToGrid w:val="0"/>
        <w:spacing w:line="288" w:lineRule="auto"/>
        <w:jc w:val="center"/>
        <w:rPr>
          <w:rFonts w:ascii="宋体" w:hAnsi="宋体" w:cs="宋体"/>
          <w:b/>
          <w:spacing w:val="6"/>
          <w:szCs w:val="21"/>
          <w:highlight w:val="none"/>
        </w:rPr>
      </w:pPr>
      <w:r>
        <w:rPr>
          <w:rFonts w:hint="eastAsia" w:ascii="宋体" w:hAnsi="宋体" w:cs="宋体"/>
          <w:b/>
          <w:spacing w:val="6"/>
          <w:szCs w:val="21"/>
          <w:highlight w:val="none"/>
        </w:rPr>
        <w:t>投诉书范本</w:t>
      </w:r>
    </w:p>
    <w:p>
      <w:pPr>
        <w:snapToGrid w:val="0"/>
        <w:spacing w:line="288" w:lineRule="auto"/>
        <w:rPr>
          <w:rFonts w:ascii="宋体" w:hAnsi="宋体" w:cs="宋体"/>
          <w:szCs w:val="21"/>
          <w:highlight w:val="none"/>
        </w:rPr>
      </w:pPr>
      <w:r>
        <w:rPr>
          <w:rFonts w:hint="eastAsia" w:ascii="宋体" w:hAnsi="宋体" w:cs="宋体"/>
          <w:szCs w:val="21"/>
          <w:highlight w:val="none"/>
        </w:rPr>
        <w:t>一、投诉相关主体基本情况</w:t>
      </w:r>
    </w:p>
    <w:p>
      <w:pPr>
        <w:snapToGrid w:val="0"/>
        <w:spacing w:line="288" w:lineRule="auto"/>
        <w:rPr>
          <w:rFonts w:ascii="宋体" w:hAnsi="宋体" w:cs="宋体"/>
          <w:szCs w:val="21"/>
          <w:highlight w:val="none"/>
          <w:u w:val="dotted"/>
        </w:rPr>
      </w:pPr>
      <w:r>
        <w:rPr>
          <w:rFonts w:hint="eastAsia" w:ascii="宋体" w:hAnsi="宋体" w:cs="宋体"/>
          <w:szCs w:val="21"/>
          <w:highlight w:val="none"/>
        </w:rPr>
        <w:t>投诉人：</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tabs>
          <w:tab w:val="left" w:pos="6510"/>
        </w:tabs>
        <w:snapToGrid w:val="0"/>
        <w:spacing w:line="288" w:lineRule="auto"/>
        <w:jc w:val="left"/>
        <w:rPr>
          <w:rFonts w:ascii="宋体" w:hAnsi="宋体" w:cs="宋体"/>
          <w:szCs w:val="21"/>
          <w:highlight w:val="none"/>
        </w:rPr>
      </w:pPr>
      <w:r>
        <w:rPr>
          <w:rFonts w:hint="eastAsia" w:ascii="宋体" w:hAnsi="宋体" w:cs="宋体"/>
          <w:szCs w:val="21"/>
          <w:highlight w:val="none"/>
        </w:rPr>
        <w:t>法定代表人/主要负责人：</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tabs>
          <w:tab w:val="left" w:pos="6510"/>
        </w:tabs>
        <w:snapToGrid w:val="0"/>
        <w:spacing w:line="288" w:lineRule="auto"/>
        <w:rPr>
          <w:rFonts w:ascii="宋体" w:hAnsi="宋体" w:cs="宋体"/>
          <w:szCs w:val="21"/>
          <w:highlight w:val="none"/>
          <w:u w:val="dotted"/>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被投诉人1：</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被投诉人2</w:t>
      </w:r>
    </w:p>
    <w:p>
      <w:pPr>
        <w:snapToGrid w:val="0"/>
        <w:spacing w:line="288" w:lineRule="auto"/>
        <w:rPr>
          <w:rFonts w:ascii="宋体" w:hAnsi="宋体" w:cs="宋体"/>
          <w:szCs w:val="21"/>
          <w:highlight w:val="none"/>
          <w:u w:val="dotted"/>
        </w:rPr>
      </w:pPr>
      <w:r>
        <w:rPr>
          <w:rFonts w:hint="eastAsia" w:ascii="宋体" w:hAnsi="宋体" w:cs="宋体"/>
          <w:szCs w:val="21"/>
          <w:highlight w:val="none"/>
        </w:rPr>
        <w:t>……</w:t>
      </w:r>
    </w:p>
    <w:p>
      <w:pPr>
        <w:snapToGrid w:val="0"/>
        <w:spacing w:line="288" w:lineRule="auto"/>
        <w:rPr>
          <w:rFonts w:ascii="宋体" w:hAnsi="宋体" w:cs="宋体"/>
          <w:szCs w:val="21"/>
          <w:highlight w:val="none"/>
          <w:u w:val="single"/>
        </w:rPr>
      </w:pPr>
      <w:r>
        <w:rPr>
          <w:rFonts w:hint="eastAsia" w:ascii="宋体" w:hAnsi="宋体" w:cs="宋体"/>
          <w:szCs w:val="21"/>
          <w:highlight w:val="none"/>
        </w:rPr>
        <w:t>相关供应商：</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二、投诉项目基本情况</w:t>
      </w:r>
    </w:p>
    <w:p>
      <w:pPr>
        <w:snapToGrid w:val="0"/>
        <w:spacing w:line="288" w:lineRule="auto"/>
        <w:rPr>
          <w:rFonts w:ascii="宋体" w:hAnsi="宋体" w:cs="宋体"/>
          <w:szCs w:val="21"/>
          <w:highlight w:val="none"/>
          <w:u w:val="dotted"/>
        </w:rPr>
      </w:pPr>
      <w:r>
        <w:rPr>
          <w:rFonts w:hint="eastAsia" w:ascii="宋体" w:hAnsi="宋体" w:cs="宋体"/>
          <w:szCs w:val="21"/>
          <w:highlight w:val="none"/>
        </w:rPr>
        <w:t>采购项目名称：</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代理机构名称：</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rPr>
        <w:t>采购文件公告: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采购结果公告: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三、质疑基本情况</w:t>
      </w:r>
    </w:p>
    <w:p>
      <w:pPr>
        <w:snapToGrid w:val="0"/>
        <w:spacing w:line="288" w:lineRule="auto"/>
        <w:rPr>
          <w:rFonts w:ascii="宋体" w:hAnsi="宋体" w:cs="宋体"/>
          <w:szCs w:val="21"/>
          <w:highlight w:val="none"/>
          <w:u w:val="dotted"/>
        </w:rPr>
      </w:pPr>
      <w:r>
        <w:rPr>
          <w:rFonts w:hint="eastAsia" w:ascii="宋体" w:hAnsi="宋体" w:cs="宋体"/>
          <w:szCs w:val="21"/>
          <w:highlight w:val="none"/>
        </w:rPr>
        <w:t>投诉人于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日,向</w:t>
      </w:r>
      <w:r>
        <w:rPr>
          <w:rFonts w:hint="eastAsia" w:ascii="宋体" w:hAnsi="宋体" w:cs="宋体"/>
          <w:szCs w:val="21"/>
          <w:highlight w:val="none"/>
          <w:u w:val="dotted"/>
        </w:rPr>
        <w:t xml:space="preserve">                   </w:t>
      </w:r>
      <w:r>
        <w:rPr>
          <w:rFonts w:hint="eastAsia" w:ascii="宋体" w:hAnsi="宋体" w:cs="宋体"/>
          <w:szCs w:val="21"/>
          <w:highlight w:val="none"/>
        </w:rPr>
        <w:t>提出质疑，质疑事项为：</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u w:val="dotted"/>
        </w:rPr>
        <w:t>采购人/代理机构</w:t>
      </w:r>
      <w:r>
        <w:rPr>
          <w:rFonts w:hint="eastAsia" w:ascii="宋体" w:hAnsi="宋体" w:cs="宋体"/>
          <w:szCs w:val="21"/>
          <w:highlight w:val="none"/>
        </w:rPr>
        <w:t>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日,就质疑事项作出了答复/没有在法定期限内作出答复。</w:t>
      </w:r>
    </w:p>
    <w:p>
      <w:pPr>
        <w:snapToGrid w:val="0"/>
        <w:spacing w:line="288" w:lineRule="auto"/>
        <w:rPr>
          <w:rFonts w:ascii="宋体" w:hAnsi="宋体" w:cs="宋体"/>
          <w:szCs w:val="21"/>
          <w:highlight w:val="none"/>
        </w:rPr>
      </w:pPr>
      <w:r>
        <w:rPr>
          <w:rFonts w:hint="eastAsia" w:ascii="宋体" w:hAnsi="宋体" w:cs="宋体"/>
          <w:szCs w:val="21"/>
          <w:highlight w:val="none"/>
        </w:rPr>
        <w:t>四、投诉事项具体内容</w:t>
      </w:r>
    </w:p>
    <w:p>
      <w:pPr>
        <w:snapToGrid w:val="0"/>
        <w:spacing w:line="288" w:lineRule="auto"/>
        <w:rPr>
          <w:rFonts w:ascii="宋体" w:hAnsi="宋体" w:cs="宋体"/>
          <w:szCs w:val="21"/>
          <w:highlight w:val="none"/>
          <w:u w:val="single"/>
        </w:rPr>
      </w:pPr>
      <w:r>
        <w:rPr>
          <w:rFonts w:hint="eastAsia" w:ascii="宋体" w:hAnsi="宋体" w:cs="宋体"/>
          <w:szCs w:val="21"/>
          <w:highlight w:val="none"/>
        </w:rPr>
        <w:t>投诉事项 1：</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single"/>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u w:val="dotted"/>
        </w:rPr>
      </w:pP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r>
        <w:rPr>
          <w:rFonts w:hint="eastAsia" w:ascii="宋体" w:hAnsi="宋体" w:cs="宋体"/>
          <w:szCs w:val="21"/>
          <w:highlight w:val="none"/>
        </w:rPr>
        <w:t>投诉事项2</w:t>
      </w:r>
    </w:p>
    <w:p>
      <w:pPr>
        <w:snapToGrid w:val="0"/>
        <w:spacing w:line="288" w:lineRule="auto"/>
        <w:rPr>
          <w:rFonts w:ascii="宋体" w:hAnsi="宋体" w:cs="宋体"/>
          <w:szCs w:val="21"/>
          <w:highlight w:val="none"/>
          <w:u w:val="dotted"/>
        </w:rPr>
      </w:pPr>
      <w:r>
        <w:rPr>
          <w:rFonts w:hint="eastAsia" w:ascii="宋体" w:hAnsi="宋体" w:cs="宋体"/>
          <w:szCs w:val="21"/>
          <w:highlight w:val="none"/>
        </w:rPr>
        <w:t>……</w:t>
      </w:r>
    </w:p>
    <w:p>
      <w:pPr>
        <w:snapToGrid w:val="0"/>
        <w:spacing w:line="288" w:lineRule="auto"/>
        <w:rPr>
          <w:rFonts w:ascii="宋体" w:hAnsi="宋体" w:cs="宋体"/>
          <w:szCs w:val="21"/>
          <w:highlight w:val="none"/>
        </w:rPr>
      </w:pPr>
      <w:r>
        <w:rPr>
          <w:rFonts w:hint="eastAsia" w:ascii="宋体" w:hAnsi="宋体" w:cs="宋体"/>
          <w:szCs w:val="21"/>
          <w:highlight w:val="none"/>
        </w:rPr>
        <w:t>五、与投诉事项相关的投诉请求</w:t>
      </w:r>
    </w:p>
    <w:p>
      <w:pPr>
        <w:snapToGrid w:val="0"/>
        <w:spacing w:line="288" w:lineRule="auto"/>
        <w:rPr>
          <w:rFonts w:ascii="宋体" w:hAnsi="宋体" w:cs="宋体"/>
          <w:szCs w:val="21"/>
          <w:highlight w:val="none"/>
          <w:u w:val="single"/>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pPr>
        <w:snapToGrid w:val="0"/>
        <w:spacing w:line="288" w:lineRule="auto"/>
        <w:rPr>
          <w:rFonts w:ascii="宋体" w:hAnsi="宋体" w:cs="宋体"/>
          <w:szCs w:val="21"/>
          <w:highlight w:val="none"/>
        </w:rPr>
      </w:pPr>
    </w:p>
    <w:p>
      <w:pPr>
        <w:snapToGrid w:val="0"/>
        <w:spacing w:line="288" w:lineRule="auto"/>
        <w:rPr>
          <w:rFonts w:ascii="宋体" w:hAnsi="宋体" w:cs="宋体"/>
          <w:szCs w:val="21"/>
          <w:highlight w:val="none"/>
        </w:rPr>
      </w:pPr>
      <w:r>
        <w:rPr>
          <w:rFonts w:hint="eastAsia" w:ascii="宋体" w:hAnsi="宋体" w:cs="宋体"/>
          <w:szCs w:val="21"/>
          <w:highlight w:val="none"/>
        </w:rPr>
        <w:t xml:space="preserve">签字(签章)：                   公章：                      </w:t>
      </w:r>
    </w:p>
    <w:p>
      <w:pPr>
        <w:snapToGrid w:val="0"/>
        <w:spacing w:line="288" w:lineRule="auto"/>
        <w:rPr>
          <w:rFonts w:ascii="宋体" w:hAnsi="宋体" w:cs="宋体"/>
          <w:szCs w:val="21"/>
          <w:highlight w:val="none"/>
        </w:rPr>
      </w:pPr>
      <w:r>
        <w:rPr>
          <w:rFonts w:hint="eastAsia" w:ascii="宋体" w:hAnsi="宋体" w:cs="宋体"/>
          <w:szCs w:val="21"/>
          <w:highlight w:val="none"/>
        </w:rPr>
        <w:t xml:space="preserve">日期：    </w:t>
      </w:r>
    </w:p>
    <w:p>
      <w:pPr>
        <w:snapToGrid w:val="0"/>
        <w:spacing w:line="288" w:lineRule="auto"/>
        <w:rPr>
          <w:rFonts w:ascii="宋体" w:hAnsi="宋体" w:cs="宋体"/>
          <w:b/>
          <w:szCs w:val="21"/>
          <w:highlight w:val="none"/>
        </w:rPr>
      </w:pPr>
    </w:p>
    <w:p>
      <w:pPr>
        <w:snapToGrid w:val="0"/>
        <w:spacing w:line="288" w:lineRule="auto"/>
        <w:rPr>
          <w:rFonts w:ascii="宋体" w:hAnsi="宋体" w:cs="宋体"/>
          <w:b/>
          <w:szCs w:val="21"/>
          <w:highlight w:val="none"/>
        </w:rPr>
      </w:pPr>
      <w:r>
        <w:rPr>
          <w:rFonts w:hint="eastAsia" w:ascii="宋体" w:hAnsi="宋体" w:cs="宋体"/>
          <w:b/>
          <w:szCs w:val="21"/>
          <w:highlight w:val="none"/>
        </w:rPr>
        <w:t>投诉书制作说明：</w:t>
      </w:r>
    </w:p>
    <w:p>
      <w:pPr>
        <w:snapToGrid w:val="0"/>
        <w:spacing w:line="288" w:lineRule="auto"/>
        <w:ind w:firstLine="424" w:firstLineChars="202"/>
        <w:rPr>
          <w:rFonts w:ascii="宋体" w:hAnsi="宋体" w:cs="宋体"/>
          <w:kern w:val="0"/>
          <w:szCs w:val="21"/>
          <w:highlight w:val="none"/>
        </w:rPr>
      </w:pPr>
      <w:r>
        <w:rPr>
          <w:rFonts w:hint="eastAsia" w:ascii="宋体" w:hAnsi="宋体" w:cs="宋体"/>
          <w:szCs w:val="21"/>
          <w:highlight w:val="none"/>
        </w:rPr>
        <w:t>1.投诉人提起投诉时，应当提交投诉书和必要的证明材料，并按照被投诉人和与投诉事项有关的供应商数量提供投诉书副本。</w:t>
      </w:r>
    </w:p>
    <w:p>
      <w:pPr>
        <w:snapToGrid w:val="0"/>
        <w:spacing w:line="288" w:lineRule="auto"/>
        <w:ind w:firstLine="424" w:firstLineChars="202"/>
        <w:jc w:val="left"/>
        <w:rPr>
          <w:rFonts w:ascii="宋体" w:hAnsi="宋体" w:cs="宋体"/>
          <w:kern w:val="0"/>
          <w:szCs w:val="21"/>
          <w:highlight w:val="none"/>
        </w:rPr>
      </w:pPr>
      <w:r>
        <w:rPr>
          <w:rFonts w:hint="eastAsia" w:ascii="宋体" w:hAnsi="宋体" w:cs="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snapToGrid w:val="0"/>
        <w:spacing w:line="288"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snapToGrid w:val="0"/>
        <w:spacing w:line="288" w:lineRule="auto"/>
        <w:ind w:firstLine="424" w:firstLineChars="202"/>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宋体" w:hAnsi="宋体" w:cs="宋体"/>
          <w:b/>
          <w:color w:val="auto"/>
          <w:szCs w:val="21"/>
          <w:highlight w:val="none"/>
        </w:rPr>
      </w:pPr>
      <w:r>
        <w:rPr>
          <w:rFonts w:ascii="宋体" w:hAnsi="宋体" w:cs="宋体"/>
          <w:b/>
          <w:color w:val="auto"/>
          <w:szCs w:val="21"/>
          <w:highlight w:val="none"/>
        </w:rPr>
        <w:br w:type="page"/>
      </w:r>
    </w:p>
    <w:p>
      <w:pPr>
        <w:autoSpaceDE w:val="0"/>
        <w:autoSpaceDN w:val="0"/>
        <w:snapToGrid w:val="0"/>
        <w:spacing w:line="288" w:lineRule="auto"/>
        <w:outlineLvl w:val="1"/>
        <w:rPr>
          <w:rFonts w:ascii="宋体" w:hAnsi="宋体" w:cs="宋体"/>
          <w:b/>
          <w:bCs/>
          <w:color w:val="auto"/>
          <w:szCs w:val="21"/>
          <w:highlight w:val="none"/>
        </w:rPr>
      </w:pPr>
      <w:r>
        <w:rPr>
          <w:rFonts w:hint="eastAsia" w:ascii="宋体" w:hAnsi="宋体" w:cs="宋体"/>
          <w:b/>
          <w:color w:val="auto"/>
          <w:spacing w:val="6"/>
          <w:szCs w:val="21"/>
          <w:highlight w:val="none"/>
        </w:rPr>
        <w:t>附件4：</w:t>
      </w:r>
      <w:r>
        <w:rPr>
          <w:rFonts w:hint="eastAsia" w:ascii="宋体" w:hAnsi="宋体" w:cs="宋体"/>
          <w:b/>
          <w:bCs/>
          <w:color w:val="auto"/>
          <w:szCs w:val="21"/>
          <w:highlight w:val="none"/>
        </w:rPr>
        <w:t>业务专用章使用说明函</w:t>
      </w:r>
    </w:p>
    <w:p>
      <w:pPr>
        <w:snapToGrid w:val="0"/>
        <w:spacing w:line="288" w:lineRule="auto"/>
        <w:rPr>
          <w:rFonts w:ascii="宋体" w:hAnsi="宋体" w:cs="宋体"/>
          <w:color w:val="auto"/>
          <w:szCs w:val="21"/>
          <w:highlight w:val="none"/>
          <w:u w:val="single"/>
        </w:rPr>
      </w:pPr>
    </w:p>
    <w:p>
      <w:pPr>
        <w:snapToGrid w:val="0"/>
        <w:spacing w:line="288" w:lineRule="auto"/>
        <w:rPr>
          <w:rFonts w:ascii="宋体" w:hAnsi="宋体" w:cs="宋体"/>
          <w:color w:val="auto"/>
          <w:szCs w:val="21"/>
          <w:highlight w:val="none"/>
        </w:rPr>
      </w:pPr>
      <w:r>
        <w:rPr>
          <w:rFonts w:hint="eastAsia" w:ascii="宋体" w:hAnsi="宋体" w:cs="宋体"/>
          <w:color w:val="auto"/>
          <w:szCs w:val="21"/>
          <w:highlight w:val="none"/>
          <w:u w:val="single"/>
          <w:lang w:eastAsia="zh-CN"/>
        </w:rPr>
        <w:t>杭州市钱塘区义蓬街道社区卫生服务中心（杭州市钱塘区义蓬街道妇女儿童健康服务站）</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浙江求是招标代理有限公司</w:t>
      </w:r>
      <w:r>
        <w:rPr>
          <w:rFonts w:hint="eastAsia" w:ascii="宋体" w:hAnsi="宋体" w:cs="宋体"/>
          <w:color w:val="auto"/>
          <w:szCs w:val="21"/>
          <w:highlight w:val="none"/>
          <w:u w:val="single"/>
        </w:rPr>
        <w:t>：</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pPr>
        <w:snapToGrid w:val="0"/>
        <w:spacing w:line="288"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特此说明。</w:t>
      </w:r>
    </w:p>
    <w:p>
      <w:pPr>
        <w:snapToGrid w:val="0"/>
        <w:spacing w:line="288" w:lineRule="auto"/>
        <w:ind w:firstLine="424" w:firstLineChars="202"/>
        <w:rPr>
          <w:rFonts w:ascii="宋体" w:hAnsi="宋体" w:cs="宋体"/>
          <w:color w:val="auto"/>
          <w:szCs w:val="21"/>
          <w:highlight w:val="none"/>
        </w:rPr>
      </w:pPr>
    </w:p>
    <w:p>
      <w:pPr>
        <w:snapToGrid w:val="0"/>
        <w:spacing w:line="288" w:lineRule="auto"/>
        <w:ind w:firstLine="424" w:firstLineChars="202"/>
        <w:rPr>
          <w:rFonts w:ascii="宋体" w:hAnsi="宋体" w:cs="宋体"/>
          <w:color w:val="auto"/>
          <w:szCs w:val="21"/>
          <w:highlight w:val="none"/>
        </w:rPr>
      </w:pPr>
    </w:p>
    <w:p>
      <w:pPr>
        <w:snapToGrid w:val="0"/>
        <w:spacing w:line="288" w:lineRule="auto"/>
        <w:ind w:firstLine="424" w:firstLineChars="202"/>
        <w:rPr>
          <w:rFonts w:ascii="宋体" w:hAnsi="宋体" w:cs="宋体"/>
          <w:color w:val="auto"/>
          <w:szCs w:val="21"/>
          <w:highlight w:val="none"/>
        </w:rPr>
      </w:pPr>
    </w:p>
    <w:p>
      <w:pPr>
        <w:snapToGrid w:val="0"/>
        <w:spacing w:line="288" w:lineRule="auto"/>
        <w:ind w:firstLine="424" w:firstLineChars="202"/>
        <w:rPr>
          <w:rFonts w:ascii="宋体" w:hAnsi="宋体" w:cs="宋体"/>
          <w:color w:val="auto"/>
          <w:szCs w:val="21"/>
          <w:highlight w:val="none"/>
        </w:rPr>
      </w:pPr>
    </w:p>
    <w:p>
      <w:pPr>
        <w:snapToGrid w:val="0"/>
        <w:spacing w:line="288" w:lineRule="auto"/>
        <w:ind w:right="480" w:firstLine="424" w:firstLineChars="202"/>
        <w:rPr>
          <w:rFonts w:ascii="宋体" w:hAnsi="宋体" w:cs="宋体"/>
          <w:color w:val="auto"/>
          <w:szCs w:val="21"/>
          <w:highlight w:val="none"/>
        </w:rPr>
      </w:pPr>
      <w:r>
        <w:rPr>
          <w:rFonts w:hint="eastAsia" w:ascii="宋体" w:hAnsi="宋体" w:cs="宋体"/>
          <w:color w:val="auto"/>
          <w:szCs w:val="21"/>
          <w:highlight w:val="none"/>
        </w:rPr>
        <w:t>投标单位（法定名称章）：</w:t>
      </w:r>
    </w:p>
    <w:p>
      <w:pPr>
        <w:snapToGrid w:val="0"/>
        <w:spacing w:line="288" w:lineRule="auto"/>
        <w:ind w:right="1440" w:firstLine="424" w:firstLineChars="202"/>
        <w:rPr>
          <w:rFonts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line="288" w:lineRule="auto"/>
        <w:rPr>
          <w:rFonts w:ascii="宋体" w:hAnsi="宋体" w:cs="宋体"/>
          <w:b/>
          <w:bCs/>
          <w:color w:val="auto"/>
          <w:szCs w:val="21"/>
          <w:highlight w:val="none"/>
        </w:rPr>
      </w:pPr>
    </w:p>
    <w:p>
      <w:pPr>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附：</w:t>
      </w:r>
    </w:p>
    <w:p>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投标单位法定名称章（印模）                投标单位“XX专用章”（印模）</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4"/>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4224" w:type="dxa"/>
          </w:tcPr>
          <w:p>
            <w:pPr>
              <w:autoSpaceDE w:val="0"/>
              <w:autoSpaceDN w:val="0"/>
              <w:snapToGrid w:val="0"/>
              <w:spacing w:line="288" w:lineRule="auto"/>
              <w:jc w:val="center"/>
              <w:rPr>
                <w:rFonts w:ascii="宋体" w:hAnsi="宋体" w:cs="宋体"/>
                <w:b/>
                <w:color w:val="auto"/>
                <w:spacing w:val="6"/>
                <w:szCs w:val="21"/>
                <w:highlight w:val="none"/>
              </w:rPr>
            </w:pPr>
          </w:p>
        </w:tc>
        <w:tc>
          <w:tcPr>
            <w:tcW w:w="4224" w:type="dxa"/>
          </w:tcPr>
          <w:p>
            <w:pPr>
              <w:autoSpaceDE w:val="0"/>
              <w:autoSpaceDN w:val="0"/>
              <w:snapToGrid w:val="0"/>
              <w:spacing w:line="288" w:lineRule="auto"/>
              <w:jc w:val="center"/>
              <w:rPr>
                <w:rFonts w:ascii="宋体" w:hAnsi="宋体" w:cs="宋体"/>
                <w:b/>
                <w:color w:val="auto"/>
                <w:spacing w:val="6"/>
                <w:szCs w:val="21"/>
                <w:highlight w:val="none"/>
              </w:rPr>
            </w:pPr>
          </w:p>
        </w:tc>
      </w:tr>
    </w:tbl>
    <w:p>
      <w:pPr>
        <w:widowControl/>
        <w:adjustRightInd/>
        <w:jc w:val="left"/>
        <w:rPr>
          <w:rFonts w:ascii="宋体" w:hAnsi="宋体" w:cs="宋体"/>
          <w:b/>
          <w:color w:val="auto"/>
          <w:spacing w:val="6"/>
          <w:szCs w:val="21"/>
          <w:highlight w:val="none"/>
        </w:rPr>
      </w:pPr>
      <w:r>
        <w:rPr>
          <w:rFonts w:ascii="宋体" w:hAnsi="宋体" w:cs="宋体"/>
          <w:b/>
          <w:color w:val="auto"/>
          <w:spacing w:val="6"/>
          <w:szCs w:val="21"/>
          <w:highlight w:val="none"/>
        </w:rPr>
        <w:br w:type="page"/>
      </w:r>
    </w:p>
    <w:p>
      <w:pPr>
        <w:autoSpaceDE w:val="0"/>
        <w:autoSpaceDN w:val="0"/>
        <w:snapToGrid w:val="0"/>
        <w:spacing w:line="288" w:lineRule="auto"/>
        <w:outlineLvl w:val="1"/>
        <w:rPr>
          <w:rFonts w:ascii="宋体" w:hAnsi="宋体" w:cs="宋体"/>
          <w:b/>
          <w:color w:val="auto"/>
          <w:kern w:val="0"/>
          <w:szCs w:val="21"/>
          <w:highlight w:val="none"/>
          <w:lang w:val="zh-CN"/>
        </w:rPr>
      </w:pPr>
      <w:r>
        <w:rPr>
          <w:rFonts w:hint="eastAsia" w:ascii="宋体" w:hAnsi="宋体" w:cs="宋体"/>
          <w:b/>
          <w:color w:val="auto"/>
          <w:spacing w:val="6"/>
          <w:szCs w:val="21"/>
          <w:highlight w:val="none"/>
        </w:rPr>
        <w:t>附件</w:t>
      </w:r>
      <w:r>
        <w:rPr>
          <w:rFonts w:ascii="宋体" w:hAnsi="宋体" w:cs="宋体"/>
          <w:b/>
          <w:color w:val="auto"/>
          <w:spacing w:val="6"/>
          <w:szCs w:val="21"/>
          <w:highlight w:val="none"/>
        </w:rPr>
        <w:t>5</w:t>
      </w:r>
      <w:r>
        <w:rPr>
          <w:rFonts w:hint="eastAsia" w:ascii="宋体" w:hAnsi="宋体" w:cs="宋体"/>
          <w:b/>
          <w:color w:val="auto"/>
          <w:spacing w:val="6"/>
          <w:szCs w:val="21"/>
          <w:highlight w:val="none"/>
        </w:rPr>
        <w:t>：</w:t>
      </w:r>
      <w:r>
        <w:rPr>
          <w:rFonts w:hint="eastAsia" w:ascii="宋体" w:hAnsi="宋体" w:cs="宋体"/>
          <w:b/>
          <w:color w:val="auto"/>
          <w:kern w:val="0"/>
          <w:szCs w:val="21"/>
          <w:highlight w:val="none"/>
          <w:lang w:val="zh-CN"/>
        </w:rPr>
        <w:t>联合协议</w:t>
      </w:r>
    </w:p>
    <w:p>
      <w:pPr>
        <w:snapToGrid w:val="0"/>
        <w:spacing w:line="288" w:lineRule="auto"/>
        <w:jc w:val="left"/>
        <w:rPr>
          <w:rFonts w:ascii="宋体" w:hAnsi="宋体" w:cs="宋体"/>
          <w:b/>
          <w:color w:val="auto"/>
          <w:szCs w:val="21"/>
          <w:highlight w:val="none"/>
        </w:rPr>
      </w:pPr>
    </w:p>
    <w:p>
      <w:pPr>
        <w:snapToGrid w:val="0"/>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投标。</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pPr>
        <w:snapToGrid w:val="0"/>
        <w:spacing w:line="288" w:lineRule="auto"/>
        <w:ind w:firstLine="424" w:firstLineChars="202"/>
        <w:rPr>
          <w:rFonts w:ascii="宋体" w:hAnsi="宋体" w:cs="宋体"/>
          <w:b/>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20" w:name="_Hlk101131882"/>
      <w:r>
        <w:rPr>
          <w:rFonts w:hint="eastAsia" w:ascii="宋体" w:hAnsi="宋体" w:cs="宋体"/>
          <w:color w:val="auto"/>
          <w:kern w:val="0"/>
          <w:szCs w:val="21"/>
          <w:highlight w:val="none"/>
          <w:u w:val="single"/>
        </w:rPr>
        <w:t>联合体成员X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w:t>
      </w:r>
      <w:bookmarkEnd w:id="520"/>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w:t>
      </w:r>
      <w:bookmarkStart w:id="521" w:name="_Hlk101133598"/>
      <w:r>
        <w:rPr>
          <w:rFonts w:hint="eastAsia" w:ascii="宋体" w:hAnsi="宋体" w:cs="宋体"/>
          <w:b/>
          <w:color w:val="auto"/>
          <w:kern w:val="0"/>
          <w:szCs w:val="21"/>
          <w:highlight w:val="none"/>
          <w:lang w:val="zh-CN"/>
        </w:rPr>
        <w:t>未预留份额专门面向中小企业采购的采购项目，以及预</w:t>
      </w:r>
      <w:r>
        <w:rPr>
          <w:rFonts w:hint="eastAsia" w:ascii="宋体" w:hAnsi="宋体" w:cs="宋体"/>
          <w:b/>
          <w:kern w:val="0"/>
          <w:szCs w:val="21"/>
          <w:highlight w:val="none"/>
          <w:lang w:val="zh-CN"/>
        </w:rPr>
        <w:t>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highlight w:val="none"/>
        </w:rPr>
        <w:t>拟享受以上价格扣除政策的，填写有关内容。</w:t>
      </w:r>
      <w:bookmarkEnd w:id="521"/>
      <w:r>
        <w:rPr>
          <w:rFonts w:hint="eastAsia" w:ascii="宋体" w:hAnsi="宋体" w:cs="宋体"/>
          <w:b/>
          <w:kern w:val="0"/>
          <w:szCs w:val="21"/>
          <w:highlight w:val="none"/>
          <w:lang w:val="zh-CN"/>
        </w:rPr>
        <w:t>）</w:t>
      </w:r>
    </w:p>
    <w:p>
      <w:pPr>
        <w:snapToGrid w:val="0"/>
        <w:spacing w:line="288" w:lineRule="auto"/>
        <w:ind w:firstLine="424" w:firstLineChars="202"/>
        <w:rPr>
          <w:rFonts w:ascii="宋体" w:hAnsi="宋体" w:cs="宋体"/>
          <w:b/>
          <w:bCs/>
          <w:kern w:val="0"/>
          <w:szCs w:val="21"/>
          <w:highlight w:val="none"/>
          <w:lang w:val="zh-CN"/>
        </w:rPr>
      </w:pPr>
      <w:r>
        <w:rPr>
          <w:rFonts w:hint="eastAsia" w:ascii="宋体" w:hAnsi="宋体" w:cs="宋体"/>
          <w:szCs w:val="21"/>
          <w:highlight w:val="none"/>
        </w:rPr>
        <w:t>2、</w:t>
      </w:r>
      <w:bookmarkStart w:id="522" w:name="_Hlk101133173"/>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w:t>
      </w:r>
      <w:r>
        <w:rPr>
          <w:rFonts w:hint="eastAsia" w:ascii="宋体" w:hAnsi="宋体" w:cs="宋体"/>
          <w:b/>
          <w:bCs/>
          <w:kern w:val="0"/>
          <w:szCs w:val="21"/>
          <w:highlight w:val="none"/>
          <w:lang w:val="zh-CN"/>
        </w:rPr>
        <w:t>（</w:t>
      </w:r>
      <w:r>
        <w:rPr>
          <w:rFonts w:hint="eastAsia" w:ascii="宋体" w:hAnsi="宋体" w:cs="宋体"/>
          <w:b/>
          <w:bCs/>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highlight w:val="none"/>
          <w:lang w:val="zh-CN"/>
        </w:rPr>
        <w:t>）</w:t>
      </w:r>
      <w:bookmarkEnd w:id="522"/>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五、如果中标，</w:t>
      </w:r>
      <w:r>
        <w:rPr>
          <w:rFonts w:hint="eastAsia" w:ascii="宋体" w:hAnsi="宋体" w:cs="宋体"/>
          <w:szCs w:val="21"/>
          <w:highlight w:val="none"/>
        </w:rPr>
        <w:t>联合体各成员方共同与采购人签订合同，并就采购合同约定的事项对采购人承担连带责任。</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六、有关本次联合投标的其他事宜：</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1、联合体各方不再单独参加或者与其他供应商另外组成联合体参加同一合同项下的政府采购活动。</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3、本协议提交采购人、采购代理机构后，联合体各方不得以任何形式对上述内容进行修改或撤销。</w:t>
      </w:r>
    </w:p>
    <w:p>
      <w:pPr>
        <w:snapToGrid w:val="0"/>
        <w:spacing w:line="288" w:lineRule="auto"/>
        <w:ind w:firstLine="424" w:firstLineChars="202"/>
        <w:rPr>
          <w:rFonts w:ascii="宋体" w:hAnsi="宋体" w:cs="宋体"/>
          <w:kern w:val="0"/>
          <w:szCs w:val="21"/>
          <w:highlight w:val="none"/>
          <w:lang w:val="zh-CN"/>
        </w:rPr>
      </w:pP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288" w:lineRule="auto"/>
        <w:ind w:right="960"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w:t>
      </w:r>
    </w:p>
    <w:p>
      <w:pPr>
        <w:snapToGrid w:val="0"/>
        <w:spacing w:line="288" w:lineRule="auto"/>
        <w:ind w:right="420"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日期：  年  月   日</w:t>
      </w:r>
    </w:p>
    <w:p>
      <w:pPr>
        <w:snapToGrid w:val="0"/>
        <w:spacing w:line="288" w:lineRule="auto"/>
        <w:ind w:right="420" w:firstLine="424" w:firstLineChars="202"/>
        <w:rPr>
          <w:rFonts w:ascii="宋体" w:hAnsi="宋体" w:cs="宋体"/>
          <w:szCs w:val="21"/>
          <w:highlight w:val="none"/>
        </w:rPr>
      </w:pPr>
    </w:p>
    <w:p>
      <w:pPr>
        <w:snapToGrid w:val="0"/>
        <w:spacing w:line="288" w:lineRule="auto"/>
        <w:ind w:right="420" w:firstLine="424" w:firstLineChars="202"/>
        <w:rPr>
          <w:rFonts w:ascii="宋体" w:hAnsi="宋体" w:cs="宋体"/>
          <w:szCs w:val="21"/>
          <w:highlight w:val="none"/>
        </w:rPr>
      </w:pPr>
      <w:r>
        <w:rPr>
          <w:rFonts w:hint="eastAsia" w:ascii="宋体" w:hAnsi="宋体" w:cs="宋体"/>
          <w:szCs w:val="21"/>
          <w:highlight w:val="none"/>
        </w:rPr>
        <w:t>注：按本格式和要求提供。</w:t>
      </w:r>
    </w:p>
    <w:p>
      <w:pPr>
        <w:snapToGrid w:val="0"/>
        <w:spacing w:line="288" w:lineRule="auto"/>
        <w:jc w:val="left"/>
        <w:rPr>
          <w:rFonts w:ascii="宋体" w:hAnsi="宋体" w:cs="宋体"/>
          <w:b/>
          <w:spacing w:val="6"/>
          <w:szCs w:val="21"/>
          <w:highlight w:val="none"/>
        </w:rPr>
      </w:pPr>
      <w:r>
        <w:rPr>
          <w:rFonts w:ascii="宋体" w:hAnsi="宋体" w:cs="宋体"/>
          <w:b/>
          <w:spacing w:val="6"/>
          <w:szCs w:val="21"/>
          <w:highlight w:val="none"/>
        </w:rPr>
        <w:br w:type="page"/>
      </w:r>
    </w:p>
    <w:p>
      <w:pPr>
        <w:snapToGrid w:val="0"/>
        <w:spacing w:line="288" w:lineRule="auto"/>
        <w:outlineLvl w:val="1"/>
        <w:rPr>
          <w:rFonts w:ascii="宋体" w:hAnsi="宋体" w:cs="宋体"/>
          <w:b/>
          <w:kern w:val="0"/>
          <w:szCs w:val="21"/>
          <w:highlight w:val="none"/>
        </w:rPr>
      </w:pPr>
      <w:r>
        <w:rPr>
          <w:rFonts w:hint="eastAsia" w:ascii="宋体" w:hAnsi="宋体" w:cs="宋体"/>
          <w:b/>
          <w:spacing w:val="6"/>
          <w:szCs w:val="21"/>
          <w:highlight w:val="none"/>
        </w:rPr>
        <w:t>附件</w:t>
      </w:r>
      <w:r>
        <w:rPr>
          <w:rFonts w:ascii="宋体" w:hAnsi="宋体" w:cs="宋体"/>
          <w:b/>
          <w:spacing w:val="6"/>
          <w:szCs w:val="21"/>
          <w:highlight w:val="none"/>
        </w:rPr>
        <w:t>6</w:t>
      </w:r>
      <w:r>
        <w:rPr>
          <w:rFonts w:hint="eastAsia" w:ascii="宋体" w:hAnsi="宋体" w:cs="宋体"/>
          <w:b/>
          <w:spacing w:val="6"/>
          <w:szCs w:val="21"/>
          <w:highlight w:val="none"/>
        </w:rPr>
        <w:t>：</w:t>
      </w:r>
      <w:r>
        <w:rPr>
          <w:rFonts w:hint="eastAsia" w:ascii="宋体" w:hAnsi="宋体" w:cs="宋体"/>
          <w:b/>
          <w:kern w:val="0"/>
          <w:szCs w:val="21"/>
          <w:highlight w:val="none"/>
        </w:rPr>
        <w:t>分包意向协议</w:t>
      </w:r>
    </w:p>
    <w:p>
      <w:pPr>
        <w:snapToGrid w:val="0"/>
        <w:spacing w:line="288" w:lineRule="auto"/>
        <w:jc w:val="center"/>
        <w:rPr>
          <w:rFonts w:ascii="宋体" w:hAnsi="宋体" w:cs="宋体"/>
          <w:szCs w:val="21"/>
          <w:highlight w:val="none"/>
        </w:rPr>
      </w:pPr>
    </w:p>
    <w:p>
      <w:pPr>
        <w:snapToGrid w:val="0"/>
        <w:spacing w:line="288" w:lineRule="auto"/>
        <w:jc w:val="center"/>
        <w:rPr>
          <w:rFonts w:ascii="宋体" w:hAnsi="宋体" w:cs="宋体"/>
          <w:color w:val="auto"/>
          <w:szCs w:val="21"/>
          <w:highlight w:val="none"/>
        </w:rPr>
      </w:pPr>
      <w:r>
        <w:rPr>
          <w:rFonts w:hint="eastAsia" w:ascii="宋体" w:hAnsi="宋体" w:cs="宋体"/>
          <w:szCs w:val="21"/>
          <w:highlight w:val="none"/>
        </w:rPr>
        <w:t>（</w:t>
      </w:r>
      <w:r>
        <w:rPr>
          <w:rFonts w:hint="eastAsia" w:ascii="宋体" w:hAnsi="宋体" w:cs="宋体"/>
          <w:b/>
          <w:szCs w:val="21"/>
          <w:highlight w:val="none"/>
        </w:rPr>
        <w:t>中标后以分包方式履行合同的，提供分包意向协议；采购人不同意分包或者投标人中标后不以分包方</w:t>
      </w:r>
      <w:r>
        <w:rPr>
          <w:rFonts w:hint="eastAsia" w:ascii="宋体" w:hAnsi="宋体" w:cs="宋体"/>
          <w:b/>
          <w:color w:val="auto"/>
          <w:szCs w:val="21"/>
          <w:highlight w:val="none"/>
        </w:rPr>
        <w:t>式履行合同的，则不需要提供。</w:t>
      </w:r>
      <w:r>
        <w:rPr>
          <w:rFonts w:hint="eastAsia" w:ascii="宋体" w:hAnsi="宋体" w:cs="宋体"/>
          <w:color w:val="auto"/>
          <w:szCs w:val="21"/>
          <w:highlight w:val="none"/>
        </w:rPr>
        <w:t>）</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lang w:eastAsia="zh-CN"/>
        </w:rPr>
        <w:t>标识标牌及导视设施采购项目（文化设计采购项目）</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QTCG-GK-2024-175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pPr>
        <w:snapToGrid w:val="0"/>
        <w:spacing w:line="288" w:lineRule="auto"/>
        <w:ind w:firstLine="424" w:firstLineChars="202"/>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pPr>
        <w:snapToGrid w:val="0"/>
        <w:spacing w:line="288" w:lineRule="auto"/>
        <w:ind w:firstLine="424" w:firstLineChars="202"/>
        <w:rPr>
          <w:rFonts w:ascii="宋体" w:hAnsi="宋体" w:cs="宋体"/>
          <w:kern w:val="0"/>
          <w:szCs w:val="21"/>
          <w:highlight w:val="none"/>
        </w:rPr>
      </w:pPr>
      <w:r>
        <w:rPr>
          <w:rFonts w:hint="eastAsia" w:ascii="宋体" w:hAnsi="宋体" w:cs="宋体"/>
          <w:kern w:val="0"/>
          <w:szCs w:val="21"/>
          <w:highlight w:val="none"/>
        </w:rPr>
        <w:t>……</w:t>
      </w:r>
    </w:p>
    <w:p>
      <w:pPr>
        <w:snapToGrid w:val="0"/>
        <w:spacing w:line="288" w:lineRule="auto"/>
        <w:ind w:firstLine="424" w:firstLineChars="202"/>
        <w:rPr>
          <w:rFonts w:ascii="宋体" w:hAnsi="宋体"/>
          <w:szCs w:val="21"/>
          <w:highlight w:val="none"/>
        </w:rPr>
      </w:pP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二、分包供应商中小企业合同份额</w:t>
      </w:r>
    </w:p>
    <w:p>
      <w:pPr>
        <w:snapToGrid w:val="0"/>
        <w:spacing w:line="288" w:lineRule="auto"/>
        <w:ind w:firstLine="424" w:firstLineChars="202"/>
        <w:rPr>
          <w:rFonts w:ascii="宋体" w:hAnsi="宋体" w:cs="宋体"/>
          <w:b/>
          <w:kern w:val="0"/>
          <w:szCs w:val="21"/>
          <w:highlight w:val="none"/>
          <w:lang w:val="zh-CN"/>
        </w:rPr>
      </w:pPr>
      <w:r>
        <w:rPr>
          <w:rFonts w:ascii="宋体" w:hAnsi="宋体" w:cs="宋体"/>
          <w:kern w:val="0"/>
          <w:szCs w:val="21"/>
          <w:highlight w:val="none"/>
        </w:rPr>
        <w:t>1、</w:t>
      </w:r>
      <w:r>
        <w:rPr>
          <w:rFonts w:hint="eastAsia" w:ascii="宋体" w:hAnsi="宋体" w:cs="宋体"/>
          <w:kern w:val="0"/>
          <w:szCs w:val="21"/>
          <w:highlight w:val="none"/>
          <w:u w:val="single"/>
        </w:rPr>
        <w:t>（分包供应商X</w:t>
      </w:r>
      <w:r>
        <w:rPr>
          <w:rFonts w:ascii="宋体" w:hAnsi="宋体" w:cs="宋体"/>
          <w:kern w:val="0"/>
          <w:szCs w:val="21"/>
          <w:highlight w:val="none"/>
          <w:u w:val="single"/>
        </w:rPr>
        <w:t>,</w:t>
      </w:r>
      <w:r>
        <w:rPr>
          <w:rFonts w:hint="eastAsia" w:ascii="宋体" w:hAnsi="宋体" w:cs="宋体"/>
          <w:kern w:val="0"/>
          <w:szCs w:val="21"/>
          <w:highlight w:val="none"/>
          <w:u w:val="single"/>
        </w:rPr>
        <w:t>……）提供的服务全部由小微企业承接，</w:t>
      </w:r>
      <w:r>
        <w:rPr>
          <w:rFonts w:hint="eastAsia" w:ascii="宋体" w:hAnsi="宋体" w:cs="宋体"/>
          <w:kern w:val="0"/>
          <w:szCs w:val="21"/>
          <w:highlight w:val="none"/>
        </w:rPr>
        <w:t>其合同份额占到合同总金额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%以上</w:t>
      </w:r>
      <w:r>
        <w:rPr>
          <w:rFonts w:hint="eastAsia" w:ascii="宋体" w:hAnsi="宋体" w:cs="宋体"/>
          <w:szCs w:val="21"/>
          <w:highlight w:val="none"/>
        </w:rPr>
        <w:t>。</w:t>
      </w:r>
      <w:r>
        <w:rPr>
          <w:rFonts w:hint="eastAsia" w:ascii="宋体" w:hAnsi="宋体" w:cs="宋体"/>
          <w:b/>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highlight w:val="none"/>
        </w:rPr>
        <w:t>拟享受以上价格扣除政策的，填写有关内容。</w:t>
      </w:r>
      <w:r>
        <w:rPr>
          <w:rFonts w:hint="eastAsia" w:ascii="宋体" w:hAnsi="宋体" w:cs="宋体"/>
          <w:b/>
          <w:kern w:val="0"/>
          <w:szCs w:val="21"/>
          <w:highlight w:val="none"/>
          <w:lang w:val="zh-CN"/>
        </w:rPr>
        <w:t>）</w:t>
      </w:r>
    </w:p>
    <w:p>
      <w:pPr>
        <w:snapToGrid w:val="0"/>
        <w:spacing w:line="288" w:lineRule="auto"/>
        <w:ind w:firstLine="424" w:firstLineChars="202"/>
        <w:rPr>
          <w:rFonts w:ascii="宋体" w:hAnsi="宋体" w:cs="宋体"/>
          <w:b/>
          <w:bCs/>
          <w:kern w:val="0"/>
          <w:szCs w:val="21"/>
          <w:highlight w:val="none"/>
          <w:lang w:val="zh-CN"/>
        </w:rPr>
      </w:pPr>
      <w:r>
        <w:rPr>
          <w:rFonts w:hint="eastAsia" w:ascii="宋体" w:hAnsi="宋体" w:cs="宋体"/>
          <w:szCs w:val="21"/>
          <w:highlight w:val="none"/>
        </w:rPr>
        <w:t>2、中小企业合同金额达到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w:t>
      </w:r>
      <w:r>
        <w:rPr>
          <w:rFonts w:hint="eastAsia" w:ascii="宋体" w:hAnsi="宋体" w:cs="宋体"/>
          <w:b/>
          <w:bCs/>
          <w:kern w:val="0"/>
          <w:szCs w:val="21"/>
          <w:highlight w:val="none"/>
          <w:lang w:val="zh-CN"/>
        </w:rPr>
        <w:t>（</w:t>
      </w:r>
      <w:r>
        <w:rPr>
          <w:rFonts w:hint="eastAsia" w:ascii="宋体" w:hAnsi="宋体" w:cs="宋体"/>
          <w:b/>
          <w:bCs/>
          <w:szCs w:val="21"/>
          <w:highlight w:val="none"/>
        </w:rPr>
        <w:t>要求合同分包形式参加的项目或采购包，供应商按招标文件第一部分招标公告申请人的资格要求中规定的</w:t>
      </w:r>
      <w:r>
        <w:rPr>
          <w:rFonts w:hint="eastAsia" w:ascii="宋体" w:hAnsi="宋体" w:cs="宋体"/>
          <w:b/>
          <w:kern w:val="0"/>
          <w:szCs w:val="21"/>
          <w:highlight w:val="none"/>
          <w:lang w:val="zh-CN"/>
        </w:rPr>
        <w:t>分包意向协议</w:t>
      </w:r>
      <w:r>
        <w:rPr>
          <w:rFonts w:hint="eastAsia" w:ascii="宋体" w:hAnsi="宋体" w:cs="宋体"/>
          <w:b/>
          <w:bCs/>
          <w:szCs w:val="21"/>
          <w:highlight w:val="none"/>
        </w:rPr>
        <w:t>中中小企业、小微企业合同金额应当达到的比例要求填写。</w:t>
      </w:r>
      <w:r>
        <w:rPr>
          <w:rFonts w:hint="eastAsia" w:ascii="宋体" w:hAnsi="宋体" w:cs="宋体"/>
          <w:b/>
          <w:bCs/>
          <w:kern w:val="0"/>
          <w:szCs w:val="21"/>
          <w:highlight w:val="none"/>
          <w:lang w:val="zh-CN"/>
        </w:rPr>
        <w:t>）</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三、分包工作履行期限、地点、方式</w:t>
      </w:r>
    </w:p>
    <w:p>
      <w:pPr>
        <w:snapToGrid w:val="0"/>
        <w:spacing w:line="288" w:lineRule="auto"/>
        <w:ind w:firstLine="424" w:firstLineChars="202"/>
        <w:rPr>
          <w:rFonts w:ascii="宋体" w:hAnsi="宋体" w:cs="宋体"/>
          <w:szCs w:val="21"/>
          <w:highlight w:val="none"/>
          <w:u w:val="single"/>
        </w:rPr>
      </w:pPr>
      <w:r>
        <w:rPr>
          <w:rFonts w:hint="eastAsia" w:ascii="宋体" w:hAnsi="宋体" w:cs="宋体"/>
          <w:szCs w:val="21"/>
          <w:highlight w:val="none"/>
          <w:u w:val="single"/>
        </w:rPr>
        <w:t xml:space="preserve">                                                                                  </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四、质量</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五、价款或者报酬</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六、违约责任</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七、争议解决的办法</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八、其他</w:t>
      </w: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 xml:space="preserve">  。</w:t>
      </w:r>
    </w:p>
    <w:p>
      <w:pPr>
        <w:snapToGrid w:val="0"/>
        <w:spacing w:line="288" w:lineRule="auto"/>
        <w:ind w:firstLine="424" w:firstLineChars="202"/>
        <w:rPr>
          <w:rFonts w:ascii="宋体" w:hAnsi="宋体" w:cs="宋体"/>
          <w:kern w:val="0"/>
          <w:szCs w:val="21"/>
          <w:highlight w:val="none"/>
          <w:lang w:val="zh-CN"/>
        </w:rPr>
      </w:pPr>
    </w:p>
    <w:p>
      <w:pPr>
        <w:snapToGrid w:val="0"/>
        <w:spacing w:line="288" w:lineRule="auto"/>
        <w:ind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投标人名称(电子签名)：</w:t>
      </w:r>
    </w:p>
    <w:p>
      <w:pPr>
        <w:snapToGrid w:val="0"/>
        <w:spacing w:line="288" w:lineRule="auto"/>
        <w:ind w:right="420" w:firstLine="424" w:firstLineChars="202"/>
        <w:rPr>
          <w:rFonts w:ascii="宋体" w:hAnsi="宋体" w:cs="宋体"/>
          <w:kern w:val="0"/>
          <w:szCs w:val="21"/>
          <w:highlight w:val="none"/>
          <w:lang w:val="zh-CN"/>
        </w:rPr>
      </w:pPr>
      <w:r>
        <w:rPr>
          <w:rFonts w:hint="eastAsia" w:ascii="宋体" w:hAnsi="宋体" w:cs="宋体"/>
          <w:kern w:val="0"/>
          <w:szCs w:val="21"/>
          <w:highlight w:val="none"/>
          <w:lang w:val="zh-CN"/>
        </w:rPr>
        <w:t>分包供应商名称(电子签名/公章)：</w:t>
      </w:r>
    </w:p>
    <w:p>
      <w:pPr>
        <w:snapToGrid w:val="0"/>
        <w:spacing w:line="288" w:lineRule="auto"/>
        <w:ind w:firstLine="424" w:firstLineChars="202"/>
        <w:rPr>
          <w:rFonts w:ascii="宋体" w:hAnsi="宋体" w:cs="宋体"/>
          <w:szCs w:val="21"/>
          <w:highlight w:val="none"/>
        </w:rPr>
      </w:pPr>
      <w:r>
        <w:rPr>
          <w:rFonts w:hint="eastAsia" w:ascii="宋体" w:hAnsi="宋体" w:cs="宋体"/>
          <w:kern w:val="0"/>
          <w:szCs w:val="21"/>
          <w:highlight w:val="none"/>
          <w:lang w:val="zh-CN"/>
        </w:rPr>
        <w:t>……</w:t>
      </w:r>
    </w:p>
    <w:p>
      <w:pPr>
        <w:snapToGrid w:val="0"/>
        <w:spacing w:line="288" w:lineRule="auto"/>
        <w:ind w:firstLine="424" w:firstLineChars="202"/>
        <w:rPr>
          <w:rFonts w:ascii="宋体" w:hAnsi="宋体" w:cs="宋体"/>
          <w:szCs w:val="21"/>
          <w:highlight w:val="none"/>
        </w:rPr>
      </w:pPr>
      <w:r>
        <w:rPr>
          <w:rFonts w:hint="eastAsia" w:ascii="宋体" w:hAnsi="宋体" w:cs="宋体"/>
          <w:kern w:val="0"/>
          <w:szCs w:val="21"/>
          <w:highlight w:val="none"/>
          <w:lang w:val="zh-CN"/>
        </w:rPr>
        <w:t>日期：  年  月   日</w:t>
      </w:r>
    </w:p>
    <w:p>
      <w:pPr>
        <w:snapToGrid w:val="0"/>
        <w:spacing w:line="288" w:lineRule="auto"/>
        <w:ind w:right="420" w:firstLine="424" w:firstLineChars="202"/>
        <w:rPr>
          <w:rFonts w:ascii="宋体" w:hAnsi="宋体" w:cs="宋体"/>
          <w:szCs w:val="21"/>
          <w:highlight w:val="none"/>
        </w:rPr>
      </w:pPr>
    </w:p>
    <w:p>
      <w:pPr>
        <w:snapToGrid w:val="0"/>
        <w:spacing w:line="288" w:lineRule="auto"/>
        <w:ind w:right="420" w:firstLine="424" w:firstLineChars="202"/>
        <w:rPr>
          <w:rFonts w:ascii="宋体" w:hAnsi="宋体" w:cs="宋体"/>
          <w:szCs w:val="21"/>
          <w:highlight w:val="none"/>
        </w:rPr>
      </w:pPr>
      <w:r>
        <w:rPr>
          <w:rFonts w:hint="eastAsia" w:ascii="宋体" w:hAnsi="宋体" w:cs="宋体"/>
          <w:szCs w:val="21"/>
          <w:highlight w:val="none"/>
        </w:rPr>
        <w:t>注：按本格式和要求提供。</w:t>
      </w:r>
    </w:p>
    <w:p>
      <w:pPr>
        <w:widowControl/>
        <w:adjustRightInd/>
        <w:jc w:val="left"/>
        <w:rPr>
          <w:rFonts w:ascii="宋体" w:hAnsi="宋体" w:cs="宋体"/>
          <w:b/>
          <w:spacing w:val="6"/>
          <w:szCs w:val="21"/>
          <w:highlight w:val="none"/>
        </w:rPr>
      </w:pPr>
      <w:r>
        <w:rPr>
          <w:rFonts w:ascii="宋体" w:hAnsi="宋体" w:cs="宋体"/>
          <w:b/>
          <w:spacing w:val="6"/>
          <w:szCs w:val="21"/>
          <w:highlight w:val="none"/>
        </w:rPr>
        <w:br w:type="page"/>
      </w:r>
    </w:p>
    <w:sectPr>
      <w:headerReference r:id="rId4" w:type="first"/>
      <w:footerReference r:id="rId7" w:type="first"/>
      <w:headerReference r:id="rId3" w:type="default"/>
      <w:footerReference r:id="rId5" w:type="default"/>
      <w:footerReference r:id="rId6" w:type="even"/>
      <w:pgSz w:w="11906" w:h="16838"/>
      <w:pgMar w:top="1247" w:right="1247" w:bottom="1247" w:left="1247" w:header="709" w:footer="725"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131845147"/>
    <w:bookmarkStart w:id="524" w:name="_Toc91899912"/>
    <w:bookmarkStart w:id="525" w:name="_Toc36110187"/>
    <w:bookmarkStart w:id="526" w:name="_Toc164085800"/>
    <w:r>
      <w:rPr>
        <w:rFonts w:hint="eastAsia" w:ascii="仿宋_GB2312" w:eastAsia="仿宋_GB2312"/>
        <w:kern w:val="0"/>
        <w:szCs w:val="21"/>
      </w:rPr>
      <w:t xml:space="preserve"> 页</w:t>
    </w:r>
    <w:bookmarkEnd w:id="523"/>
    <w:bookmarkEnd w:id="524"/>
    <w:bookmarkEnd w:id="525"/>
    <w:bookmarkEnd w:id="52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E1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96"/>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87"/>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ABA"/>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3C6"/>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B44"/>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18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2FD"/>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4D2C"/>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6C"/>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09"/>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D31"/>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D1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E9E"/>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B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AA1"/>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3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4B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4DB"/>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11E"/>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0E18"/>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E7D"/>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DA1"/>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1A3E"/>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0A"/>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BB5"/>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87DA9"/>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798"/>
    <w:rsid w:val="00ED4A77"/>
    <w:rsid w:val="00ED4B6E"/>
    <w:rsid w:val="00ED5981"/>
    <w:rsid w:val="00ED613A"/>
    <w:rsid w:val="00ED6514"/>
    <w:rsid w:val="00ED66B2"/>
    <w:rsid w:val="00ED71BA"/>
    <w:rsid w:val="00ED728F"/>
    <w:rsid w:val="00ED73A1"/>
    <w:rsid w:val="00ED780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615"/>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3B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B4D"/>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4E"/>
    <w:rsid w:val="00FC38D4"/>
    <w:rsid w:val="00FC391E"/>
    <w:rsid w:val="00FC39B3"/>
    <w:rsid w:val="00FC3BB7"/>
    <w:rsid w:val="00FC4345"/>
    <w:rsid w:val="00FC444A"/>
    <w:rsid w:val="00FC453D"/>
    <w:rsid w:val="00FC4A89"/>
    <w:rsid w:val="00FC5856"/>
    <w:rsid w:val="00FC5F6C"/>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D37F6"/>
    <w:rsid w:val="042311BA"/>
    <w:rsid w:val="042B157A"/>
    <w:rsid w:val="048F763B"/>
    <w:rsid w:val="049F330E"/>
    <w:rsid w:val="04AA775C"/>
    <w:rsid w:val="04AF1889"/>
    <w:rsid w:val="04F66F48"/>
    <w:rsid w:val="0501284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26D0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532FE"/>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22346"/>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767F9"/>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5B4C0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17FD1"/>
    <w:rsid w:val="2DF72DE4"/>
    <w:rsid w:val="2E0220AF"/>
    <w:rsid w:val="2E4B082A"/>
    <w:rsid w:val="2E5D4E86"/>
    <w:rsid w:val="2E5D790B"/>
    <w:rsid w:val="2E9A3C18"/>
    <w:rsid w:val="2EBB0FEE"/>
    <w:rsid w:val="2EC63002"/>
    <w:rsid w:val="2F0A6B38"/>
    <w:rsid w:val="2F3D1C9B"/>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05619"/>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03ECB"/>
    <w:rsid w:val="4AFD7C19"/>
    <w:rsid w:val="4B0567D1"/>
    <w:rsid w:val="4B236AAE"/>
    <w:rsid w:val="4B68203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7A5027"/>
    <w:rsid w:val="4E800872"/>
    <w:rsid w:val="4EC569ED"/>
    <w:rsid w:val="4ED50EA1"/>
    <w:rsid w:val="4EEC050C"/>
    <w:rsid w:val="4F104EC3"/>
    <w:rsid w:val="4F47354A"/>
    <w:rsid w:val="4F911C54"/>
    <w:rsid w:val="4FE625E0"/>
    <w:rsid w:val="5021480F"/>
    <w:rsid w:val="50962ECB"/>
    <w:rsid w:val="50A42E38"/>
    <w:rsid w:val="50A4577F"/>
    <w:rsid w:val="50A84D62"/>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F2DE1"/>
    <w:rsid w:val="5C02690E"/>
    <w:rsid w:val="5C196DA7"/>
    <w:rsid w:val="5C2A048C"/>
    <w:rsid w:val="5C80234E"/>
    <w:rsid w:val="5C8A680C"/>
    <w:rsid w:val="5CEF3A5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16BED"/>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7153E"/>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47223"/>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87D61"/>
    <w:rsid w:val="79A97383"/>
    <w:rsid w:val="79E27E8B"/>
    <w:rsid w:val="79F850CE"/>
    <w:rsid w:val="79FD443C"/>
    <w:rsid w:val="7A1D1975"/>
    <w:rsid w:val="7A33349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0"/>
    <w:pPr>
      <w:adjustRightInd/>
      <w:spacing w:after="120" w:line="240" w:lineRule="auto"/>
      <w:ind w:left="420" w:leftChars="200" w:firstLine="210"/>
    </w:pPr>
    <w:rPr>
      <w:sz w:val="21"/>
    </w:rPr>
  </w:style>
  <w:style w:type="paragraph" w:styleId="3">
    <w:name w:val="Body Text Indent"/>
    <w:basedOn w:val="1"/>
    <w:next w:val="2"/>
    <w:link w:val="262"/>
    <w:qFormat/>
    <w:uiPriority w:val="0"/>
    <w:pPr>
      <w:spacing w:line="480" w:lineRule="exact"/>
      <w:ind w:firstLine="480" w:firstLineChars="200"/>
    </w:pPr>
    <w:rPr>
      <w:rFonts w:ascii="宋体" w:hAnsi="宋体"/>
      <w:sz w:val="24"/>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w:basedOn w:val="25"/>
    <w:next w:val="2"/>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Text"/>
    <w:basedOn w:val="1"/>
    <w:qFormat/>
    <w:uiPriority w:val="0"/>
    <w:pPr>
      <w:jc w:val="left"/>
    </w:pPr>
    <w:rPr>
      <w:rFonts w:ascii="宋体" w:hAnsi="Courier New"/>
      <w:kern w:val="0"/>
      <w:szCs w:val="20"/>
    </w:rPr>
  </w:style>
  <w:style w:type="character" w:customStyle="1" w:styleId="963">
    <w:name w:val="jbox-icon"/>
    <w:basedOn w:val="69"/>
    <w:qFormat/>
    <w:uiPriority w:val="0"/>
  </w:style>
  <w:style w:type="character" w:customStyle="1" w:styleId="964">
    <w:name w:val="jbox-icon-none"/>
    <w:basedOn w:val="69"/>
    <w:qFormat/>
    <w:uiPriority w:val="0"/>
    <w:rPr>
      <w:vanish/>
    </w:rPr>
  </w:style>
  <w:style w:type="character" w:customStyle="1" w:styleId="965">
    <w:name w:val="jbox-icon-loading"/>
    <w:basedOn w:val="69"/>
    <w:qFormat/>
    <w:uiPriority w:val="0"/>
  </w:style>
  <w:style w:type="character" w:customStyle="1" w:styleId="966">
    <w:name w:val="jbox-icon-question"/>
    <w:basedOn w:val="69"/>
    <w:qFormat/>
    <w:uiPriority w:val="0"/>
  </w:style>
  <w:style w:type="character" w:customStyle="1" w:styleId="967">
    <w:name w:val="jbox-icon-warning"/>
    <w:basedOn w:val="69"/>
    <w:qFormat/>
    <w:uiPriority w:val="0"/>
  </w:style>
  <w:style w:type="character" w:customStyle="1" w:styleId="968">
    <w:name w:val="jbox-icon-info"/>
    <w:basedOn w:val="69"/>
    <w:qFormat/>
    <w:uiPriority w:val="0"/>
  </w:style>
  <w:style w:type="character" w:customStyle="1" w:styleId="969">
    <w:name w:val="jbox-icon-success"/>
    <w:basedOn w:val="69"/>
    <w:qFormat/>
    <w:uiPriority w:val="0"/>
  </w:style>
  <w:style w:type="character" w:customStyle="1" w:styleId="970">
    <w:name w:val="jbox-icon-error"/>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5711</Words>
  <Characters>32553</Characters>
  <Lines>271</Lines>
  <Paragraphs>76</Paragraphs>
  <TotalTime>23</TotalTime>
  <ScaleCrop>false</ScaleCrop>
  <LinksUpToDate>false</LinksUpToDate>
  <CharactersWithSpaces>38188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Lenovo</cp:lastModifiedBy>
  <cp:lastPrinted>2021-12-27T11:06:00Z</cp:lastPrinted>
  <dcterms:modified xsi:type="dcterms:W3CDTF">2024-08-13T08:23:37Z</dcterms:modified>
  <dc:title>杭州市市民卡扩大发卡工程</dc:title>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