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bookmarkStart w:id="58" w:name="_GoBack"/>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长兴校区办公直饮水机租赁项目</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项目名称：长兴校区办公直饮水机租赁项目</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项目编号：QSZB-Z(F)-C24290(CS)</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color w:val="auto"/>
          <w:highlight w:val="none"/>
        </w:rPr>
        <w:fldChar w:fldCharType="begin"/>
      </w:r>
      <w:r>
        <w:rPr>
          <w:color w:val="auto"/>
          <w:highlight w:val="none"/>
        </w:rPr>
        <w:instrText xml:space="preserve"> HYPERLINK "https://pay.zcygov.cn/purchaseplan_front/" \l "/plan/list/view?id=1000000000013988616&amp;_app_=zcy.procurement" \t "https://www.zcygov.cn/delegation-order/_procurement_/order/_blank" </w:instrText>
      </w:r>
      <w:r>
        <w:rPr>
          <w:color w:val="auto"/>
          <w:highlight w:val="none"/>
        </w:rPr>
        <w:fldChar w:fldCharType="separate"/>
      </w:r>
      <w:r>
        <w:rPr>
          <w:rFonts w:hint="eastAsia" w:ascii="楷体" w:hAnsi="楷体" w:eastAsia="楷体" w:cs="楷体"/>
          <w:b/>
          <w:bCs/>
          <w:color w:val="auto"/>
          <w:sz w:val="30"/>
          <w:szCs w:val="30"/>
          <w:highlight w:val="none"/>
        </w:rPr>
        <w:t>[2024]40432号</w:t>
      </w:r>
      <w:r>
        <w:rPr>
          <w:rFonts w:hint="eastAsia" w:ascii="楷体" w:hAnsi="楷体" w:eastAsia="楷体" w:cs="楷体"/>
          <w:b/>
          <w:bCs/>
          <w:color w:val="auto"/>
          <w:sz w:val="30"/>
          <w:szCs w:val="30"/>
          <w:highlight w:val="none"/>
        </w:rPr>
        <w:fldChar w:fldCharType="end"/>
      </w:r>
      <w:r>
        <w:rPr>
          <w:rFonts w:hint="eastAsia" w:ascii="楷体" w:hAnsi="楷体" w:eastAsia="楷体" w:cs="楷体"/>
          <w:b/>
          <w:bCs/>
          <w:color w:val="auto"/>
          <w:sz w:val="30"/>
          <w:szCs w:val="30"/>
          <w:highlight w:val="none"/>
        </w:rPr>
        <w:t>、</w:t>
      </w:r>
      <w:r>
        <w:rPr>
          <w:color w:val="auto"/>
          <w:highlight w:val="none"/>
        </w:rPr>
        <w:fldChar w:fldCharType="begin"/>
      </w:r>
      <w:r>
        <w:rPr>
          <w:color w:val="auto"/>
          <w:highlight w:val="none"/>
        </w:rPr>
        <w:instrText xml:space="preserve"> HYPERLINK "https://pay.zcygov.cn/purchaseplan_front/" \l "/plan/list/view?id=1000000000014027928&amp;_app_=zcy.procurement" \t "https://www.zcygov.cn/delegation-order/_procurement_/order/_blank" </w:instrText>
      </w:r>
      <w:r>
        <w:rPr>
          <w:color w:val="auto"/>
          <w:highlight w:val="none"/>
        </w:rPr>
        <w:fldChar w:fldCharType="separate"/>
      </w:r>
      <w:r>
        <w:rPr>
          <w:rFonts w:hint="eastAsia" w:ascii="楷体" w:hAnsi="楷体" w:eastAsia="楷体" w:cs="楷体"/>
          <w:b/>
          <w:bCs/>
          <w:color w:val="auto"/>
          <w:sz w:val="30"/>
          <w:szCs w:val="30"/>
          <w:highlight w:val="none"/>
        </w:rPr>
        <w:t>临[2024]42364号</w:t>
      </w:r>
      <w:r>
        <w:rPr>
          <w:rFonts w:hint="eastAsia" w:ascii="楷体" w:hAnsi="楷体" w:eastAsia="楷体" w:cs="楷体"/>
          <w:b/>
          <w:bCs/>
          <w:color w:val="auto"/>
          <w:sz w:val="30"/>
          <w:szCs w:val="30"/>
          <w:highlight w:val="none"/>
        </w:rPr>
        <w:fldChar w:fldCharType="end"/>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widowControl/>
        <w:jc w:val="left"/>
        <w:rPr>
          <w:color w:val="auto"/>
          <w:highlight w:val="none"/>
        </w:rPr>
      </w:pPr>
    </w:p>
    <w:p>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长兴校区办公直饮水机租赁项目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rPr>
        <w:t>2024年8月29日</w:t>
      </w:r>
      <w:r>
        <w:rPr>
          <w:rFonts w:hint="eastAsia"/>
          <w:b/>
          <w:color w:val="auto"/>
          <w:sz w:val="21"/>
          <w:szCs w:val="21"/>
          <w:highlight w:val="none"/>
          <w:u w:val="single"/>
          <w:lang w:val="en-US" w:eastAsia="zh-CN"/>
        </w:rPr>
        <w:t>13</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79"/>
      <w:bookmarkStart w:id="1" w:name="_Toc35393790"/>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QSZB-Z(F)-C24290(CS)</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项目名称：长兴校区办公直饮水机租赁项目</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预算金额：175000元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最高限价（如有）：175000元</w:t>
      </w:r>
    </w:p>
    <w:p>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合同履约期限：租赁期3年，</w:t>
      </w:r>
      <w:r>
        <w:rPr>
          <w:rFonts w:hint="eastAsia"/>
          <w:color w:val="auto"/>
          <w:sz w:val="21"/>
          <w:szCs w:val="21"/>
          <w:highlight w:val="none"/>
        </w:rPr>
        <w:t>自2024年9月6日至2027年9月5日止</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829" w:type="pct"/>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长兴校区办公直饮水机租赁项目</w:t>
            </w:r>
          </w:p>
        </w:tc>
        <w:tc>
          <w:tcPr>
            <w:tcW w:w="430" w:type="pct"/>
            <w:tcBorders>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431" w:type="pct"/>
            <w:tcBorders>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项</w:t>
            </w:r>
          </w:p>
        </w:tc>
        <w:tc>
          <w:tcPr>
            <w:tcW w:w="1898" w:type="pct"/>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详见招标文件第二章 采购需求</w:t>
            </w:r>
          </w:p>
        </w:tc>
      </w:tr>
    </w:tbl>
    <w:p>
      <w:pPr>
        <w:adjustRightInd w:val="0"/>
        <w:snapToGrid w:val="0"/>
        <w:spacing w:line="288" w:lineRule="auto"/>
        <w:rPr>
          <w:b/>
          <w:color w:val="auto"/>
          <w:sz w:val="21"/>
          <w:szCs w:val="21"/>
          <w:highlight w:val="none"/>
        </w:rPr>
      </w:pPr>
      <w:bookmarkStart w:id="5" w:name="_Toc28359080"/>
      <w:bookmarkStart w:id="6" w:name="_Toc35393791"/>
      <w:bookmarkStart w:id="7" w:name="_Toc35393622"/>
      <w:bookmarkStart w:id="8" w:name="_Toc28359003"/>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b/>
          <w:bCs/>
          <w:color w:val="auto"/>
          <w:sz w:val="21"/>
          <w:szCs w:val="21"/>
          <w:highlight w:val="none"/>
        </w:rPr>
      </w:pPr>
      <w:r>
        <w:rPr>
          <w:rFonts w:hint="eastAsia" w:cs="Times New Roman"/>
          <w:color w:val="auto"/>
          <w:sz w:val="21"/>
          <w:szCs w:val="21"/>
          <w:highlight w:val="none"/>
        </w:rPr>
        <w:t>2.落实政府采购政策需满足的资格要求：</w:t>
      </w:r>
      <w:r>
        <w:rPr>
          <w:rFonts w:hint="eastAsia"/>
          <w:b/>
          <w:bCs/>
          <w:color w:val="auto"/>
          <w:sz w:val="21"/>
          <w:szCs w:val="21"/>
          <w:highlight w:val="none"/>
        </w:rPr>
        <w:t>本项目整体专门面向中小企业采购，提供中小企业声明函。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本项目属性为：服务</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采购标的对应的中小企业划分标准所属行业：租赁和商务服务业</w:t>
      </w:r>
    </w:p>
    <w:p>
      <w:pPr>
        <w:adjustRightInd w:val="0"/>
        <w:snapToGrid w:val="0"/>
        <w:spacing w:line="288" w:lineRule="auto"/>
        <w:ind w:firstLine="422" w:firstLineChars="200"/>
        <w:rPr>
          <w:rFonts w:cs="Times New Roman"/>
          <w:b/>
          <w:bCs/>
          <w:color w:val="auto"/>
          <w:sz w:val="21"/>
          <w:szCs w:val="21"/>
          <w:highlight w:val="none"/>
        </w:rPr>
      </w:pPr>
      <w:r>
        <w:rPr>
          <w:rFonts w:hint="eastAsia"/>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624"/>
      <w:bookmarkStart w:id="14" w:name="_Toc35393793"/>
      <w:bookmarkStart w:id="15" w:name="_Toc28359005"/>
      <w:bookmarkStart w:id="16" w:name="_Toc28359082"/>
      <w:bookmarkStart w:id="17" w:name="_Toc28359084"/>
      <w:bookmarkStart w:id="18" w:name="_Toc28359007"/>
      <w:bookmarkStart w:id="19" w:name="_Toc35393625"/>
      <w:bookmarkStart w:id="20" w:name="_Toc35393794"/>
      <w:r>
        <w:rPr>
          <w:rFonts w:hint="eastAsia"/>
          <w:color w:val="auto"/>
          <w:sz w:val="21"/>
          <w:szCs w:val="21"/>
          <w:highlight w:val="none"/>
        </w:rPr>
        <w:t>时间：/至2</w:t>
      </w:r>
      <w:r>
        <w:rPr>
          <w:rFonts w:hint="eastAsia"/>
          <w:color w:val="auto"/>
          <w:sz w:val="21"/>
          <w:szCs w:val="21"/>
          <w:highlight w:val="none"/>
        </w:rPr>
        <w:t>024年8月29日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rPr>
        <w:t>2024年8月29日</w:t>
      </w:r>
      <w:r>
        <w:rPr>
          <w:rFonts w:hint="eastAsia"/>
          <w:bCs/>
          <w:color w:val="auto"/>
          <w:sz w:val="21"/>
          <w:szCs w:val="21"/>
          <w:highlight w:val="none"/>
          <w:lang w:val="en-US" w:eastAsia="zh-CN"/>
        </w:rPr>
        <w:t>13</w:t>
      </w:r>
      <w:r>
        <w:rPr>
          <w:rFonts w:hint="eastAsia"/>
          <w:bCs/>
          <w:color w:val="auto"/>
          <w:sz w:val="21"/>
          <w:szCs w:val="21"/>
          <w:highlight w:val="none"/>
        </w:rPr>
        <w:t>:</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pPr>
        <w:adjustRightInd w:val="0"/>
        <w:snapToGrid w:val="0"/>
        <w:spacing w:line="288" w:lineRule="auto"/>
        <w:rPr>
          <w:b/>
          <w:color w:val="auto"/>
          <w:sz w:val="21"/>
          <w:szCs w:val="21"/>
          <w:highlight w:val="none"/>
        </w:rPr>
      </w:pPr>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rPr>
        <w:t>2024年8月29日</w:t>
      </w:r>
      <w:r>
        <w:rPr>
          <w:rFonts w:hint="eastAsia"/>
          <w:bCs/>
          <w:color w:val="auto"/>
          <w:sz w:val="21"/>
          <w:szCs w:val="21"/>
          <w:highlight w:val="none"/>
          <w:lang w:val="en-US" w:eastAsia="zh-CN"/>
        </w:rPr>
        <w:t>13</w:t>
      </w:r>
      <w:r>
        <w:rPr>
          <w:rFonts w:hint="eastAsia"/>
          <w:bCs/>
          <w:color w:val="auto"/>
          <w:sz w:val="21"/>
          <w:szCs w:val="21"/>
          <w:highlight w:val="none"/>
        </w:rPr>
        <w:t>:30:00（北京时间）</w:t>
      </w:r>
    </w:p>
    <w:p>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/杭州市西湖区玉古路173号中田大厦16楼（求是招标会议室</w:t>
      </w:r>
      <w:r>
        <w:rPr>
          <w:rFonts w:hint="eastAsia" w:cs="Times New Roman"/>
          <w:color w:val="auto"/>
          <w:sz w:val="21"/>
          <w:szCs w:val="21"/>
          <w:highlight w:val="none"/>
          <w:lang w:val="en-US" w:eastAsia="zh-CN"/>
        </w:rPr>
        <w:t>8）</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85"/>
      <w:bookmarkStart w:id="25" w:name="_Toc35393627"/>
      <w:bookmarkStart w:id="26" w:name="_Toc35393796"/>
      <w:bookmarkStart w:id="27" w:name="_Toc28359008"/>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 徐老师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项目联系方式（询问）：0571-88484981</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质疑联系人：李老师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项目联系人（询问）：陈培特、李聪、蒋晗、王莹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rFonts w:cs="Times New Roman"/>
          <w:color w:val="auto"/>
          <w:sz w:val="21"/>
          <w:szCs w:val="21"/>
          <w:highlight w:val="none"/>
        </w:rPr>
      </w:pP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本项目属性为：服务</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采购标的对应的中小企业划分标准所属行业：租赁和商务服务业</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pPr>
        <w:adjustRightInd w:val="0"/>
        <w:snapToGrid w:val="0"/>
        <w:spacing w:line="288" w:lineRule="auto"/>
        <w:jc w:val="left"/>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合同生效、首次设备安装并调试完成，甲方验收通过后10</w:t>
            </w:r>
            <w:r>
              <w:rPr>
                <w:color w:val="auto"/>
                <w:sz w:val="21"/>
                <w:szCs w:val="21"/>
                <w:highlight w:val="none"/>
              </w:rPr>
              <w:t>个工作日内</w:t>
            </w:r>
            <w:r>
              <w:rPr>
                <w:rFonts w:hint="eastAsia"/>
                <w:color w:val="auto"/>
                <w:sz w:val="21"/>
                <w:szCs w:val="21"/>
                <w:highlight w:val="none"/>
              </w:rPr>
              <w:t>，采购人向供应商支付第一年度租赁服务费；以后每年财政资金到达后10个工作日内支付本年度租赁服务费。</w:t>
            </w:r>
          </w:p>
        </w:tc>
      </w:tr>
      <w:bookmarkEnd w:id="30"/>
    </w:tbl>
    <w:p>
      <w:pPr>
        <w:adjustRightInd w:val="0"/>
        <w:snapToGrid w:val="0"/>
        <w:spacing w:line="288" w:lineRule="auto"/>
        <w:rPr>
          <w:b/>
          <w:bCs/>
          <w:color w:val="auto"/>
          <w:sz w:val="21"/>
          <w:szCs w:val="21"/>
          <w:highlight w:val="none"/>
        </w:rPr>
      </w:pPr>
      <w:r>
        <w:rPr>
          <w:rFonts w:hint="eastAsia"/>
          <w:b/>
          <w:bCs/>
          <w:color w:val="auto"/>
          <w:sz w:val="21"/>
          <w:szCs w:val="21"/>
          <w:highlight w:val="none"/>
        </w:rPr>
        <w:t>三、服务要求</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浙江交通职业技术学院长兴校区办公区域租赁直饮水机10台，租赁期3年，自</w:t>
      </w:r>
      <w:r>
        <w:rPr>
          <w:rFonts w:hint="eastAsia" w:cs="Times New Roman"/>
          <w:color w:val="auto"/>
          <w:spacing w:val="-6"/>
          <w:sz w:val="21"/>
          <w:szCs w:val="21"/>
          <w:highlight w:val="none"/>
        </w:rPr>
        <w:t>2024年9月6日至2027年9月5日止。</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（一）安装位置及数量</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直饮水机安装位置如下：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872"/>
        <w:gridCol w:w="1976"/>
        <w:gridCol w:w="2759"/>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b/>
                <w:color w:val="auto"/>
                <w:sz w:val="21"/>
                <w:szCs w:val="21"/>
                <w:highlight w:val="none"/>
              </w:rPr>
            </w:pPr>
            <w:r>
              <w:rPr>
                <w:rFonts w:hint="eastAsia"/>
                <w:b/>
                <w:color w:val="auto"/>
                <w:sz w:val="21"/>
                <w:szCs w:val="21"/>
                <w:highlight w:val="none"/>
              </w:rPr>
              <w:t>序号</w:t>
            </w:r>
          </w:p>
        </w:tc>
        <w:tc>
          <w:tcPr>
            <w:tcW w:w="972" w:type="pct"/>
            <w:noWrap/>
          </w:tcPr>
          <w:p>
            <w:pPr>
              <w:pStyle w:val="54"/>
              <w:spacing w:line="324" w:lineRule="auto"/>
              <w:jc w:val="center"/>
              <w:rPr>
                <w:b/>
                <w:color w:val="auto"/>
                <w:sz w:val="21"/>
                <w:szCs w:val="21"/>
                <w:highlight w:val="none"/>
                <w:lang w:eastAsia="zh-CN"/>
              </w:rPr>
            </w:pPr>
            <w:r>
              <w:rPr>
                <w:rFonts w:hint="eastAsia"/>
                <w:b/>
                <w:color w:val="auto"/>
                <w:sz w:val="21"/>
                <w:szCs w:val="21"/>
                <w:highlight w:val="none"/>
                <w:lang w:eastAsia="zh-CN"/>
              </w:rPr>
              <w:t>安装地点</w:t>
            </w:r>
          </w:p>
        </w:tc>
        <w:tc>
          <w:tcPr>
            <w:tcW w:w="1026" w:type="pct"/>
            <w:noWrap/>
          </w:tcPr>
          <w:p>
            <w:pPr>
              <w:pStyle w:val="54"/>
              <w:spacing w:line="324" w:lineRule="auto"/>
              <w:jc w:val="center"/>
              <w:rPr>
                <w:b/>
                <w:color w:val="auto"/>
                <w:sz w:val="21"/>
                <w:szCs w:val="21"/>
                <w:highlight w:val="none"/>
                <w:lang w:eastAsia="zh-CN"/>
              </w:rPr>
            </w:pPr>
            <w:r>
              <w:rPr>
                <w:rFonts w:hint="eastAsia"/>
                <w:b/>
                <w:color w:val="auto"/>
                <w:sz w:val="21"/>
                <w:szCs w:val="21"/>
                <w:highlight w:val="none"/>
                <w:lang w:eastAsia="zh-CN"/>
              </w:rPr>
              <w:t>类别</w:t>
            </w:r>
          </w:p>
        </w:tc>
        <w:tc>
          <w:tcPr>
            <w:tcW w:w="1432" w:type="pct"/>
            <w:noWrap/>
          </w:tcPr>
          <w:p>
            <w:pPr>
              <w:pStyle w:val="54"/>
              <w:spacing w:line="324" w:lineRule="auto"/>
              <w:jc w:val="center"/>
              <w:rPr>
                <w:b/>
                <w:color w:val="auto"/>
                <w:sz w:val="21"/>
                <w:szCs w:val="21"/>
                <w:highlight w:val="none"/>
              </w:rPr>
            </w:pPr>
            <w:r>
              <w:rPr>
                <w:rFonts w:hint="eastAsia"/>
                <w:b/>
                <w:color w:val="auto"/>
                <w:sz w:val="21"/>
                <w:szCs w:val="21"/>
                <w:highlight w:val="none"/>
                <w:lang w:eastAsia="zh-CN"/>
              </w:rPr>
              <w:t>楼层</w:t>
            </w:r>
          </w:p>
        </w:tc>
        <w:tc>
          <w:tcPr>
            <w:tcW w:w="784" w:type="pct"/>
            <w:noWrap/>
          </w:tcPr>
          <w:p>
            <w:pPr>
              <w:pStyle w:val="54"/>
              <w:spacing w:line="324" w:lineRule="auto"/>
              <w:jc w:val="center"/>
              <w:rPr>
                <w:b/>
                <w:color w:val="auto"/>
                <w:sz w:val="21"/>
                <w:szCs w:val="21"/>
                <w:highlight w:val="none"/>
              </w:rPr>
            </w:pPr>
            <w:r>
              <w:rPr>
                <w:rFonts w:hint="eastAsia"/>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教学楼A区东</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1楼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2</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教学楼A区东</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3楼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3</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综合楼</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6楼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4</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综合楼</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8楼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5</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图书馆</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6</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图书馆</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4楼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7</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运动场</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8</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教师公寓</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9</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教师公寓</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lang w:eastAsia="zh-CN"/>
              </w:rPr>
              <w:t>5</w:t>
            </w:r>
            <w:r>
              <w:rPr>
                <w:rFonts w:hint="eastAsia"/>
                <w:color w:val="auto"/>
                <w:sz w:val="21"/>
                <w:szCs w:val="21"/>
                <w:highlight w:val="none"/>
              </w:rPr>
              <w:t>楼</w:t>
            </w:r>
          </w:p>
        </w:tc>
        <w:tc>
          <w:tcPr>
            <w:tcW w:w="784" w:type="pct"/>
            <w:noWrap/>
          </w:tcPr>
          <w:p>
            <w:pPr>
              <w:pStyle w:val="54"/>
              <w:spacing w:line="324" w:lineRule="auto"/>
              <w:jc w:val="center"/>
              <w:rPr>
                <w:color w:val="auto"/>
                <w:sz w:val="21"/>
                <w:szCs w:val="21"/>
                <w:highlight w:val="none"/>
                <w:lang w:eastAsia="zh-CN"/>
              </w:rPr>
            </w:pPr>
            <w:r>
              <w:rPr>
                <w:rFonts w:hint="eastAsia"/>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10</w:t>
            </w:r>
          </w:p>
        </w:tc>
        <w:tc>
          <w:tcPr>
            <w:tcW w:w="972" w:type="pct"/>
            <w:noWrap/>
          </w:tcPr>
          <w:p>
            <w:pPr>
              <w:pStyle w:val="54"/>
              <w:spacing w:line="324" w:lineRule="auto"/>
              <w:jc w:val="center"/>
              <w:rPr>
                <w:color w:val="auto"/>
                <w:sz w:val="21"/>
                <w:szCs w:val="21"/>
                <w:highlight w:val="none"/>
              </w:rPr>
            </w:pPr>
            <w:r>
              <w:rPr>
                <w:rFonts w:hint="eastAsia"/>
                <w:color w:val="auto"/>
                <w:sz w:val="21"/>
                <w:szCs w:val="21"/>
                <w:highlight w:val="none"/>
              </w:rPr>
              <w:t>实训楼</w:t>
            </w:r>
          </w:p>
        </w:tc>
        <w:tc>
          <w:tcPr>
            <w:tcW w:w="1026" w:type="pct"/>
            <w:noWrap/>
          </w:tcPr>
          <w:p>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pPr>
              <w:pStyle w:val="54"/>
              <w:spacing w:line="324" w:lineRule="auto"/>
              <w:jc w:val="center"/>
              <w:rPr>
                <w:color w:val="auto"/>
                <w:sz w:val="21"/>
                <w:szCs w:val="21"/>
                <w:highlight w:val="none"/>
              </w:rPr>
            </w:pPr>
            <w:r>
              <w:rPr>
                <w:rFonts w:hint="eastAsia"/>
                <w:color w:val="auto"/>
                <w:sz w:val="21"/>
                <w:szCs w:val="21"/>
                <w:highlight w:val="none"/>
              </w:rPr>
              <w:t>1</w:t>
            </w:r>
          </w:p>
        </w:tc>
      </w:tr>
    </w:tbl>
    <w:p>
      <w:pPr>
        <w:adjustRightInd w:val="0"/>
        <w:snapToGrid w:val="0"/>
        <w:spacing w:line="288" w:lineRule="auto"/>
        <w:rPr>
          <w:b/>
          <w:bCs/>
          <w:color w:val="auto"/>
          <w:sz w:val="21"/>
          <w:szCs w:val="21"/>
          <w:highlight w:val="none"/>
        </w:rPr>
      </w:pPr>
      <w:r>
        <w:rPr>
          <w:rFonts w:hint="eastAsia"/>
          <w:b/>
          <w:bCs/>
          <w:color w:val="auto"/>
          <w:sz w:val="21"/>
          <w:szCs w:val="21"/>
          <w:highlight w:val="none"/>
        </w:rPr>
        <w:t>（二）功能及外观要求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vAlign w:val="center"/>
          </w:tcPr>
          <w:p>
            <w:pPr>
              <w:pStyle w:val="54"/>
              <w:jc w:val="center"/>
              <w:rPr>
                <w:color w:val="auto"/>
                <w:sz w:val="21"/>
                <w:szCs w:val="21"/>
                <w:highlight w:val="none"/>
              </w:rPr>
            </w:pPr>
            <w:r>
              <w:rPr>
                <w:rFonts w:hint="eastAsia"/>
                <w:color w:val="auto"/>
                <w:sz w:val="21"/>
                <w:szCs w:val="21"/>
                <w:highlight w:val="none"/>
              </w:rPr>
              <w:t>直饮机性能及材质要求</w:t>
            </w:r>
          </w:p>
        </w:tc>
        <w:tc>
          <w:tcPr>
            <w:tcW w:w="4325" w:type="pct"/>
          </w:tcPr>
          <w:p>
            <w:pPr>
              <w:pStyle w:val="54"/>
              <w:rPr>
                <w:color w:val="auto"/>
                <w:sz w:val="21"/>
                <w:szCs w:val="21"/>
                <w:highlight w:val="none"/>
              </w:rPr>
            </w:pPr>
            <w:r>
              <w:rPr>
                <w:rFonts w:hint="eastAsia"/>
                <w:color w:val="auto"/>
                <w:sz w:val="21"/>
                <w:szCs w:val="21"/>
                <w:highlight w:val="none"/>
              </w:rPr>
              <w:t>规格：（450～600）×（520～600）×（1650～1720</w:t>
            </w:r>
            <w:r>
              <w:rPr>
                <w:rFonts w:hint="eastAsia"/>
                <w:color w:val="auto"/>
                <w:sz w:val="21"/>
                <w:szCs w:val="21"/>
                <w:highlight w:val="none"/>
                <w:lang w:eastAsia="zh-CN"/>
              </w:rPr>
              <w:t>）</w:t>
            </w:r>
            <w:r>
              <w:rPr>
                <w:rFonts w:hint="eastAsia"/>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电源/功率：</w:t>
            </w:r>
            <w:r>
              <w:rPr>
                <w:rFonts w:hint="eastAsia"/>
                <w:color w:val="auto"/>
                <w:sz w:val="21"/>
                <w:szCs w:val="21"/>
                <w:highlight w:val="none"/>
                <w:lang w:eastAsia="zh-CN"/>
              </w:rPr>
              <w:t>2</w:t>
            </w:r>
            <w:r>
              <w:rPr>
                <w:rFonts w:eastAsia="PMingLiU"/>
                <w:color w:val="auto"/>
                <w:sz w:val="21"/>
                <w:szCs w:val="21"/>
                <w:highlight w:val="none"/>
              </w:rPr>
              <w:t>20</w:t>
            </w:r>
            <w:r>
              <w:rPr>
                <w:rFonts w:hint="eastAsia" w:asciiTheme="minorEastAsia" w:hAnsiTheme="minorEastAsia" w:eastAsiaTheme="minorEastAsia"/>
                <w:color w:val="auto"/>
                <w:sz w:val="21"/>
                <w:szCs w:val="21"/>
                <w:highlight w:val="none"/>
              </w:rPr>
              <w:t>～</w:t>
            </w:r>
            <w:r>
              <w:rPr>
                <w:rFonts w:hint="eastAsia"/>
                <w:color w:val="auto"/>
                <w:sz w:val="21"/>
                <w:szCs w:val="21"/>
                <w:highlight w:val="none"/>
              </w:rPr>
              <w:t>380V/50HZ/</w:t>
            </w:r>
            <w:r>
              <w:rPr>
                <w:rFonts w:eastAsia="PMingLiU"/>
                <w:color w:val="auto"/>
                <w:sz w:val="21"/>
                <w:szCs w:val="21"/>
                <w:highlight w:val="none"/>
              </w:rPr>
              <w:t>3</w:t>
            </w:r>
            <w:r>
              <w:rPr>
                <w:rFonts w:hint="eastAsia" w:asciiTheme="minorEastAsia" w:hAnsiTheme="minorEastAsia" w:eastAsiaTheme="minorEastAsia"/>
                <w:color w:val="auto"/>
                <w:sz w:val="21"/>
                <w:szCs w:val="21"/>
                <w:highlight w:val="none"/>
              </w:rPr>
              <w:t>～</w:t>
            </w:r>
            <w:r>
              <w:rPr>
                <w:rFonts w:hint="eastAsia"/>
                <w:color w:val="auto"/>
                <w:sz w:val="21"/>
                <w:szCs w:val="21"/>
                <w:highlight w:val="none"/>
              </w:rPr>
              <w:t>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出水方式：两水嘴出水，一直饮开水一常温直饮水，轻触式按键出水。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供水量：直饮开水≥</w:t>
            </w:r>
            <w:r>
              <w:rPr>
                <w:rFonts w:hint="eastAsia"/>
                <w:color w:val="auto"/>
                <w:sz w:val="21"/>
                <w:szCs w:val="21"/>
                <w:highlight w:val="none"/>
                <w:lang w:eastAsia="zh-CN"/>
              </w:rPr>
              <w:t>9</w:t>
            </w:r>
            <w:r>
              <w:rPr>
                <w:rFonts w:hint="eastAsia"/>
                <w:color w:val="auto"/>
                <w:sz w:val="21"/>
                <w:szCs w:val="21"/>
                <w:highlight w:val="none"/>
              </w:rPr>
              <w:t>0L/H，常温直饮水≥</w:t>
            </w:r>
            <w:r>
              <w:rPr>
                <w:rFonts w:hint="eastAsia"/>
                <w:color w:val="auto"/>
                <w:sz w:val="21"/>
                <w:szCs w:val="21"/>
                <w:highlight w:val="none"/>
                <w:lang w:eastAsia="zh-CN"/>
              </w:rPr>
              <w:t>12</w:t>
            </w:r>
            <w:r>
              <w:rPr>
                <w:rFonts w:hint="eastAsia"/>
                <w:color w:val="auto"/>
                <w:sz w:val="21"/>
                <w:szCs w:val="21"/>
                <w:highlight w:val="none"/>
              </w:rPr>
              <w:t>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显示屏功能：采用智能主控系统，带实时日历时间显示，显示热出水温度，净水TDS值，滤芯损耗情况，滤芯更换提醒，设备进水、加热、饮用等实时状态。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加热类型：步进式加热（分层加热方式），温度≥93度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不锈钢+纳米吸漆工艺处理，厚度≥0.8mm，集成式整体柜机，一体化设计，滚边圆角，无毛刺不割手，无焊接点，无方角整机防拆卸，表面防锈、防水迹。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加热内胆采用304不锈钢，厚度≥1.0mm。内胆具有食品接触安全认证证书。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vAlign w:val="center"/>
          </w:tcPr>
          <w:p>
            <w:pPr>
              <w:pStyle w:val="54"/>
              <w:jc w:val="center"/>
              <w:rPr>
                <w:color w:val="auto"/>
                <w:sz w:val="21"/>
                <w:szCs w:val="21"/>
                <w:highlight w:val="none"/>
              </w:rPr>
            </w:pPr>
            <w:r>
              <w:rPr>
                <w:rFonts w:hint="eastAsia"/>
                <w:color w:val="auto"/>
                <w:sz w:val="21"/>
                <w:szCs w:val="21"/>
                <w:highlight w:val="none"/>
              </w:rPr>
              <w:t>安全节能要求</w:t>
            </w:r>
          </w:p>
        </w:tc>
        <w:tc>
          <w:tcPr>
            <w:tcW w:w="4325" w:type="pct"/>
          </w:tcPr>
          <w:p>
            <w:pPr>
              <w:pStyle w:val="54"/>
              <w:rPr>
                <w:color w:val="auto"/>
                <w:sz w:val="21"/>
                <w:szCs w:val="21"/>
                <w:highlight w:val="none"/>
              </w:rPr>
            </w:pPr>
            <w:r>
              <w:rPr>
                <w:rFonts w:hint="eastAsia"/>
                <w:color w:val="auto"/>
                <w:sz w:val="21"/>
                <w:szCs w:val="21"/>
                <w:highlight w:val="none"/>
              </w:rPr>
              <w:t>设备采用步进式微电脑控制系统，须提供安全防护功能，烟雾报警系统，漏水检测系统。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五防设计：内置漏电保护，防干烧、防漏电、防蒸汽，防溢水、防超温，确保绝对安全；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lang w:eastAsia="zh-CN"/>
              </w:rPr>
            </w:pPr>
            <w:r>
              <w:rPr>
                <w:rFonts w:hint="eastAsia"/>
                <w:color w:val="auto"/>
                <w:sz w:val="21"/>
                <w:szCs w:val="21"/>
                <w:highlight w:val="none"/>
              </w:rPr>
              <w:t>防触电保护至少为Ⅰ类</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具有中国质量认证中心出具的对应投标型号及功率的节能认证证书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具有节水认证，水效等级为1级，净水产水率≥65%。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lang w:eastAsia="zh-CN"/>
              </w:rPr>
            </w:pPr>
            <w:r>
              <w:rPr>
                <w:rFonts w:hint="eastAsia"/>
                <w:color w:val="auto"/>
                <w:sz w:val="21"/>
                <w:szCs w:val="21"/>
                <w:highlight w:val="none"/>
              </w:rPr>
              <w:t>开水器内胆容量≥40L，内胆和电磁阀须为食品接触级材料</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pStyle w:val="54"/>
              <w:rPr>
                <w:color w:val="auto"/>
                <w:sz w:val="21"/>
                <w:szCs w:val="21"/>
                <w:highlight w:val="none"/>
              </w:rPr>
            </w:pPr>
          </w:p>
        </w:tc>
        <w:tc>
          <w:tcPr>
            <w:tcW w:w="4325" w:type="pct"/>
          </w:tcPr>
          <w:p>
            <w:pPr>
              <w:pStyle w:val="54"/>
              <w:rPr>
                <w:color w:val="auto"/>
                <w:sz w:val="21"/>
                <w:szCs w:val="21"/>
                <w:highlight w:val="none"/>
              </w:rPr>
            </w:pPr>
            <w:r>
              <w:rPr>
                <w:rFonts w:hint="eastAsia"/>
                <w:color w:val="auto"/>
                <w:sz w:val="21"/>
                <w:szCs w:val="21"/>
                <w:highlight w:val="none"/>
              </w:rPr>
              <w:t>整机具有卫生部门颁发的涉及饮用水卫生安全产品卫生许可批件。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74" w:type="pct"/>
            <w:vAlign w:val="center"/>
          </w:tcPr>
          <w:p>
            <w:pPr>
              <w:pStyle w:val="54"/>
              <w:jc w:val="center"/>
              <w:rPr>
                <w:color w:val="auto"/>
                <w:sz w:val="21"/>
                <w:szCs w:val="21"/>
                <w:highlight w:val="none"/>
              </w:rPr>
            </w:pPr>
            <w:r>
              <w:rPr>
                <w:rFonts w:hint="eastAsia"/>
                <w:color w:val="auto"/>
                <w:sz w:val="21"/>
                <w:szCs w:val="21"/>
                <w:highlight w:val="none"/>
              </w:rPr>
              <w:t>过滤系统要求</w:t>
            </w:r>
          </w:p>
        </w:tc>
        <w:tc>
          <w:tcPr>
            <w:tcW w:w="4325" w:type="pct"/>
          </w:tcPr>
          <w:p>
            <w:pPr>
              <w:pStyle w:val="54"/>
              <w:rPr>
                <w:color w:val="auto"/>
                <w:sz w:val="21"/>
                <w:szCs w:val="21"/>
                <w:highlight w:val="none"/>
              </w:rPr>
            </w:pPr>
            <w:r>
              <w:rPr>
                <w:rFonts w:hint="eastAsia"/>
                <w:color w:val="auto"/>
                <w:sz w:val="21"/>
                <w:szCs w:val="21"/>
                <w:highlight w:val="none"/>
              </w:rPr>
              <w:t>系统配置：过滤配置：PP棉+颗粒活性炭+PP棉+RO400G膜+颗粒活性炭，过滤后水质符合《生活饮用水水质处理器卫生安全与功能评价规范--反渗透处理装置》 (2001)的要求，滤芯批件品牌需要与整机批件</w:t>
            </w:r>
            <w:r>
              <w:rPr>
                <w:rFonts w:hint="eastAsia"/>
                <w:color w:val="auto"/>
                <w:sz w:val="21"/>
                <w:szCs w:val="21"/>
                <w:highlight w:val="none"/>
                <w:lang w:eastAsia="zh-CN"/>
              </w:rPr>
              <w:t>互相兼容</w:t>
            </w:r>
            <w:r>
              <w:rPr>
                <w:rFonts w:hint="eastAsia"/>
                <w:color w:val="auto"/>
                <w:sz w:val="21"/>
                <w:szCs w:val="21"/>
                <w:highlight w:val="none"/>
              </w:rPr>
              <w:t>。</w:t>
            </w:r>
          </w:p>
        </w:tc>
      </w:tr>
    </w:tbl>
    <w:p>
      <w:pPr>
        <w:adjustRightInd w:val="0"/>
        <w:snapToGrid w:val="0"/>
        <w:spacing w:line="288" w:lineRule="auto"/>
        <w:rPr>
          <w:b/>
          <w:bCs/>
          <w:color w:val="auto"/>
          <w:sz w:val="21"/>
          <w:szCs w:val="21"/>
          <w:highlight w:val="none"/>
        </w:rPr>
      </w:pPr>
      <w:r>
        <w:rPr>
          <w:rFonts w:hint="eastAsia"/>
          <w:b/>
          <w:bCs/>
          <w:color w:val="auto"/>
          <w:sz w:val="21"/>
          <w:szCs w:val="21"/>
          <w:highlight w:val="none"/>
        </w:rPr>
        <w:t>（三）服务要求</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1、中标供应商应提供7×24小时服务电话。</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2、本项目要求配置专人对应服务，应为中标供应商全职专业技术人员，经设备厂家技术培训合格，具有电工证、健康证。</w:t>
      </w:r>
      <w:r>
        <w:rPr>
          <w:rFonts w:hint="eastAsia" w:cs="Times New Roman"/>
          <w:b/>
          <w:bCs/>
          <w:color w:val="auto"/>
          <w:spacing w:val="-6"/>
          <w:sz w:val="21"/>
          <w:szCs w:val="21"/>
          <w:highlight w:val="none"/>
        </w:rPr>
        <w:t>响应文件中提供相关证明文件</w:t>
      </w:r>
      <w:r>
        <w:rPr>
          <w:rFonts w:hint="eastAsia" w:cs="Times New Roman"/>
          <w:color w:val="auto"/>
          <w:spacing w:val="-6"/>
          <w:sz w:val="21"/>
          <w:szCs w:val="21"/>
          <w:highlight w:val="none"/>
        </w:rPr>
        <w:t>。</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3、常规故障处理：2小时内响应，24小时内解决。定期设备检修：对于现场设备实现每月进行设备巡查、检修。经报修设备因特殊原因超过48小时未能修复的，需书面向管理部门提交情况说明，并提供不低于原设备配置的备用设备，以保障用水。</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4、定期设备保养：每年暑假和寒假为供应商公司设备保养期间，成交供应商实行设备保养并建立台账并公示。全面保养内容包括外观清洁、内胆清洗、滤芯更换、水电路检修、电器零部件接口紧固、水压测试、漏电保护测试、水温调整等。</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5、水质检测：直饮水设备每学期至少一次取水样送至有资质第三方检测部门进行水质检测，出具合格的检测报告并公示。检测内容至少包括：菌落总数、大肠杆菌、浑浊度、PH值、色度、嗅和味、肉眼可见物等七项，检测费用由中标供应商承担；如检测有不合格项需全面整改，整改后再次检测，再次检测后仍不合格招标方有权取消中标供应商服务资格。</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6、对于服务投诉不能及时解决，经师生评价不满意，经管理方发函后，在5个工作日内既无解决问题，也无向采购方提出被认可的合理解释的，视作自动退出，将按照合同到期处置，由学校接管所有实施设备及服务。</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7、合同执行期内，如采购人需要增加新的直饮水机或变更安装地点，供应商应及时提供服务，新的直饮机的租赁价格与本期价格相同。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（四）设备及安装要求</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1、成交供应商提供全新直饮水器设备，负责直饮水器设备的正常运行和日常维护，承担用水、用电过程中的安全责任。</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2、服务期间内，成交供应商负责设备的安装、正常运行及日常营运管理。系统的安装费用、维护费用、滤材滤料更换的费用、人工费由成交供应商负责。</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3、安装条件以采购人交付的现场条件为准。水电扩容（如有需要）、配电箱、水表、电表、电缆、水管、排水、水电施工等本项目配套工程及材料由招标方负责。</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4、磋商响应方须在中标后按照投标文件中的方案，须在合同签订后7天内全额出资完成直饮水机的安装调试，满足招标方师生的饮水需求，在运营前，需提供杭州市有资质的第三方检测机构出具的水质检验合格报告，否则取消其服务资格；</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5、成交供应商应当遵守有关环境保护法律、法规及学校相关规定，进场施工前需取得学校相关部门施工许可，在作业现场采取措施，减少或防止施工对师生员工及校园环境的影响和危害，确保安全施工、文明施工，因成交供应商问题造成采购方或第三方人员、财产安全收到损失的，须由成交供应商负全部经济损失和法律责任。</w:t>
      </w:r>
    </w:p>
    <w:p>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6、成交供应商是本项目安全生产工作第一责任人，对项目的安全生产工作负全部责任。如因经营管理不善造成饮用水中毒等事件，须由成交供应商负全部经济损失和法律责任。</w:t>
      </w:r>
    </w:p>
    <w:p>
      <w:pPr>
        <w:rPr>
          <w:b/>
          <w:bCs/>
          <w:color w:val="auto"/>
          <w:sz w:val="21"/>
          <w:szCs w:val="21"/>
          <w:highlight w:val="none"/>
        </w:rPr>
      </w:pPr>
      <w:r>
        <w:rPr>
          <w:rFonts w:hint="eastAsia"/>
          <w:b/>
          <w:bCs/>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本磋商文件适用于浙江交通职业技术学院长兴校区办公直饮水机租赁项目的磋商、评审、成交、验收、合同履约、付款等（法律、法规另有规定的，从其规定）。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rPr>
              <w:t>租赁数量少，不宜分包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bCs/>
                <w:color w:val="auto"/>
                <w:sz w:val="21"/>
                <w:szCs w:val="21"/>
                <w:highlight w:val="none"/>
              </w:rPr>
            </w:pPr>
            <w:r>
              <w:rPr>
                <w:rFonts w:hint="eastAsia"/>
                <w:bCs/>
                <w:color w:val="auto"/>
                <w:sz w:val="21"/>
                <w:szCs w:val="21"/>
                <w:highlight w:val="none"/>
              </w:rPr>
              <w:t>中小企业声明函（若属于中小企业）</w:t>
            </w:r>
          </w:p>
          <w:p>
            <w:pPr>
              <w:adjustRightInd w:val="0"/>
              <w:snapToGrid w:val="0"/>
              <w:spacing w:line="288" w:lineRule="auto"/>
              <w:rPr>
                <w:bCs/>
                <w:color w:val="auto"/>
                <w:sz w:val="21"/>
                <w:szCs w:val="21"/>
                <w:highlight w:val="none"/>
              </w:rPr>
            </w:pPr>
            <w:r>
              <w:rPr>
                <w:rFonts w:hint="eastAsia"/>
                <w:bCs/>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hint="eastAsia"/>
                <w:bCs/>
                <w:color w:val="auto"/>
                <w:sz w:val="21"/>
                <w:szCs w:val="21"/>
                <w:highlight w:val="none"/>
              </w:rPr>
              <w:t>残疾人福利性单位声明函（若属于残疾人福利性单位）</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r>
              <w:rPr>
                <w:rFonts w:hint="eastAsia" w:cs="Times New Roman"/>
                <w:color w:val="auto"/>
                <w:sz w:val="21"/>
                <w:szCs w:val="21"/>
                <w:highlight w:val="none"/>
              </w:rPr>
              <w:t>无</w:t>
            </w:r>
          </w:p>
          <w:p>
            <w:pPr>
              <w:adjustRightInd w:val="0"/>
              <w:snapToGrid w:val="0"/>
              <w:spacing w:line="288" w:lineRule="auto"/>
              <w:rPr>
                <w:rFonts w:cs="Times New Roman"/>
                <w:color w:val="auto"/>
                <w:sz w:val="21"/>
                <w:szCs w:val="21"/>
                <w:highlight w:val="none"/>
              </w:rPr>
            </w:pPr>
            <w:r>
              <w:rPr>
                <w:rFonts w:hint="eastAsia" w:cs="Times New Roman"/>
                <w:b/>
                <w:bCs/>
                <w:color w:val="auto"/>
                <w:sz w:val="21"/>
                <w:szCs w:val="21"/>
                <w:highlight w:val="none"/>
              </w:rPr>
              <w:t>▲联合体投标的，联合体各方均应提供资格文件（</w:t>
            </w:r>
            <w:r>
              <w:rPr>
                <w:rFonts w:cs="Times New Roman"/>
                <w:b/>
                <w:bCs/>
                <w:color w:val="auto"/>
                <w:sz w:val="21"/>
                <w:szCs w:val="21"/>
                <w:highlight w:val="none"/>
              </w:rPr>
              <w:t>1）、（2）</w:t>
            </w:r>
            <w:r>
              <w:rPr>
                <w:rFonts w:hint="eastAsia" w:cs="Times New Roman"/>
                <w:b/>
                <w:bCs/>
                <w:color w:val="auto"/>
                <w:sz w:val="21"/>
                <w:szCs w:val="21"/>
                <w:highlight w:val="none"/>
              </w:rPr>
              <w:t>、（3）</w:t>
            </w:r>
            <w:r>
              <w:rPr>
                <w:rFonts w:cs="Times New Roman"/>
                <w:b/>
                <w:bCs/>
                <w:color w:val="auto"/>
                <w:sz w:val="21"/>
                <w:szCs w:val="21"/>
                <w:highlight w:val="none"/>
              </w:rPr>
              <w:t>材料</w:t>
            </w:r>
            <w:r>
              <w:rPr>
                <w:rFonts w:hint="eastAsia" w:cs="Times New Roman"/>
                <w:b/>
                <w:bCs/>
                <w:color w:val="auto"/>
                <w:sz w:val="21"/>
                <w:szCs w:val="21"/>
                <w:highlight w:val="none"/>
              </w:rPr>
              <w:t>，且提供联合协议（见附件2）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w:t>
            </w:r>
            <w:r>
              <w:rPr>
                <w:rFonts w:hint="eastAsia"/>
                <w:color w:val="auto"/>
                <w:sz w:val="21"/>
                <w:szCs w:val="21"/>
                <w:highlight w:val="none"/>
              </w:rPr>
              <w:t>货物、工程和服务</w:t>
            </w:r>
            <w:r>
              <w:rPr>
                <w:color w:val="auto"/>
                <w:sz w:val="21"/>
                <w:szCs w:val="21"/>
                <w:highlight w:val="none"/>
              </w:rPr>
              <w:t>，不接受</w:t>
            </w:r>
            <w:r>
              <w:rPr>
                <w:rFonts w:hint="eastAsia"/>
                <w:color w:val="auto"/>
                <w:sz w:val="21"/>
                <w:szCs w:val="21"/>
                <w:highlight w:val="none"/>
              </w:rPr>
              <w:t>供应商</w:t>
            </w:r>
            <w:r>
              <w:rPr>
                <w:color w:val="auto"/>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w:t>
            </w:r>
            <w:r>
              <w:rPr>
                <w:rFonts w:hint="eastAsia"/>
                <w:color w:val="auto"/>
                <w:sz w:val="21"/>
                <w:szCs w:val="21"/>
                <w:highlight w:val="none"/>
              </w:rPr>
              <w:t>止之日起90天。</w:t>
            </w:r>
            <w:r>
              <w:rPr>
                <w:rFonts w:hint="eastAsia"/>
                <w:color w:val="auto"/>
                <w:sz w:val="21"/>
                <w:szCs w:val="21"/>
                <w:highlight w:val="none"/>
              </w:rPr>
              <w:t>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w:t>
            </w:r>
            <w:r>
              <w:rPr>
                <w:rFonts w:hint="eastAsia"/>
                <w:color w:val="auto"/>
                <w:sz w:val="21"/>
                <w:szCs w:val="21"/>
                <w:highlight w:val="none"/>
              </w:rPr>
              <w:t>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本磋商文件适用于浙江交通职业技术学院长兴校区办公直饮水机租赁项目的磋商、评审、成交、验收、合同履约、付款等（法律、法规另有规定的，从其规定）。</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pPr>
        <w:spacing w:line="288" w:lineRule="auto"/>
        <w:ind w:firstLine="420" w:firstLineChars="200"/>
        <w:rPr>
          <w:rFonts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u w:val="singl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租赁数量少，不宜分包。</w:t>
      </w:r>
    </w:p>
    <w:p>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pPr>
        <w:adjustRightInd w:val="0"/>
        <w:snapToGrid w:val="0"/>
        <w:spacing w:line="288" w:lineRule="auto"/>
        <w:outlineLvl w:val="2"/>
        <w:rPr>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p>
    <w:bookmarkEnd w:id="39"/>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bookmarkStart w:id="40"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0"/>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pPr>
        <w:adjustRightInd w:val="0"/>
        <w:snapToGrid w:val="0"/>
        <w:spacing w:line="288" w:lineRule="auto"/>
        <w:ind w:firstLine="420" w:firstLineChars="200"/>
        <w:rPr>
          <w:color w:val="auto"/>
          <w:sz w:val="21"/>
          <w:szCs w:val="21"/>
          <w:highlight w:val="none"/>
        </w:rPr>
      </w:pPr>
      <w:bookmarkStart w:id="43" w:name="_Hlk97039841"/>
      <w:r>
        <w:rPr>
          <w:rFonts w:hint="eastAsia"/>
          <w:color w:val="auto"/>
          <w:sz w:val="21"/>
          <w:szCs w:val="21"/>
          <w:highlight w:val="none"/>
        </w:rPr>
        <w:t>（3）资格文件未按要求签署、盖章。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w:t>
      </w:r>
      <w:r>
        <w:rPr>
          <w:rFonts w:hint="eastAsia"/>
          <w:color w:val="auto"/>
          <w:kern w:val="0"/>
          <w:sz w:val="21"/>
          <w:szCs w:val="21"/>
          <w:highlight w:val="none"/>
        </w:rPr>
        <w:t>03</w:t>
      </w:r>
      <w:r>
        <w:rPr>
          <w:color w:val="auto"/>
          <w:kern w:val="0"/>
          <w:sz w:val="21"/>
          <w:szCs w:val="21"/>
          <w:highlight w:val="none"/>
        </w:rPr>
        <w:t>@qszb.net）或传真号码（0571-87666116）提交。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30</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30%</w:t>
            </w:r>
            <w:r>
              <w:rPr>
                <w:color w:val="auto"/>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2010年1月1日至今（时间以合同最终签订时间为准）具有同类项目业绩，每提供一个得1分，最高得3分（须提供合同复印件并加盖供应商公章，合同如有相关清单附件需一并提供。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restart"/>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认证证书</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响应供应商具有认证类别包含饮水设备服务相关的ISO9001质量管理体系认证、ISO14001环境管理体系认证、ISO45001职业健康安全管理体系认证，每个1分，最高得3分。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continue"/>
            <w:vAlign w:val="center"/>
          </w:tcPr>
          <w:p>
            <w:pPr>
              <w:adjustRightInd w:val="0"/>
              <w:snapToGrid w:val="0"/>
              <w:spacing w:line="288" w:lineRule="auto"/>
              <w:jc w:val="center"/>
              <w:rPr>
                <w:b/>
                <w:bCs/>
                <w:color w:val="auto"/>
                <w:kern w:val="0"/>
                <w:sz w:val="21"/>
                <w:szCs w:val="21"/>
                <w:highlight w:val="none"/>
              </w:rPr>
            </w:pP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响应供应商具有合同能源管理服务认证或售后服务体系认证的，得3分。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continue"/>
            <w:vAlign w:val="center"/>
          </w:tcPr>
          <w:p>
            <w:pPr>
              <w:adjustRightInd w:val="0"/>
              <w:snapToGrid w:val="0"/>
              <w:spacing w:line="288" w:lineRule="auto"/>
              <w:jc w:val="center"/>
              <w:rPr>
                <w:b/>
                <w:bCs/>
                <w:color w:val="auto"/>
                <w:kern w:val="0"/>
                <w:sz w:val="21"/>
                <w:szCs w:val="21"/>
                <w:highlight w:val="none"/>
              </w:rPr>
            </w:pP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6</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投入设备应具备国家确定的认证机构出具的中国节能产品认证证书的，得6分。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专利证书</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2</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投标供应商具有与本项目相关的技术专利或软著，每个0.5分，最高2分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26</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技术条款低于技术要求（负偏离）的每项扣2分；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负偏离14</w:t>
            </w:r>
            <w:r>
              <w:rPr>
                <w:color w:val="auto"/>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实施方案</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对各响应供应商提供针对本项目的实施方案与设备投入计划等。</w:t>
            </w:r>
            <w:r>
              <w:rPr>
                <w:rFonts w:hint="eastAsia" w:ascii="Times New Roman" w:hAnsi="宋体" w:eastAsia="宋体"/>
                <w:bCs/>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服务方案</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根据响应供应商对经营期内的日常维护、故障检修方案等；</w:t>
            </w:r>
            <w:r>
              <w:rPr>
                <w:rFonts w:hint="eastAsia" w:ascii="Times New Roman" w:hAnsi="宋体" w:eastAsia="宋体"/>
                <w:bCs/>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应急预案</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根据响应供应商对经营期内有可能出现的突发状况进行预计分析且采取的应急措施、方案等</w:t>
            </w:r>
            <w:r>
              <w:rPr>
                <w:rFonts w:hint="eastAsia" w:ascii="Times New Roman" w:hAnsi="宋体" w:eastAsia="宋体"/>
                <w:bCs/>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特殊承诺及优惠</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对各响应供应商提供的针对本项目的特别优惠承诺</w:t>
            </w:r>
            <w:r>
              <w:rPr>
                <w:rFonts w:hint="eastAsia" w:ascii="Times New Roman" w:hAnsi="宋体" w:eastAsia="宋体"/>
                <w:bCs/>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售后服务技术力量</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4</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pStyle w:val="57"/>
              <w:spacing w:line="360" w:lineRule="auto"/>
              <w:jc w:val="left"/>
              <w:rPr>
                <w:color w:val="auto"/>
                <w:sz w:val="21"/>
                <w:szCs w:val="21"/>
                <w:highlight w:val="none"/>
              </w:rPr>
            </w:pPr>
            <w:r>
              <w:rPr>
                <w:rFonts w:ascii="Times New Roman" w:hAnsi="宋体" w:eastAsia="宋体"/>
                <w:color w:val="auto"/>
                <w:sz w:val="21"/>
                <w:szCs w:val="21"/>
                <w:highlight w:val="none"/>
              </w:rPr>
              <w:t>技术力量专业情况（人员须提供企业为其缴纳社保的证明记录，</w:t>
            </w:r>
            <w:r>
              <w:rPr>
                <w:rFonts w:hint="eastAsia" w:ascii="Times New Roman" w:hAnsi="宋体" w:eastAsia="宋体"/>
                <w:color w:val="auto"/>
                <w:sz w:val="21"/>
                <w:szCs w:val="21"/>
                <w:highlight w:val="none"/>
              </w:rPr>
              <w:t>设备厂家售后服务技术培训结业证书，</w:t>
            </w:r>
            <w:r>
              <w:rPr>
                <w:rFonts w:ascii="Times New Roman" w:hAnsi="宋体" w:eastAsia="宋体"/>
                <w:color w:val="auto"/>
                <w:sz w:val="21"/>
                <w:szCs w:val="21"/>
                <w:highlight w:val="none"/>
              </w:rPr>
              <w:t>并且具有电工证和健康证）</w:t>
            </w:r>
            <w:r>
              <w:rPr>
                <w:rFonts w:hint="eastAsia" w:ascii="Times New Roman" w:hAnsi="宋体" w:eastAsia="宋体"/>
                <w:color w:val="auto"/>
                <w:sz w:val="21"/>
                <w:szCs w:val="21"/>
                <w:highlight w:val="none"/>
              </w:rPr>
              <w:t>每提供一人得1分，最高4分</w:t>
            </w:r>
            <w:r>
              <w:rPr>
                <w:rFonts w:ascii="Times New Roman" w:hAnsi="宋体"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服务响应能力</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pStyle w:val="57"/>
              <w:spacing w:line="360" w:lineRule="auto"/>
              <w:jc w:val="left"/>
              <w:rPr>
                <w:rFonts w:ascii="Times New Roman" w:hAnsi="宋体" w:eastAsia="宋体"/>
                <w:color w:val="auto"/>
                <w:sz w:val="21"/>
                <w:szCs w:val="21"/>
                <w:highlight w:val="none"/>
              </w:rPr>
            </w:pPr>
            <w:r>
              <w:rPr>
                <w:rFonts w:hint="eastAsia" w:ascii="Times New Roman" w:hAnsi="宋体" w:eastAsia="宋体"/>
                <w:color w:val="auto"/>
                <w:sz w:val="21"/>
                <w:szCs w:val="21"/>
                <w:highlight w:val="none"/>
              </w:rPr>
              <w:t>【客观分】</w:t>
            </w:r>
          </w:p>
          <w:p>
            <w:pPr>
              <w:pStyle w:val="57"/>
              <w:spacing w:line="360" w:lineRule="auto"/>
              <w:jc w:val="left"/>
              <w:rPr>
                <w:rFonts w:eastAsia="宋体"/>
                <w:color w:val="auto"/>
                <w:sz w:val="21"/>
                <w:szCs w:val="21"/>
                <w:highlight w:val="none"/>
              </w:rPr>
            </w:pPr>
            <w:r>
              <w:rPr>
                <w:rFonts w:ascii="Times New Roman" w:hAnsi="宋体" w:eastAsia="宋体"/>
                <w:color w:val="auto"/>
                <w:sz w:val="21"/>
                <w:szCs w:val="21"/>
                <w:highlight w:val="none"/>
              </w:rPr>
              <w:t>提供7×24小时服务电话</w:t>
            </w:r>
            <w:r>
              <w:rPr>
                <w:rFonts w:hint="eastAsia" w:ascii="Times New Roman" w:hAnsi="宋体" w:eastAsia="宋体"/>
                <w:color w:val="auto"/>
                <w:sz w:val="21"/>
                <w:szCs w:val="21"/>
                <w:highlight w:val="none"/>
              </w:rPr>
              <w:t>。故障处理：2小时内响应，24小时内解决。提供承诺的得3分。</w:t>
            </w:r>
          </w:p>
        </w:tc>
      </w:tr>
    </w:tbl>
    <w:p>
      <w:pPr>
        <w:pStyle w:val="52"/>
        <w:ind w:firstLine="480"/>
        <w:rPr>
          <w:color w:val="auto"/>
          <w:highlight w:val="none"/>
        </w:rPr>
      </w:pPr>
    </w:p>
    <w:p>
      <w:pPr>
        <w:pStyle w:val="52"/>
        <w:ind w:firstLine="480"/>
        <w:rPr>
          <w:color w:val="auto"/>
          <w:highlight w:val="none"/>
        </w:rPr>
      </w:pPr>
    </w:p>
    <w:p>
      <w:pPr>
        <w:adjustRightInd w:val="0"/>
        <w:snapToGrid w:val="0"/>
        <w:spacing w:line="288" w:lineRule="auto"/>
        <w:rPr>
          <w:color w:val="auto"/>
          <w:sz w:val="21"/>
          <w:szCs w:val="21"/>
          <w:highlight w:val="none"/>
        </w:rPr>
      </w:pPr>
    </w:p>
    <w:p>
      <w:pPr>
        <w:adjustRightInd w:val="0"/>
        <w:snapToGrid w:val="0"/>
        <w:spacing w:line="288" w:lineRule="auto"/>
        <w:jc w:val="left"/>
        <w:rPr>
          <w:rFonts w:cs="Times New Roman"/>
          <w:b/>
          <w:bCs/>
          <w:color w:val="auto"/>
          <w:spacing w:val="-6"/>
          <w:sz w:val="21"/>
          <w:szCs w:val="21"/>
          <w:highlight w:val="none"/>
        </w:rPr>
      </w:pPr>
      <w:r>
        <w:rPr>
          <w:rFonts w:hint="eastAsia"/>
          <w:b/>
          <w:color w:val="auto"/>
          <w:sz w:val="21"/>
          <w:szCs w:val="21"/>
          <w:highlight w:val="none"/>
        </w:rPr>
        <w:t>说明</w:t>
      </w:r>
      <w:r>
        <w:rPr>
          <w:b/>
          <w:color w:val="auto"/>
          <w:sz w:val="21"/>
          <w:szCs w:val="21"/>
          <w:highlight w:val="none"/>
        </w:rPr>
        <w:t>：</w:t>
      </w:r>
      <w:bookmarkStart w:id="46" w:name="_Hlk81817387"/>
      <w:r>
        <w:rPr>
          <w:rFonts w:hint="eastAsia"/>
          <w:b/>
          <w:color w:val="auto"/>
          <w:sz w:val="21"/>
          <w:szCs w:val="21"/>
          <w:highlight w:val="none"/>
        </w:rPr>
        <w:t>本项目专门面向中小企业采购，不再执行价格优惠政策</w:t>
      </w:r>
      <w:r>
        <w:rPr>
          <w:rFonts w:cs="Times New Roman"/>
          <w:color w:val="auto"/>
          <w:spacing w:val="-6"/>
          <w:sz w:val="21"/>
          <w:szCs w:val="21"/>
          <w:highlight w:val="none"/>
        </w:rPr>
        <w:t>。</w:t>
      </w:r>
    </w:p>
    <w:bookmarkEnd w:id="46"/>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浙江交通职业技术学院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项目名称：长兴校区办公直饮水机租赁项目</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项目编号：QSZB-Z(F)-C24290(CS)</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浙江交通职业技术学院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长兴校区办公直饮水机租赁项目 </w:t>
      </w:r>
      <w:r>
        <w:rPr>
          <w:rFonts w:hint="eastAsia"/>
          <w:color w:val="auto"/>
          <w:spacing w:val="-6"/>
          <w:sz w:val="21"/>
          <w:szCs w:val="21"/>
          <w:highlight w:val="none"/>
        </w:rPr>
        <w:t>项目编号</w:t>
      </w:r>
      <w:r>
        <w:rPr>
          <w:rFonts w:hint="eastAsia"/>
          <w:color w:val="auto"/>
          <w:spacing w:val="-6"/>
          <w:sz w:val="21"/>
          <w:szCs w:val="21"/>
          <w:highlight w:val="none"/>
          <w:u w:val="single"/>
        </w:rPr>
        <w:t>（QSZB-Z(F)-C24290(CS)）</w:t>
      </w:r>
      <w:r>
        <w:rPr>
          <w:rFonts w:hint="eastAsia"/>
          <w:color w:val="auto"/>
          <w:spacing w:val="-6"/>
          <w:sz w:val="21"/>
          <w:szCs w:val="21"/>
          <w:highlight w:val="none"/>
        </w:rPr>
        <w:t>的成交供应商。根据《中华人民共和国民法典》规定，签署本合同。</w:t>
      </w:r>
    </w:p>
    <w:p>
      <w:pPr>
        <w:adjustRightInd w:val="0"/>
        <w:snapToGrid w:val="0"/>
        <w:spacing w:line="288" w:lineRule="auto"/>
        <w:rPr>
          <w:b/>
          <w:color w:val="auto"/>
          <w:spacing w:val="-6"/>
          <w:sz w:val="21"/>
          <w:szCs w:val="21"/>
          <w:highlight w:val="none"/>
        </w:rPr>
      </w:pPr>
    </w:p>
    <w:p>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第一条：</w:t>
      </w:r>
      <w:r>
        <w:rPr>
          <w:b/>
          <w:color w:val="auto"/>
          <w:sz w:val="21"/>
          <w:szCs w:val="21"/>
          <w:highlight w:val="none"/>
        </w:rPr>
        <w:t>服务内容和要求</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pPr>
        <w:snapToGrid w:val="0"/>
        <w:spacing w:line="288" w:lineRule="auto"/>
        <w:ind w:firstLine="420" w:firstLineChars="200"/>
        <w:rPr>
          <w:color w:val="auto"/>
          <w:spacing w:val="-6"/>
          <w:sz w:val="21"/>
          <w:szCs w:val="21"/>
          <w:highlight w:val="none"/>
        </w:rPr>
      </w:pPr>
      <w:r>
        <w:rPr>
          <w:rFonts w:hint="eastAsia"/>
          <w:color w:val="auto"/>
          <w:sz w:val="21"/>
          <w:szCs w:val="21"/>
          <w:highlight w:val="none"/>
        </w:rPr>
        <w:t>3.</w:t>
      </w:r>
      <w:r>
        <w:rPr>
          <w:color w:val="auto"/>
          <w:sz w:val="21"/>
          <w:szCs w:val="21"/>
          <w:highlight w:val="none"/>
        </w:rPr>
        <w:t>……</w:t>
      </w:r>
    </w:p>
    <w:p>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第二条：合同履行时间、履行地点和合同金额</w:t>
      </w:r>
    </w:p>
    <w:p>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pPr>
        <w:spacing w:line="288" w:lineRule="auto"/>
        <w:ind w:firstLine="398" w:firstLineChars="200"/>
        <w:rPr>
          <w:color w:val="auto"/>
          <w:spacing w:val="-6"/>
          <w:sz w:val="21"/>
          <w:szCs w:val="21"/>
          <w:highlight w:val="none"/>
        </w:rPr>
      </w:pPr>
      <w:r>
        <w:rPr>
          <w:rFonts w:hint="eastAsia"/>
          <w:b/>
          <w:color w:val="auto"/>
          <w:spacing w:val="-6"/>
          <w:sz w:val="21"/>
          <w:szCs w:val="21"/>
          <w:highlight w:val="none"/>
        </w:rPr>
        <w:t>第三条：</w:t>
      </w:r>
      <w:r>
        <w:rPr>
          <w:b/>
          <w:color w:val="auto"/>
          <w:sz w:val="21"/>
          <w:szCs w:val="21"/>
          <w:highlight w:val="none"/>
        </w:rPr>
        <w:t>技术资料</w:t>
      </w:r>
    </w:p>
    <w:p>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招标文件</w:t>
      </w:r>
      <w:r>
        <w:rPr>
          <w:color w:val="auto"/>
          <w:sz w:val="21"/>
          <w:szCs w:val="21"/>
          <w:highlight w:val="none"/>
        </w:rPr>
        <w:t>规定的时间向甲方提供有关技术资料。</w:t>
      </w:r>
    </w:p>
    <w:p>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.未经</w:t>
      </w:r>
      <w:r>
        <w:rPr>
          <w:color w:val="auto"/>
          <w:sz w:val="21"/>
          <w:szCs w:val="21"/>
          <w:highlight w:val="none"/>
        </w:rPr>
        <w:t>甲方事先书面同意，乙方不得将</w:t>
      </w:r>
      <w:r>
        <w:rPr>
          <w:rFonts w:hint="eastAsia"/>
          <w:color w:val="auto"/>
          <w:sz w:val="21"/>
          <w:szCs w:val="21"/>
          <w:highlight w:val="none"/>
        </w:rPr>
        <w:t>与本合同及有关的</w:t>
      </w:r>
      <w:r>
        <w:rPr>
          <w:color w:val="auto"/>
          <w:sz w:val="21"/>
          <w:szCs w:val="21"/>
          <w:highlight w:val="none"/>
        </w:rPr>
        <w:t>任何合同条文、规格、计划、图纸、样品或资料提供给</w:t>
      </w:r>
      <w:r>
        <w:rPr>
          <w:rFonts w:hint="eastAsia"/>
          <w:color w:val="auto"/>
          <w:sz w:val="21"/>
          <w:szCs w:val="21"/>
          <w:highlight w:val="none"/>
        </w:rPr>
        <w:t>任何第三方</w:t>
      </w:r>
      <w:r>
        <w:rPr>
          <w:color w:val="auto"/>
          <w:sz w:val="21"/>
          <w:szCs w:val="21"/>
          <w:highlight w:val="none"/>
        </w:rPr>
        <w:t>。即使向履行本合同有关的人员提供，也应注意保密并限于履行合同的必需范围。</w:t>
      </w:r>
    </w:p>
    <w:p>
      <w:pPr>
        <w:snapToGrid w:val="0"/>
        <w:spacing w:line="288" w:lineRule="auto"/>
        <w:ind w:firstLine="420" w:firstLineChars="200"/>
        <w:rPr>
          <w:bCs/>
          <w:color w:val="auto"/>
          <w:sz w:val="21"/>
          <w:szCs w:val="21"/>
          <w:highlight w:val="none"/>
        </w:rPr>
      </w:pPr>
      <w:r>
        <w:rPr>
          <w:rFonts w:hint="eastAsia"/>
          <w:color w:val="auto"/>
          <w:sz w:val="21"/>
          <w:szCs w:val="21"/>
          <w:highlight w:val="none"/>
        </w:rPr>
        <w:t>3.</w:t>
      </w:r>
      <w:r>
        <w:rPr>
          <w:color w:val="auto"/>
          <w:sz w:val="21"/>
          <w:szCs w:val="21"/>
          <w:highlight w:val="none"/>
        </w:rPr>
        <w:t>乙方应保证提供服务过程中不会侵犯任何第三方的知识产权</w:t>
      </w:r>
      <w:r>
        <w:rPr>
          <w:rFonts w:hint="eastAsia"/>
          <w:bCs/>
          <w:color w:val="auto"/>
          <w:sz w:val="21"/>
          <w:szCs w:val="21"/>
          <w:highlight w:val="none"/>
        </w:rPr>
        <w:t>，否则甲方有权解除本合同，拒绝支付合同价款，并要求乙方赔偿所有损失。</w:t>
      </w:r>
    </w:p>
    <w:p>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第四条：</w:t>
      </w:r>
      <w:r>
        <w:rPr>
          <w:rFonts w:hint="eastAsia"/>
          <w:b/>
          <w:color w:val="auto"/>
          <w:sz w:val="21"/>
          <w:szCs w:val="21"/>
          <w:highlight w:val="none"/>
        </w:rPr>
        <w:t>转包或分包</w:t>
      </w:r>
    </w:p>
    <w:p>
      <w:pPr>
        <w:snapToGrid w:val="0"/>
        <w:spacing w:line="288" w:lineRule="auto"/>
        <w:ind w:firstLine="420" w:firstLineChars="200"/>
        <w:rPr>
          <w:color w:val="auto"/>
          <w:sz w:val="21"/>
          <w:szCs w:val="21"/>
          <w:highlight w:val="none"/>
        </w:rPr>
      </w:pPr>
      <w:r>
        <w:rPr>
          <w:rFonts w:hint="eastAsia"/>
          <w:color w:val="auto"/>
          <w:sz w:val="21"/>
          <w:szCs w:val="21"/>
          <w:highlight w:val="none"/>
        </w:rPr>
        <w:t>1.本合同范围的服务，应由</w:t>
      </w:r>
      <w:r>
        <w:rPr>
          <w:color w:val="auto"/>
          <w:sz w:val="21"/>
          <w:szCs w:val="21"/>
          <w:highlight w:val="none"/>
        </w:rPr>
        <w:t>乙</w:t>
      </w:r>
      <w:r>
        <w:rPr>
          <w:rFonts w:hint="eastAsia"/>
          <w:color w:val="auto"/>
          <w:sz w:val="21"/>
          <w:szCs w:val="21"/>
          <w:highlight w:val="none"/>
        </w:rPr>
        <w:t>方直接完成，不得转让给任何第三方；</w:t>
      </w:r>
    </w:p>
    <w:p>
      <w:pPr>
        <w:snapToGrid w:val="0"/>
        <w:spacing w:line="288" w:lineRule="auto"/>
        <w:ind w:firstLine="420" w:firstLineChars="200"/>
        <w:rPr>
          <w:color w:val="auto"/>
          <w:sz w:val="21"/>
          <w:szCs w:val="21"/>
          <w:highlight w:val="none"/>
        </w:rPr>
      </w:pPr>
      <w:r>
        <w:rPr>
          <w:rFonts w:hint="eastAsia"/>
          <w:color w:val="auto"/>
          <w:sz w:val="21"/>
          <w:szCs w:val="21"/>
          <w:highlight w:val="none"/>
        </w:rPr>
        <w:t>2.除非得到甲方的书面同意，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napToGrid w:val="0"/>
        <w:spacing w:line="288"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第五条：付款支付及履约保证金</w:t>
      </w:r>
    </w:p>
    <w:p>
      <w:pPr>
        <w:spacing w:line="288" w:lineRule="auto"/>
        <w:ind w:firstLine="396" w:firstLineChars="200"/>
        <w:rPr>
          <w:color w:val="auto"/>
          <w:spacing w:val="-6"/>
          <w:sz w:val="21"/>
          <w:szCs w:val="21"/>
          <w:highlight w:val="none"/>
        </w:rPr>
      </w:pPr>
    </w:p>
    <w:p>
      <w:pPr>
        <w:spacing w:line="288" w:lineRule="auto"/>
        <w:ind w:firstLine="396" w:firstLineChars="200"/>
        <w:rPr>
          <w:color w:val="auto"/>
          <w:spacing w:val="-6"/>
          <w:sz w:val="21"/>
          <w:szCs w:val="21"/>
          <w:highlight w:val="none"/>
        </w:rPr>
      </w:pPr>
    </w:p>
    <w:p>
      <w:pPr>
        <w:spacing w:line="288" w:lineRule="auto"/>
        <w:ind w:firstLine="396" w:firstLineChars="200"/>
        <w:rPr>
          <w:color w:val="auto"/>
          <w:spacing w:val="-6"/>
          <w:sz w:val="21"/>
          <w:szCs w:val="21"/>
          <w:highlight w:val="none"/>
        </w:rPr>
      </w:pPr>
    </w:p>
    <w:p>
      <w:pPr>
        <w:spacing w:line="288" w:lineRule="auto"/>
        <w:ind w:firstLine="398" w:firstLineChars="200"/>
        <w:rPr>
          <w:b/>
          <w:color w:val="auto"/>
          <w:spacing w:val="-6"/>
          <w:sz w:val="21"/>
          <w:szCs w:val="21"/>
          <w:highlight w:val="none"/>
        </w:rPr>
      </w:pPr>
    </w:p>
    <w:p>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第六条：</w:t>
      </w:r>
      <w:r>
        <w:rPr>
          <w:b/>
          <w:color w:val="auto"/>
          <w:sz w:val="21"/>
          <w:szCs w:val="21"/>
          <w:highlight w:val="none"/>
        </w:rPr>
        <w:t>质量保证及后续服务</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乙方应按</w:t>
      </w:r>
      <w:r>
        <w:rPr>
          <w:rFonts w:hint="eastAsia"/>
          <w:color w:val="auto"/>
          <w:sz w:val="21"/>
          <w:szCs w:val="21"/>
          <w:highlight w:val="none"/>
        </w:rPr>
        <w:t>招标文件</w:t>
      </w:r>
      <w:r>
        <w:rPr>
          <w:color w:val="auto"/>
          <w:sz w:val="21"/>
          <w:szCs w:val="21"/>
          <w:highlight w:val="none"/>
        </w:rPr>
        <w:t>规定向甲方提供服务。</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乙方提供的服务成果</w:t>
      </w:r>
      <w:r>
        <w:rPr>
          <w:rFonts w:hint="eastAsia"/>
          <w:color w:val="auto"/>
          <w:sz w:val="21"/>
          <w:szCs w:val="21"/>
          <w:highlight w:val="none"/>
        </w:rPr>
        <w:t>验收不合格的，或在服务质量保证期内出现问题</w:t>
      </w:r>
      <w:r>
        <w:rPr>
          <w:color w:val="auto"/>
          <w:sz w:val="21"/>
          <w:szCs w:val="21"/>
          <w:highlight w:val="none"/>
        </w:rPr>
        <w:t>，乙方应负责免费提供后续服务。</w:t>
      </w:r>
      <w:r>
        <w:rPr>
          <w:rFonts w:hint="eastAsia"/>
          <w:color w:val="auto"/>
          <w:sz w:val="21"/>
          <w:szCs w:val="21"/>
          <w:highlight w:val="none"/>
        </w:rPr>
        <w:t>对达不到服务要求的，根据实际情况，甲方有权自行选择以下办法处理：</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重做：由乙方承担所发生的全部费用</w:t>
      </w:r>
      <w:r>
        <w:rPr>
          <w:rFonts w:hint="eastAsia"/>
          <w:color w:val="auto"/>
          <w:sz w:val="21"/>
          <w:szCs w:val="21"/>
          <w:highlight w:val="none"/>
        </w:rPr>
        <w:t>，并承担所有损失</w:t>
      </w:r>
      <w:r>
        <w:rPr>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解除合同</w:t>
      </w:r>
      <w:r>
        <w:rPr>
          <w:rFonts w:hint="eastAsia"/>
          <w:color w:val="auto"/>
          <w:sz w:val="21"/>
          <w:szCs w:val="21"/>
          <w:highlight w:val="none"/>
        </w:rPr>
        <w:t>：甲方拒付（或要求乙方退还）合同价款</w:t>
      </w:r>
      <w:r>
        <w:rPr>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3.合同履行期限内，</w:t>
      </w:r>
      <w:r>
        <w:rPr>
          <w:color w:val="auto"/>
          <w:sz w:val="21"/>
          <w:szCs w:val="21"/>
          <w:highlight w:val="none"/>
        </w:rPr>
        <w:t>乙方</w:t>
      </w:r>
      <w:r>
        <w:rPr>
          <w:rFonts w:hint="eastAsia"/>
          <w:color w:val="auto"/>
          <w:sz w:val="21"/>
          <w:szCs w:val="21"/>
          <w:highlight w:val="none"/>
        </w:rPr>
        <w:t>接到</w:t>
      </w:r>
      <w:r>
        <w:rPr>
          <w:color w:val="auto"/>
          <w:sz w:val="21"/>
          <w:szCs w:val="21"/>
          <w:highlight w:val="none"/>
        </w:rPr>
        <w:t>甲方通知后</w:t>
      </w:r>
      <w:r>
        <w:rPr>
          <w:rFonts w:hint="eastAsia"/>
          <w:color w:val="auto"/>
          <w:sz w:val="21"/>
          <w:szCs w:val="21"/>
          <w:highlight w:val="none"/>
          <w:u w:val="single"/>
        </w:rPr>
        <w:t xml:space="preserve">   </w:t>
      </w:r>
      <w:r>
        <w:rPr>
          <w:color w:val="auto"/>
          <w:sz w:val="21"/>
          <w:szCs w:val="21"/>
          <w:highlight w:val="none"/>
        </w:rPr>
        <w:t>小时内到达甲方现场</w:t>
      </w:r>
      <w:r>
        <w:rPr>
          <w:rFonts w:hint="eastAsia"/>
          <w:color w:val="auto"/>
          <w:sz w:val="21"/>
          <w:szCs w:val="21"/>
          <w:highlight w:val="none"/>
        </w:rPr>
        <w:t>，并在</w:t>
      </w:r>
      <w:r>
        <w:rPr>
          <w:rFonts w:hint="eastAsia"/>
          <w:color w:val="auto"/>
          <w:sz w:val="21"/>
          <w:szCs w:val="21"/>
          <w:highlight w:val="none"/>
          <w:u w:val="single"/>
        </w:rPr>
        <w:t xml:space="preserve">   </w:t>
      </w:r>
      <w:r>
        <w:rPr>
          <w:color w:val="auto"/>
          <w:sz w:val="21"/>
          <w:szCs w:val="21"/>
          <w:highlight w:val="none"/>
        </w:rPr>
        <w:t>小时内</w:t>
      </w:r>
      <w:r>
        <w:rPr>
          <w:rFonts w:hint="eastAsia"/>
          <w:color w:val="auto"/>
          <w:sz w:val="21"/>
          <w:szCs w:val="21"/>
          <w:highlight w:val="none"/>
        </w:rPr>
        <w:t>排除故障。</w:t>
      </w:r>
    </w:p>
    <w:p>
      <w:pPr>
        <w:spacing w:line="288" w:lineRule="auto"/>
        <w:ind w:firstLine="420" w:firstLineChars="200"/>
        <w:rPr>
          <w:b/>
          <w:color w:val="auto"/>
          <w:spacing w:val="-6"/>
          <w:sz w:val="21"/>
          <w:szCs w:val="21"/>
          <w:highlight w:val="none"/>
        </w:rPr>
      </w:pPr>
      <w:r>
        <w:rPr>
          <w:rFonts w:hint="eastAsia"/>
          <w:color w:val="auto"/>
          <w:sz w:val="21"/>
          <w:szCs w:val="21"/>
          <w:highlight w:val="none"/>
        </w:rPr>
        <w:t>4.在服务质量保证期内，乙方应对出现的质量及安全问题负责处理解决并承担一切费用。</w:t>
      </w:r>
    </w:p>
    <w:p>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第七条：验收标准</w:t>
      </w:r>
    </w:p>
    <w:p>
      <w:pPr>
        <w:spacing w:line="288" w:lineRule="auto"/>
        <w:ind w:firstLine="396" w:firstLineChars="200"/>
        <w:rPr>
          <w:color w:val="auto"/>
          <w:spacing w:val="-6"/>
          <w:sz w:val="21"/>
          <w:szCs w:val="21"/>
          <w:highlight w:val="none"/>
        </w:rPr>
      </w:pPr>
    </w:p>
    <w:p>
      <w:pPr>
        <w:spacing w:line="288" w:lineRule="auto"/>
        <w:rPr>
          <w:color w:val="auto"/>
          <w:spacing w:val="-6"/>
          <w:sz w:val="21"/>
          <w:szCs w:val="21"/>
          <w:highlight w:val="none"/>
        </w:rPr>
      </w:pPr>
    </w:p>
    <w:p>
      <w:pPr>
        <w:spacing w:line="288" w:lineRule="auto"/>
        <w:rPr>
          <w:color w:val="auto"/>
          <w:spacing w:val="-6"/>
          <w:sz w:val="21"/>
          <w:szCs w:val="21"/>
          <w:highlight w:val="none"/>
        </w:rPr>
      </w:pPr>
    </w:p>
    <w:p>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第八条：违约责任</w:t>
      </w:r>
    </w:p>
    <w:p>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乙方未能在本合同第二条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2.甲方逾期支付合同价款的，应向乙方每日偿付合同总价千分之一的违约金。由于假期等客观原因导致逾期支付合同价款的，双方友好协商解决。</w:t>
      </w:r>
    </w:p>
    <w:p>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3.乙方在合同成果交付验收合格之日起一年内违反本合同有关质量保证及售后服务约定的，乙方已经交付的履约保证金作为违约金支付给甲方。该违约金不足赔偿的损失部分，甲方仍有权要求赔偿该损失。</w:t>
      </w:r>
    </w:p>
    <w:p>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第九条：争议的解决</w:t>
      </w:r>
    </w:p>
    <w:p>
      <w:pPr>
        <w:spacing w:line="288" w:lineRule="auto"/>
        <w:ind w:firstLine="388" w:firstLineChars="196"/>
        <w:rPr>
          <w:color w:val="auto"/>
          <w:spacing w:val="-6"/>
          <w:sz w:val="21"/>
          <w:szCs w:val="21"/>
          <w:highlight w:val="none"/>
        </w:rPr>
      </w:pPr>
      <w:r>
        <w:rPr>
          <w:rFonts w:hint="eastAsia"/>
          <w:color w:val="auto"/>
          <w:spacing w:val="-6"/>
          <w:sz w:val="21"/>
          <w:szCs w:val="21"/>
          <w:highlight w:val="none"/>
        </w:rPr>
        <w:t>本合同履行过程中若发生质量、售后服务等问题时，甲方有权直接向乙方索赔。如双方不能就争议解决协商一致的，任何一方有权向杭州市仲裁委员会申请仲裁解决。</w:t>
      </w:r>
    </w:p>
    <w:p>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第十条：合同的生效</w:t>
      </w:r>
    </w:p>
    <w:p>
      <w:pPr>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1.本合同经甲、乙双方单位的法定代表人或者经单位法定代表人授权的委托代理人签字并加盖公章后生效。</w:t>
      </w:r>
    </w:p>
    <w:p>
      <w:pPr>
        <w:spacing w:line="288" w:lineRule="auto"/>
        <w:ind w:firstLine="396" w:firstLineChars="200"/>
        <w:rPr>
          <w:color w:val="auto"/>
          <w:spacing w:val="-6"/>
          <w:sz w:val="21"/>
          <w:szCs w:val="21"/>
          <w:highlight w:val="none"/>
        </w:rPr>
      </w:pPr>
      <w:r>
        <w:rPr>
          <w:rFonts w:hint="eastAsia"/>
          <w:color w:val="auto"/>
          <w:spacing w:val="-6"/>
          <w:sz w:val="21"/>
          <w:szCs w:val="21"/>
          <w:highlight w:val="none"/>
        </w:rPr>
        <w:t>2.本合同一式五份，甲方执三份，乙方、鉴证方各执一份。</w:t>
      </w:r>
    </w:p>
    <w:p>
      <w:pPr>
        <w:spacing w:line="288" w:lineRule="auto"/>
        <w:ind w:firstLine="396" w:firstLineChars="200"/>
        <w:rPr>
          <w:color w:val="auto"/>
          <w:spacing w:val="-6"/>
          <w:sz w:val="21"/>
          <w:szCs w:val="21"/>
          <w:highlight w:val="none"/>
        </w:rPr>
      </w:pPr>
      <w:r>
        <w:rPr>
          <w:rFonts w:hint="eastAsia"/>
          <w:color w:val="auto"/>
          <w:spacing w:val="-6"/>
          <w:sz w:val="21"/>
          <w:szCs w:val="21"/>
          <w:highlight w:val="none"/>
        </w:rPr>
        <w:t>3.相关招标文件</w:t>
      </w:r>
      <w:r>
        <w:rPr>
          <w:color w:val="auto"/>
          <w:spacing w:val="-6"/>
          <w:sz w:val="21"/>
          <w:szCs w:val="21"/>
          <w:highlight w:val="none"/>
        </w:rPr>
        <w:t>、</w:t>
      </w:r>
      <w:r>
        <w:rPr>
          <w:rFonts w:hint="eastAsia"/>
          <w:color w:val="auto"/>
          <w:spacing w:val="-6"/>
          <w:sz w:val="21"/>
          <w:szCs w:val="21"/>
          <w:highlight w:val="none"/>
        </w:rPr>
        <w:t>投标文件、澄清承诺（如有）等与本合同具有同等法律效力。</w:t>
      </w:r>
    </w:p>
    <w:p>
      <w:pPr>
        <w:adjustRightInd w:val="0"/>
        <w:snapToGrid w:val="0"/>
        <w:spacing w:line="288" w:lineRule="auto"/>
        <w:ind w:firstLine="396" w:firstLineChars="200"/>
        <w:rPr>
          <w:rFonts w:cs="Times New Roman"/>
          <w:color w:val="auto"/>
          <w:spacing w:val="-6"/>
          <w:sz w:val="21"/>
          <w:szCs w:val="21"/>
          <w:highlight w:val="none"/>
        </w:rPr>
      </w:pP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47" w:name="_Hlk71884160"/>
      <w:r>
        <w:rPr>
          <w:rFonts w:hint="eastAsia"/>
          <w:b/>
          <w:bCs/>
          <w:color w:val="auto"/>
          <w:sz w:val="21"/>
          <w:szCs w:val="21"/>
          <w:highlight w:val="none"/>
        </w:rPr>
        <w:t>▲1.资格文件（单独上传）。资格审查要求的资格证明材料（均需加盖公章）</w:t>
      </w:r>
    </w:p>
    <w:bookmarkEnd w:id="47"/>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ind w:firstLine="420" w:firstLineChars="200"/>
        <w:rPr>
          <w:color w:val="auto"/>
          <w:sz w:val="21"/>
          <w:szCs w:val="21"/>
          <w:highlight w:val="none"/>
        </w:rPr>
      </w:pPr>
      <w:bookmarkStart w:id="48"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（3）落实政府采购政策需满足的资格要求：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属于监狱企业的证明文件（若属于监狱企业）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残疾人福利性单位声明函（若属于残疾人福利性单位）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w:t>
      </w:r>
      <w:r>
        <w:rPr>
          <w:rFonts w:hint="eastAsia" w:cs="Times New Roman"/>
          <w:color w:val="auto"/>
          <w:sz w:val="21"/>
          <w:szCs w:val="21"/>
          <w:highlight w:val="none"/>
        </w:rPr>
        <w:t>无</w:t>
      </w:r>
    </w:p>
    <w:p>
      <w:pPr>
        <w:adjustRightInd w:val="0"/>
        <w:snapToGrid w:val="0"/>
        <w:spacing w:line="288" w:lineRule="auto"/>
        <w:ind w:firstLine="398" w:firstLineChars="200"/>
        <w:rPr>
          <w:b/>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、（3）材料</w:t>
      </w:r>
      <w:r>
        <w:rPr>
          <w:b/>
          <w:color w:val="auto"/>
          <w:spacing w:val="-6"/>
          <w:sz w:val="21"/>
          <w:szCs w:val="21"/>
          <w:highlight w:val="none"/>
        </w:rPr>
        <w:t>。</w:t>
      </w:r>
    </w:p>
    <w:p>
      <w:pPr>
        <w:adjustRightInd w:val="0"/>
        <w:snapToGrid w:val="0"/>
        <w:spacing w:line="288" w:lineRule="auto"/>
        <w:ind w:firstLine="422" w:firstLineChars="200"/>
        <w:rPr>
          <w:b/>
          <w:bCs/>
          <w:color w:val="auto"/>
          <w:sz w:val="21"/>
          <w:szCs w:val="21"/>
          <w:highlight w:val="none"/>
        </w:rPr>
      </w:pPr>
    </w:p>
    <w:bookmarkEnd w:id="48"/>
    <w:p>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r>
        <w:rPr>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）项目实施方案等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（6）供应商需要说明的其他文件和材料</w:t>
      </w:r>
    </w:p>
    <w:p>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widowControl/>
        <w:jc w:val="left"/>
        <w:rPr>
          <w:color w:val="auto"/>
          <w:sz w:val="21"/>
          <w:szCs w:val="21"/>
          <w:highlight w:val="none"/>
        </w:rPr>
      </w:pPr>
      <w:r>
        <w:rPr>
          <w:color w:val="auto"/>
          <w:sz w:val="21"/>
          <w:szCs w:val="21"/>
          <w:highlight w:val="none"/>
        </w:rPr>
        <w:br w:type="page"/>
      </w:r>
    </w:p>
    <w:p>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49" w:name="_Hlk140130228"/>
      <w:r>
        <w:rPr>
          <w:rFonts w:hint="eastAsia" w:cs="Times New Roman"/>
          <w:b/>
          <w:color w:val="auto"/>
          <w:spacing w:val="-6"/>
          <w:sz w:val="21"/>
          <w:szCs w:val="21"/>
          <w:highlight w:val="none"/>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kern w:val="0"/>
                <w:sz w:val="21"/>
                <w:szCs w:val="21"/>
                <w:highlight w:val="none"/>
              </w:rPr>
            </w:pPr>
          </w:p>
        </w:tc>
        <w:tc>
          <w:tcPr>
            <w:tcW w:w="2091" w:type="dxa"/>
            <w:vAlign w:val="center"/>
          </w:tcPr>
          <w:p>
            <w:pPr>
              <w:adjustRightInd w:val="0"/>
              <w:snapToGrid w:val="0"/>
              <w:spacing w:line="288" w:lineRule="auto"/>
              <w:jc w:val="center"/>
              <w:rPr>
                <w:rFonts w:cs="Times New Roman"/>
                <w:color w:val="auto"/>
                <w:kern w:val="0"/>
                <w:sz w:val="21"/>
                <w:szCs w:val="21"/>
                <w:highlight w:val="none"/>
              </w:rPr>
            </w:pPr>
          </w:p>
        </w:tc>
        <w:tc>
          <w:tcPr>
            <w:tcW w:w="709" w:type="dxa"/>
            <w:vAlign w:val="center"/>
          </w:tcPr>
          <w:p>
            <w:pPr>
              <w:adjustRightInd w:val="0"/>
              <w:snapToGrid w:val="0"/>
              <w:spacing w:line="288" w:lineRule="auto"/>
              <w:jc w:val="center"/>
              <w:rPr>
                <w:rFonts w:cs="Times New Roman"/>
                <w:color w:val="auto"/>
                <w:kern w:val="0"/>
                <w:sz w:val="21"/>
                <w:szCs w:val="21"/>
                <w:highlight w:val="none"/>
              </w:rPr>
            </w:pPr>
          </w:p>
        </w:tc>
        <w:tc>
          <w:tcPr>
            <w:tcW w:w="3040" w:type="dxa"/>
            <w:vAlign w:val="center"/>
          </w:tcPr>
          <w:p>
            <w:pPr>
              <w:adjustRightInd w:val="0"/>
              <w:snapToGrid w:val="0"/>
              <w:spacing w:line="288" w:lineRule="auto"/>
              <w:rPr>
                <w:rFonts w:cs="Times New Roman"/>
                <w:color w:val="auto"/>
                <w:kern w:val="0"/>
                <w:sz w:val="21"/>
                <w:szCs w:val="21"/>
                <w:highlight w:val="none"/>
              </w:rPr>
            </w:pPr>
          </w:p>
        </w:tc>
        <w:tc>
          <w:tcPr>
            <w:tcW w:w="967" w:type="dxa"/>
            <w:vAlign w:val="center"/>
          </w:tcPr>
          <w:p>
            <w:pPr>
              <w:adjustRightInd w:val="0"/>
              <w:snapToGrid w:val="0"/>
              <w:spacing w:line="288" w:lineRule="auto"/>
              <w:jc w:val="center"/>
              <w:rPr>
                <w:rFonts w:cs="Times New Roman"/>
                <w:color w:val="auto"/>
                <w:sz w:val="21"/>
                <w:szCs w:val="21"/>
                <w:highlight w:val="none"/>
              </w:rPr>
            </w:pPr>
          </w:p>
        </w:tc>
        <w:tc>
          <w:tcPr>
            <w:tcW w:w="1053" w:type="dxa"/>
            <w:vAlign w:val="center"/>
          </w:tcPr>
          <w:p>
            <w:pPr>
              <w:adjustRightInd w:val="0"/>
              <w:snapToGrid w:val="0"/>
              <w:spacing w:line="288" w:lineRule="auto"/>
              <w:jc w:val="center"/>
              <w:rPr>
                <w:rFonts w:cs="Times New Roman"/>
                <w:color w:val="auto"/>
                <w:sz w:val="21"/>
                <w:szCs w:val="21"/>
                <w:highlight w:val="none"/>
              </w:rPr>
            </w:pPr>
          </w:p>
        </w:tc>
        <w:tc>
          <w:tcPr>
            <w:tcW w:w="881" w:type="dxa"/>
          </w:tcPr>
          <w:p>
            <w:pPr>
              <w:adjustRightInd w:val="0"/>
              <w:snapToGrid w:val="0"/>
              <w:spacing w:line="288" w:lineRule="auto"/>
              <w:jc w:val="center"/>
              <w:rPr>
                <w:rFont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color w:val="auto"/>
                <w:spacing w:val="-6"/>
                <w:sz w:val="21"/>
                <w:szCs w:val="21"/>
                <w:highlight w:val="none"/>
              </w:rPr>
            </w:pPr>
          </w:p>
        </w:tc>
        <w:tc>
          <w:tcPr>
            <w:tcW w:w="2091" w:type="dxa"/>
            <w:vAlign w:val="center"/>
          </w:tcPr>
          <w:p>
            <w:pPr>
              <w:adjustRightInd w:val="0"/>
              <w:snapToGrid w:val="0"/>
              <w:spacing w:line="288" w:lineRule="auto"/>
              <w:jc w:val="center"/>
              <w:rPr>
                <w:rFonts w:cs="Times New Roman"/>
                <w:color w:val="auto"/>
                <w:spacing w:val="-6"/>
                <w:sz w:val="21"/>
                <w:szCs w:val="21"/>
                <w:highlight w:val="none"/>
              </w:rPr>
            </w:pPr>
          </w:p>
        </w:tc>
        <w:tc>
          <w:tcPr>
            <w:tcW w:w="709" w:type="dxa"/>
            <w:vAlign w:val="center"/>
          </w:tcPr>
          <w:p>
            <w:pPr>
              <w:adjustRightInd w:val="0"/>
              <w:snapToGrid w:val="0"/>
              <w:spacing w:line="288" w:lineRule="auto"/>
              <w:jc w:val="center"/>
              <w:rPr>
                <w:rFonts w:cs="Times New Roman"/>
                <w:color w:val="auto"/>
                <w:spacing w:val="-6"/>
                <w:sz w:val="21"/>
                <w:szCs w:val="21"/>
                <w:highlight w:val="none"/>
              </w:rPr>
            </w:pPr>
          </w:p>
        </w:tc>
        <w:tc>
          <w:tcPr>
            <w:tcW w:w="3040" w:type="dxa"/>
            <w:vAlign w:val="center"/>
          </w:tcPr>
          <w:p>
            <w:pPr>
              <w:adjustRightInd w:val="0"/>
              <w:snapToGrid w:val="0"/>
              <w:spacing w:line="288" w:lineRule="auto"/>
              <w:rPr>
                <w:rFonts w:cs="Times New Roman"/>
                <w:color w:val="auto"/>
                <w:spacing w:val="-6"/>
                <w:sz w:val="21"/>
                <w:szCs w:val="21"/>
                <w:highlight w:val="none"/>
              </w:rPr>
            </w:pPr>
          </w:p>
        </w:tc>
        <w:tc>
          <w:tcPr>
            <w:tcW w:w="967" w:type="dxa"/>
            <w:vAlign w:val="center"/>
          </w:tcPr>
          <w:p>
            <w:pPr>
              <w:adjustRightInd w:val="0"/>
              <w:snapToGrid w:val="0"/>
              <w:spacing w:line="288" w:lineRule="auto"/>
              <w:jc w:val="center"/>
              <w:rPr>
                <w:rFonts w:cs="Times New Roman"/>
                <w:color w:val="auto"/>
                <w:spacing w:val="-6"/>
                <w:sz w:val="21"/>
                <w:szCs w:val="21"/>
                <w:highlight w:val="none"/>
              </w:rPr>
            </w:pPr>
          </w:p>
        </w:tc>
        <w:tc>
          <w:tcPr>
            <w:tcW w:w="1053" w:type="dxa"/>
            <w:vAlign w:val="center"/>
          </w:tcPr>
          <w:p>
            <w:pPr>
              <w:adjustRightInd w:val="0"/>
              <w:snapToGrid w:val="0"/>
              <w:spacing w:line="288" w:lineRule="auto"/>
              <w:jc w:val="center"/>
              <w:rPr>
                <w:rFonts w:cs="Times New Roman"/>
                <w:color w:val="auto"/>
                <w:spacing w:val="-6"/>
                <w:sz w:val="21"/>
                <w:szCs w:val="21"/>
                <w:highlight w:val="none"/>
              </w:rPr>
            </w:pPr>
          </w:p>
        </w:tc>
        <w:tc>
          <w:tcPr>
            <w:tcW w:w="881" w:type="dxa"/>
          </w:tcPr>
          <w:p>
            <w:pPr>
              <w:adjustRightInd w:val="0"/>
              <w:snapToGrid w:val="0"/>
              <w:spacing w:line="288" w:lineRule="auto"/>
              <w:jc w:val="center"/>
              <w:rPr>
                <w:rFonts w:cs="Times New Roman"/>
                <w:color w:val="auto"/>
                <w:spacing w:val="-6"/>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49"/>
    <w:p>
      <w:pPr>
        <w:widowControl/>
        <w:jc w:val="left"/>
        <w:rPr>
          <w:b/>
          <w:bCs/>
          <w:color w:val="auto"/>
          <w:sz w:val="21"/>
          <w:szCs w:val="21"/>
          <w:highlight w:val="none"/>
        </w:rPr>
      </w:pPr>
      <w:r>
        <w:rPr>
          <w:b/>
          <w:bCs/>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50" w:name="_Hlk94097338"/>
      <w:r>
        <w:rPr>
          <w:rFonts w:hint="eastAsia"/>
          <w:b/>
          <w:bCs/>
          <w:color w:val="auto"/>
          <w:sz w:val="21"/>
          <w:szCs w:val="21"/>
          <w:highlight w:val="none"/>
        </w:rPr>
        <w:t>资格审查要求的资格证明材料（均需加盖公章）</w:t>
      </w:r>
    </w:p>
    <w:bookmarkEnd w:id="50"/>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t>说明：</w:t>
      </w:r>
    </w:p>
    <w:p>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bookmarkStart w:id="51"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1"/>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本公司（联合体）郑重声明，根据《政府采购促进中小企业发展管理办法》（财库</w:t>
      </w:r>
      <w:r>
        <w:rPr>
          <w:rFonts w:hint="eastAsia" w:cs="Times New Roman"/>
          <w:color w:val="auto"/>
          <w:sz w:val="21"/>
          <w:szCs w:val="21"/>
          <w:highlight w:val="none"/>
        </w:rPr>
        <w:t>﹝</w:t>
      </w:r>
      <w:r>
        <w:rPr>
          <w:rFonts w:cs="Times New Roman"/>
          <w:color w:val="auto"/>
          <w:sz w:val="21"/>
          <w:szCs w:val="21"/>
          <w:highlight w:val="none"/>
        </w:rPr>
        <w:t>2020</w:t>
      </w:r>
      <w:r>
        <w:rPr>
          <w:rFonts w:hint="eastAsia" w:cs="Times New Roman"/>
          <w:color w:val="auto"/>
          <w:sz w:val="21"/>
          <w:szCs w:val="21"/>
          <w:highlight w:val="none"/>
        </w:rPr>
        <w:t>﹞</w:t>
      </w:r>
      <w:r>
        <w:rPr>
          <w:rFonts w:cs="Times New Roman"/>
          <w:color w:val="auto"/>
          <w:sz w:val="21"/>
          <w:szCs w:val="21"/>
          <w:highlight w:val="none"/>
        </w:rPr>
        <w:t>46 号）的规定，本公司（联合体）参加</w:t>
      </w:r>
      <w:r>
        <w:rPr>
          <w:rFonts w:cs="Times New Roman"/>
          <w:i/>
          <w:color w:val="auto"/>
          <w:sz w:val="21"/>
          <w:szCs w:val="21"/>
          <w:highlight w:val="none"/>
          <w:u w:val="single"/>
        </w:rPr>
        <w:t>（单位名称）</w:t>
      </w:r>
      <w:r>
        <w:rPr>
          <w:rFonts w:cs="Times New Roman"/>
          <w:color w:val="auto"/>
          <w:sz w:val="21"/>
          <w:szCs w:val="21"/>
          <w:highlight w:val="none"/>
        </w:rPr>
        <w:t>的</w:t>
      </w:r>
      <w:r>
        <w:rPr>
          <w:rFonts w:cs="Times New Roman"/>
          <w:i/>
          <w:color w:val="auto"/>
          <w:sz w:val="21"/>
          <w:szCs w:val="21"/>
          <w:highlight w:val="none"/>
          <w:u w:val="single"/>
        </w:rPr>
        <w:t>（项目名称）</w:t>
      </w:r>
      <w:r>
        <w:rPr>
          <w:rFonts w:cs="Times New Roman"/>
          <w:color w:val="auto"/>
          <w:sz w:val="21"/>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.（标的名称），属于（采购文件中明确的所属行业）；</w:t>
      </w:r>
      <w:r>
        <w:rPr>
          <w:rFonts w:cs="Times New Roman"/>
          <w:color w:val="auto"/>
          <w:sz w:val="21"/>
          <w:szCs w:val="21"/>
          <w:highlight w:val="none"/>
        </w:rPr>
        <w:t>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color w:val="auto"/>
          <w:sz w:val="21"/>
          <w:szCs w:val="21"/>
          <w:highlight w:val="none"/>
        </w:rPr>
        <w:t>；承接企业为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pPr>
        <w:adjustRightInd w:val="0"/>
        <w:snapToGrid w:val="0"/>
        <w:spacing w:line="288" w:lineRule="auto"/>
        <w:ind w:firstLine="495" w:firstLineChars="236"/>
        <w:rPr>
          <w:rFonts w:cs="Times New Roman"/>
          <w:color w:val="auto"/>
          <w:sz w:val="21"/>
          <w:szCs w:val="21"/>
          <w:highlight w:val="none"/>
        </w:rPr>
      </w:pP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注：</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color w:val="auto"/>
          <w:sz w:val="21"/>
          <w:szCs w:val="21"/>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olor w:val="auto"/>
          <w:sz w:val="21"/>
          <w:szCs w:val="21"/>
          <w:highlight w:val="none"/>
          <w:u w:val="single"/>
        </w:rPr>
        <w:t>不享受中小企业扶持政策。</w:t>
      </w:r>
    </w:p>
    <w:p>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pPr>
        <w:widowControl/>
        <w:adjustRightInd w:val="0"/>
        <w:snapToGrid w:val="0"/>
        <w:spacing w:line="288" w:lineRule="auto"/>
        <w:jc w:val="left"/>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pPr>
        <w:adjustRightInd w:val="0"/>
        <w:snapToGrid w:val="0"/>
        <w:spacing w:line="288" w:lineRule="auto"/>
        <w:jc w:val="left"/>
        <w:outlineLvl w:val="2"/>
        <w:rPr>
          <w:b/>
          <w:color w:val="auto"/>
          <w:spacing w:val="-6"/>
          <w:sz w:val="21"/>
          <w:szCs w:val="21"/>
          <w:highlight w:val="none"/>
        </w:rPr>
      </w:pPr>
      <w:r>
        <w:rPr>
          <w:rFonts w:hint="eastAsia"/>
          <w:color w:val="auto"/>
          <w:kern w:val="0"/>
          <w:sz w:val="21"/>
          <w:szCs w:val="21"/>
          <w:highlight w:val="none"/>
        </w:rPr>
        <w:t>残疾人福利性单位属于小型、微型企业的，不重复享受政策。</w:t>
      </w:r>
    </w:p>
    <w:p>
      <w:pPr>
        <w:rPr>
          <w:b/>
          <w:color w:val="auto"/>
          <w:spacing w:val="-6"/>
          <w:sz w:val="21"/>
          <w:szCs w:val="21"/>
          <w:highlight w:val="none"/>
        </w:rPr>
      </w:pPr>
      <w:r>
        <w:rPr>
          <w:rFonts w:hint="eastAsia"/>
          <w:b/>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r>
        <w:rPr>
          <w:rFonts w:hint="eastAsia" w:cs="Times New Roman"/>
          <w:color w:val="auto"/>
          <w:sz w:val="21"/>
          <w:szCs w:val="21"/>
          <w:highlight w:val="none"/>
        </w:rPr>
        <w:t>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bookmarkStart w:id="5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浙江交通职业技术学院长兴校区办公直饮水机租赁项目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：QSZB-Z(F)-C24290(CS)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2"/>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bookmarkStart w:id="53" w:name="_Hlk97040154"/>
            <w:r>
              <w:rPr>
                <w:rFonts w:hint="eastAsia" w:cs="Times New Roman"/>
                <w:color w:val="auto"/>
                <w:spacing w:val="-6"/>
                <w:kern w:val="0"/>
                <w:sz w:val="21"/>
                <w:szCs w:val="21"/>
                <w:highlight w:val="none"/>
              </w:rPr>
              <w:t>联系人：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pPr>
              <w:adjustRightInd w:val="0"/>
              <w:snapToGrid w:val="0"/>
              <w:spacing w:line="288" w:lineRule="auto"/>
              <w:rPr>
                <w:rFonts w:cs="Times New Roman"/>
                <w:color w:val="auto"/>
                <w:spacing w:val="-6"/>
                <w:kern w:val="0"/>
                <w:sz w:val="21"/>
                <w:szCs w:val="21"/>
                <w:highlight w:val="none"/>
              </w:rPr>
            </w:pPr>
          </w:p>
        </w:tc>
      </w:tr>
      <w:bookmarkEnd w:id="53"/>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5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4"/>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pPr>
        <w:adjustRightInd w:val="0"/>
        <w:snapToGrid w:val="0"/>
        <w:spacing w:line="288" w:lineRule="auto"/>
        <w:rPr>
          <w:rFonts w:cs="Times New Roman"/>
          <w:b/>
          <w:bCs/>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浙江交通职业技术学院长兴校区办公直饮水机租赁项目项目（项目编号：QSZB-Z(F)-C24290(CS)）</w:t>
      </w:r>
      <w:r>
        <w:rPr>
          <w:rFonts w:hint="eastAsia" w:cs="Times New Roman"/>
          <w:color w:val="auto"/>
          <w:spacing w:val="-6"/>
          <w:sz w:val="21"/>
          <w:szCs w:val="21"/>
          <w:highlight w:val="none"/>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pPr>
        <w:adjustRightInd w:val="0"/>
        <w:snapToGrid w:val="0"/>
        <w:spacing w:line="288" w:lineRule="auto"/>
        <w:rPr>
          <w:rFonts w:cs="Times New Roman"/>
          <w:color w:val="auto"/>
          <w:sz w:val="21"/>
          <w:szCs w:val="21"/>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项目名称：长兴校区办公直饮水机租赁项目</w:t>
      </w:r>
    </w:p>
    <w:p>
      <w:pPr>
        <w:adjustRightInd w:val="0"/>
        <w:snapToGrid w:val="0"/>
        <w:spacing w:line="288" w:lineRule="auto"/>
        <w:rPr>
          <w:color w:val="auto"/>
          <w:sz w:val="21"/>
          <w:szCs w:val="21"/>
          <w:highlight w:val="none"/>
        </w:rPr>
      </w:pPr>
      <w:r>
        <w:rPr>
          <w:rFonts w:hint="eastAsia"/>
          <w:color w:val="auto"/>
          <w:sz w:val="21"/>
          <w:szCs w:val="21"/>
          <w:highlight w:val="none"/>
        </w:rPr>
        <w:t>项目编号：QSZB-Z(F)-C24290(CS)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kern w:val="0"/>
                <w:sz w:val="21"/>
                <w:szCs w:val="21"/>
                <w:highlight w:val="none"/>
              </w:rPr>
            </w:pPr>
            <w:bookmarkStart w:id="55" w:name="_Hlk97040421"/>
            <w:r>
              <w:rPr>
                <w:rFonts w:hint="eastAsia"/>
                <w:b/>
                <w:bCs/>
                <w:color w:val="auto"/>
                <w:kern w:val="0"/>
                <w:sz w:val="21"/>
                <w:szCs w:val="21"/>
                <w:highlight w:val="none"/>
              </w:rPr>
              <w:t>序号</w:t>
            </w:r>
          </w:p>
        </w:tc>
        <w:tc>
          <w:tcPr>
            <w:tcW w:w="328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bookmarkEnd w:id="55"/>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widowControl/>
        <w:spacing w:line="288" w:lineRule="auto"/>
        <w:ind w:firstLine="422" w:firstLineChars="200"/>
        <w:jc w:val="left"/>
        <w:rPr>
          <w:b/>
          <w:color w:val="auto"/>
          <w:spacing w:val="-6"/>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color w:val="auto"/>
          <w:spacing w:val="-6"/>
          <w:sz w:val="21"/>
          <w:szCs w:val="21"/>
          <w:highlight w:val="none"/>
        </w:rPr>
        <w:t>项目实施方案等</w:t>
      </w:r>
    </w:p>
    <w:p>
      <w:pPr>
        <w:widowControl/>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（6）供应商需要说明的其他文件和材料</w:t>
      </w:r>
      <w:r>
        <w:rPr>
          <w:b/>
          <w:color w:val="auto"/>
          <w:spacing w:val="-6"/>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项目名称：长兴校区办公直饮水机租赁项目</w:t>
      </w:r>
    </w:p>
    <w:p>
      <w:pPr>
        <w:adjustRightInd w:val="0"/>
        <w:snapToGrid w:val="0"/>
        <w:spacing w:line="288" w:lineRule="auto"/>
        <w:rPr>
          <w:color w:val="auto"/>
          <w:sz w:val="21"/>
          <w:szCs w:val="21"/>
          <w:highlight w:val="none"/>
        </w:rPr>
      </w:pPr>
      <w:r>
        <w:rPr>
          <w:rFonts w:hint="eastAsia"/>
          <w:color w:val="auto"/>
          <w:sz w:val="21"/>
          <w:szCs w:val="21"/>
          <w:highlight w:val="none"/>
        </w:rPr>
        <w:t>项目编号：QSZB-Z(F)-C24290(CS)</w:t>
      </w:r>
    </w:p>
    <w:tbl>
      <w:tblPr>
        <w:tblStyle w:val="1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bookmarkStart w:id="56" w:name="_Hlk97040054"/>
            <w:bookmarkStart w:id="57" w:name="_Hlk97040072"/>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bookmarkEnd w:id="56"/>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pPr>
        <w:adjustRightInd w:val="0"/>
        <w:snapToGrid w:val="0"/>
        <w:spacing w:line="288" w:lineRule="auto"/>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Times New Roman"/>
          <w:b/>
          <w:bCs/>
          <w:color w:val="auto"/>
          <w:sz w:val="21"/>
          <w:szCs w:val="21"/>
          <w:highlight w:val="none"/>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rPr>
          <w:color w:val="auto"/>
          <w:highlight w:val="none"/>
        </w:rPr>
      </w:pPr>
    </w:p>
    <w:bookmarkEnd w:id="58"/>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 w:name="KSO_WPS_MARK_KEY" w:val="57daff9b-21af-4fc5-a0d8-3d092862628c"/>
  </w:docVars>
  <w:rsids>
    <w:rsidRoot w:val="0035197B"/>
    <w:rsid w:val="00012C95"/>
    <w:rsid w:val="00013E80"/>
    <w:rsid w:val="000275B5"/>
    <w:rsid w:val="00031EB0"/>
    <w:rsid w:val="0004655A"/>
    <w:rsid w:val="00067F0A"/>
    <w:rsid w:val="000A696F"/>
    <w:rsid w:val="000D1691"/>
    <w:rsid w:val="000E015C"/>
    <w:rsid w:val="000E4B39"/>
    <w:rsid w:val="00103286"/>
    <w:rsid w:val="001101B8"/>
    <w:rsid w:val="00120B93"/>
    <w:rsid w:val="00126157"/>
    <w:rsid w:val="001344C6"/>
    <w:rsid w:val="00135034"/>
    <w:rsid w:val="00135905"/>
    <w:rsid w:val="00155438"/>
    <w:rsid w:val="001619EB"/>
    <w:rsid w:val="00175A1C"/>
    <w:rsid w:val="0017776E"/>
    <w:rsid w:val="00185B40"/>
    <w:rsid w:val="001A02BC"/>
    <w:rsid w:val="001E1F6A"/>
    <w:rsid w:val="00215143"/>
    <w:rsid w:val="00216C31"/>
    <w:rsid w:val="00232E27"/>
    <w:rsid w:val="00252BBD"/>
    <w:rsid w:val="00256B2D"/>
    <w:rsid w:val="00256F5C"/>
    <w:rsid w:val="0026429E"/>
    <w:rsid w:val="002645F1"/>
    <w:rsid w:val="00273A4D"/>
    <w:rsid w:val="00290027"/>
    <w:rsid w:val="002A0C91"/>
    <w:rsid w:val="002B128F"/>
    <w:rsid w:val="002C2C2F"/>
    <w:rsid w:val="002E3481"/>
    <w:rsid w:val="002F0514"/>
    <w:rsid w:val="002F7386"/>
    <w:rsid w:val="00325E65"/>
    <w:rsid w:val="0035197B"/>
    <w:rsid w:val="0037718A"/>
    <w:rsid w:val="003A37B3"/>
    <w:rsid w:val="003B00AF"/>
    <w:rsid w:val="003C5FBC"/>
    <w:rsid w:val="003E30B0"/>
    <w:rsid w:val="00425942"/>
    <w:rsid w:val="0048526C"/>
    <w:rsid w:val="00494ECD"/>
    <w:rsid w:val="004B0307"/>
    <w:rsid w:val="004B1ED6"/>
    <w:rsid w:val="004B7E94"/>
    <w:rsid w:val="004C7C81"/>
    <w:rsid w:val="004D62CC"/>
    <w:rsid w:val="004F0091"/>
    <w:rsid w:val="004F5C99"/>
    <w:rsid w:val="00505CF1"/>
    <w:rsid w:val="00511E9E"/>
    <w:rsid w:val="00514711"/>
    <w:rsid w:val="0055045F"/>
    <w:rsid w:val="00551DAC"/>
    <w:rsid w:val="00565520"/>
    <w:rsid w:val="00571A7F"/>
    <w:rsid w:val="00590C97"/>
    <w:rsid w:val="005B2955"/>
    <w:rsid w:val="005D064A"/>
    <w:rsid w:val="005E281A"/>
    <w:rsid w:val="005E3478"/>
    <w:rsid w:val="0060534E"/>
    <w:rsid w:val="00605C23"/>
    <w:rsid w:val="00611721"/>
    <w:rsid w:val="00624AF0"/>
    <w:rsid w:val="00630364"/>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013B9"/>
    <w:rsid w:val="00813E3D"/>
    <w:rsid w:val="00834B9A"/>
    <w:rsid w:val="00835A1C"/>
    <w:rsid w:val="00844285"/>
    <w:rsid w:val="008513FB"/>
    <w:rsid w:val="008543A5"/>
    <w:rsid w:val="00855401"/>
    <w:rsid w:val="00872F06"/>
    <w:rsid w:val="0087701F"/>
    <w:rsid w:val="008772E5"/>
    <w:rsid w:val="00882FF5"/>
    <w:rsid w:val="0089630B"/>
    <w:rsid w:val="00896972"/>
    <w:rsid w:val="0091334C"/>
    <w:rsid w:val="00913E41"/>
    <w:rsid w:val="009429A3"/>
    <w:rsid w:val="00951198"/>
    <w:rsid w:val="00964DAE"/>
    <w:rsid w:val="0096732E"/>
    <w:rsid w:val="009675F7"/>
    <w:rsid w:val="00982682"/>
    <w:rsid w:val="00986D07"/>
    <w:rsid w:val="009B7689"/>
    <w:rsid w:val="009C7C60"/>
    <w:rsid w:val="009D6F21"/>
    <w:rsid w:val="009E2396"/>
    <w:rsid w:val="00A13935"/>
    <w:rsid w:val="00A353D5"/>
    <w:rsid w:val="00A60FF3"/>
    <w:rsid w:val="00A81BA4"/>
    <w:rsid w:val="00A86BED"/>
    <w:rsid w:val="00AB236A"/>
    <w:rsid w:val="00AD082E"/>
    <w:rsid w:val="00AE5F71"/>
    <w:rsid w:val="00AE7589"/>
    <w:rsid w:val="00B004AC"/>
    <w:rsid w:val="00B15905"/>
    <w:rsid w:val="00B47716"/>
    <w:rsid w:val="00B66031"/>
    <w:rsid w:val="00BB31A4"/>
    <w:rsid w:val="00BB6045"/>
    <w:rsid w:val="00BD5E66"/>
    <w:rsid w:val="00BE2C76"/>
    <w:rsid w:val="00BF2AEA"/>
    <w:rsid w:val="00C17E09"/>
    <w:rsid w:val="00C2248E"/>
    <w:rsid w:val="00C2776F"/>
    <w:rsid w:val="00C318CB"/>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9229A"/>
    <w:rsid w:val="00EB1C8D"/>
    <w:rsid w:val="00EB700F"/>
    <w:rsid w:val="00EC091A"/>
    <w:rsid w:val="00ED1230"/>
    <w:rsid w:val="00F156DB"/>
    <w:rsid w:val="00F26DDA"/>
    <w:rsid w:val="00F55B07"/>
    <w:rsid w:val="00F61206"/>
    <w:rsid w:val="00F71A17"/>
    <w:rsid w:val="00F91463"/>
    <w:rsid w:val="00FA22BD"/>
    <w:rsid w:val="00FC2099"/>
    <w:rsid w:val="00FC2885"/>
    <w:rsid w:val="00FF3396"/>
    <w:rsid w:val="03100052"/>
    <w:rsid w:val="03C9757D"/>
    <w:rsid w:val="03D651E0"/>
    <w:rsid w:val="062E1473"/>
    <w:rsid w:val="06BA583A"/>
    <w:rsid w:val="071874D5"/>
    <w:rsid w:val="073267E9"/>
    <w:rsid w:val="073A569E"/>
    <w:rsid w:val="0A553D53"/>
    <w:rsid w:val="0C1E733C"/>
    <w:rsid w:val="0C881712"/>
    <w:rsid w:val="0CC7723D"/>
    <w:rsid w:val="0E1C4197"/>
    <w:rsid w:val="0EE346FD"/>
    <w:rsid w:val="0F543075"/>
    <w:rsid w:val="0FC52D32"/>
    <w:rsid w:val="184B5853"/>
    <w:rsid w:val="1A240213"/>
    <w:rsid w:val="1C6526DD"/>
    <w:rsid w:val="1CD37CCF"/>
    <w:rsid w:val="1F182311"/>
    <w:rsid w:val="1FB64FEF"/>
    <w:rsid w:val="218411D6"/>
    <w:rsid w:val="22CA5304"/>
    <w:rsid w:val="23E46E00"/>
    <w:rsid w:val="252235A1"/>
    <w:rsid w:val="283E36A1"/>
    <w:rsid w:val="2A42536F"/>
    <w:rsid w:val="2B4C581C"/>
    <w:rsid w:val="2B945D41"/>
    <w:rsid w:val="2DF06932"/>
    <w:rsid w:val="2E975000"/>
    <w:rsid w:val="2F263401"/>
    <w:rsid w:val="308570DA"/>
    <w:rsid w:val="30A3583D"/>
    <w:rsid w:val="32BC5160"/>
    <w:rsid w:val="33AF4B9A"/>
    <w:rsid w:val="3D595B76"/>
    <w:rsid w:val="3EF43DA9"/>
    <w:rsid w:val="41C00DD9"/>
    <w:rsid w:val="4258464E"/>
    <w:rsid w:val="458C7C1F"/>
    <w:rsid w:val="45CF513D"/>
    <w:rsid w:val="465D0485"/>
    <w:rsid w:val="478B310B"/>
    <w:rsid w:val="4B555BCF"/>
    <w:rsid w:val="4B5A4F93"/>
    <w:rsid w:val="4BD74836"/>
    <w:rsid w:val="4C213D03"/>
    <w:rsid w:val="4D9D13FE"/>
    <w:rsid w:val="4DCE1C69"/>
    <w:rsid w:val="4DE23E04"/>
    <w:rsid w:val="4DE6202D"/>
    <w:rsid w:val="4DF84E2B"/>
    <w:rsid w:val="4E65437B"/>
    <w:rsid w:val="50874A7C"/>
    <w:rsid w:val="52CA6EA2"/>
    <w:rsid w:val="531E4732"/>
    <w:rsid w:val="5A7E3122"/>
    <w:rsid w:val="5B7420A1"/>
    <w:rsid w:val="5BC25EB8"/>
    <w:rsid w:val="5C2B1C0A"/>
    <w:rsid w:val="5DED613B"/>
    <w:rsid w:val="5E9D190F"/>
    <w:rsid w:val="5EC92704"/>
    <w:rsid w:val="63506F50"/>
    <w:rsid w:val="64B67287"/>
    <w:rsid w:val="65A92947"/>
    <w:rsid w:val="66E83943"/>
    <w:rsid w:val="6CA87DFD"/>
    <w:rsid w:val="6DB81C32"/>
    <w:rsid w:val="73A3131E"/>
    <w:rsid w:val="74AE7621"/>
    <w:rsid w:val="74D3148F"/>
    <w:rsid w:val="763E70DC"/>
    <w:rsid w:val="76F37EC6"/>
    <w:rsid w:val="79CC46E0"/>
    <w:rsid w:val="7A066163"/>
    <w:rsid w:val="7CEC7892"/>
    <w:rsid w:val="7D7F0706"/>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5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00"/>
      <w:outlineLvl w:val="2"/>
    </w:pPr>
    <w:rPr>
      <w:rFonts w:cstheme="majorBidi"/>
      <w:b/>
      <w:bCs/>
      <w:color w:val="000000" w:themeColor="text1"/>
      <w:sz w:val="32"/>
      <w:szCs w:val="32"/>
      <w14:textFill>
        <w14:solidFill>
          <w14:schemeClr w14:val="tx1"/>
        </w14:solidFill>
      </w14:textFill>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link w:val="28"/>
    <w:unhideWhenUsed/>
    <w:qFormat/>
    <w:uiPriority w:val="99"/>
    <w:pPr>
      <w:jc w:val="left"/>
    </w:pPr>
    <w:rPr>
      <w:rFonts w:ascii="Times New Roman" w:hAnsi="Times New Roman" w:cs="Times New Roman"/>
      <w:sz w:val="28"/>
    </w:rPr>
  </w:style>
  <w:style w:type="paragraph" w:styleId="7">
    <w:name w:val="Body Text"/>
    <w:basedOn w:val="1"/>
    <w:link w:val="40"/>
    <w:qFormat/>
    <w:uiPriority w:val="0"/>
    <w:pPr>
      <w:spacing w:after="120"/>
    </w:pPr>
  </w:style>
  <w:style w:type="paragraph" w:styleId="8">
    <w:name w:val="Body Text Indent"/>
    <w:basedOn w:val="1"/>
    <w:next w:val="1"/>
    <w:link w:val="31"/>
    <w:qFormat/>
    <w:uiPriority w:val="0"/>
    <w:pPr>
      <w:spacing w:line="200" w:lineRule="atLeast"/>
      <w:ind w:firstLine="301"/>
    </w:pPr>
    <w:rPr>
      <w:rFonts w:hAnsi="Courier New" w:cs="Times New Roman"/>
      <w:spacing w:val="-4"/>
      <w:sz w:val="18"/>
      <w:szCs w:val="20"/>
    </w:rPr>
  </w:style>
  <w:style w:type="paragraph" w:styleId="9">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10">
    <w:name w:val="Plain Text"/>
    <w:basedOn w:val="1"/>
    <w:link w:val="41"/>
    <w:semiHidden/>
    <w:unhideWhenUsed/>
    <w:qFormat/>
    <w:uiPriority w:val="99"/>
    <w:rPr>
      <w:rFonts w:hAnsi="Courier New" w:cs="Courier New" w:asciiTheme="minorEastAsia" w:eastAsiaTheme="minorEastAsia"/>
    </w:rPr>
  </w:style>
  <w:style w:type="paragraph" w:styleId="11">
    <w:name w:val="Balloon Text"/>
    <w:basedOn w:val="1"/>
    <w:link w:val="30"/>
    <w:qFormat/>
    <w:uiPriority w:val="0"/>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6"/>
    <w:next w:val="6"/>
    <w:link w:val="38"/>
    <w:semiHidden/>
    <w:unhideWhenUsed/>
    <w:qFormat/>
    <w:uiPriority w:val="0"/>
    <w:rPr>
      <w:rFonts w:ascii="宋体" w:hAnsi="宋体" w:cs="宋体"/>
      <w:b/>
      <w:bCs/>
      <w:sz w:val="24"/>
    </w:rPr>
  </w:style>
  <w:style w:type="paragraph" w:styleId="16">
    <w:name w:val="Body Text First Indent"/>
    <w:basedOn w:val="7"/>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Theme"/>
    <w:basedOn w:val="17"/>
    <w:unhideWhenUsed/>
    <w:qFormat/>
    <w:uiPriority w:val="99"/>
    <w:pPr>
      <w:spacing w:after="200" w:line="324"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5579A7"/>
      <w:u w:val="none"/>
    </w:rPr>
  </w:style>
  <w:style w:type="character" w:styleId="22">
    <w:name w:val="Hyperlink"/>
    <w:basedOn w:val="20"/>
    <w:unhideWhenUsed/>
    <w:qFormat/>
    <w:uiPriority w:val="99"/>
    <w:rPr>
      <w:color w:val="0000FF"/>
      <w:u w:val="single"/>
    </w:rPr>
  </w:style>
  <w:style w:type="character" w:styleId="23">
    <w:name w:val="annotation reference"/>
    <w:unhideWhenUsed/>
    <w:qFormat/>
    <w:uiPriority w:val="99"/>
    <w:rPr>
      <w:sz w:val="21"/>
      <w:szCs w:val="21"/>
    </w:rPr>
  </w:style>
  <w:style w:type="paragraph" w:customStyle="1" w:styleId="24">
    <w:name w:val="Default"/>
    <w:next w:val="2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批注文字 Char"/>
    <w:basedOn w:val="20"/>
    <w:link w:val="6"/>
    <w:qFormat/>
    <w:uiPriority w:val="99"/>
    <w:rPr>
      <w:rFonts w:ascii="Times New Roman" w:hAnsi="Times New Roman" w:eastAsia="宋体" w:cs="Times New Roman"/>
      <w:sz w:val="28"/>
      <w:szCs w:val="24"/>
    </w:rPr>
  </w:style>
  <w:style w:type="character" w:customStyle="1" w:styleId="29">
    <w:name w:val="正文文本缩进 字符"/>
    <w:basedOn w:val="20"/>
    <w:qFormat/>
    <w:uiPriority w:val="0"/>
    <w:rPr>
      <w:rFonts w:ascii="宋体" w:hAnsi="宋体" w:eastAsia="宋体" w:cs="宋体"/>
      <w:sz w:val="24"/>
      <w:szCs w:val="24"/>
    </w:rPr>
  </w:style>
  <w:style w:type="character" w:customStyle="1" w:styleId="30">
    <w:name w:val="批注框文本 Char"/>
    <w:basedOn w:val="20"/>
    <w:link w:val="11"/>
    <w:qFormat/>
    <w:uiPriority w:val="0"/>
    <w:rPr>
      <w:rFonts w:ascii="宋体" w:hAnsi="宋体" w:eastAsia="宋体" w:cs="宋体"/>
      <w:sz w:val="18"/>
      <w:szCs w:val="18"/>
    </w:rPr>
  </w:style>
  <w:style w:type="character" w:customStyle="1" w:styleId="31">
    <w:name w:val="正文文本缩进 Char"/>
    <w:link w:val="8"/>
    <w:qFormat/>
    <w:uiPriority w:val="0"/>
    <w:rPr>
      <w:rFonts w:ascii="宋体" w:hAnsi="Courier New" w:eastAsia="宋体" w:cs="Times New Roman"/>
      <w:spacing w:val="-4"/>
      <w:sz w:val="18"/>
      <w:szCs w:val="20"/>
    </w:rPr>
  </w:style>
  <w:style w:type="character" w:customStyle="1" w:styleId="32">
    <w:name w:val="正文文本缩进 字符2"/>
    <w:qFormat/>
    <w:uiPriority w:val="0"/>
    <w:rPr>
      <w:rFonts w:ascii="宋体" w:hAnsi="Courier New"/>
      <w:spacing w:val="-4"/>
      <w:kern w:val="2"/>
      <w:sz w:val="18"/>
    </w:rPr>
  </w:style>
  <w:style w:type="character" w:customStyle="1" w:styleId="33">
    <w:name w:val="未处理的提及1"/>
    <w:basedOn w:val="20"/>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paragraph" w:customStyle="1" w:styleId="35">
    <w:name w:val="纯文本1"/>
    <w:basedOn w:val="1"/>
    <w:next w:val="10"/>
    <w:link w:val="37"/>
    <w:qFormat/>
    <w:uiPriority w:val="99"/>
    <w:pPr>
      <w:spacing w:before="156" w:beforeLines="50" w:after="156" w:afterLines="50" w:line="400" w:lineRule="atLeast"/>
    </w:pPr>
    <w:rPr>
      <w:rFonts w:hAnsi="Courier New" w:cs="Times New Roman"/>
    </w:rPr>
  </w:style>
  <w:style w:type="character" w:customStyle="1" w:styleId="36">
    <w:name w:val="纯文本 字符"/>
    <w:basedOn w:val="20"/>
    <w:qFormat/>
    <w:uiPriority w:val="0"/>
    <w:rPr>
      <w:rFonts w:ascii="宋体" w:hAnsi="Courier New" w:eastAsia="宋体" w:cs="Courier New"/>
      <w:kern w:val="2"/>
      <w:sz w:val="24"/>
      <w:szCs w:val="24"/>
    </w:rPr>
  </w:style>
  <w:style w:type="character" w:customStyle="1" w:styleId="37">
    <w:name w:val="纯文本 字符1"/>
    <w:link w:val="35"/>
    <w:qFormat/>
    <w:uiPriority w:val="99"/>
    <w:rPr>
      <w:rFonts w:ascii="宋体" w:hAnsi="Courier New" w:eastAsia="宋体" w:cs="Times New Roman"/>
      <w:kern w:val="2"/>
      <w:sz w:val="24"/>
      <w:szCs w:val="24"/>
    </w:rPr>
  </w:style>
  <w:style w:type="character" w:customStyle="1" w:styleId="38">
    <w:name w:val="批注主题 Char"/>
    <w:basedOn w:val="28"/>
    <w:link w:val="15"/>
    <w:semiHidden/>
    <w:qFormat/>
    <w:uiPriority w:val="0"/>
    <w:rPr>
      <w:rFonts w:ascii="宋体" w:hAnsi="宋体" w:eastAsia="宋体" w:cs="宋体"/>
      <w:b/>
      <w:bCs/>
      <w:sz w:val="24"/>
      <w:szCs w:val="24"/>
    </w:rPr>
  </w:style>
  <w:style w:type="character" w:customStyle="1" w:styleId="39">
    <w:name w:val="未处理的提及2"/>
    <w:basedOn w:val="20"/>
    <w:semiHidden/>
    <w:unhideWhenUsed/>
    <w:qFormat/>
    <w:uiPriority w:val="99"/>
    <w:rPr>
      <w:color w:val="605E5C"/>
      <w:shd w:val="clear" w:color="auto" w:fill="E1DFDD"/>
    </w:rPr>
  </w:style>
  <w:style w:type="character" w:customStyle="1" w:styleId="40">
    <w:name w:val="正文文本 Char"/>
    <w:basedOn w:val="20"/>
    <w:link w:val="7"/>
    <w:qFormat/>
    <w:uiPriority w:val="0"/>
    <w:rPr>
      <w:rFonts w:ascii="宋体" w:hAnsi="宋体" w:eastAsia="宋体" w:cs="宋体"/>
      <w:sz w:val="24"/>
      <w:szCs w:val="24"/>
    </w:rPr>
  </w:style>
  <w:style w:type="character" w:customStyle="1" w:styleId="41">
    <w:name w:val="纯文本 Char"/>
    <w:basedOn w:val="20"/>
    <w:link w:val="10"/>
    <w:semiHidden/>
    <w:qFormat/>
    <w:uiPriority w:val="99"/>
    <w:rPr>
      <w:rFonts w:hAnsi="Courier New" w:cs="Courier New" w:asciiTheme="minorEastAsia"/>
      <w:sz w:val="24"/>
      <w:szCs w:val="24"/>
    </w:rPr>
  </w:style>
  <w:style w:type="table" w:customStyle="1" w:styleId="42">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jbox-icon-none"/>
    <w:basedOn w:val="20"/>
    <w:qFormat/>
    <w:uiPriority w:val="0"/>
    <w:rPr>
      <w:vanish/>
    </w:rPr>
  </w:style>
  <w:style w:type="character" w:customStyle="1" w:styleId="44">
    <w:name w:val="jbox-icon-loading"/>
    <w:basedOn w:val="20"/>
    <w:qFormat/>
    <w:uiPriority w:val="0"/>
  </w:style>
  <w:style w:type="character" w:customStyle="1" w:styleId="45">
    <w:name w:val="jbox-icon-question"/>
    <w:basedOn w:val="20"/>
    <w:qFormat/>
    <w:uiPriority w:val="0"/>
  </w:style>
  <w:style w:type="character" w:customStyle="1" w:styleId="46">
    <w:name w:val="jbox-icon-warning"/>
    <w:basedOn w:val="20"/>
    <w:qFormat/>
    <w:uiPriority w:val="0"/>
  </w:style>
  <w:style w:type="character" w:customStyle="1" w:styleId="47">
    <w:name w:val="jbox-icon"/>
    <w:basedOn w:val="20"/>
    <w:qFormat/>
    <w:uiPriority w:val="0"/>
  </w:style>
  <w:style w:type="character" w:customStyle="1" w:styleId="48">
    <w:name w:val="jbox-icon-info"/>
    <w:basedOn w:val="20"/>
    <w:qFormat/>
    <w:uiPriority w:val="0"/>
  </w:style>
  <w:style w:type="character" w:customStyle="1" w:styleId="49">
    <w:name w:val="jbox-icon-success"/>
    <w:basedOn w:val="20"/>
    <w:qFormat/>
    <w:uiPriority w:val="0"/>
  </w:style>
  <w:style w:type="character" w:customStyle="1" w:styleId="50">
    <w:name w:val="jbox-icon-error"/>
    <w:basedOn w:val="20"/>
    <w:qFormat/>
    <w:uiPriority w:val="0"/>
  </w:style>
  <w:style w:type="paragraph" w:customStyle="1" w:styleId="51">
    <w:name w:val="正文－恩普"/>
    <w:basedOn w:val="5"/>
    <w:qFormat/>
    <w:uiPriority w:val="0"/>
    <w:pPr>
      <w:widowControl/>
      <w:spacing w:after="156" w:afterLines="50" w:line="360" w:lineRule="auto"/>
      <w:ind w:firstLine="480"/>
      <w:jc w:val="left"/>
    </w:pPr>
    <w:rPr>
      <w:rFonts w:eastAsia="仿宋_GB2312"/>
      <w:sz w:val="32"/>
    </w:rPr>
  </w:style>
  <w:style w:type="paragraph" w:customStyle="1" w:styleId="52">
    <w:name w:val="正文@前缩"/>
    <w:basedOn w:val="1"/>
    <w:link w:val="56"/>
    <w:qFormat/>
    <w:uiPriority w:val="0"/>
    <w:pPr>
      <w:ind w:firstLine="600" w:firstLineChars="200"/>
    </w:pPr>
  </w:style>
  <w:style w:type="paragraph" w:customStyle="1" w:styleId="53">
    <w:name w:val="段"/>
    <w:next w:val="1"/>
    <w:qFormat/>
    <w:uiPriority w:val="0"/>
    <w:pPr>
      <w:autoSpaceDE w:val="0"/>
      <w:autoSpaceDN w:val="0"/>
      <w:jc w:val="both"/>
    </w:pPr>
    <w:rPr>
      <w:rFonts w:ascii="仿宋" w:hAnsi="仿宋" w:eastAsia="仿宋" w:cs="仿宋"/>
      <w:bCs/>
      <w:sz w:val="30"/>
      <w:szCs w:val="30"/>
      <w:lang w:val="en-US" w:eastAsia="zh-CN" w:bidi="ar-SA"/>
    </w:rPr>
  </w:style>
  <w:style w:type="paragraph" w:customStyle="1" w:styleId="54">
    <w:name w:val="表格正文"/>
    <w:basedOn w:val="1"/>
    <w:qFormat/>
    <w:uiPriority w:val="1"/>
    <w:pPr>
      <w:spacing w:before="62" w:beforeLines="20" w:after="62" w:afterLines="20"/>
    </w:pPr>
    <w:rPr>
      <w:lang w:val="zh-TW" w:eastAsia="zh-TW" w:bidi="zh-TW"/>
    </w:rPr>
  </w:style>
  <w:style w:type="character" w:customStyle="1" w:styleId="55">
    <w:name w:val="标题 2 Char"/>
    <w:basedOn w:val="20"/>
    <w:link w:val="3"/>
    <w:semiHidden/>
    <w:qFormat/>
    <w:uiPriority w:val="9"/>
    <w:rPr>
      <w:rFonts w:asciiTheme="majorHAnsi" w:hAnsiTheme="majorHAnsi" w:eastAsiaTheme="majorEastAsia" w:cstheme="majorBidi"/>
      <w:b/>
      <w:bCs/>
      <w:kern w:val="2"/>
      <w:sz w:val="32"/>
      <w:szCs w:val="32"/>
    </w:rPr>
  </w:style>
  <w:style w:type="character" w:customStyle="1" w:styleId="56">
    <w:name w:val="正文@前缩 Char"/>
    <w:basedOn w:val="20"/>
    <w:link w:val="52"/>
    <w:qFormat/>
    <w:locked/>
    <w:uiPriority w:val="0"/>
    <w:rPr>
      <w:rFonts w:ascii="宋体" w:hAnsi="宋体" w:cs="宋体"/>
      <w:kern w:val="2"/>
      <w:sz w:val="24"/>
      <w:szCs w:val="24"/>
    </w:rPr>
  </w:style>
  <w:style w:type="paragraph" w:customStyle="1" w:styleId="57">
    <w:name w:val="表正文"/>
    <w:qFormat/>
    <w:uiPriority w:val="0"/>
    <w:pPr>
      <w:widowControl w:val="0"/>
      <w:adjustRightInd w:val="0"/>
      <w:snapToGrid w:val="0"/>
      <w:jc w:val="center"/>
    </w:pPr>
    <w:rPr>
      <w:rFonts w:ascii="仿宋" w:hAnsi="仿宋" w:eastAsia="仿宋"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6140A-306B-4E92-B10F-AA52BC4F5CBA}">
  <ds:schemaRefs/>
</ds:datastoreItem>
</file>

<file path=docProps/app.xml><?xml version="1.0" encoding="utf-8"?>
<Properties xmlns="http://schemas.openxmlformats.org/officeDocument/2006/extended-properties" xmlns:vt="http://schemas.openxmlformats.org/officeDocument/2006/docPropsVTypes">
  <Template>Normal</Template>
  <Pages>48</Pages>
  <Words>25885</Words>
  <Characters>27247</Characters>
  <Lines>211</Lines>
  <Paragraphs>59</Paragraphs>
  <TotalTime>45</TotalTime>
  <ScaleCrop>false</ScaleCrop>
  <LinksUpToDate>false</LinksUpToDate>
  <CharactersWithSpaces>28096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2024-04-28T09:20:00Z</dcterms:created>
  <dc:creator>j hj</dc:creator>
  <cp:lastModifiedBy>Lyndon</cp:lastModifiedBy>
  <dcterms:modified xsi:type="dcterms:W3CDTF">2024-08-17T13:38:27Z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322AD98396B14DCC81779BBE9DB510BD_13</vt:lpwstr>
  </property>
</Properties>
</file>