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浙江金融职业学院</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业财税融合岗课证训场景教学平台项目</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业财税融合岗课证训场景教学平台项目</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QSZB-Z(F)-B24336(CS)L</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浙江金融职业学院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采购计划文号：[2024]40240号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业财税融合岗课证训场景教学平台项目</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w:t>
      </w:r>
      <w:r>
        <w:rPr>
          <w:rFonts w:hint="eastAsia"/>
          <w:b/>
          <w:sz w:val="21"/>
          <w:szCs w:val="21"/>
          <w:highlight w:val="none"/>
        </w:rPr>
        <w:t>于</w:t>
      </w:r>
      <w:r>
        <w:rPr>
          <w:rFonts w:hint="eastAsia"/>
          <w:b/>
          <w:sz w:val="21"/>
          <w:szCs w:val="21"/>
          <w:highlight w:val="none"/>
          <w:u w:val="single"/>
        </w:rPr>
        <w:t xml:space="preserve"> 202</w:t>
      </w:r>
      <w:r>
        <w:rPr>
          <w:rFonts w:hint="eastAsia"/>
          <w:b/>
          <w:sz w:val="21"/>
          <w:szCs w:val="21"/>
          <w:highlight w:val="none"/>
          <w:u w:val="single"/>
          <w:lang w:val="en-US" w:eastAsia="zh-CN"/>
        </w:rPr>
        <w:t>4</w:t>
      </w:r>
      <w:r>
        <w:rPr>
          <w:rFonts w:hint="eastAsia"/>
          <w:b/>
          <w:sz w:val="21"/>
          <w:szCs w:val="21"/>
          <w:highlight w:val="none"/>
          <w:u w:val="single"/>
        </w:rPr>
        <w:t>年</w:t>
      </w:r>
      <w:r>
        <w:rPr>
          <w:rFonts w:hint="eastAsia"/>
          <w:b/>
          <w:sz w:val="21"/>
          <w:szCs w:val="21"/>
          <w:highlight w:val="none"/>
          <w:u w:val="single"/>
          <w:lang w:eastAsia="zh-CN"/>
        </w:rPr>
        <w:t>08月13日13</w:t>
      </w:r>
      <w:r>
        <w:rPr>
          <w:rFonts w:hint="eastAsia"/>
          <w:b/>
          <w:sz w:val="21"/>
          <w:szCs w:val="21"/>
          <w:highlight w:val="none"/>
          <w:u w:val="single"/>
        </w:rPr>
        <w:t xml:space="preserve">:30:00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35393790"/>
      <w:bookmarkStart w:id="1" w:name="_Toc35393621"/>
      <w:bookmarkStart w:id="2" w:name="_Toc28359079"/>
      <w:bookmarkStart w:id="3" w:name="_Toc28359002"/>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QSZB-Z(F)-B24336(CS)L</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业财税融合岗课证训场景教学平台项目</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450000元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450000元</w:t>
      </w:r>
    </w:p>
    <w:p>
      <w:pPr>
        <w:adjustRightInd w:val="0"/>
        <w:snapToGrid w:val="0"/>
        <w:spacing w:line="288" w:lineRule="auto"/>
        <w:ind w:firstLine="420" w:firstLineChars="200"/>
        <w:rPr>
          <w:rFonts w:hint="eastAsia" w:eastAsia="宋体"/>
          <w:spacing w:val="-6"/>
          <w:sz w:val="21"/>
          <w:szCs w:val="21"/>
          <w:highlight w:val="none"/>
          <w:lang w:eastAsia="zh-CN"/>
        </w:rPr>
      </w:pPr>
      <w:r>
        <w:rPr>
          <w:sz w:val="21"/>
          <w:szCs w:val="21"/>
          <w:highlight w:val="none"/>
        </w:rPr>
        <w:t>6.</w:t>
      </w:r>
      <w:r>
        <w:rPr>
          <w:rFonts w:hint="eastAsia"/>
          <w:sz w:val="21"/>
          <w:szCs w:val="21"/>
          <w:highlight w:val="none"/>
        </w:rPr>
        <w:t>合同履约期限：合同签订后30个日历日内完成安装、调试工作</w:t>
      </w:r>
      <w:r>
        <w:rPr>
          <w:rFonts w:hint="eastAsia"/>
          <w:sz w:val="21"/>
          <w:szCs w:val="21"/>
          <w:highlight w:val="none"/>
          <w:lang w:eastAsia="zh-CN"/>
        </w:rPr>
        <w:t>。</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30"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31"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lang w:eastAsia="zh-CN"/>
              </w:rPr>
              <w:t>业财税融合岗课证训场景教学平台项目</w:t>
            </w:r>
          </w:p>
        </w:tc>
        <w:tc>
          <w:tcPr>
            <w:tcW w:w="430"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r>
    </w:tbl>
    <w:p>
      <w:pPr>
        <w:adjustRightInd w:val="0"/>
        <w:snapToGrid w:val="0"/>
        <w:spacing w:line="288" w:lineRule="auto"/>
        <w:rPr>
          <w:b/>
          <w:sz w:val="21"/>
          <w:szCs w:val="21"/>
          <w:highlight w:val="none"/>
        </w:rPr>
      </w:pPr>
      <w:bookmarkStart w:id="5" w:name="_Toc35393791"/>
      <w:bookmarkStart w:id="6" w:name="_Toc35393622"/>
      <w:bookmarkStart w:id="7" w:name="_Toc28359003"/>
      <w:bookmarkStart w:id="8" w:name="_Toc28359080"/>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2.落实政府采购政策需满足的资格要求：无</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624"/>
      <w:bookmarkStart w:id="14" w:name="_Toc28359082"/>
      <w:bookmarkStart w:id="15" w:name="_Toc35393793"/>
      <w:bookmarkStart w:id="16"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08月13日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eastAsia="zh-CN"/>
        </w:rPr>
        <w:t>08月13日13</w:t>
      </w:r>
      <w:r>
        <w:rPr>
          <w:rFonts w:hint="eastAsia"/>
          <w:bCs/>
          <w:sz w:val="21"/>
          <w:szCs w:val="21"/>
          <w:highlight w:val="none"/>
        </w:rPr>
        <w:t>:30:00（北京时间）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35393625"/>
      <w:bookmarkStart w:id="18" w:name="_Toc28359007"/>
      <w:bookmarkStart w:id="19" w:name="_Toc28359084"/>
      <w:bookmarkStart w:id="20" w:name="_Toc3539379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eastAsia="zh-CN"/>
        </w:rPr>
        <w:t>08月13日13</w:t>
      </w:r>
      <w:r>
        <w:rPr>
          <w:rFonts w:hint="eastAsia"/>
          <w:bCs/>
          <w:sz w:val="21"/>
          <w:szCs w:val="21"/>
          <w:highlight w:val="none"/>
        </w:rPr>
        <w:t>:30:00（北京时间）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8</w:t>
      </w:r>
      <w:r>
        <w:rPr>
          <w:rFonts w:hint="eastAsia" w:cs="Times New Roman"/>
          <w:sz w:val="21"/>
          <w:szCs w:val="21"/>
          <w:highlight w:val="none"/>
        </w:rPr>
        <w:t>楼（求是招标会议室</w:t>
      </w:r>
      <w:r>
        <w:rPr>
          <w:rFonts w:hint="eastAsia" w:cs="Times New Roman"/>
          <w:sz w:val="21"/>
          <w:szCs w:val="21"/>
          <w:highlight w:val="none"/>
          <w:lang w:val="en-US" w:eastAsia="zh-CN"/>
        </w:rPr>
        <w:t>9</w:t>
      </w:r>
      <w:bookmarkStart w:id="67" w:name="_GoBack"/>
      <w:bookmarkEnd w:id="67"/>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35393796"/>
      <w:bookmarkStart w:id="25" w:name="_Toc28359008"/>
      <w:bookmarkStart w:id="26" w:name="_Toc28359085"/>
      <w:bookmarkStart w:id="27" w:name="_Toc35393627"/>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highlight w:val="none"/>
        </w:rPr>
      </w:pPr>
      <w:r>
        <w:rPr>
          <w:sz w:val="21"/>
          <w:szCs w:val="21"/>
          <w:highlight w:val="none"/>
        </w:rPr>
        <w:t>1.采购人信息</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浙江金融职业学院</w:t>
      </w:r>
    </w:p>
    <w:p>
      <w:pPr>
        <w:adjustRightInd w:val="0"/>
        <w:snapToGrid w:val="0"/>
        <w:spacing w:line="288" w:lineRule="auto"/>
        <w:ind w:firstLine="424" w:firstLineChars="202"/>
        <w:rPr>
          <w:sz w:val="21"/>
          <w:szCs w:val="21"/>
          <w:highlight w:val="none"/>
        </w:rPr>
      </w:pPr>
      <w:r>
        <w:rPr>
          <w:rFonts w:hint="eastAsia"/>
          <w:sz w:val="21"/>
          <w:szCs w:val="21"/>
          <w:highlight w:val="none"/>
        </w:rPr>
        <w:t>地址：</w:t>
      </w:r>
      <w:r>
        <w:rPr>
          <w:rFonts w:hint="eastAsia" w:ascii="宋体" w:hAnsi="宋体"/>
          <w:sz w:val="21"/>
          <w:szCs w:val="21"/>
          <w:highlight w:val="none"/>
        </w:rPr>
        <w:t>杭州市下沙高教园区学源118号</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郭老师</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项目联系方式（询问）：18357169013</w:t>
      </w:r>
    </w:p>
    <w:p>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王老师</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rFonts w:hint="eastAsia" w:ascii="宋体" w:hAnsi="宋体"/>
          <w:sz w:val="21"/>
          <w:szCs w:val="21"/>
          <w:highlight w:val="none"/>
        </w:rPr>
        <w:t>0571-86739163</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highlight w:val="none"/>
        </w:rPr>
      </w:pPr>
      <w:r>
        <w:rPr>
          <w:rFonts w:hint="eastAsia"/>
          <w:sz w:val="21"/>
          <w:szCs w:val="21"/>
        </w:rPr>
        <w:t>传真：</w:t>
      </w:r>
      <w:r>
        <w:rPr>
          <w:sz w:val="21"/>
          <w:szCs w:val="21"/>
        </w:rPr>
        <w:t>/</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项目联系人（询问）：</w:t>
      </w:r>
      <w:r>
        <w:rPr>
          <w:rFonts w:hint="eastAsia"/>
          <w:sz w:val="21"/>
          <w:szCs w:val="21"/>
          <w:highlight w:val="none"/>
          <w:lang w:eastAsia="zh-CN"/>
        </w:rPr>
        <w:t>阙家珍</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项目联系方式（询问）：0571-87</w:t>
      </w:r>
      <w:r>
        <w:rPr>
          <w:rFonts w:hint="eastAsia"/>
          <w:sz w:val="21"/>
          <w:szCs w:val="21"/>
          <w:highlight w:val="none"/>
          <w:lang w:eastAsia="zh-CN"/>
        </w:rPr>
        <w:t>670301</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质疑联系人：</w:t>
      </w:r>
      <w:r>
        <w:rPr>
          <w:rFonts w:hint="eastAsia"/>
          <w:sz w:val="21"/>
          <w:szCs w:val="21"/>
          <w:highlight w:val="none"/>
          <w:lang w:val="en-US" w:eastAsia="zh-CN"/>
        </w:rPr>
        <w:t>周安琪</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424" w:firstLineChars="202"/>
        <w:rPr>
          <w:rFonts w:cs="Times New Roman"/>
          <w:sz w:val="21"/>
          <w:szCs w:val="21"/>
          <w:highlight w:val="none"/>
        </w:rPr>
      </w:pP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lang w:eastAsia="zh-CN"/>
        </w:rPr>
        <w:t>.</w:t>
      </w:r>
      <w:r>
        <w:rPr>
          <w:rFonts w:hint="eastAsia" w:ascii="宋体" w:hAnsi="宋体" w:eastAsia="宋体" w:cs="Times New Roman"/>
          <w:spacing w:val="-6"/>
          <w:sz w:val="21"/>
          <w:szCs w:val="21"/>
          <w:highlight w:val="none"/>
          <w:lang w:val="en-US" w:eastAsia="zh-CN"/>
        </w:rPr>
        <w:t>投诉处理部门信息</w:t>
      </w:r>
    </w:p>
    <w:p>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监督投诉电话：0571-86739163</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预算金额未达100万元的采购项目，由采购人处理采购争议</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highlight w:val="none"/>
              </w:rPr>
            </w:pPr>
            <w:r>
              <w:rPr>
                <w:rFonts w:hint="eastAsia"/>
                <w:sz w:val="21"/>
                <w:szCs w:val="18"/>
                <w:highlight w:val="none"/>
              </w:rPr>
              <w:t>政府采购支持科技创新</w:t>
            </w:r>
          </w:p>
        </w:tc>
        <w:tc>
          <w:tcPr>
            <w:tcW w:w="5529" w:type="dxa"/>
            <w:vAlign w:val="center"/>
          </w:tcPr>
          <w:p>
            <w:pPr>
              <w:adjustRightInd w:val="0"/>
              <w:snapToGrid w:val="0"/>
              <w:spacing w:line="288" w:lineRule="auto"/>
              <w:jc w:val="left"/>
              <w:rPr>
                <w:sz w:val="21"/>
                <w:szCs w:val="18"/>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sz w:val="21"/>
                <w:szCs w:val="21"/>
                <w:highlight w:val="none"/>
              </w:rPr>
              <w:t>提供材料详见磋商文件第</w:t>
            </w:r>
            <w:r>
              <w:rPr>
                <w:rFonts w:hint="eastAsia"/>
                <w:color w:val="auto"/>
                <w:sz w:val="21"/>
                <w:szCs w:val="21"/>
                <w:highlight w:val="none"/>
              </w:rPr>
              <w:t>六章“报价文件”</w:t>
            </w:r>
          </w:p>
          <w:p>
            <w:pPr>
              <w:adjustRightInd w:val="0"/>
              <w:snapToGrid w:val="0"/>
              <w:spacing w:line="288" w:lineRule="auto"/>
              <w:jc w:val="left"/>
              <w:rPr>
                <w:rFonts w:hint="eastAsia" w:eastAsia="宋体" w:cs="Times New Roman"/>
                <w:b/>
                <w:bCs/>
                <w:color w:val="auto"/>
                <w:sz w:val="21"/>
                <w:szCs w:val="21"/>
                <w:highlight w:val="none"/>
                <w:lang w:eastAsia="zh-CN"/>
              </w:rPr>
            </w:pPr>
            <w:r>
              <w:rPr>
                <w:rFonts w:hint="eastAsia" w:cs="Times New Roman"/>
                <w:b/>
                <w:bCs/>
                <w:color w:val="auto"/>
                <w:sz w:val="21"/>
                <w:szCs w:val="21"/>
                <w:highlight w:val="none"/>
              </w:rPr>
              <w:t>本项目属性为：</w:t>
            </w:r>
            <w:r>
              <w:rPr>
                <w:rFonts w:hint="eastAsia" w:cs="Times New Roman"/>
                <w:b/>
                <w:bCs/>
                <w:color w:val="auto"/>
                <w:sz w:val="21"/>
                <w:szCs w:val="21"/>
                <w:highlight w:val="none"/>
                <w:lang w:val="en-US" w:eastAsia="zh-CN"/>
              </w:rPr>
              <w:t>服务</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ascii="宋体" w:hAnsi="宋体" w:eastAsia="宋体" w:cs="宋体"/>
                <w:b w:val="0"/>
                <w:bCs w:val="0"/>
                <w:color w:val="auto"/>
                <w:sz w:val="21"/>
                <w:szCs w:val="21"/>
                <w:highlight w:val="none"/>
              </w:rPr>
              <w:t>软件和信息技术服务业</w:t>
            </w:r>
          </w:p>
          <w:p>
            <w:pPr>
              <w:adjustRightInd w:val="0"/>
              <w:snapToGrid w:val="0"/>
              <w:spacing w:line="288" w:lineRule="auto"/>
              <w:jc w:val="left"/>
              <w:rPr>
                <w:b/>
                <w:bCs/>
                <w:sz w:val="21"/>
                <w:szCs w:val="21"/>
                <w:highlight w:val="none"/>
              </w:rPr>
            </w:pPr>
            <w:r>
              <w:rPr>
                <w:rFonts w:hint="eastAsia" w:cs="Times New Roman"/>
                <w:b/>
                <w:bCs/>
                <w:color w:val="auto"/>
                <w:sz w:val="21"/>
                <w:szCs w:val="21"/>
                <w:highlight w:val="none"/>
              </w:rPr>
              <w:t>中小企业划型标准：</w:t>
            </w:r>
            <w:r>
              <w:rPr>
                <w:rFonts w:hint="eastAsia" w:ascii="宋体" w:hAnsi="宋体" w:eastAsia="宋体" w:cs="宋体"/>
                <w:b w:val="0"/>
                <w:bCs w:val="0"/>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1.合同签订后一周内，成交供应商向采购人提交合同总价</w:t>
            </w:r>
            <w:r>
              <w:rPr>
                <w:spacing w:val="-6"/>
                <w:kern w:val="0"/>
                <w:sz w:val="21"/>
                <w:szCs w:val="21"/>
                <w:highlight w:val="none"/>
              </w:rPr>
              <w:t>1</w:t>
            </w:r>
            <w:r>
              <w:rPr>
                <w:rFonts w:hint="eastAsia"/>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1.预付款：</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1.1.支付条件：供应商提交银行、保险公司等金融机构出具的预付款保函的；</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1.2.支付时间、数额：合同生效且供应商出具预付款保函后七个工作日内，采购人向中标供应商支付合同金额</w:t>
            </w:r>
            <w:r>
              <w:rPr>
                <w:rFonts w:hint="eastAsia"/>
                <w:spacing w:val="-6"/>
                <w:kern w:val="0"/>
                <w:sz w:val="21"/>
                <w:szCs w:val="21"/>
                <w:highlight w:val="none"/>
                <w:lang w:val="en-US" w:eastAsia="zh-CN"/>
              </w:rPr>
              <w:t>2</w:t>
            </w:r>
            <w:r>
              <w:rPr>
                <w:rFonts w:hint="eastAsia"/>
                <w:spacing w:val="-6"/>
                <w:kern w:val="0"/>
                <w:sz w:val="21"/>
                <w:szCs w:val="21"/>
                <w:highlight w:val="none"/>
              </w:rPr>
              <w:t>0%的预付款。</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备注：签订合同时，供应商明确表示无需预付款或者主动要求降低预付款比例的，采购单位可不适用前述规定。</w:t>
            </w:r>
          </w:p>
          <w:p>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rPr>
              <w:t>2.项目完成后，经采购人验收合格后，采购人自收到发票后7个工作日内，支付至合同金额的100%。</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合同签订后30个日历日内完成安装、调试工作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lang w:val="en-US" w:eastAsia="zh-CN"/>
              </w:rPr>
              <w:t>3</w:t>
            </w:r>
            <w:r>
              <w:rPr>
                <w:rFonts w:hint="eastAsia"/>
                <w:sz w:val="21"/>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.在质保期内，供应商应对出现的质量及安全问题负责处理解决并承担一切费用。</w:t>
            </w:r>
          </w:p>
          <w:p>
            <w:pPr>
              <w:adjustRightInd w:val="0"/>
              <w:snapToGrid w:val="0"/>
              <w:spacing w:line="288" w:lineRule="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质保期内，所有故障维护服务均为远程服务</w:t>
            </w:r>
            <w:r>
              <w:rPr>
                <w:rFonts w:hint="eastAsia"/>
                <w:sz w:val="21"/>
                <w:szCs w:val="21"/>
                <w:highlight w:val="none"/>
                <w:lang w:eastAsia="zh-CN"/>
              </w:rPr>
              <w:t>，</w:t>
            </w:r>
            <w:r>
              <w:rPr>
                <w:rFonts w:hint="eastAsia"/>
                <w:sz w:val="21"/>
                <w:szCs w:val="21"/>
                <w:highlight w:val="none"/>
                <w:lang w:val="en-US" w:eastAsia="zh-CN"/>
              </w:rPr>
              <w:t>必要时需提供上门服务</w:t>
            </w:r>
            <w:r>
              <w:rPr>
                <w:rFonts w:hint="eastAsia"/>
                <w:sz w:val="21"/>
                <w:szCs w:val="21"/>
                <w:highlight w:val="none"/>
              </w:rPr>
              <w:t>。供应商须对整个系统提供3年免费的升级更新以及其他的支持服务，并提供永久性7*24小时技术支持</w:t>
            </w:r>
            <w:r>
              <w:rPr>
                <w:rFonts w:hint="eastAsia"/>
                <w:sz w:val="21"/>
                <w:szCs w:val="21"/>
                <w:highlight w:val="none"/>
                <w:lang w:eastAsia="zh-CN"/>
              </w:rPr>
              <w:t>，</w:t>
            </w:r>
            <w:r>
              <w:rPr>
                <w:rFonts w:hint="eastAsia"/>
                <w:sz w:val="21"/>
                <w:szCs w:val="21"/>
                <w:highlight w:val="none"/>
              </w:rPr>
              <w:t>包括各种软件系统故障及对各种突发事件采取应急措施等，服务响应时间为1小时。</w:t>
            </w:r>
          </w:p>
          <w:p>
            <w:pPr>
              <w:adjustRightInd w:val="0"/>
              <w:snapToGrid w:val="0"/>
              <w:spacing w:line="288" w:lineRule="auto"/>
              <w:rPr>
                <w:sz w:val="21"/>
                <w:szCs w:val="21"/>
                <w:highlight w:val="none"/>
              </w:rPr>
            </w:pPr>
            <w:r>
              <w:rPr>
                <w:rFonts w:hint="eastAsia"/>
                <w:sz w:val="21"/>
                <w:szCs w:val="21"/>
                <w:highlight w:val="none"/>
                <w:lang w:val="en-US" w:eastAsia="zh-CN"/>
              </w:rPr>
              <w:t>3.</w:t>
            </w:r>
            <w:r>
              <w:rPr>
                <w:rFonts w:hint="eastAsia"/>
                <w:sz w:val="21"/>
                <w:szCs w:val="21"/>
                <w:highlight w:val="none"/>
              </w:rPr>
              <w:t>超过保修期的软件实行终身维护，维护只收成本费</w:t>
            </w:r>
            <w:r>
              <w:rPr>
                <w:rFonts w:hint="eastAsia"/>
                <w:sz w:val="21"/>
                <w:szCs w:val="21"/>
                <w:highlight w:val="none"/>
                <w:lang w:eastAsia="zh-CN"/>
              </w:rPr>
              <w:t>，</w:t>
            </w:r>
            <w:r>
              <w:rPr>
                <w:rFonts w:hint="eastAsia"/>
                <w:sz w:val="21"/>
                <w:szCs w:val="21"/>
                <w:highlight w:val="none"/>
              </w:rPr>
              <w:t>提供所有软件备份</w:t>
            </w:r>
            <w:r>
              <w:rPr>
                <w:rFonts w:hint="eastAsia"/>
                <w:sz w:val="21"/>
                <w:szCs w:val="21"/>
                <w:highlight w:val="none"/>
                <w:lang w:eastAsia="zh-CN"/>
              </w:rPr>
              <w:t>，</w:t>
            </w:r>
            <w:r>
              <w:rPr>
                <w:rFonts w:hint="eastAsia"/>
                <w:sz w:val="21"/>
                <w:szCs w:val="21"/>
                <w:highlight w:val="none"/>
              </w:rPr>
              <w:t>提供软件终身免费升级。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1.验收由采购人负责实施；</w:t>
            </w:r>
          </w:p>
          <w:p>
            <w:pPr>
              <w:adjustRightInd w:val="0"/>
              <w:snapToGrid w:val="0"/>
              <w:spacing w:line="288" w:lineRule="auto"/>
              <w:rPr>
                <w:sz w:val="21"/>
                <w:szCs w:val="21"/>
              </w:rPr>
            </w:pPr>
            <w:r>
              <w:rPr>
                <w:rFonts w:hint="eastAsia"/>
                <w:sz w:val="21"/>
                <w:szCs w:val="21"/>
              </w:rPr>
              <w:t>2.验收依据：</w:t>
            </w:r>
          </w:p>
          <w:p>
            <w:pPr>
              <w:adjustRightInd w:val="0"/>
              <w:snapToGrid w:val="0"/>
              <w:spacing w:line="288" w:lineRule="auto"/>
              <w:rPr>
                <w:sz w:val="21"/>
                <w:szCs w:val="21"/>
              </w:rPr>
            </w:pPr>
            <w:r>
              <w:rPr>
                <w:rFonts w:hint="eastAsia"/>
                <w:sz w:val="21"/>
                <w:szCs w:val="21"/>
              </w:rPr>
              <w:t>2.1合同、磋商文件、响应文件；</w:t>
            </w:r>
          </w:p>
          <w:p>
            <w:pPr>
              <w:adjustRightInd w:val="0"/>
              <w:snapToGrid w:val="0"/>
              <w:spacing w:line="288" w:lineRule="auto"/>
              <w:rPr>
                <w:sz w:val="21"/>
                <w:szCs w:val="21"/>
              </w:rPr>
            </w:pPr>
            <w:r>
              <w:rPr>
                <w:rFonts w:hint="eastAsia"/>
                <w:sz w:val="21"/>
                <w:szCs w:val="21"/>
              </w:rPr>
              <w:t>2.2供应商响应文件中提供的经采购人认可的合同货物的验收标准（符合中国有关的国家、地方、行业标准）和检测办法及相应检测手段。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rPr>
            </w:pPr>
            <w:r>
              <w:rPr>
                <w:rFonts w:hint="eastAsia"/>
                <w:sz w:val="21"/>
                <w:szCs w:val="21"/>
              </w:rPr>
              <w:t>3.供应商应派员在所供货物到采购人处时进行到货验收，若发现任何损坏及质量问题，供应商负责妥善处理直至采购人满意，由此产生的费用由供应商承担。</w:t>
            </w:r>
          </w:p>
          <w:p>
            <w:pPr>
              <w:adjustRightInd w:val="0"/>
              <w:snapToGrid w:val="0"/>
              <w:spacing w:line="288" w:lineRule="auto"/>
              <w:rPr>
                <w:sz w:val="21"/>
                <w:szCs w:val="21"/>
              </w:rPr>
            </w:pPr>
            <w:r>
              <w:rPr>
                <w:rFonts w:hint="eastAsia"/>
                <w:sz w:val="21"/>
                <w:szCs w:val="21"/>
              </w:rPr>
              <w:t>4.验收合格的条件：</w:t>
            </w:r>
          </w:p>
          <w:p>
            <w:pPr>
              <w:adjustRightInd w:val="0"/>
              <w:snapToGrid w:val="0"/>
              <w:spacing w:line="288" w:lineRule="auto"/>
              <w:rPr>
                <w:sz w:val="21"/>
                <w:szCs w:val="21"/>
              </w:rPr>
            </w:pPr>
            <w:r>
              <w:rPr>
                <w:rFonts w:hint="eastAsia"/>
                <w:sz w:val="21"/>
                <w:szCs w:val="21"/>
              </w:rPr>
              <w:t>4.1所供货物符合产品标准和合同的要求；</w:t>
            </w:r>
          </w:p>
          <w:p>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pPr>
              <w:adjustRightInd w:val="0"/>
              <w:snapToGrid w:val="0"/>
              <w:spacing w:line="288" w:lineRule="auto"/>
              <w:rPr>
                <w:sz w:val="21"/>
                <w:szCs w:val="21"/>
              </w:rPr>
            </w:pPr>
            <w:r>
              <w:rPr>
                <w:rFonts w:hint="eastAsia"/>
                <w:sz w:val="21"/>
                <w:szCs w:val="21"/>
              </w:rPr>
              <w:t>4.3合同中规定的所有货物和材料均已交付；</w:t>
            </w:r>
          </w:p>
          <w:p>
            <w:pPr>
              <w:adjustRightInd w:val="0"/>
              <w:snapToGrid w:val="0"/>
              <w:spacing w:line="288" w:lineRule="auto"/>
              <w:rPr>
                <w:sz w:val="21"/>
                <w:szCs w:val="21"/>
              </w:rPr>
            </w:pPr>
            <w:r>
              <w:rPr>
                <w:rFonts w:hint="eastAsia"/>
                <w:sz w:val="21"/>
                <w:szCs w:val="21"/>
              </w:rPr>
              <w:t>4.4所供货物已通过使用单位组织的验收；</w:t>
            </w:r>
          </w:p>
          <w:p>
            <w:pPr>
              <w:adjustRightInd w:val="0"/>
              <w:snapToGrid w:val="0"/>
              <w:spacing w:line="288" w:lineRule="auto"/>
              <w:rPr>
                <w:rFonts w:hint="eastAsia"/>
                <w:sz w:val="21"/>
                <w:szCs w:val="21"/>
              </w:rPr>
            </w:pPr>
            <w:r>
              <w:rPr>
                <w:rFonts w:hint="eastAsia"/>
                <w:sz w:val="21"/>
                <w:szCs w:val="21"/>
              </w:rPr>
              <w:t>4.5所有相关的技术文件及资料均已提交并得到接受。</w:t>
            </w:r>
          </w:p>
          <w:p>
            <w:pPr>
              <w:numPr>
                <w:ilvl w:val="0"/>
                <w:numId w:val="1"/>
              </w:numPr>
              <w:adjustRightInd w:val="0"/>
              <w:snapToGrid w:val="0"/>
              <w:spacing w:line="288" w:lineRule="auto"/>
              <w:rPr>
                <w:rFonts w:hint="eastAsia"/>
                <w:sz w:val="21"/>
                <w:szCs w:val="21"/>
                <w:lang w:val="en-US" w:eastAsia="zh-CN"/>
              </w:rPr>
            </w:pPr>
            <w:r>
              <w:rPr>
                <w:rFonts w:hint="eastAsia"/>
                <w:sz w:val="21"/>
                <w:szCs w:val="21"/>
                <w:lang w:val="en-US" w:eastAsia="zh-CN"/>
              </w:rPr>
              <w:t>验收要求：</w:t>
            </w:r>
          </w:p>
          <w:p>
            <w:pPr>
              <w:adjustRightInd w:val="0"/>
              <w:snapToGrid w:val="0"/>
              <w:spacing w:line="288" w:lineRule="auto"/>
              <w:rPr>
                <w:sz w:val="21"/>
                <w:szCs w:val="21"/>
              </w:rPr>
            </w:pPr>
            <w:r>
              <w:rPr>
                <w:rFonts w:hint="eastAsia"/>
                <w:sz w:val="21"/>
                <w:szCs w:val="21"/>
              </w:rPr>
              <w:t>合同签订后（30）个日历日内完成安装、调试工作，试运行期不少于（30）个日历日。试运行期结束后，采购</w:t>
            </w:r>
            <w:r>
              <w:rPr>
                <w:rFonts w:hint="eastAsia"/>
                <w:sz w:val="21"/>
                <w:szCs w:val="21"/>
                <w:lang w:val="en-US" w:eastAsia="zh-CN"/>
              </w:rPr>
              <w:t>人</w:t>
            </w:r>
            <w:r>
              <w:rPr>
                <w:rFonts w:hint="eastAsia"/>
                <w:sz w:val="21"/>
                <w:szCs w:val="21"/>
              </w:rPr>
              <w:t>对项目产品开展初验。初验包含但不限于：数量和品牌规格是否与</w:t>
            </w:r>
            <w:r>
              <w:rPr>
                <w:rFonts w:hint="eastAsia"/>
                <w:sz w:val="21"/>
                <w:szCs w:val="21"/>
                <w:lang w:val="en-US" w:eastAsia="zh-CN"/>
              </w:rPr>
              <w:t>响应</w:t>
            </w:r>
            <w:r>
              <w:rPr>
                <w:rFonts w:hint="eastAsia"/>
                <w:sz w:val="21"/>
                <w:szCs w:val="21"/>
              </w:rPr>
              <w:t>文件相符、是否安装调试完毕、运行状况是否正常、产品技术资料是否齐全、是否按照合同约定进行使用培训等基本情况。初验不合格的，成交供应商应该在合同约定的最迟交货时限内完成整改，未按时完成整改的，视为违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pPr>
              <w:adjustRightInd w:val="0"/>
              <w:snapToGrid w:val="0"/>
              <w:spacing w:line="288" w:lineRule="auto"/>
              <w:rPr>
                <w:sz w:val="21"/>
                <w:szCs w:val="21"/>
                <w:highlight w:val="none"/>
              </w:rPr>
            </w:pPr>
            <w:r>
              <w:rPr>
                <w:rFonts w:hint="eastAsia"/>
                <w:sz w:val="21"/>
                <w:szCs w:val="21"/>
                <w:highlight w:val="none"/>
              </w:rPr>
              <w:t>供应商应提供相应的培训计划；</w:t>
            </w:r>
          </w:p>
          <w:p>
            <w:pPr>
              <w:adjustRightInd w:val="0"/>
              <w:snapToGrid w:val="0"/>
              <w:spacing w:line="288" w:lineRule="auto"/>
              <w:rPr>
                <w:sz w:val="21"/>
                <w:szCs w:val="21"/>
                <w:highlight w:val="none"/>
              </w:rPr>
            </w:pPr>
            <w:r>
              <w:rPr>
                <w:rFonts w:hint="eastAsia"/>
                <w:sz w:val="21"/>
                <w:szCs w:val="21"/>
                <w:highlight w:val="none"/>
              </w:rPr>
              <w:t>上述内容的实现方式、时间、地点、人数应在响应文件中详细说明。</w:t>
            </w:r>
          </w:p>
        </w:tc>
      </w:tr>
    </w:tbl>
    <w:p>
      <w:pPr>
        <w:adjustRightInd w:val="0"/>
        <w:snapToGrid w:val="0"/>
        <w:spacing w:line="288" w:lineRule="auto"/>
        <w:rPr>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一、项目概况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对业财税融合岗课证训场景教学平台软件进行采购，主要用于大数据与会计、大数据与财务管理、财税大数据应用等专业的教学与实训。通过该项目的实施，不仅能满足数字管理会计日常教学和实训的需要，有利于深度产教融合，在教师、教材、教法方面融入业财税融合数字化应用场景，满足学生实习实训、技能大赛等多方面技能需求，提高学生创新型实践能力，实现教学目标和人培目标双统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二、整体</w:t>
      </w:r>
      <w:r>
        <w:rPr>
          <w:rFonts w:hint="eastAsia" w:ascii="宋体" w:hAnsi="宋体" w:eastAsia="宋体" w:cs="宋体"/>
          <w:b/>
          <w:bCs/>
          <w:sz w:val="21"/>
          <w:szCs w:val="21"/>
        </w:rPr>
        <w:t>需求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lang w:val="en-AU"/>
        </w:rPr>
      </w:pPr>
      <w:r>
        <w:rPr>
          <w:rFonts w:hint="eastAsia" w:ascii="宋体" w:hAnsi="宋体" w:eastAsia="宋体" w:cs="宋体"/>
          <w:b w:val="0"/>
          <w:bCs w:val="0"/>
          <w:sz w:val="21"/>
          <w:szCs w:val="21"/>
        </w:rPr>
        <w:t>业财税融合岗课证训场景教学平台</w:t>
      </w:r>
      <w:r>
        <w:rPr>
          <w:rFonts w:hint="eastAsia" w:ascii="宋体" w:hAnsi="宋体" w:eastAsia="宋体" w:cs="宋体"/>
          <w:b w:val="0"/>
          <w:bCs w:val="0"/>
          <w:sz w:val="21"/>
          <w:szCs w:val="21"/>
          <w:lang w:val="en-AU"/>
        </w:rPr>
        <w:t>是面向高校财经商贸专业教师与学生</w:t>
      </w:r>
      <w:r>
        <w:rPr>
          <w:rFonts w:hint="eastAsia" w:ascii="宋体" w:hAnsi="宋体" w:eastAsia="宋体" w:cs="宋体"/>
          <w:b w:val="0"/>
          <w:bCs w:val="0"/>
          <w:sz w:val="21"/>
          <w:szCs w:val="21"/>
        </w:rPr>
        <w:t>实践</w:t>
      </w:r>
      <w:r>
        <w:rPr>
          <w:rFonts w:hint="eastAsia" w:ascii="宋体" w:hAnsi="宋体" w:eastAsia="宋体" w:cs="宋体"/>
          <w:b w:val="0"/>
          <w:bCs w:val="0"/>
          <w:sz w:val="21"/>
          <w:szCs w:val="21"/>
          <w:lang w:val="en-AU"/>
        </w:rPr>
        <w:t>的一款集教学、训练、测评等功能为一体的</w:t>
      </w:r>
      <w:r>
        <w:rPr>
          <w:rFonts w:hint="eastAsia" w:ascii="宋体" w:hAnsi="宋体" w:eastAsia="宋体" w:cs="宋体"/>
          <w:b w:val="0"/>
          <w:bCs w:val="0"/>
          <w:sz w:val="21"/>
          <w:szCs w:val="21"/>
        </w:rPr>
        <w:t>课程教学</w:t>
      </w:r>
      <w:r>
        <w:rPr>
          <w:rFonts w:hint="eastAsia" w:ascii="宋体" w:hAnsi="宋体" w:eastAsia="宋体" w:cs="宋体"/>
          <w:b w:val="0"/>
          <w:bCs w:val="0"/>
          <w:sz w:val="21"/>
          <w:szCs w:val="21"/>
          <w:lang w:val="en-AU"/>
        </w:rPr>
        <w:t>训练系统，</w:t>
      </w:r>
      <w:r>
        <w:rPr>
          <w:rFonts w:hint="eastAsia" w:ascii="宋体" w:hAnsi="宋体" w:eastAsia="宋体" w:cs="宋体"/>
          <w:b w:val="0"/>
          <w:bCs w:val="0"/>
          <w:sz w:val="21"/>
          <w:szCs w:val="21"/>
        </w:rPr>
        <w:t>满足教育部2022年公布的最新职业教育专业简介的专业核心课和实训实训标准的要求。平台采用整体购买形式，使用账号不受数量限制。采购内容包含业财税融合课证融通课程、业财税融合创新课程、大数据应用课程、业财税融合成本管控技能养成、业财税融合大数据投融资分析技能养成、业财税融合财务会计综合实训、大数据管理会计应用、3D移动业务场景体验和岗前实操中心9个模块。平台有助于</w:t>
      </w:r>
      <w:r>
        <w:rPr>
          <w:rFonts w:hint="eastAsia" w:ascii="宋体" w:hAnsi="宋体" w:eastAsia="宋体" w:cs="宋体"/>
          <w:b w:val="0"/>
          <w:bCs w:val="0"/>
          <w:sz w:val="21"/>
          <w:szCs w:val="21"/>
          <w:lang w:val="en-AU"/>
        </w:rPr>
        <w:t>“课证融通”课程体系建设，引导和促进职业院校财经类专业人才培养目标定位、教学模式和质量评价改革，增强财经类专业人才培养的适应性。</w:t>
      </w:r>
      <w:r>
        <w:rPr>
          <w:rFonts w:hint="eastAsia" w:ascii="宋体" w:hAnsi="宋体" w:eastAsia="宋体" w:cs="宋体"/>
          <w:b w:val="0"/>
          <w:bCs w:val="0"/>
          <w:sz w:val="21"/>
          <w:szCs w:val="21"/>
        </w:rPr>
        <w:t>平台通过</w:t>
      </w:r>
      <w:r>
        <w:rPr>
          <w:rFonts w:hint="eastAsia" w:ascii="宋体" w:hAnsi="宋体" w:eastAsia="宋体" w:cs="宋体"/>
          <w:b w:val="0"/>
          <w:bCs w:val="0"/>
          <w:sz w:val="21"/>
          <w:szCs w:val="21"/>
          <w:lang w:val="en-AU"/>
        </w:rPr>
        <w:t>配套大数据中心，融合PPT、微课、财经数据库、客观题、实训题、随堂练习等资源手段，帮助学生充分掌握Python语言、爬虫工具、分析工具、Matplotlib可视化图形库等知识内容，培养学生充分了解和掌握大数据应用基础的理论知识和基本技能，奠定大数据应用的基础。学生采用个人训练方式，通过“单项实训+综合案例”，展开任务驱动式训练。以企业真实管理会计业务为基础，提供贴近实务的实践训练课程，还原企业真实工作场景，培养学生业财税融合与大数据应用思维和视角，以及解决企业实务问题的综合能力。</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业财税融合岗课证训场景教学平台技术参数</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1"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w:t>
            </w:r>
          </w:p>
        </w:tc>
        <w:tc>
          <w:tcPr>
            <w:tcW w:w="391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需要条件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技术架构</w:t>
            </w:r>
          </w:p>
        </w:tc>
        <w:tc>
          <w:tcPr>
            <w:tcW w:w="391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系统是采用B/S架构设计的Sass云平台，采用当前流行的.Net 6、ASP.NET Core Web、XCode技术框架，展现层通过vue+ elementUI全家桶实现前后端分离；模型层通过API接口及实现类来实现，通过网关统一入口访问各个微服务。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互联网运行</w:t>
            </w:r>
          </w:p>
        </w:tc>
        <w:tc>
          <w:tcPr>
            <w:tcW w:w="39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系统基于互联网运行，只需浏览器访问给定网址即可，通过账号和密码登录使用服务，无需加密狗等。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云端托管</w:t>
            </w:r>
          </w:p>
        </w:tc>
        <w:tc>
          <w:tcPr>
            <w:tcW w:w="39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平台服务云端托管，无需安装特定软件，应用可以跨操作系统部署，无需额外硬件支持。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微服务架构</w:t>
            </w:r>
          </w:p>
        </w:tc>
        <w:tc>
          <w:tcPr>
            <w:tcW w:w="39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基于微服务框架设计，支持快速水平扩展，满足高并发、高可用的业务需求。实现系统模块的灵活配置，数据动静分离，兼容Windows、Linux、Mac、树莓派等主流操作系统。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防火墙</w:t>
            </w:r>
          </w:p>
        </w:tc>
        <w:tc>
          <w:tcPr>
            <w:tcW w:w="39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web防火墙增强防御，集成Serilog日志系统，快速定位问题。系统具备SQL注入、CSRF、XSS等常见攻击的防护能力。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带宽</w:t>
            </w:r>
          </w:p>
        </w:tc>
        <w:tc>
          <w:tcPr>
            <w:tcW w:w="39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推荐最小带宽为1000 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浏览器</w:t>
            </w:r>
          </w:p>
        </w:tc>
        <w:tc>
          <w:tcPr>
            <w:tcW w:w="39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推荐使用BLINK内核的浏览器，如360浏览器或谷歌chrome浏览器。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高并发保障</w:t>
            </w:r>
          </w:p>
        </w:tc>
        <w:tc>
          <w:tcPr>
            <w:tcW w:w="39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实现单点登录，支持2000人同时在线，并可快速扩容。利用KAFKA MQ确保学生操作流畅，提交数据不丢失。HAproxy+Nginx负载均衡提高系统并发量。</w:t>
            </w:r>
          </w:p>
        </w:tc>
      </w:tr>
    </w:tbl>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lang w:val="en-AU"/>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业财税融合岗课证训场景教学平台</w:t>
      </w:r>
      <w:r>
        <w:rPr>
          <w:rFonts w:hint="eastAsia" w:ascii="宋体" w:hAnsi="宋体" w:eastAsia="宋体" w:cs="宋体"/>
          <w:b w:val="0"/>
          <w:bCs w:val="0"/>
          <w:sz w:val="21"/>
          <w:szCs w:val="21"/>
          <w:lang w:val="en-US" w:eastAsia="zh-CN"/>
        </w:rPr>
        <w:t>各模块功能</w:t>
      </w:r>
      <w:r>
        <w:rPr>
          <w:rFonts w:hint="eastAsia" w:ascii="宋体" w:hAnsi="宋体" w:eastAsia="宋体" w:cs="宋体"/>
          <w:b w:val="0"/>
          <w:bCs w:val="0"/>
          <w:sz w:val="21"/>
          <w:szCs w:val="21"/>
        </w:rPr>
        <w:t>参数</w:t>
      </w:r>
    </w:p>
    <w:tbl>
      <w:tblPr>
        <w:tblStyle w:val="14"/>
        <w:tblW w:w="962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16"/>
        <w:gridCol w:w="761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89" w:type="dxa"/>
            <w:tcBorders>
              <w:top w:val="double" w:color="auto" w:sz="2" w:space="0"/>
              <w:left w:val="double" w:color="auto" w:sz="2"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6" w:type="dxa"/>
            <w:tcBorders>
              <w:top w:val="double" w:color="auto" w:sz="2"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模块名称</w:t>
            </w:r>
          </w:p>
        </w:tc>
        <w:tc>
          <w:tcPr>
            <w:tcW w:w="7615" w:type="dxa"/>
            <w:tcBorders>
              <w:top w:val="double" w:color="auto" w:sz="2"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具体内容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8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业财税融合创新课程</w:t>
            </w:r>
          </w:p>
        </w:tc>
        <w:tc>
          <w:tcPr>
            <w:tcW w:w="7615" w:type="dxa"/>
            <w:tcBorders>
              <w:top w:val="single" w:color="auto" w:sz="4" w:space="0"/>
              <w:left w:val="single" w:color="auto" w:sz="4" w:space="0"/>
              <w:bottom w:val="single" w:color="auto" w:sz="4" w:space="0"/>
              <w:right w:val="double" w:color="auto"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模块简概</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1.提供5门创新课程服务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2.基于产教融合的教学思路，</w:t>
            </w:r>
            <w:r>
              <w:rPr>
                <w:rFonts w:hint="eastAsia" w:ascii="宋体" w:hAnsi="宋体" w:eastAsia="宋体" w:cs="宋体"/>
                <w:b w:val="0"/>
                <w:bCs w:val="0"/>
                <w:sz w:val="21"/>
                <w:szCs w:val="21"/>
              </w:rPr>
              <w:t>以真实大型企业经济活动为背景，根据企业对会计人才知识和能力的要求，对课程内容进行了重构，按照筹资、投资、采购、销售、生产和分配六个环节进行编排，将财务管理工作前置，植入业务场景进行业财融合。</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每门课程不少于5个章节，教案、课件、视频、习题和实训案例资源数量累计不少于100个。</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课程为在线课程，不提供文档下戴。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二、资源明细：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业务成本管控》分为成本管控基础知识、预算管理、销售成本管控、采购成本管控、生产成本管控、营运成本管控绩效管理评价七个项目，全面贯彻教、学、做一体，侧重培养学生运用业务场景展开数据分析，运用业务场景进行预测和决策为企业创造价值的能力。</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业务财务会计》采用的是真实企业全流程、全方位的实际案例，体现了真场景、真数据的全景式体验教与学；每个知识点有业务场景，并细分到业务流、知识流、核算流和数据流的阐述和说明，课程分为六个项目，项目一筹资业务、项目二采购业务、项目三生产业务、项目四销售业务、项目五投资业务、项目六分配业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业务税务管理》共分为八个项目，项目一业务税务管理基础、项目二筹资涉税业务管理、项目三采购涉税业务管理、项目四生产涉税业务管理、项目五销售涉税业务管理、项目六投资涉税业务管理、项目七分配涉税业务管理、项目八其他涉税业务管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业务经济法》共分为六个项目，项目一业务经济法基础、项目二筹资管理相关法律制度、项目三采购管理相关法律制度、项目四生产管理相关法律制度、项目五销售管理相关法律制度、项目六分配管理相关法律制度。   </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《业务财务管理》共分为五个项目，项目一筹资管理、项目二采购管理、项目三销售管理、项目四投资管理、项目五财务成果分配管理。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、功能参数：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1.课前：包括学生自主预习，含课程内容、试题、在线实验。</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2.课中：包括新增授课、授课投屏、发布课堂测验、课堂测验统计。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3.课后：包括发布课程任务、发布整套实训案例任务、发布部分实训案例任务、任务信息修改、查看任务详情、任务成绩统计、任务错误人数统计、任务批阅。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8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eastAsia="zh-CN"/>
              </w:rPr>
            </w:pPr>
            <w:r>
              <w:rPr>
                <w:rFonts w:hint="eastAsia" w:cs="宋体"/>
                <w:b/>
                <w:bCs/>
                <w:sz w:val="21"/>
                <w:szCs w:val="21"/>
                <w:lang w:val="en-US" w:eastAsia="zh-CN"/>
              </w:rPr>
              <w:t>2</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大数据应用课程</w:t>
            </w:r>
          </w:p>
        </w:tc>
        <w:tc>
          <w:tcPr>
            <w:tcW w:w="7615"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模块简概</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1.提供2门专业课程服务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2.基于大数据工具操作的教学思路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帮助学生充分掌握Python语言、爬虫工具、分析工具、Matplotlib可视化图形库等知识内容，培养学生充分了解和掌握大数据应用基础的理论知识和基本技能，奠定大数据应用的基础。</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每门课程不少于5个章节，教案、课件、视频、习题和实训案例资源数量累计不少于100个。</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课程为在线课程，不提供文档下戴。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资源明细：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《大数据基础与应用》《 Python大数据财务分析》电子教材，含课件、视频。包括python环境搭建和pyCharm安装、基础语法、数据类型、变量、运算符、数字、字符 串、列表、元组、集合、字典、条件控制、循环语句、迭代器与生成器、函数、模块的基础知识与应用。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内容从Python基础到语法入门，并涵盖Python数据采集与清洗和Python数据可视化，引入真实企业案例，融入财务核算、成本管控、大数据财务分析决策、大数据财务预算预测、投融资分析决策等财务应用场景，由点到面，内部数据和外部数据讲练结合，促使学生快速掌握在学校学习到工作岗位之间的Python大数据财务分析的应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、功能参数：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1.课前：包括学生自主预习，含课程内容、试题、在线实验。</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2.课中：包括新增授课、授课投屏、发布课堂测验、课堂测验统计。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3.课后：包括发布课程任务、发布整套实训案例任务、发布部分实训案例任务、任务信息修改、查看任务详情、任务成绩统计、任务错误人数统计、任务批阅。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68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业财税融合大数据投融资分析技能养成模块</w:t>
            </w:r>
          </w:p>
        </w:tc>
        <w:tc>
          <w:tcPr>
            <w:tcW w:w="7615" w:type="dxa"/>
            <w:tcBorders>
              <w:top w:val="single" w:color="auto" w:sz="4" w:space="0"/>
              <w:left w:val="single" w:color="auto" w:sz="4" w:space="0"/>
              <w:bottom w:val="single" w:color="auto" w:sz="4" w:space="0"/>
              <w:right w:val="double" w:color="auto"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一、模块简概</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1、提供</w:t>
            </w:r>
            <w:r>
              <w:rPr>
                <w:rFonts w:hint="eastAsia" w:ascii="宋体" w:hAnsi="宋体" w:eastAsia="宋体" w:cs="宋体"/>
                <w:b w:val="0"/>
                <w:bCs w:val="0"/>
                <w:sz w:val="21"/>
                <w:szCs w:val="21"/>
              </w:rPr>
              <w:t>“业财税融合”、“大数据”和“投融资分析”三项核心职业能力</w:t>
            </w:r>
            <w:r>
              <w:rPr>
                <w:rFonts w:hint="eastAsia" w:ascii="宋体" w:hAnsi="宋体" w:eastAsia="宋体" w:cs="宋体"/>
                <w:b w:val="0"/>
                <w:bCs w:val="0"/>
                <w:sz w:val="21"/>
                <w:szCs w:val="21"/>
                <w:lang w:val="en-US" w:eastAsia="zh-CN"/>
              </w:rPr>
              <w:t>训练服务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2、含单点技能实训、综合技能实训和综合训练资源三种模式。</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课程为在线课程，不提供文档下戴。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二、资源明细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1.十四五规划电子版教材《业财税融合大数据投融资分析》</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2.含大数据技术基础应用、投资数据测算、融资数据测算、投资分析、投资风险管理、融资分析、融资风险管理单个技能点实训</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3.含大数据技术基础应用、投资数据测算、融资数据测算、投资分析、投资风险管理、融资分析、融资风险管理综合技能实训</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4.综合训练案例。</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、功能参数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1、教师端：支持课程资源管理，单技能点练习、综合技能练习、案例训练。任务管理、答案与解析设置、任务成绩统计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2.资源管理：针对训练端进行案例控制，支持显示班级、答案解析开关、训练进度跟进、基础信息展示。</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3.班级学生管理：班级创建（增、删、查）、学生管理（邀请进班、退班、查询）、手动添加、人员搜索等。</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4.考证管理：身份认证、教师自主报名、考核及成绩查询、资格证书查询。</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5.账户设置：个人信息展示、手机号修改、密码修改、姓名修改以信息上传等。</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6、自主训练模式：不限时长，无限次提交答案，支持答案判断、错误处标记、查看答案及解析、卷面分值统计等。</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8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业财税融合财务会计综合实训模块</w:t>
            </w:r>
          </w:p>
        </w:tc>
        <w:tc>
          <w:tcPr>
            <w:tcW w:w="7615" w:type="dxa"/>
            <w:tcBorders>
              <w:top w:val="single" w:color="auto" w:sz="4" w:space="0"/>
              <w:left w:val="single" w:color="auto" w:sz="4" w:space="0"/>
              <w:bottom w:val="single" w:color="auto" w:sz="4" w:space="0"/>
              <w:right w:val="double" w:color="auto"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一、模块简概</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1、以仿真形式提供11个行业企业当月发生的经济业务进行训练。</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包括出纳、会计主管岗位</w:t>
            </w:r>
            <w:r>
              <w:rPr>
                <w:rFonts w:hint="eastAsia" w:ascii="宋体" w:hAnsi="宋体" w:eastAsia="宋体" w:cs="宋体"/>
                <w:b w:val="0"/>
                <w:bCs w:val="0"/>
                <w:sz w:val="21"/>
                <w:szCs w:val="21"/>
                <w:lang w:val="en-US" w:eastAsia="zh-CN"/>
              </w:rPr>
              <w:t>的会计处理技能的训练</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二、资源明细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不少于10套训练案例。</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三、功能参数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训练端。包含个人自主模式训练和模拟真实考场环境测验。支持企业展示、自动读取数据订单，当前用户做题数据进度展示，一键训练。支持已交卷历史记录作答详情查询及任务作答记录查看，支持对历史记录下成绩排名。支持任务答题时间统计、允许自主岗位角色切换并选择，题总数统计。支持任务题目分岗位展示，支持多题型、支持综合、多选、单选、图表、分录、表格等题型答题。支持EXCEL数据一键粘贴数据。支持自主模式下答题自动判断对错，支持错误处高亮标记，支持对当前提交题目分值计算。支持已答、未答、答错、答对题目标识、支持题目特殊标记。支持单题目答案与解析查看、清空当前题目答案。支持核算会计账簿查询、支持方法会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校内任务：支持校内任务查看、支持密码验证参与校内任务、支持进行卷面答题。</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统计与分析：支持个人自主训练模块错题分析、支持单个题目错误率统计。支持个人练习分析，支持统计历史记录中个人最高分、平均分计算。支持个人历史记录中交卷的记录及各自得分、排名统计。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个人设置：支持手机号换绑操作、支持通过手机号找回密码、支持手机短信快捷登录账号。</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务管理：支持试卷展示、自动读取数据订单，支持对试卷开放权限管控，支持浏览试卷详情。支持创建校赛任务，支持个人赛、团队赛赛事创建，支持自主设置考试时长、支持对答案和解析权限控制、支持团队赛多个团队共同参与、支持考生参赛加密解密处理。支持任务列表管理。支持发布当前任务，支持任务查询详情、删除或编辑当前任务。任务进行中，支持对考生端答题情况实时监控（考生答题分值及作答数）及当前任务成绩统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教务统计分析：任务结束后，支持统计成绩查询并统计，支持删除已结束任务。支持手机号换绑操作、支持通过手机号找回密码、支持手机短信快捷登录账号、支持绑定院系修改。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大数据管理会计应用模块</w:t>
            </w:r>
          </w:p>
        </w:tc>
        <w:tc>
          <w:tcPr>
            <w:tcW w:w="7615"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模块概述：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为《管理会计》课程开设大数据应用能力提升系统，</w:t>
            </w:r>
            <w:r>
              <w:rPr>
                <w:rFonts w:hint="eastAsia" w:ascii="宋体" w:hAnsi="宋体" w:eastAsia="宋体" w:cs="宋体"/>
                <w:b w:val="0"/>
                <w:bCs w:val="0"/>
                <w:sz w:val="21"/>
                <w:szCs w:val="21"/>
              </w:rPr>
              <w:t>依据财务、业务数据和外部相关的政策、法律、经济等信息，运用管理会计工具方法进行预测、决策、分析、控制和评价等提供决策支持。</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帮助学生运营管理会计方法、学习大数据相关知识，让学生学会Python语言在财会领域的使用，能够应用Python语言进行数据爬取、数据清洗、可视化展示。</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资源明细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不少于10套训练案例。</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三、功能参数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训练端。包含个人自主模式训练和模拟真实考场环境测验。支持企业展示、自动读取数据订单，当前用户做题数据进度展示，一键训练。支持已交卷历史记录作答详情查询及任务作答记录查看，支持对历史记录下成绩排名。支持任务答题时间统计、允许自主岗位角色切换并选择，题总数统计。支持任务题目分岗位展示，支持多题型、支持综合、多选、单选、图表、分录、表格等题型答题。支持EXCEL数据一键粘贴数据。支持自主模式下答题自动判断对错，支持错误处高亮标记，支持对当前提交题目分值计算。支持已答、未答、答错、答对题目标识、支持题目特殊标记。支持单题目答案与解析查看、清空当前题目答案。支持核算会计账簿查询、支持方法会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2、校内任务：支持校内任务查看、支持密码验证参与校内任务、支持进行卷面答题。</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3、统计与分析：支持个人自主训练模块错题分析、支持单个题目错误率统计。支持个人练习分析，支持统计历史记录中个人最高分、平均分计算。支持个人历史记录中交卷的记录及各自得分、排名统计。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4、个人设置：支持手机号换绑操作、支持通过手机号找回密码、支持手机短信快捷登录账号。</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教务管理：支持试卷展示、自动读取数据订单，支持对试卷开放权限管控，支持浏览试卷详情。支持创建校赛任务，支持个人赛、团队赛赛事创建，支持自主设置考试时长、支持对答案和解析权限控制、支持团队赛多个团队共同参与、支持考生参赛加密解密处理。支持任务列表管理。支持发布当前任务，支持任务查询详情、删除或编辑当前任务。任务进行中，支持对考生端答题情况实时监控（考生答题分值及作答数）及当前任务成绩统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6、教务统计分析：任务结束后，支持统计成绩查询并统计，支持删除已结束任务。支持手机号换绑操作、支持通过手机号找回密码、支持手机短信快捷登录账号、支持绑定院系修改。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3D移动业务场景体验模块</w:t>
            </w:r>
          </w:p>
        </w:tc>
        <w:tc>
          <w:tcPr>
            <w:tcW w:w="7615"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一、模块简概</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运用3D技术模拟企业案例场景进行会计实训系统</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以职业岗位角色，体现企业工作场景及业务处理场景，让学生按照给出语音、动画提示和标准化流程，主动完成企业的财务操作流程，让学生提前感知上岗环境和积实习经验，快速胜任现实财务岗位。</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二、资源明细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提供10个（采矿业、物流业、种植业、机械制造业、批发零售业、建筑装饰业、技术服务业、小额贷款业、食品业、餐饮业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行政事业单位）行业16个企业</w:t>
            </w:r>
            <w:r>
              <w:rPr>
                <w:rFonts w:hint="eastAsia" w:ascii="宋体" w:hAnsi="宋体" w:eastAsia="宋体" w:cs="宋体"/>
                <w:b w:val="0"/>
                <w:bCs w:val="0"/>
                <w:sz w:val="21"/>
                <w:szCs w:val="21"/>
                <w:lang w:val="en-US" w:eastAsia="zh-CN"/>
              </w:rPr>
              <w:t>3D训练</w:t>
            </w:r>
            <w:r>
              <w:rPr>
                <w:rFonts w:hint="eastAsia" w:ascii="宋体" w:hAnsi="宋体" w:eastAsia="宋体" w:cs="宋体"/>
                <w:b w:val="0"/>
                <w:bCs w:val="0"/>
                <w:sz w:val="21"/>
                <w:szCs w:val="21"/>
              </w:rPr>
              <w:t>资源。</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功能参数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跟踪任务；对于每一个任务，系统完整跟踪记录用户的主要操作和内部完成的步骤情况；</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标记区分，已完成任务、未完成任务、任务完成情况（具体在数据档案模块详细记录）等；</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任务介绍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可通过UI界面进入查看当前任务的介绍，分别为：任务描述、任务目标和任务分析等；</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培训模式下，任务进行中，玩家可以随意切换漫游场景，随意与npc进行对话，但是不能随意切换角色，即每一步任务步骤是限定的，玩家只能按照规定好的步骤进行相应的互动操作，否则任务会在本步骤停滞，直到玩家做出相应正确的操作，任务步骤才会跳转到下一步，如果玩家操作错误，系统npc或者师傅会给出相应的引导和错误提示，指引玩家做出正确的选择和操作；</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·考试模式下，由于上下游的票据的限定，任何非正规操作，也将会受限制，如看不到相应的票据，无法进行下一步等，但是系统不会在玩家做出错误操作的时候给出提示和指示，除非玩家开启师傅引导；</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·培训系统分为多个公共场景，采取引导玩家全流程进行学习操作的方式；</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·培训系统默认开启任务提示系统和师傅引导；</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·培训模式下所有任务动态导入；</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·所有任务动态加载，且任务细节（即任务脚本）由后台动态加载任务配置文件和资源，具体详见任务系统；</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首次学习训练，须完整完成培训任务，如已完成可直接跳过，直接进行对应场景的考试。</w:t>
            </w:r>
          </w:p>
        </w:tc>
      </w:tr>
    </w:tbl>
    <w:p>
      <w:pPr>
        <w:widowControl/>
        <w:numPr>
          <w:ilvl w:val="0"/>
          <w:numId w:val="0"/>
        </w:numPr>
        <w:adjustRightInd w:val="0"/>
        <w:snapToGrid w:val="0"/>
        <w:spacing w:line="288" w:lineRule="auto"/>
        <w:jc w:val="left"/>
        <w:rPr>
          <w:rFonts w:hint="eastAsia" w:cs="宋体"/>
          <w:b/>
          <w:bCs/>
          <w:sz w:val="21"/>
          <w:szCs w:val="21"/>
          <w:lang w:val="en-US" w:eastAsia="zh-CN"/>
        </w:rPr>
      </w:pPr>
      <w:r>
        <w:rPr>
          <w:rFonts w:hint="eastAsia" w:cs="宋体"/>
          <w:b/>
          <w:bCs/>
          <w:sz w:val="21"/>
          <w:szCs w:val="21"/>
          <w:lang w:val="en-US" w:eastAsia="zh-CN"/>
        </w:rPr>
        <w:t>4.演示</w:t>
      </w:r>
    </w:p>
    <w:p>
      <w:pPr>
        <w:widowControl/>
        <w:numPr>
          <w:ilvl w:val="0"/>
          <w:numId w:val="0"/>
        </w:numPr>
        <w:adjustRightInd w:val="0"/>
        <w:snapToGrid w:val="0"/>
        <w:spacing w:line="288" w:lineRule="auto"/>
        <w:ind w:firstLine="420" w:firstLineChars="200"/>
        <w:jc w:val="left"/>
        <w:rPr>
          <w:rFonts w:hint="eastAsia" w:cs="Times New Roman"/>
          <w:sz w:val="21"/>
          <w:szCs w:val="21"/>
          <w:highlight w:val="none"/>
        </w:rPr>
      </w:pPr>
      <w:r>
        <w:rPr>
          <w:rFonts w:hint="eastAsia" w:cs="Times New Roman"/>
          <w:sz w:val="21"/>
          <w:szCs w:val="21"/>
          <w:highlight w:val="none"/>
          <w:lang w:val="en-US" w:eastAsia="zh-CN"/>
        </w:rPr>
        <w:t>4.1.供应商</w:t>
      </w:r>
      <w:r>
        <w:rPr>
          <w:rFonts w:hint="eastAsia" w:cs="Times New Roman"/>
          <w:sz w:val="21"/>
          <w:szCs w:val="21"/>
          <w:highlight w:val="none"/>
        </w:rPr>
        <w:t>需提供软件demo或类似项目真实</w:t>
      </w:r>
      <w:r>
        <w:rPr>
          <w:rFonts w:hint="eastAsia" w:cs="Times New Roman"/>
          <w:sz w:val="21"/>
          <w:szCs w:val="21"/>
          <w:highlight w:val="none"/>
          <w:lang w:val="en-US" w:eastAsia="zh-CN"/>
        </w:rPr>
        <w:t>平台</w:t>
      </w:r>
      <w:r>
        <w:rPr>
          <w:rFonts w:hint="eastAsia" w:cs="Times New Roman"/>
          <w:sz w:val="21"/>
          <w:szCs w:val="21"/>
          <w:highlight w:val="none"/>
        </w:rPr>
        <w:t>的演示，具体演示要求如下：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1.业财税融合创新课程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（1）课前：包括学生自主预习，含课程内容、试题、在线实验。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（2）课中：包括新增授课、授课投屏、发布课堂测验、课堂测验统计。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2.大数据应用课程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（1）课后：包括发布课程任务、发布整套实训案例任务、发布部分实训案例任务、任务信息修改、查看任务详情、任务成绩统计、任务错误人数统计、任务批阅。</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3.业财税融合大数据投融资分析技能养成模块</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（1）教师端：支持课程资源管理，单技能点练习、综合技能练习、案例训练。任务管理、答案与解析设置、任务成绩统计。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（2）自主训练模式：不限时长，无限次提交答案，支持答案判断、错误处标记、查看答案及解析、卷面分值统计等。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4.业财税融合财务会计综合实训模块</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（1）统计与分析：支持个人自主训练模块错题分析、支持单个题目错误率统计。支持个人练习分析，支持统计历史记录中个人最高分、平均分计算。支持个人历史记录中交卷的记录及各自得分、排名统计。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5.大数据管理会计应用模块</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训练端：包含个人自主模式训练和模拟真实考场环境测验。支持企业展示、自动读取数据订单，当前用户做题数据进度展示，一键训练。支持已交卷历史记录作答详情查询及任务作答记录查看，支持对历史记录下成绩排名。支持任务答题时间统计、允许自主岗位角色切换并选择，题总数统计。支持任务题目分岗位展示，支持多题型、支持综合、多选、单选、图表、分录、表格等题型答题。支持EXCEL数据一键粘贴数据。支持自主模式下答题自动判断对错，支持错误处高亮标记，支持对当前提交题目分值计算。支持已答、未答、答错、答对题目标识、支持题目特殊标记。支持单题目答案与解析查看、清空当前题目答案。支持核算会计账簿查询、支持方法会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6.3D移动业务场景体验模块</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（1）跟踪任务；对于每一个任务，系统完整跟踪记录用户的主要操作和内部完成的步骤情况；</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（2）标记区分，已完成任务、未完成任务、任务完成情况（具体在数据档案模块详细记录）等；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3）培训模式下，任务进行中，玩家可以随意切换漫游场景，随意与npc进行对话，但是不能随意切换角色，即每一步任务步骤是限定的，玩家只能按照规定好的步骤进行相应的互动操作，否则任务会在本步骤停滞，直到玩家做出相应正确的操作，任务步骤才会跳</w:t>
      </w:r>
      <w:r>
        <w:rPr>
          <w:rFonts w:hint="eastAsia" w:ascii="宋体" w:hAnsi="宋体" w:eastAsia="宋体" w:cs="宋体"/>
          <w:b w:val="0"/>
          <w:bCs w:val="0"/>
          <w:color w:val="auto"/>
          <w:sz w:val="21"/>
          <w:szCs w:val="21"/>
          <w:lang w:val="en-US" w:eastAsia="zh-CN"/>
        </w:rPr>
        <w:t>转到下一步，如果玩家操作错误，系统npc或者师傅会给出相应的引导和错误提示，指引玩家做出正确的选择和操作；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4.2.演示U盘：</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根据“电子交易/不见面开评标”原则，响应方需将以上演示要求的演示及讲解过程录制视频，该录制视频演示时长不超过8分钟以.mp4格式存储于U盘；响应方须自行核验U盘中的视频能正常播放，保证视频无需转码即可直接用主流播放器打开播放。</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（2）演示U盘可以EMS或顺丰邮寄形式在响应截止时间前递交，演示U盘应当密封包装并在包装上标注演示U盘、响应项目名称、标项、响应方名称并加盖公章。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（3）未按磋商文件要求提供演示U盘及演示内容，导致专家无法正常评审的风险由响应方自行承担。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val="0"/>
          <w:color w:val="auto"/>
          <w:sz w:val="21"/>
          <w:szCs w:val="21"/>
          <w:lang w:val="en-US" w:eastAsia="zh-CN"/>
        </w:rPr>
        <w:t>▲（4）未提供</w:t>
      </w:r>
      <w:r>
        <w:rPr>
          <w:rFonts w:hint="eastAsia" w:cs="宋体"/>
          <w:b w:val="0"/>
          <w:bCs w:val="0"/>
          <w:color w:val="auto"/>
          <w:sz w:val="21"/>
          <w:szCs w:val="21"/>
          <w:lang w:val="en-US" w:eastAsia="zh-CN"/>
        </w:rPr>
        <w:t>任何</w:t>
      </w:r>
      <w:r>
        <w:rPr>
          <w:rFonts w:hint="eastAsia" w:ascii="宋体" w:hAnsi="宋体" w:eastAsia="宋体" w:cs="宋体"/>
          <w:b w:val="0"/>
          <w:bCs w:val="0"/>
          <w:color w:val="auto"/>
          <w:sz w:val="21"/>
          <w:szCs w:val="21"/>
          <w:lang w:val="en-US" w:eastAsia="zh-CN"/>
        </w:rPr>
        <w:t>演示</w:t>
      </w:r>
      <w:r>
        <w:rPr>
          <w:rFonts w:hint="eastAsia" w:cs="宋体"/>
          <w:b w:val="0"/>
          <w:bCs w:val="0"/>
          <w:color w:val="auto"/>
          <w:sz w:val="21"/>
          <w:szCs w:val="21"/>
          <w:lang w:val="en-US" w:eastAsia="zh-CN"/>
        </w:rPr>
        <w:t>的</w:t>
      </w:r>
      <w:r>
        <w:rPr>
          <w:rFonts w:hint="eastAsia" w:ascii="宋体" w:hAnsi="宋体" w:eastAsia="宋体" w:cs="宋体"/>
          <w:b w:val="0"/>
          <w:bCs w:val="0"/>
          <w:color w:val="auto"/>
          <w:sz w:val="21"/>
          <w:szCs w:val="21"/>
          <w:lang w:val="en-US" w:eastAsia="zh-CN"/>
        </w:rPr>
        <w:t>，响应无效。</w:t>
      </w:r>
      <w:r>
        <w:rPr>
          <w:rFonts w:hint="eastAsia" w:ascii="宋体" w:hAnsi="宋体" w:eastAsia="宋体" w:cs="宋体"/>
          <w:b/>
          <w:bCs/>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浙江金融职业学院业财税融合岗课证训场景教学平台项目</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highlight w:val="none"/>
              </w:rPr>
            </w:pPr>
            <w:r>
              <w:rPr>
                <w:rFonts w:hint="eastAsia" w:cstheme="minorBidi"/>
                <w:sz w:val="21"/>
                <w:szCs w:val="21"/>
                <w:highlight w:val="none"/>
              </w:rPr>
              <w:t>▲1</w:t>
            </w:r>
            <w:r>
              <w:rPr>
                <w:rFonts w:cstheme="minorBidi"/>
                <w:sz w:val="21"/>
                <w:szCs w:val="21"/>
                <w:highlight w:val="none"/>
              </w:rPr>
              <w:t>.供应商代表是法定代表人</w:t>
            </w:r>
            <w:r>
              <w:rPr>
                <w:rFonts w:hint="eastAsia" w:cstheme="minorBidi"/>
                <w:sz w:val="21"/>
                <w:szCs w:val="21"/>
                <w:highlight w:val="none"/>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highlight w:val="none"/>
              </w:rPr>
              <w:t>▲</w:t>
            </w:r>
            <w:r>
              <w:rPr>
                <w:rFonts w:cstheme="minorBidi"/>
                <w:sz w:val="21"/>
                <w:szCs w:val="21"/>
                <w:highlight w:val="none"/>
              </w:rPr>
              <w:t>2</w:t>
            </w:r>
            <w:r>
              <w:rPr>
                <w:rFonts w:hint="eastAsia" w:cstheme="minorBidi"/>
                <w:sz w:val="21"/>
                <w:szCs w:val="21"/>
                <w:highlight w:val="none"/>
              </w:rPr>
              <w:t>.</w:t>
            </w:r>
            <w:r>
              <w:rPr>
                <w:rFonts w:cstheme="minorBidi"/>
                <w:sz w:val="21"/>
                <w:szCs w:val="21"/>
                <w:highlight w:val="none"/>
              </w:rPr>
              <w:t>供应商代表不是法定代表人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2024年01月</w:t>
            </w:r>
            <w:r>
              <w:rPr>
                <w:rFonts w:cstheme="minorBidi"/>
                <w:sz w:val="21"/>
                <w:szCs w:val="21"/>
                <w:highlight w:val="none"/>
              </w:rPr>
              <w:t>（含）以后任意一月）；</w:t>
            </w:r>
          </w:p>
          <w:p>
            <w:pPr>
              <w:adjustRightInd w:val="0"/>
              <w:snapToGrid w:val="0"/>
              <w:spacing w:line="288" w:lineRule="auto"/>
              <w:rPr>
                <w:sz w:val="21"/>
                <w:szCs w:val="21"/>
                <w:highlight w:val="none"/>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32"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bookmarkEnd w:id="32"/>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val="en-US" w:eastAsia="zh-CN"/>
                    </w:rPr>
                    <w:t>成交</w:t>
                  </w:r>
                  <w:r>
                    <w:rPr>
                      <w:rFonts w:hint="eastAsia" w:ascii="宋体" w:hAnsi="宋体" w:cs="宋体"/>
                      <w:b/>
                      <w:bCs/>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none"/>
                    </w:rPr>
                  </w:pPr>
                  <w:r>
                    <w:rPr>
                      <w:rFonts w:hint="eastAsia" w:ascii="宋体" w:hAnsi="宋体"/>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0</w:t>
                  </w:r>
                  <w:r>
                    <w:rPr>
                      <w:rFonts w:hint="eastAsia" w:ascii="宋体" w:hAnsi="宋体"/>
                      <w:sz w:val="21"/>
                      <w:szCs w:val="21"/>
                      <w:highlight w:val="none"/>
                    </w:rPr>
                    <w:t>5</w:t>
                  </w:r>
                </w:p>
              </w:tc>
            </w:tr>
          </w:tbl>
          <w:p>
            <w:pPr>
              <w:adjustRightInd w:val="0"/>
              <w:snapToGrid w:val="0"/>
              <w:spacing w:line="288" w:lineRule="auto"/>
              <w:rPr>
                <w:sz w:val="21"/>
                <w:szCs w:val="21"/>
                <w:highlight w:val="none"/>
              </w:rPr>
            </w:pPr>
            <w:r>
              <w:rPr>
                <w:rFonts w:hint="eastAsia" w:ascii="宋体" w:hAnsi="宋体" w:eastAsia="宋体" w:cs="宋体"/>
                <w:sz w:val="21"/>
                <w:szCs w:val="21"/>
                <w:highlight w:val="none"/>
                <w:lang w:val="en-US" w:eastAsia="zh-CN"/>
              </w:rPr>
              <w:t>不足3000元按3000元收取。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联合体响应</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color w:val="auto"/>
                <w:sz w:val="21"/>
                <w:szCs w:val="21"/>
              </w:rPr>
            </w:pPr>
            <w:r>
              <w:rPr>
                <w:rFonts w:hint="eastAsia"/>
                <w:color w:val="auto"/>
                <w:sz w:val="21"/>
                <w:szCs w:val="21"/>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color w:val="auto"/>
                <w:sz w:val="21"/>
                <w:szCs w:val="21"/>
                <w:highlight w:val="none"/>
                <w:u w:val="single"/>
              </w:rPr>
              <w:t xml:space="preserve"> </w:t>
            </w:r>
            <w:r>
              <w:rPr>
                <w:rFonts w:hint="eastAsia"/>
                <w:color w:val="auto"/>
                <w:sz w:val="21"/>
                <w:szCs w:val="21"/>
                <w:highlight w:val="none"/>
                <w:u w:val="single"/>
              </w:rPr>
              <w:t>分包内容的金额不超过合同金额的</w:t>
            </w:r>
            <w:r>
              <w:rPr>
                <w:rFonts w:hint="eastAsia"/>
                <w:color w:val="auto"/>
                <w:sz w:val="21"/>
                <w:szCs w:val="21"/>
                <w:highlight w:val="none"/>
                <w:u w:val="single"/>
                <w:lang w:val="en-US" w:eastAsia="zh-CN"/>
              </w:rPr>
              <w:t>1</w:t>
            </w:r>
            <w:r>
              <w:rPr>
                <w:rFonts w:hint="eastAsia"/>
                <w:color w:val="auto"/>
                <w:sz w:val="21"/>
                <w:szCs w:val="21"/>
                <w:highlight w:val="none"/>
                <w:u w:val="single"/>
              </w:rPr>
              <w:t>0%</w:t>
            </w:r>
            <w:r>
              <w:rPr>
                <w:color w:val="auto"/>
                <w:sz w:val="21"/>
                <w:szCs w:val="21"/>
                <w:highlight w:val="none"/>
                <w:u w:val="single"/>
              </w:rPr>
              <w:t xml:space="preserve">  。</w:t>
            </w:r>
          </w:p>
          <w:p>
            <w:pPr>
              <w:adjustRightInd w:val="0"/>
              <w:snapToGrid w:val="0"/>
              <w:spacing w:line="288" w:lineRule="auto"/>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3"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3）落实政府采购政策需满足的资格要求：无</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）收，电话：0571-87</w:t>
            </w:r>
            <w:r>
              <w:rPr>
                <w:rFonts w:hint="eastAsia"/>
                <w:b/>
                <w:bCs/>
                <w:sz w:val="21"/>
                <w:szCs w:val="21"/>
                <w:highlight w:val="none"/>
                <w:lang w:eastAsia="zh-CN"/>
              </w:rPr>
              <w:t>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浙江金融职业学院业财税融合岗课证训场景教学平台项目</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浙江金融职业学院</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color w:val="auto"/>
          <w:sz w:val="21"/>
          <w:szCs w:val="21"/>
          <w:highlight w:val="none"/>
        </w:rPr>
      </w:pPr>
      <w:r>
        <w:rPr>
          <w:rFonts w:hint="eastAsia"/>
          <w:sz w:val="21"/>
          <w:szCs w:val="21"/>
        </w:rPr>
        <w:t>▲</w:t>
      </w:r>
      <w:r>
        <w:rPr>
          <w:sz w:val="21"/>
          <w:szCs w:val="21"/>
        </w:rPr>
        <w:t>1.供应商代表是法定代表人（单</w:t>
      </w:r>
      <w:r>
        <w:rPr>
          <w:color w:val="auto"/>
          <w:sz w:val="21"/>
          <w:szCs w:val="21"/>
          <w:highlight w:val="none"/>
        </w:rPr>
        <w:t>位负责人、自然人本人）的，须提供本人身份证明。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2024年01月</w:t>
      </w:r>
      <w:r>
        <w:rPr>
          <w:color w:val="auto"/>
          <w:sz w:val="21"/>
          <w:szCs w:val="21"/>
          <w:highlight w:val="none"/>
        </w:rPr>
        <w:t>（含）以后任意一月）；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olor w:val="auto"/>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5</w:t>
            </w:r>
          </w:p>
        </w:tc>
      </w:tr>
    </w:tbl>
    <w:p>
      <w:pPr>
        <w:adjustRightInd w:val="0"/>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不足3000元按3000元收取。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pPr>
        <w:spacing w:line="288" w:lineRule="auto"/>
        <w:ind w:firstLine="420" w:firstLineChars="200"/>
        <w:rPr>
          <w:rFonts w:cs="Times New Roman"/>
          <w:color w:val="auto"/>
          <w:sz w:val="21"/>
          <w:szCs w:val="22"/>
          <w:highlight w:val="none"/>
        </w:rPr>
      </w:pPr>
      <w:bookmarkStart w:id="36" w:name="_Hlk104288918"/>
      <w:r>
        <w:rPr>
          <w:rFonts w:hint="eastAsia"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p>
    <w:p>
      <w:pPr>
        <w:adjustRightInd w:val="0"/>
        <w:snapToGrid w:val="0"/>
        <w:spacing w:line="288" w:lineRule="auto"/>
        <w:ind w:firstLine="424" w:firstLineChars="202"/>
        <w:jc w:val="left"/>
        <w:rPr>
          <w:color w:val="auto"/>
          <w:sz w:val="21"/>
          <w:szCs w:val="21"/>
          <w:highlight w:val="none"/>
        </w:rPr>
      </w:pPr>
      <w:r>
        <w:rPr>
          <w:color w:val="auto"/>
          <w:sz w:val="21"/>
          <w:szCs w:val="21"/>
          <w:highlight w:val="none"/>
          <w:u w:val="single"/>
        </w:rPr>
        <w:t xml:space="preserve"> </w:t>
      </w:r>
      <w:r>
        <w:rPr>
          <w:rFonts w:hint="eastAsia"/>
          <w:color w:val="auto"/>
          <w:sz w:val="21"/>
          <w:szCs w:val="21"/>
          <w:highlight w:val="none"/>
          <w:u w:val="single"/>
        </w:rPr>
        <w:t>分包内容的金额不超过合同金额的</w:t>
      </w:r>
      <w:r>
        <w:rPr>
          <w:rFonts w:hint="eastAsia"/>
          <w:color w:val="auto"/>
          <w:sz w:val="21"/>
          <w:szCs w:val="21"/>
          <w:highlight w:val="none"/>
          <w:u w:val="single"/>
          <w:lang w:val="en-US" w:eastAsia="zh-CN"/>
        </w:rPr>
        <w:t>1</w:t>
      </w:r>
      <w:r>
        <w:rPr>
          <w:rFonts w:hint="eastAsia"/>
          <w:color w:val="auto"/>
          <w:sz w:val="21"/>
          <w:szCs w:val="21"/>
          <w:highlight w:val="none"/>
          <w:u w:val="single"/>
        </w:rPr>
        <w:t>0%</w:t>
      </w:r>
      <w:r>
        <w:rPr>
          <w:color w:val="auto"/>
          <w:sz w:val="21"/>
          <w:szCs w:val="21"/>
          <w:highlight w:val="none"/>
          <w:u w:val="single"/>
        </w:rPr>
        <w:t xml:space="preserve"> 。</w:t>
      </w:r>
    </w:p>
    <w:p>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7" w:name="_Hlk92273406"/>
      <w:bookmarkStart w:id="38"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7"/>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pPr>
        <w:adjustRightInd w:val="0"/>
        <w:snapToGrid w:val="0"/>
        <w:spacing w:line="288" w:lineRule="auto"/>
        <w:outlineLvl w:val="9"/>
        <w:rPr>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w:t>
      </w:r>
      <w:r>
        <w:rPr>
          <w:rFonts w:cs="Times New Roman"/>
          <w:spacing w:val="-6"/>
          <w:sz w:val="21"/>
          <w:szCs w:val="21"/>
          <w:highlight w:val="none"/>
        </w:rPr>
        <w:t>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w:t>
      </w:r>
      <w:r>
        <w:rPr>
          <w:rFonts w:hint="eastAsia" w:cs="Times New Roman"/>
          <w:spacing w:val="-6"/>
          <w:sz w:val="21"/>
          <w:szCs w:val="21"/>
          <w:highlight w:val="none"/>
          <w:lang w:val="en-US" w:eastAsia="zh-CN"/>
        </w:rPr>
        <w:t>10%</w:t>
      </w:r>
      <w:r>
        <w:rPr>
          <w:rFonts w:cs="Times New Roman"/>
          <w:spacing w:val="-6"/>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spacing w:val="-6"/>
          <w:sz w:val="21"/>
          <w:szCs w:val="21"/>
          <w:highlight w:val="none"/>
          <w:lang w:val="en-US" w:eastAsia="zh-CN"/>
        </w:rPr>
        <w:t>4%</w:t>
      </w:r>
      <w:r>
        <w:rPr>
          <w:rFonts w:cs="Times New Roman"/>
          <w:spacing w:val="-6"/>
          <w:sz w:val="21"/>
          <w:szCs w:val="21"/>
          <w:highlight w:val="none"/>
        </w:rPr>
        <w:t>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highlight w:val="none"/>
          <w:u w:val="single"/>
        </w:rPr>
        <w:t>符合《关于政府采购支持监狱企业发展有关问题的通知》（财库[2014]68号）规</w:t>
      </w:r>
      <w:r>
        <w:rPr>
          <w:rFonts w:cs="Times New Roman"/>
          <w:spacing w:val="-6"/>
          <w:sz w:val="21"/>
          <w:szCs w:val="21"/>
          <w:u w:val="single"/>
        </w:rPr>
        <w:t>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w:t>
      </w:r>
      <w:r>
        <w:rPr>
          <w:rFonts w:hint="eastAsia" w:cs="Times New Roman"/>
          <w:bCs/>
          <w:spacing w:val="-6"/>
          <w:sz w:val="21"/>
          <w:szCs w:val="21"/>
          <w:highlight w:val="none"/>
        </w:rPr>
        <w:t>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2" w:name="_Hlk96329193"/>
      <w:r>
        <w:rPr>
          <w:rFonts w:hint="eastAsia"/>
          <w:sz w:val="21"/>
          <w:szCs w:val="21"/>
          <w:highlight w:val="none"/>
        </w:rPr>
        <w:t>，供应商应写全称。</w:t>
      </w:r>
      <w:bookmarkEnd w:id="42"/>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）收，电话：0571-87</w:t>
      </w:r>
      <w:r>
        <w:rPr>
          <w:rFonts w:hint="eastAsia"/>
          <w:b/>
          <w:bCs/>
          <w:sz w:val="21"/>
          <w:szCs w:val="21"/>
          <w:highlight w:val="none"/>
          <w:lang w:eastAsia="zh-CN"/>
        </w:rPr>
        <w:t>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rPr>
        <w:t>（1）资格证明材料不全的，或者不</w:t>
      </w:r>
      <w:r>
        <w:rPr>
          <w:rFonts w:hint="eastAsia"/>
          <w:sz w:val="21"/>
          <w:szCs w:val="21"/>
          <w:highlight w:val="none"/>
        </w:rPr>
        <w:t>符合磋商文件要求；</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pPr>
        <w:adjustRightInd w:val="0"/>
        <w:snapToGrid w:val="0"/>
        <w:spacing w:line="288" w:lineRule="auto"/>
        <w:ind w:firstLine="420" w:firstLineChars="200"/>
        <w:rPr>
          <w:sz w:val="21"/>
          <w:szCs w:val="21"/>
          <w:highlight w:val="none"/>
        </w:rPr>
      </w:pPr>
      <w:bookmarkStart w:id="44" w:name="_Hlk97039841"/>
      <w:r>
        <w:rPr>
          <w:rFonts w:hint="eastAsia"/>
          <w:sz w:val="21"/>
          <w:szCs w:val="21"/>
          <w:highlight w:val="none"/>
        </w:rPr>
        <w:t>（3）资格文件未按要求签署、盖章。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4"/>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w:t>
      </w:r>
      <w:r>
        <w:rPr>
          <w:rFonts w:hint="eastAsia" w:cs="Times New Roman"/>
          <w:spacing w:val="-6"/>
          <w:sz w:val="21"/>
          <w:szCs w:val="21"/>
        </w:rPr>
        <w:t>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供应商应当按照磋商文件的变动</w:t>
      </w:r>
      <w:r>
        <w:rPr>
          <w:rFonts w:hint="eastAsia" w:cs="Arial"/>
          <w:color w:val="auto"/>
          <w:kern w:val="0"/>
          <w:sz w:val="21"/>
          <w:szCs w:val="21"/>
          <w:highlight w:val="none"/>
        </w:rPr>
        <w:t>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kern w:val="0"/>
          <w:sz w:val="21"/>
          <w:szCs w:val="21"/>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w:t>
      </w:r>
      <w:r>
        <w:rPr>
          <w:rFonts w:hint="eastAsia" w:cs="Arial"/>
          <w:kern w:val="0"/>
          <w:sz w:val="21"/>
          <w:szCs w:val="21"/>
        </w:rPr>
        <w:t>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kern w:val="0"/>
          <w:sz w:val="21"/>
          <w:szCs w:val="21"/>
        </w:rPr>
        <w:t>现场监督员如发现分值汇总计算错误、分项评分超出评分标准范围、客观评分不一致以及存在评分</w:t>
      </w:r>
      <w:r>
        <w:rPr>
          <w:rFonts w:hint="eastAsia" w:cs="Arial"/>
          <w:color w:val="auto"/>
          <w:kern w:val="0"/>
          <w:sz w:val="21"/>
          <w:szCs w:val="21"/>
          <w:highlight w:val="none"/>
        </w:rPr>
        <w:t>畸高、畸低情形的，应由相关人员当场改正或作出说明；拒不改正又不作说明的，由现场监督员如实记载后存入项目档案资料。</w:t>
      </w:r>
    </w:p>
    <w:bookmarkEnd w:id="45"/>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bookmarkStart w:id="46"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6"/>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评审因素</w:t>
            </w: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7071"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价格分（</w:t>
            </w:r>
            <w:r>
              <w:rPr>
                <w:rFonts w:hint="eastAsia" w:cs="宋体"/>
                <w:b/>
                <w:bCs/>
                <w:kern w:val="0"/>
                <w:sz w:val="21"/>
                <w:szCs w:val="21"/>
                <w:lang w:val="en-US" w:eastAsia="zh-CN"/>
              </w:rPr>
              <w:t>2</w:t>
            </w:r>
            <w:r>
              <w:rPr>
                <w:rFonts w:hint="eastAsia" w:ascii="宋体" w:hAnsi="宋体" w:eastAsia="宋体" w:cs="宋体"/>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最后磋商报价</w:t>
            </w:r>
          </w:p>
        </w:tc>
        <w:tc>
          <w:tcPr>
            <w:tcW w:w="682" w:type="dxa"/>
            <w:vAlign w:val="center"/>
          </w:tcPr>
          <w:p>
            <w:pPr>
              <w:adjustRightInd w:val="0"/>
              <w:snapToGrid w:val="0"/>
              <w:spacing w:line="288" w:lineRule="auto"/>
              <w:jc w:val="center"/>
              <w:rPr>
                <w:rFonts w:hint="default" w:ascii="宋体" w:hAnsi="宋体" w:eastAsia="宋体" w:cs="宋体"/>
                <w:b/>
                <w:bCs/>
                <w:kern w:val="0"/>
                <w:sz w:val="21"/>
                <w:szCs w:val="21"/>
                <w:lang w:val="en-US"/>
              </w:rPr>
            </w:pPr>
            <w:r>
              <w:rPr>
                <w:rFonts w:hint="eastAsia" w:cs="宋体"/>
                <w:b/>
                <w:bCs/>
                <w:kern w:val="0"/>
                <w:sz w:val="21"/>
                <w:szCs w:val="21"/>
                <w:lang w:val="en-US" w:eastAsia="zh-CN"/>
              </w:rPr>
              <w:t>20</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磋商报价得分=（磋商基准价/最后磋商报价）×</w:t>
            </w:r>
            <w:r>
              <w:rPr>
                <w:rFonts w:hint="eastAsia" w:cs="宋体"/>
                <w:kern w:val="0"/>
                <w:sz w:val="21"/>
                <w:szCs w:val="21"/>
                <w:lang w:val="en-US" w:eastAsia="zh-CN"/>
              </w:rPr>
              <w:t>2</w:t>
            </w:r>
            <w:r>
              <w:rPr>
                <w:rFonts w:hint="eastAsia" w:ascii="宋体" w:hAnsi="宋体" w:eastAsia="宋体" w:cs="宋体"/>
                <w:kern w:val="0"/>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商务分（</w:t>
            </w:r>
            <w:r>
              <w:rPr>
                <w:rFonts w:hint="eastAsia" w:cs="宋体"/>
                <w:b/>
                <w:bCs/>
                <w:kern w:val="0"/>
                <w:sz w:val="21"/>
                <w:szCs w:val="21"/>
                <w:lang w:val="en-US" w:eastAsia="zh-CN"/>
              </w:rPr>
              <w:t>8</w:t>
            </w:r>
            <w:r>
              <w:rPr>
                <w:rFonts w:hint="eastAsia" w:ascii="宋体" w:hAnsi="宋体" w:eastAsia="宋体" w:cs="宋体"/>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业绩</w:t>
            </w: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cs="宋体"/>
                <w:b/>
                <w:bCs/>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供应商自20</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年1月1日以来（以合同签订时间为准）同类合同业绩（以提供的合同扫描件为准）：每提供1份合同业绩得1分，最高得</w:t>
            </w:r>
            <w:r>
              <w:rPr>
                <w:rFonts w:hint="eastAsia" w:cs="宋体"/>
                <w:kern w:val="0"/>
                <w:sz w:val="21"/>
                <w:szCs w:val="21"/>
                <w:lang w:val="en-US" w:eastAsia="zh-CN"/>
              </w:rPr>
              <w:t>2</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证书</w:t>
            </w: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cs="宋体"/>
                <w:b/>
                <w:bCs/>
                <w:color w:val="auto"/>
                <w:kern w:val="0"/>
                <w:sz w:val="21"/>
                <w:szCs w:val="21"/>
                <w:highlight w:val="none"/>
                <w:lang w:val="en-US" w:eastAsia="zh-CN"/>
              </w:rPr>
              <w:t>6</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供应商具有与本项目实施相关的软件著作权登记证书的，每提供1个计算机软件著作权登记证书得</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分，最高</w:t>
            </w:r>
            <w:r>
              <w:rPr>
                <w:rFonts w:hint="eastAsia"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注：需提供由中华人民共和国国家版权局颁发的计算机软著权登记证书扫描件，未提供不得分。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技术分（</w:t>
            </w:r>
            <w:r>
              <w:rPr>
                <w:rFonts w:hint="eastAsia" w:cs="宋体"/>
                <w:b/>
                <w:bCs/>
                <w:kern w:val="0"/>
                <w:sz w:val="21"/>
                <w:szCs w:val="21"/>
                <w:lang w:val="en-US" w:eastAsia="zh-CN"/>
              </w:rPr>
              <w:t>72</w:t>
            </w:r>
            <w:r>
              <w:rPr>
                <w:rFonts w:hint="eastAsia" w:ascii="宋体" w:hAnsi="宋体" w:eastAsia="宋体" w:cs="宋体"/>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产品响应程度</w:t>
            </w:r>
          </w:p>
        </w:tc>
        <w:tc>
          <w:tcPr>
            <w:tcW w:w="682"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24</w:t>
            </w:r>
          </w:p>
        </w:tc>
        <w:tc>
          <w:tcPr>
            <w:tcW w:w="7071"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w:t>
            </w:r>
            <w:r>
              <w:rPr>
                <w:rFonts w:hint="eastAsia" w:cs="宋体"/>
                <w:kern w:val="0"/>
                <w:sz w:val="21"/>
                <w:szCs w:val="21"/>
                <w:highlight w:val="none"/>
                <w:lang w:val="en-US" w:eastAsia="zh-CN"/>
              </w:rPr>
              <w:t>服务</w:t>
            </w:r>
            <w:r>
              <w:rPr>
                <w:rFonts w:hint="eastAsia" w:ascii="宋体" w:hAnsi="宋体" w:eastAsia="宋体" w:cs="宋体"/>
                <w:kern w:val="0"/>
                <w:sz w:val="21"/>
                <w:szCs w:val="21"/>
                <w:highlight w:val="none"/>
              </w:rPr>
              <w:t>要求中标注“▲”条款（不可偏离）的响应文件无效，满足或明显优于磋商文件明确的全部</w:t>
            </w:r>
            <w:r>
              <w:rPr>
                <w:rFonts w:hint="eastAsia" w:cs="宋体"/>
                <w:kern w:val="0"/>
                <w:sz w:val="21"/>
                <w:szCs w:val="21"/>
                <w:highlight w:val="none"/>
                <w:lang w:val="en-US" w:eastAsia="zh-CN"/>
              </w:rPr>
              <w:t>服务</w:t>
            </w:r>
            <w:r>
              <w:rPr>
                <w:rFonts w:hint="eastAsia" w:ascii="宋体" w:hAnsi="宋体" w:eastAsia="宋体" w:cs="宋体"/>
                <w:kern w:val="0"/>
                <w:sz w:val="21"/>
                <w:szCs w:val="21"/>
                <w:highlight w:val="none"/>
              </w:rPr>
              <w:t>条款要求的该项得满分；</w:t>
            </w:r>
          </w:p>
          <w:p>
            <w:pPr>
              <w:adjustRightInd w:val="0"/>
              <w:snapToGrid w:val="0"/>
              <w:spacing w:line="288" w:lineRule="auto"/>
              <w:rPr>
                <w:rFonts w:hint="eastAsia" w:ascii="宋体" w:hAnsi="宋体" w:eastAsia="宋体" w:cs="宋体"/>
                <w:kern w:val="0"/>
                <w:sz w:val="21"/>
                <w:szCs w:val="21"/>
                <w:highlight w:val="none"/>
              </w:rPr>
            </w:pPr>
            <w:r>
              <w:rPr>
                <w:rFonts w:hint="eastAsia" w:cs="宋体"/>
                <w:kern w:val="0"/>
                <w:sz w:val="21"/>
                <w:szCs w:val="21"/>
                <w:highlight w:val="none"/>
                <w:lang w:val="en-US" w:eastAsia="zh-CN"/>
              </w:rPr>
              <w:t>服务</w:t>
            </w:r>
            <w:r>
              <w:rPr>
                <w:rFonts w:hint="eastAsia" w:ascii="宋体" w:hAnsi="宋体" w:eastAsia="宋体" w:cs="宋体"/>
                <w:kern w:val="0"/>
                <w:sz w:val="21"/>
                <w:szCs w:val="21"/>
                <w:highlight w:val="none"/>
              </w:rPr>
              <w:t>条款低于</w:t>
            </w:r>
            <w:r>
              <w:rPr>
                <w:rFonts w:hint="eastAsia" w:cs="宋体"/>
                <w:kern w:val="0"/>
                <w:sz w:val="21"/>
                <w:szCs w:val="21"/>
                <w:highlight w:val="none"/>
                <w:lang w:val="en-US" w:eastAsia="zh-CN"/>
              </w:rPr>
              <w:t>服务</w:t>
            </w:r>
            <w:r>
              <w:rPr>
                <w:rFonts w:hint="eastAsia" w:ascii="宋体" w:hAnsi="宋体" w:eastAsia="宋体" w:cs="宋体"/>
                <w:kern w:val="0"/>
                <w:sz w:val="21"/>
                <w:szCs w:val="21"/>
                <w:highlight w:val="none"/>
              </w:rPr>
              <w:t>要求（负偏离）的每项扣</w:t>
            </w:r>
            <w:r>
              <w:rPr>
                <w:rFonts w:hint="eastAsia" w:cs="宋体"/>
                <w:kern w:val="0"/>
                <w:sz w:val="21"/>
                <w:szCs w:val="21"/>
                <w:highlight w:val="none"/>
                <w:lang w:val="en-US" w:eastAsia="zh-CN"/>
              </w:rPr>
              <w:t>3</w:t>
            </w:r>
            <w:r>
              <w:rPr>
                <w:rFonts w:hint="eastAsia" w:ascii="宋体" w:hAnsi="宋体" w:eastAsia="宋体" w:cs="宋体"/>
                <w:kern w:val="0"/>
                <w:sz w:val="21"/>
                <w:szCs w:val="21"/>
                <w:highlight w:val="none"/>
              </w:rPr>
              <w:t>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负偏离</w:t>
            </w:r>
            <w:r>
              <w:rPr>
                <w:rFonts w:hint="eastAsia" w:cs="宋体"/>
                <w:kern w:val="0"/>
                <w:sz w:val="21"/>
                <w:szCs w:val="21"/>
                <w:highlight w:val="none"/>
                <w:lang w:val="en-US" w:eastAsia="zh-CN"/>
              </w:rPr>
              <w:t>9</w:t>
            </w:r>
            <w:r>
              <w:rPr>
                <w:rFonts w:hint="eastAsia" w:ascii="宋体" w:hAnsi="宋体" w:eastAsia="宋体" w:cs="宋体"/>
                <w:kern w:val="0"/>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color w:val="auto"/>
                <w:kern w:val="0"/>
                <w:sz w:val="21"/>
                <w:szCs w:val="21"/>
              </w:rPr>
              <w:t>项目</w:t>
            </w:r>
            <w:r>
              <w:rPr>
                <w:rFonts w:hint="eastAsia" w:ascii="宋体" w:hAnsi="宋体" w:eastAsia="宋体" w:cs="宋体"/>
                <w:b/>
                <w:bCs/>
                <w:color w:val="auto"/>
                <w:kern w:val="0"/>
                <w:sz w:val="21"/>
                <w:szCs w:val="21"/>
                <w:lang w:val="en-US" w:eastAsia="zh-CN"/>
              </w:rPr>
              <w:t>实施</w:t>
            </w:r>
            <w:r>
              <w:rPr>
                <w:rFonts w:hint="eastAsia" w:ascii="宋体" w:hAnsi="宋体" w:eastAsia="宋体" w:cs="宋体"/>
                <w:b/>
                <w:bCs/>
                <w:color w:val="auto"/>
                <w:kern w:val="0"/>
                <w:sz w:val="21"/>
                <w:szCs w:val="21"/>
              </w:rPr>
              <w:t>方案</w:t>
            </w: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cs="宋体"/>
                <w:b/>
                <w:bCs/>
                <w:kern w:val="0"/>
                <w:sz w:val="21"/>
                <w:szCs w:val="21"/>
                <w:lang w:val="en-US" w:eastAsia="zh-CN" w:bidi="ar-SA"/>
              </w:rPr>
              <w:t>5</w:t>
            </w:r>
          </w:p>
        </w:tc>
        <w:tc>
          <w:tcPr>
            <w:tcW w:w="7071" w:type="dxa"/>
            <w:vAlign w:val="center"/>
          </w:tcPr>
          <w:p>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【主观分】</w:t>
            </w:r>
            <w:r>
              <w:rPr>
                <w:rFonts w:hint="eastAsia" w:ascii="宋体" w:hAnsi="宋体" w:eastAsia="宋体" w:cs="宋体"/>
                <w:color w:val="auto"/>
                <w:sz w:val="21"/>
                <w:szCs w:val="21"/>
              </w:rPr>
              <w:t>整体架构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内容详细完整、</w:t>
            </w:r>
            <w:r>
              <w:rPr>
                <w:rFonts w:hint="eastAsia" w:ascii="宋体" w:hAnsi="宋体" w:eastAsia="宋体" w:cs="宋体"/>
                <w:color w:val="auto"/>
                <w:sz w:val="21"/>
                <w:szCs w:val="21"/>
              </w:rPr>
              <w:t>科学合理，具有一定的前瞻性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全面</w:t>
            </w:r>
            <w:r>
              <w:rPr>
                <w:rFonts w:hint="eastAsia" w:ascii="宋体" w:hAnsi="宋体" w:eastAsia="宋体" w:cs="宋体"/>
                <w:color w:val="auto"/>
                <w:sz w:val="21"/>
                <w:szCs w:val="21"/>
              </w:rPr>
              <w:t>考虑</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实际使用需求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（评分范围：</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,4,3,2,1,0</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0"/>
                <w:sz w:val="21"/>
                <w:szCs w:val="21"/>
              </w:rPr>
            </w:pPr>
          </w:p>
        </w:tc>
        <w:tc>
          <w:tcPr>
            <w:tcW w:w="682" w:type="dxa"/>
            <w:vAlign w:val="center"/>
          </w:tcPr>
          <w:p>
            <w:pPr>
              <w:adjustRightInd w:val="0"/>
              <w:snapToGrid w:val="0"/>
              <w:spacing w:line="288" w:lineRule="auto"/>
              <w:jc w:val="center"/>
              <w:rPr>
                <w:rFonts w:hint="eastAsia" w:ascii="宋体" w:hAnsi="宋体" w:eastAsia="宋体" w:cs="宋体"/>
                <w:b/>
                <w:i w:val="0"/>
                <w:color w:val="000000"/>
                <w:kern w:val="0"/>
                <w:sz w:val="21"/>
                <w:szCs w:val="21"/>
                <w:u w:val="none"/>
                <w:lang w:val="en-US" w:eastAsia="zh-CN" w:bidi="ar"/>
              </w:rPr>
            </w:pPr>
            <w:r>
              <w:rPr>
                <w:rFonts w:hint="eastAsia" w:cs="宋体"/>
                <w:b/>
                <w:i w:val="0"/>
                <w:color w:val="000000"/>
                <w:kern w:val="0"/>
                <w:sz w:val="21"/>
                <w:szCs w:val="21"/>
                <w:u w:val="none"/>
                <w:lang w:val="en-US" w:eastAsia="zh-CN" w:bidi="ar"/>
              </w:rPr>
              <w:t>5</w:t>
            </w:r>
          </w:p>
        </w:tc>
        <w:tc>
          <w:tcPr>
            <w:tcW w:w="7071" w:type="dxa"/>
            <w:vAlign w:val="center"/>
          </w:tcPr>
          <w:p>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【主观分】</w:t>
            </w:r>
            <w:r>
              <w:rPr>
                <w:rFonts w:hint="eastAsia" w:ascii="宋体" w:hAnsi="宋体" w:eastAsia="宋体" w:cs="宋体"/>
                <w:color w:val="auto"/>
                <w:sz w:val="21"/>
                <w:szCs w:val="21"/>
                <w:lang w:val="en-US" w:eastAsia="zh-CN"/>
              </w:rPr>
              <w:t>针对本项目实施的</w:t>
            </w:r>
            <w:r>
              <w:rPr>
                <w:rFonts w:hint="eastAsia" w:ascii="宋体" w:hAnsi="宋体" w:eastAsia="宋体" w:cs="宋体"/>
                <w:color w:val="auto"/>
                <w:sz w:val="21"/>
                <w:szCs w:val="21"/>
              </w:rPr>
              <w:t>技术路线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技术路线可行、软件系统结构合理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整体技术解决方案</w:t>
            </w:r>
            <w:r>
              <w:rPr>
                <w:rFonts w:hint="eastAsia" w:ascii="宋体" w:hAnsi="宋体" w:eastAsia="宋体" w:cs="宋体"/>
                <w:color w:val="auto"/>
                <w:sz w:val="21"/>
                <w:szCs w:val="21"/>
                <w:lang w:val="en-US" w:eastAsia="zh-CN"/>
              </w:rPr>
              <w:t>完全</w:t>
            </w:r>
            <w:r>
              <w:rPr>
                <w:rFonts w:hint="eastAsia" w:ascii="宋体" w:hAnsi="宋体" w:eastAsia="宋体" w:cs="宋体"/>
                <w:color w:val="auto"/>
                <w:sz w:val="21"/>
                <w:szCs w:val="21"/>
              </w:rPr>
              <w:t>满足系统功能需求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（评分范围：</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,4,3,2,1,0</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0"/>
                <w:sz w:val="21"/>
                <w:szCs w:val="21"/>
              </w:rPr>
            </w:pPr>
          </w:p>
        </w:tc>
        <w:tc>
          <w:tcPr>
            <w:tcW w:w="682" w:type="dxa"/>
            <w:vAlign w:val="center"/>
          </w:tcPr>
          <w:p>
            <w:pPr>
              <w:adjustRightInd w:val="0"/>
              <w:snapToGrid w:val="0"/>
              <w:spacing w:line="288" w:lineRule="auto"/>
              <w:jc w:val="center"/>
              <w:rPr>
                <w:rFonts w:hint="eastAsia" w:ascii="宋体" w:hAnsi="宋体" w:eastAsia="宋体" w:cs="宋体"/>
                <w:b/>
                <w:i w:val="0"/>
                <w:color w:val="000000"/>
                <w:kern w:val="0"/>
                <w:sz w:val="21"/>
                <w:szCs w:val="21"/>
                <w:u w:val="none"/>
                <w:lang w:val="en-US" w:eastAsia="zh-CN" w:bidi="ar"/>
              </w:rPr>
            </w:pPr>
            <w:r>
              <w:rPr>
                <w:rFonts w:hint="eastAsia" w:cs="宋体"/>
                <w:b/>
                <w:i w:val="0"/>
                <w:color w:val="000000"/>
                <w:kern w:val="0"/>
                <w:sz w:val="21"/>
                <w:szCs w:val="21"/>
                <w:u w:val="none"/>
                <w:lang w:val="en-US" w:eastAsia="zh-CN" w:bidi="ar"/>
              </w:rPr>
              <w:t>5</w:t>
            </w:r>
          </w:p>
        </w:tc>
        <w:tc>
          <w:tcPr>
            <w:tcW w:w="7071" w:type="dxa"/>
            <w:vAlign w:val="center"/>
          </w:tcPr>
          <w:p>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rPr>
              <w:t>【主观分】</w:t>
            </w:r>
            <w:r>
              <w:rPr>
                <w:rFonts w:hint="eastAsia" w:ascii="宋体" w:hAnsi="宋体" w:eastAsia="宋体" w:cs="宋体"/>
                <w:color w:val="auto"/>
                <w:kern w:val="1"/>
                <w:sz w:val="21"/>
                <w:szCs w:val="21"/>
                <w:highlight w:val="none"/>
              </w:rPr>
              <w:t>质量保障方案</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提供详细的质量方针、质量目标、质量范围、质量保障组织和过程等内容</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sz w:val="21"/>
                <w:szCs w:val="21"/>
                <w:lang w:val="en-US" w:eastAsia="zh-CN"/>
              </w:rPr>
              <w:t>保障措施全面，有利于合同履约</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sz w:val="21"/>
                <w:szCs w:val="21"/>
                <w:highlight w:val="none"/>
                <w:lang w:val="en-US" w:eastAsia="zh-CN"/>
              </w:rPr>
              <w:t>（评分范围：</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,4,3,2,1,0</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color w:val="auto"/>
                <w:kern w:val="0"/>
                <w:sz w:val="21"/>
                <w:szCs w:val="21"/>
                <w:lang w:val="en-US"/>
              </w:rPr>
              <w:t>进度计划</w:t>
            </w:r>
          </w:p>
        </w:tc>
        <w:tc>
          <w:tcPr>
            <w:tcW w:w="682" w:type="dxa"/>
            <w:vAlign w:val="center"/>
          </w:tcPr>
          <w:p>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cs="宋体"/>
                <w:b/>
                <w:i w:val="0"/>
                <w:color w:val="000000"/>
                <w:kern w:val="0"/>
                <w:sz w:val="21"/>
                <w:szCs w:val="21"/>
                <w:u w:val="none"/>
                <w:lang w:val="en-US" w:eastAsia="zh-CN" w:bidi="ar"/>
              </w:rPr>
              <w:t>5</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color w:val="auto"/>
                <w:kern w:val="0"/>
                <w:sz w:val="21"/>
                <w:szCs w:val="21"/>
                <w:lang w:val="en-US" w:eastAsia="zh-CN"/>
              </w:rPr>
              <w:t>根据实施进度计划的科学性、完整性和针对性。实施进度计划组织合理、内容详尽。</w:t>
            </w:r>
            <w:r>
              <w:rPr>
                <w:rFonts w:hint="eastAsia" w:ascii="宋体" w:hAnsi="宋体" w:eastAsia="宋体" w:cs="宋体"/>
                <w:sz w:val="21"/>
                <w:szCs w:val="21"/>
                <w:highlight w:val="none"/>
                <w:lang w:val="en-US" w:eastAsia="zh-CN"/>
              </w:rPr>
              <w:t>（评分范围：</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color w:val="auto"/>
                <w:kern w:val="0"/>
                <w:sz w:val="21"/>
                <w:szCs w:val="21"/>
                <w:lang w:val="en-US" w:eastAsia="zh-CN"/>
              </w:rPr>
              <w:t>应急处理方案</w:t>
            </w:r>
          </w:p>
        </w:tc>
        <w:tc>
          <w:tcPr>
            <w:tcW w:w="682" w:type="dxa"/>
            <w:vAlign w:val="center"/>
          </w:tcPr>
          <w:p>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cs="宋体"/>
                <w:b/>
                <w:i w:val="0"/>
                <w:color w:val="000000"/>
                <w:kern w:val="0"/>
                <w:sz w:val="21"/>
                <w:szCs w:val="21"/>
                <w:u w:val="none"/>
                <w:lang w:val="en-US" w:eastAsia="zh-CN" w:bidi="ar"/>
              </w:rPr>
              <w:t>5</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color w:val="auto"/>
                <w:kern w:val="0"/>
                <w:sz w:val="21"/>
                <w:szCs w:val="21"/>
                <w:lang w:val="en-US" w:eastAsia="zh-CN"/>
              </w:rPr>
              <w:t>供应商针对本项目应急突发故障发生后人员调动、服务响应时间、到场时间、故障修复等具体实施方案情况。</w:t>
            </w:r>
            <w:r>
              <w:rPr>
                <w:rFonts w:hint="eastAsia" w:ascii="宋体" w:hAnsi="宋体" w:eastAsia="宋体" w:cs="宋体"/>
                <w:sz w:val="21"/>
                <w:szCs w:val="21"/>
                <w:highlight w:val="none"/>
                <w:lang w:val="en-US" w:eastAsia="zh-CN"/>
              </w:rPr>
              <w:t>（评分范围：</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lang w:val="en-US" w:eastAsia="zh-CN"/>
              </w:rPr>
              <w:t>项目组人员</w:t>
            </w:r>
          </w:p>
        </w:tc>
        <w:tc>
          <w:tcPr>
            <w:tcW w:w="682"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cs="宋体"/>
                <w:b/>
                <w:i w:val="0"/>
                <w:color w:val="000000"/>
                <w:kern w:val="0"/>
                <w:sz w:val="21"/>
                <w:szCs w:val="21"/>
                <w:u w:val="none"/>
                <w:lang w:val="en-US" w:eastAsia="zh-CN" w:bidi="ar"/>
              </w:rPr>
              <w:t>5</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供应商拟投入本项目团队人员的岗位配置、人数、类</w:t>
            </w:r>
            <w:r>
              <w:rPr>
                <w:rFonts w:hint="eastAsia" w:ascii="宋体" w:hAnsi="宋体" w:eastAsia="宋体" w:cs="宋体"/>
                <w:color w:val="auto"/>
                <w:kern w:val="0"/>
                <w:sz w:val="21"/>
                <w:szCs w:val="21"/>
                <w:highlight w:val="none"/>
                <w:lang w:val="en-US" w:eastAsia="zh-CN"/>
              </w:rPr>
              <w:t>似软件开放</w:t>
            </w:r>
            <w:r>
              <w:rPr>
                <w:rFonts w:hint="eastAsia" w:ascii="宋体" w:hAnsi="宋体" w:eastAsia="宋体" w:cs="宋体"/>
                <w:color w:val="auto"/>
                <w:kern w:val="0"/>
                <w:sz w:val="21"/>
                <w:szCs w:val="21"/>
                <w:lang w:val="en-US" w:eastAsia="zh-CN"/>
              </w:rPr>
              <w:t>项目经验、人员专业技术结构等情况。</w:t>
            </w:r>
            <w:r>
              <w:rPr>
                <w:rFonts w:hint="eastAsia" w:ascii="宋体" w:hAnsi="宋体" w:eastAsia="宋体" w:cs="宋体"/>
                <w:sz w:val="21"/>
                <w:szCs w:val="21"/>
                <w:highlight w:val="none"/>
                <w:lang w:val="en-US" w:eastAsia="zh-CN"/>
              </w:rPr>
              <w:t>（评分范围：</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lang w:val="en-US" w:eastAsia="zh-CN"/>
              </w:rPr>
              <w:t>培训方案</w:t>
            </w:r>
          </w:p>
        </w:tc>
        <w:tc>
          <w:tcPr>
            <w:tcW w:w="682"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cs="宋体"/>
                <w:b/>
                <w:i w:val="0"/>
                <w:color w:val="000000"/>
                <w:kern w:val="0"/>
                <w:sz w:val="21"/>
                <w:szCs w:val="21"/>
                <w:u w:val="none"/>
                <w:lang w:val="en-US" w:eastAsia="zh-CN" w:bidi="ar"/>
              </w:rPr>
              <w:t>4</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包括当不限于培训流程、培训方式、培训对象、培训内容、培训日程等培训方案。方案内容完整，与采购需求匹配度高。</w:t>
            </w:r>
            <w:r>
              <w:rPr>
                <w:rFonts w:hint="eastAsia" w:ascii="宋体" w:hAnsi="宋体" w:eastAsia="宋体" w:cs="宋体"/>
                <w:sz w:val="21"/>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color w:val="auto"/>
                <w:kern w:val="0"/>
                <w:sz w:val="21"/>
                <w:szCs w:val="21"/>
              </w:rPr>
              <w:t>售后服务方案</w:t>
            </w:r>
          </w:p>
        </w:tc>
        <w:tc>
          <w:tcPr>
            <w:tcW w:w="682" w:type="dxa"/>
            <w:vAlign w:val="center"/>
          </w:tcPr>
          <w:p>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cs="宋体"/>
                <w:b/>
                <w:i w:val="0"/>
                <w:color w:val="000000"/>
                <w:kern w:val="0"/>
                <w:sz w:val="21"/>
                <w:szCs w:val="21"/>
                <w:u w:val="none"/>
                <w:lang w:val="en-US" w:eastAsia="zh-CN" w:bidi="ar"/>
              </w:rPr>
              <w:t>4</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color w:val="auto"/>
                <w:kern w:val="0"/>
                <w:sz w:val="21"/>
                <w:szCs w:val="21"/>
                <w:lang w:val="en-US" w:eastAsia="zh-CN"/>
              </w:rPr>
              <w:t>根据售后服务的响应的合理性、可行性以及项目维护的完善性等综合情况。</w:t>
            </w:r>
            <w:r>
              <w:rPr>
                <w:rFonts w:hint="eastAsia" w:ascii="宋体" w:hAnsi="宋体" w:eastAsia="宋体" w:cs="宋体"/>
                <w:sz w:val="21"/>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0"/>
                <w:sz w:val="21"/>
                <w:szCs w:val="21"/>
                <w:lang w:val="en-US" w:eastAsia="zh-CN"/>
              </w:rPr>
            </w:pPr>
            <w:r>
              <w:rPr>
                <w:rFonts w:hint="eastAsia" w:cs="宋体"/>
                <w:b/>
                <w:bCs/>
                <w:color w:val="auto"/>
                <w:kern w:val="0"/>
                <w:sz w:val="21"/>
                <w:szCs w:val="21"/>
                <w:lang w:val="en-US" w:eastAsia="zh-CN"/>
              </w:rPr>
              <w:t>演示</w:t>
            </w:r>
          </w:p>
        </w:tc>
        <w:tc>
          <w:tcPr>
            <w:tcW w:w="7753" w:type="dxa"/>
            <w:gridSpan w:val="2"/>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b/>
                <w:bCs/>
                <w:color w:val="auto"/>
                <w:kern w:val="0"/>
                <w:sz w:val="21"/>
                <w:szCs w:val="21"/>
                <w:u w:val="none"/>
                <w:lang w:val="en-US" w:eastAsia="zh-CN"/>
              </w:rPr>
            </w:pPr>
            <w:r>
              <w:rPr>
                <w:rFonts w:hint="eastAsia" w:ascii="宋体" w:hAnsi="宋体" w:eastAsia="宋体" w:cs="宋体"/>
                <w:b/>
                <w:bCs/>
                <w:color w:val="auto"/>
                <w:kern w:val="0"/>
                <w:sz w:val="21"/>
                <w:szCs w:val="21"/>
                <w:u w:val="none"/>
                <w:lang w:val="en-US" w:eastAsia="zh-CN"/>
              </w:rPr>
              <w:t>【</w:t>
            </w:r>
            <w:r>
              <w:rPr>
                <w:rFonts w:hint="eastAsia" w:cs="宋体"/>
                <w:b/>
                <w:bCs/>
                <w:color w:val="auto"/>
                <w:kern w:val="0"/>
                <w:sz w:val="21"/>
                <w:szCs w:val="21"/>
                <w:u w:val="none"/>
                <w:lang w:val="en-US" w:eastAsia="zh-CN"/>
              </w:rPr>
              <w:t>客</w:t>
            </w:r>
            <w:r>
              <w:rPr>
                <w:rFonts w:hint="eastAsia" w:ascii="宋体" w:hAnsi="宋体" w:eastAsia="宋体" w:cs="宋体"/>
                <w:b/>
                <w:bCs/>
                <w:color w:val="auto"/>
                <w:kern w:val="0"/>
                <w:sz w:val="21"/>
                <w:szCs w:val="21"/>
                <w:u w:val="none"/>
                <w:lang w:val="en-US" w:eastAsia="zh-CN"/>
              </w:rPr>
              <w:t>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sz w:val="21"/>
                <w:szCs w:val="21"/>
                <w:highlight w:val="none"/>
                <w:lang w:val="en-US" w:eastAsia="zh-CN"/>
              </w:rPr>
              <w:t>供应商需提供软件demo或类似项目真实平台的演示，演示时长不超过1</w:t>
            </w:r>
            <w:r>
              <w:rPr>
                <w:rFonts w:hint="eastAsia" w:cs="宋体"/>
                <w:b/>
                <w:bCs/>
                <w:sz w:val="21"/>
                <w:szCs w:val="21"/>
                <w:highlight w:val="none"/>
                <w:lang w:val="en-US" w:eastAsia="zh-CN"/>
              </w:rPr>
              <w:t>0</w:t>
            </w:r>
            <w:r>
              <w:rPr>
                <w:rFonts w:hint="eastAsia" w:ascii="宋体" w:hAnsi="宋体" w:eastAsia="宋体" w:cs="宋体"/>
                <w:b/>
                <w:bCs/>
                <w:sz w:val="21"/>
                <w:szCs w:val="21"/>
                <w:highlight w:val="none"/>
                <w:lang w:val="en-US" w:eastAsia="zh-CN"/>
              </w:rPr>
              <w:t>分钟</w:t>
            </w:r>
            <w:r>
              <w:rPr>
                <w:rFonts w:hint="eastAsia" w:cs="宋体"/>
                <w:b/>
                <w:bCs/>
                <w:sz w:val="21"/>
                <w:szCs w:val="21"/>
                <w:highlight w:val="none"/>
                <w:lang w:val="en-US" w:eastAsia="zh-CN"/>
              </w:rPr>
              <w:t>,演示功能满足评审要求即得分，不满足不得分（未提供基于真实软件系统演示，仅以PPT、图片格式等其他方式的演示的不得分），</w:t>
            </w:r>
            <w:r>
              <w:rPr>
                <w:rFonts w:hint="eastAsia" w:ascii="宋体" w:hAnsi="宋体" w:eastAsia="宋体" w:cs="宋体"/>
                <w:b/>
                <w:bCs/>
                <w:sz w:val="21"/>
                <w:szCs w:val="21"/>
                <w:highlight w:val="none"/>
                <w:lang w:val="en-US" w:eastAsia="zh-CN"/>
              </w:rPr>
              <w:t>具体演示要求如下（▲未提供任何演示材料的，响应无效）：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cs="宋体"/>
                <w:b/>
                <w:bCs/>
                <w:color w:val="auto"/>
                <w:kern w:val="0"/>
                <w:sz w:val="21"/>
                <w:szCs w:val="21"/>
                <w:lang w:val="en-US" w:eastAsia="zh-CN"/>
              </w:rPr>
            </w:pPr>
          </w:p>
        </w:tc>
        <w:tc>
          <w:tcPr>
            <w:tcW w:w="682" w:type="dxa"/>
            <w:vAlign w:val="center"/>
          </w:tcPr>
          <w:p>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bidi="ar-SA"/>
              </w:rPr>
              <w:t>10</w:t>
            </w:r>
          </w:p>
        </w:tc>
        <w:tc>
          <w:tcPr>
            <w:tcW w:w="707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highlight w:val="none"/>
              </w:rPr>
            </w:pPr>
            <w:r>
              <w:rPr>
                <w:rFonts w:hint="eastAsia" w:cs="宋体"/>
                <w:b/>
                <w:bCs/>
                <w:sz w:val="21"/>
                <w:szCs w:val="21"/>
                <w:highlight w:val="none"/>
                <w:lang w:val="en-US" w:eastAsia="zh-CN"/>
              </w:rPr>
              <w:t>1.</w:t>
            </w:r>
            <w:r>
              <w:rPr>
                <w:rFonts w:hint="eastAsia" w:ascii="宋体" w:hAnsi="宋体" w:eastAsia="宋体" w:cs="宋体"/>
                <w:b/>
                <w:bCs/>
                <w:sz w:val="21"/>
                <w:szCs w:val="21"/>
                <w:highlight w:val="none"/>
              </w:rPr>
              <w:t>业财税融合创新课程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sz w:val="21"/>
                <w:szCs w:val="21"/>
                <w:highlight w:val="none"/>
                <w:lang w:val="en-US" w:eastAsia="zh-CN"/>
              </w:rPr>
            </w:pP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课前：包括学生自主预习，含课程内容、试题、在线实验。</w:t>
            </w:r>
            <w:r>
              <w:rPr>
                <w:rFonts w:hint="eastAsia" w:cs="宋体"/>
                <w:b/>
                <w:bCs/>
                <w:sz w:val="21"/>
                <w:szCs w:val="21"/>
                <w:highlight w:val="none"/>
                <w:lang w:val="en-US" w:eastAsia="zh-CN"/>
              </w:rPr>
              <w:t>（1分）</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val="0"/>
                <w:bCs w:val="0"/>
                <w:kern w:val="0"/>
                <w:sz w:val="21"/>
                <w:szCs w:val="21"/>
                <w:highlight w:val="none"/>
                <w:lang w:val="en-US" w:eastAsia="zh-CN"/>
              </w:rPr>
            </w:pPr>
            <w:r>
              <w:rPr>
                <w:rFonts w:hint="eastAsia"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课中：包括新增授课、授课投屏、发布课堂测验、课堂测验统计。</w:t>
            </w:r>
            <w:r>
              <w:rPr>
                <w:rFonts w:hint="eastAsia" w:cs="宋体"/>
                <w:b/>
                <w:bCs/>
                <w:kern w:val="0"/>
                <w:sz w:val="21"/>
                <w:szCs w:val="21"/>
                <w:highlight w:val="none"/>
                <w:lang w:val="en-US" w:eastAsia="zh-CN"/>
              </w:rPr>
              <w:t>（1分）</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bCs/>
                <w:kern w:val="0"/>
                <w:sz w:val="21"/>
                <w:szCs w:val="21"/>
                <w:highlight w:val="none"/>
              </w:rPr>
            </w:pPr>
            <w:r>
              <w:rPr>
                <w:rFonts w:hint="eastAsia" w:cs="宋体"/>
                <w:b/>
                <w:bCs/>
                <w:kern w:val="0"/>
                <w:sz w:val="21"/>
                <w:szCs w:val="21"/>
                <w:highlight w:val="none"/>
                <w:lang w:val="en-US" w:eastAsia="zh-CN"/>
              </w:rPr>
              <w:t>2.</w:t>
            </w:r>
            <w:r>
              <w:rPr>
                <w:rFonts w:hint="eastAsia" w:ascii="宋体" w:hAnsi="宋体" w:eastAsia="宋体" w:cs="宋体"/>
                <w:b/>
                <w:bCs/>
                <w:kern w:val="0"/>
                <w:sz w:val="21"/>
                <w:szCs w:val="21"/>
                <w:highlight w:val="none"/>
              </w:rPr>
              <w:t>大数据应用课程</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val="0"/>
                <w:bCs w:val="0"/>
                <w:kern w:val="0"/>
                <w:sz w:val="21"/>
                <w:szCs w:val="21"/>
                <w:highlight w:val="none"/>
                <w:lang w:val="en-US" w:eastAsia="zh-CN"/>
              </w:rPr>
            </w:pPr>
            <w:r>
              <w:rPr>
                <w:rFonts w:hint="eastAsia"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lang w:val="en-US" w:eastAsia="zh-CN"/>
              </w:rPr>
              <w:t>课后：包括发布课程任务、发布整套实训案例任务、发布部分实训案例任务、任务信息修改、查看任务详情、任务成绩统计、任务错误人数统计、任务批阅。</w:t>
            </w:r>
            <w:r>
              <w:rPr>
                <w:rFonts w:hint="eastAsia" w:cs="宋体"/>
                <w:b/>
                <w:bCs/>
                <w:kern w:val="0"/>
                <w:sz w:val="21"/>
                <w:szCs w:val="21"/>
                <w:highlight w:val="none"/>
                <w:lang w:val="en-US" w:eastAsia="zh-CN"/>
              </w:rPr>
              <w:t>（1分）</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bCs/>
                <w:kern w:val="0"/>
                <w:sz w:val="21"/>
                <w:szCs w:val="21"/>
                <w:highlight w:val="none"/>
              </w:rPr>
            </w:pPr>
            <w:r>
              <w:rPr>
                <w:rFonts w:hint="eastAsia" w:cs="宋体"/>
                <w:b/>
                <w:bCs/>
                <w:kern w:val="0"/>
                <w:sz w:val="21"/>
                <w:szCs w:val="21"/>
                <w:highlight w:val="none"/>
                <w:lang w:val="en-US" w:eastAsia="zh-CN"/>
              </w:rPr>
              <w:t>3.</w:t>
            </w:r>
            <w:r>
              <w:rPr>
                <w:rFonts w:hint="eastAsia" w:ascii="宋体" w:hAnsi="宋体" w:eastAsia="宋体" w:cs="宋体"/>
                <w:b/>
                <w:bCs/>
                <w:kern w:val="0"/>
                <w:sz w:val="21"/>
                <w:szCs w:val="21"/>
                <w:highlight w:val="none"/>
              </w:rPr>
              <w:t>业财税融合大数据投融资分析技能养成模块</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教师端：支持课程资源管理，单技能点练习、综合技能练习、案例训练。任务管理、答案与解析设置、任务成绩统计</w:t>
            </w:r>
            <w:r>
              <w:rPr>
                <w:rFonts w:hint="eastAsia" w:cs="宋体"/>
                <w:b/>
                <w:bCs/>
                <w:sz w:val="21"/>
                <w:szCs w:val="21"/>
                <w:highlight w:val="none"/>
                <w:lang w:val="en-US" w:eastAsia="zh-CN"/>
              </w:rPr>
              <w:t>（1分）</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bCs/>
                <w:kern w:val="0"/>
                <w:sz w:val="21"/>
                <w:szCs w:val="21"/>
                <w:highlight w:val="none"/>
              </w:rPr>
            </w:pPr>
            <w:r>
              <w:rPr>
                <w:rFonts w:hint="eastAsia"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自主训练模式：不限时长，无限次提交答案，支持答案判断、错误处标记、查看答案及解析、卷面分值统计等。</w:t>
            </w:r>
            <w:r>
              <w:rPr>
                <w:rFonts w:hint="eastAsia" w:cs="宋体"/>
                <w:b/>
                <w:bCs/>
                <w:kern w:val="0"/>
                <w:sz w:val="21"/>
                <w:szCs w:val="21"/>
                <w:highlight w:val="none"/>
                <w:lang w:val="en-US" w:eastAsia="zh-CN"/>
              </w:rPr>
              <w:t>（1分）</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bCs/>
                <w:kern w:val="0"/>
                <w:sz w:val="21"/>
                <w:szCs w:val="21"/>
                <w:highlight w:val="none"/>
              </w:rPr>
            </w:pPr>
            <w:r>
              <w:rPr>
                <w:rFonts w:hint="eastAsia" w:cs="宋体"/>
                <w:b/>
                <w:bCs/>
                <w:kern w:val="0"/>
                <w:sz w:val="21"/>
                <w:szCs w:val="21"/>
                <w:highlight w:val="none"/>
                <w:lang w:val="en-US" w:eastAsia="zh-CN"/>
              </w:rPr>
              <w:t>4.</w:t>
            </w:r>
            <w:r>
              <w:rPr>
                <w:rFonts w:hint="eastAsia" w:ascii="宋体" w:hAnsi="宋体" w:eastAsia="宋体" w:cs="宋体"/>
                <w:b/>
                <w:bCs/>
                <w:kern w:val="0"/>
                <w:sz w:val="21"/>
                <w:szCs w:val="21"/>
                <w:highlight w:val="none"/>
              </w:rPr>
              <w:t>业财税融合财务会计综合实训模块</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统计与分析：支持个人自主训练模块错题分析、支持单个题目错误率统计。支持个人练习分析，支持统计历史记录中个人最高分、平均分计算。支持个人历史记录中交卷的记录及各自得分、排名统计。</w:t>
            </w:r>
            <w:r>
              <w:rPr>
                <w:rFonts w:hint="eastAsia" w:cs="宋体"/>
                <w:b/>
                <w:bCs/>
                <w:sz w:val="21"/>
                <w:szCs w:val="21"/>
                <w:highlight w:val="none"/>
                <w:lang w:val="en-US" w:eastAsia="zh-CN"/>
              </w:rPr>
              <w:t>（1分）</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bCs/>
                <w:kern w:val="0"/>
                <w:sz w:val="21"/>
                <w:szCs w:val="21"/>
                <w:highlight w:val="none"/>
              </w:rPr>
            </w:pPr>
            <w:r>
              <w:rPr>
                <w:rFonts w:hint="eastAsia" w:cs="宋体"/>
                <w:b/>
                <w:bCs/>
                <w:kern w:val="0"/>
                <w:sz w:val="21"/>
                <w:szCs w:val="21"/>
                <w:highlight w:val="none"/>
                <w:lang w:val="en-US" w:eastAsia="zh-CN"/>
              </w:rPr>
              <w:t>5.</w:t>
            </w:r>
            <w:r>
              <w:rPr>
                <w:rFonts w:hint="eastAsia" w:ascii="宋体" w:hAnsi="宋体" w:eastAsia="宋体" w:cs="宋体"/>
                <w:b/>
                <w:bCs/>
                <w:kern w:val="0"/>
                <w:sz w:val="21"/>
                <w:szCs w:val="21"/>
                <w:highlight w:val="none"/>
              </w:rPr>
              <w:t>大数据管理会计应用模块</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训练端</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包含个人自主模式训练和模拟真实考场环境测验。支持企业展示、自动读取数据订单，当前用户做题数据进度展示，一键训练。支持已交卷历史记录作答详情查询及任务作答记录查看，支持对历史记录下成绩排名。支持任务答题时间统计、允许自主岗位角色切换并选择，题总数统计。支持任务题目分岗位展示，支持多题型、支持综合、多选、单选、图表、分录、表格等题型答题。支持EXCEL数据一键粘贴数据。支持自主模式下答题自动判断对错，支持错误处高亮标记，支持对当前提交题目分值计算。支持已答、未答、答错、答对题目标识、支持题目特殊标记。支持单题目答案与解析查看、清空当前题目答案。支持核算会计账簿查询、支持方法会计。</w:t>
            </w:r>
            <w:r>
              <w:rPr>
                <w:rFonts w:hint="eastAsia" w:cs="宋体"/>
                <w:b/>
                <w:bCs/>
                <w:sz w:val="21"/>
                <w:szCs w:val="21"/>
                <w:highlight w:val="none"/>
                <w:lang w:val="en-US" w:eastAsia="zh-CN"/>
              </w:rPr>
              <w:t>（1分）</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bCs/>
                <w:kern w:val="0"/>
                <w:sz w:val="21"/>
                <w:szCs w:val="21"/>
                <w:highlight w:val="none"/>
              </w:rPr>
            </w:pPr>
            <w:r>
              <w:rPr>
                <w:rFonts w:hint="eastAsia" w:cs="宋体"/>
                <w:b/>
                <w:bCs/>
                <w:kern w:val="0"/>
                <w:sz w:val="21"/>
                <w:szCs w:val="21"/>
                <w:highlight w:val="none"/>
                <w:lang w:val="en-US" w:eastAsia="zh-CN"/>
              </w:rPr>
              <w:t>6.</w:t>
            </w:r>
            <w:r>
              <w:rPr>
                <w:rFonts w:hint="eastAsia" w:ascii="宋体" w:hAnsi="宋体" w:eastAsia="宋体" w:cs="宋体"/>
                <w:b/>
                <w:bCs/>
                <w:kern w:val="0"/>
                <w:sz w:val="21"/>
                <w:szCs w:val="21"/>
                <w:highlight w:val="none"/>
              </w:rPr>
              <w:t>3D移动业务场景体验模块</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eastAsia="zh-CN"/>
              </w:rPr>
              <w:t>（</w:t>
            </w:r>
            <w:r>
              <w:rPr>
                <w:rFonts w:hint="eastAsia" w:cs="宋体"/>
                <w:b w:val="0"/>
                <w:bCs w:val="0"/>
                <w:sz w:val="21"/>
                <w:szCs w:val="21"/>
                <w:highlight w:val="none"/>
                <w:lang w:val="en-US" w:eastAsia="zh-CN"/>
              </w:rPr>
              <w:t>1</w:t>
            </w:r>
            <w:r>
              <w:rPr>
                <w:rFonts w:hint="eastAsia" w:cs="宋体"/>
                <w:b w:val="0"/>
                <w:bCs w:val="0"/>
                <w:sz w:val="21"/>
                <w:szCs w:val="21"/>
                <w:highlight w:val="none"/>
                <w:lang w:eastAsia="zh-CN"/>
              </w:rPr>
              <w:t>）</w:t>
            </w:r>
            <w:r>
              <w:rPr>
                <w:rFonts w:hint="eastAsia" w:ascii="宋体" w:hAnsi="宋体" w:eastAsia="宋体" w:cs="宋体"/>
                <w:b w:val="0"/>
                <w:bCs w:val="0"/>
                <w:sz w:val="21"/>
                <w:szCs w:val="21"/>
                <w:highlight w:val="none"/>
              </w:rPr>
              <w:t>跟踪任务；对于每一个任务，系统完整跟踪记录用户的主要操作和内部完成的步骤情况；</w:t>
            </w:r>
            <w:r>
              <w:rPr>
                <w:rFonts w:hint="eastAsia" w:cs="宋体"/>
                <w:b/>
                <w:bCs/>
                <w:sz w:val="21"/>
                <w:szCs w:val="21"/>
                <w:highlight w:val="none"/>
                <w:lang w:eastAsia="zh-CN"/>
              </w:rPr>
              <w:t>（</w:t>
            </w:r>
            <w:r>
              <w:rPr>
                <w:rFonts w:hint="eastAsia" w:cs="宋体"/>
                <w:b/>
                <w:bCs/>
                <w:sz w:val="21"/>
                <w:szCs w:val="21"/>
                <w:highlight w:val="none"/>
                <w:lang w:val="en-US" w:eastAsia="zh-CN"/>
              </w:rPr>
              <w:t>1分</w:t>
            </w:r>
            <w:r>
              <w:rPr>
                <w:rFonts w:hint="eastAsia" w:cs="宋体"/>
                <w:b/>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eastAsia="zh-CN"/>
              </w:rPr>
              <w:t>（</w:t>
            </w:r>
            <w:r>
              <w:rPr>
                <w:rFonts w:hint="eastAsia" w:cs="宋体"/>
                <w:b w:val="0"/>
                <w:bCs w:val="0"/>
                <w:sz w:val="21"/>
                <w:szCs w:val="21"/>
                <w:highlight w:val="none"/>
                <w:lang w:val="en-US" w:eastAsia="zh-CN"/>
              </w:rPr>
              <w:t>2</w:t>
            </w:r>
            <w:r>
              <w:rPr>
                <w:rFonts w:hint="eastAsia" w:cs="宋体"/>
                <w:b w:val="0"/>
                <w:bCs w:val="0"/>
                <w:sz w:val="21"/>
                <w:szCs w:val="21"/>
                <w:highlight w:val="none"/>
                <w:lang w:eastAsia="zh-CN"/>
              </w:rPr>
              <w:t>）</w:t>
            </w:r>
            <w:r>
              <w:rPr>
                <w:rFonts w:hint="eastAsia" w:ascii="宋体" w:hAnsi="宋体" w:eastAsia="宋体" w:cs="宋体"/>
                <w:b w:val="0"/>
                <w:bCs w:val="0"/>
                <w:sz w:val="21"/>
                <w:szCs w:val="21"/>
                <w:highlight w:val="none"/>
              </w:rPr>
              <w:t>标记区分，已完成任务、未完成任务、任务完成情况（具体在数据档案模块详细记录）等；</w:t>
            </w:r>
            <w:r>
              <w:rPr>
                <w:rFonts w:hint="eastAsia" w:cs="宋体"/>
                <w:b/>
                <w:bCs/>
                <w:sz w:val="21"/>
                <w:szCs w:val="21"/>
                <w:highlight w:val="none"/>
                <w:lang w:eastAsia="zh-CN"/>
              </w:rPr>
              <w:t>（</w:t>
            </w:r>
            <w:r>
              <w:rPr>
                <w:rFonts w:hint="eastAsia" w:cs="宋体"/>
                <w:b/>
                <w:bCs/>
                <w:sz w:val="21"/>
                <w:szCs w:val="21"/>
                <w:highlight w:val="none"/>
                <w:lang w:val="en-US" w:eastAsia="zh-CN"/>
              </w:rPr>
              <w:t>1分</w:t>
            </w:r>
            <w:r>
              <w:rPr>
                <w:rFonts w:hint="eastAsia" w:cs="宋体"/>
                <w:b/>
                <w:bCs/>
                <w:sz w:val="21"/>
                <w:szCs w:val="21"/>
                <w:highlight w:val="none"/>
                <w:lang w:eastAsia="zh-CN"/>
              </w:rPr>
              <w:t>）</w:t>
            </w:r>
          </w:p>
          <w:p>
            <w:pPr>
              <w:pStyle w:val="19"/>
              <w:keepNext w:val="0"/>
              <w:keepLines w:val="0"/>
              <w:pageBreakBefore w:val="0"/>
              <w:widowControl w:val="0"/>
              <w:kinsoku/>
              <w:wordWrap/>
              <w:overflowPunct/>
              <w:topLinePunct w:val="0"/>
              <w:autoSpaceDE/>
              <w:autoSpaceDN/>
              <w:bidi w:val="0"/>
              <w:spacing w:line="288" w:lineRule="auto"/>
              <w:jc w:val="both"/>
              <w:textAlignment w:val="auto"/>
              <w:rPr>
                <w:rFonts w:hint="eastAsia" w:ascii="宋体" w:hAnsi="宋体" w:eastAsia="宋体" w:cs="宋体"/>
                <w:b/>
                <w:bCs/>
                <w:kern w:val="0"/>
                <w:sz w:val="21"/>
                <w:szCs w:val="21"/>
                <w:highlight w:val="none"/>
                <w:lang w:val="en-US" w:eastAsia="zh-CN" w:bidi="ar-SA"/>
              </w:rPr>
            </w:pPr>
            <w:r>
              <w:rPr>
                <w:rFonts w:hint="eastAsia" w:cs="宋体"/>
                <w:b w:val="0"/>
                <w:bCs w:val="0"/>
                <w:kern w:val="0"/>
                <w:sz w:val="21"/>
                <w:szCs w:val="21"/>
                <w:highlight w:val="none"/>
                <w:lang w:eastAsia="zh-CN"/>
              </w:rPr>
              <w:t>（</w:t>
            </w:r>
            <w:r>
              <w:rPr>
                <w:rFonts w:hint="eastAsia" w:cs="宋体"/>
                <w:b w:val="0"/>
                <w:bCs w:val="0"/>
                <w:kern w:val="0"/>
                <w:sz w:val="21"/>
                <w:szCs w:val="21"/>
                <w:highlight w:val="none"/>
                <w:lang w:val="en-US" w:eastAsia="zh-CN"/>
              </w:rPr>
              <w:t>3</w:t>
            </w:r>
            <w:r>
              <w:rPr>
                <w:rFonts w:hint="eastAsia"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培训模式下，任务进行中，玩家可以随意切换漫游场景，随意与npc进行对话，但是不能随意切换角色，即每一步任务步骤是限定的，玩家只能按照规定好的步骤进行相应的互动操作，否则任务会在本步骤停滞，直到玩家做出相应正确的操作，任务步骤才会跳转到下一步，如果玩家操作错误，系统npc或者师傅会给出相应的引导和错误提示，指引玩家做出正确的选择和操作</w:t>
            </w:r>
            <w:r>
              <w:rPr>
                <w:rFonts w:hint="eastAsia" w:cs="宋体"/>
                <w:b w:val="0"/>
                <w:bCs w:val="0"/>
                <w:kern w:val="0"/>
                <w:sz w:val="21"/>
                <w:szCs w:val="21"/>
                <w:highlight w:val="none"/>
                <w:lang w:eastAsia="zh-CN"/>
              </w:rPr>
              <w:t>。</w:t>
            </w:r>
            <w:r>
              <w:rPr>
                <w:rFonts w:hint="eastAsia" w:cs="宋体"/>
                <w:b/>
                <w:bCs/>
                <w:kern w:val="0"/>
                <w:sz w:val="21"/>
                <w:szCs w:val="21"/>
                <w:highlight w:val="none"/>
                <w:lang w:eastAsia="zh-CN"/>
              </w:rPr>
              <w:t>（</w:t>
            </w:r>
            <w:r>
              <w:rPr>
                <w:rFonts w:hint="eastAsia" w:cs="宋体"/>
                <w:b/>
                <w:bCs/>
                <w:kern w:val="0"/>
                <w:sz w:val="21"/>
                <w:szCs w:val="21"/>
                <w:highlight w:val="none"/>
                <w:lang w:val="en-US" w:eastAsia="zh-CN"/>
              </w:rPr>
              <w:t>1分</w:t>
            </w:r>
            <w:r>
              <w:rPr>
                <w:rFonts w:hint="eastAsia" w:cs="宋体"/>
                <w:b/>
                <w:bCs/>
                <w:kern w:val="0"/>
                <w:sz w:val="21"/>
                <w:szCs w:val="21"/>
                <w:highlight w:val="none"/>
                <w:lang w:eastAsia="zh-CN"/>
              </w:rPr>
              <w:t>）</w:t>
            </w:r>
          </w:p>
        </w:tc>
      </w:tr>
    </w:tbl>
    <w:p>
      <w:pPr>
        <w:adjustRightInd w:val="0"/>
        <w:snapToGrid w:val="0"/>
        <w:spacing w:line="288" w:lineRule="auto"/>
        <w:rPr>
          <w:sz w:val="21"/>
          <w:szCs w:val="21"/>
        </w:rPr>
      </w:pPr>
    </w:p>
    <w:p>
      <w:pPr>
        <w:adjustRightInd w:val="0"/>
        <w:snapToGrid w:val="0"/>
        <w:spacing w:line="288" w:lineRule="auto"/>
        <w:jc w:val="left"/>
        <w:rPr>
          <w:b/>
          <w:sz w:val="21"/>
          <w:szCs w:val="21"/>
        </w:rPr>
      </w:pPr>
      <w:r>
        <w:rPr>
          <w:rFonts w:hint="eastAsia"/>
          <w:b/>
          <w:sz w:val="21"/>
          <w:szCs w:val="21"/>
        </w:rPr>
        <w:t>说明</w:t>
      </w:r>
      <w:r>
        <w:rPr>
          <w:b/>
          <w:sz w:val="21"/>
          <w:szCs w:val="21"/>
        </w:rPr>
        <w:t>：</w:t>
      </w:r>
    </w:p>
    <w:p>
      <w:pPr>
        <w:adjustRightInd w:val="0"/>
        <w:snapToGrid w:val="0"/>
        <w:spacing w:line="288" w:lineRule="auto"/>
        <w:jc w:val="left"/>
        <w:rPr>
          <w:rFonts w:cs="Times New Roman"/>
          <w:b/>
          <w:sz w:val="21"/>
          <w:szCs w:val="21"/>
          <w:highlight w:val="none"/>
        </w:rPr>
      </w:pPr>
      <w:r>
        <w:rPr>
          <w:rFonts w:cs="Times New Roman"/>
          <w:b/>
          <w:sz w:val="21"/>
          <w:szCs w:val="21"/>
        </w:rPr>
        <w:t>1.</w:t>
      </w:r>
      <w:r>
        <w:rPr>
          <w:rFonts w:hint="eastAsia" w:cs="Times New Roman"/>
          <w:b/>
          <w:sz w:val="21"/>
          <w:szCs w:val="21"/>
        </w:rPr>
        <w:t>根据《政府采购促</w:t>
      </w:r>
      <w:r>
        <w:rPr>
          <w:rFonts w:hint="eastAsia" w:cs="Times New Roman"/>
          <w:b/>
          <w:sz w:val="21"/>
          <w:szCs w:val="21"/>
          <w:highlight w:val="none"/>
        </w:rPr>
        <w:t>进中小企业发展管理办法》（财库〔2020〕46号）、《关于进一步加大政府采购支持中小企业力度的通知》（财库〔</w:t>
      </w:r>
      <w:r>
        <w:rPr>
          <w:rFonts w:cs="Times New Roman"/>
          <w:b/>
          <w:sz w:val="21"/>
          <w:szCs w:val="21"/>
          <w:highlight w:val="none"/>
        </w:rPr>
        <w:t>2022〕19号）、</w:t>
      </w:r>
      <w:r>
        <w:rPr>
          <w:rFonts w:hint="eastAsia" w:cs="Times New Roman"/>
          <w:b/>
          <w:sz w:val="21"/>
          <w:szCs w:val="21"/>
          <w:highlight w:val="none"/>
        </w:rPr>
        <w:t>《浙江省财政厅关于进一步加大政府采购支持中小企业力度</w:t>
      </w:r>
      <w:r>
        <w:rPr>
          <w:rFonts w:cs="Times New Roman"/>
          <w:b/>
          <w:sz w:val="21"/>
          <w:szCs w:val="21"/>
          <w:highlight w:val="none"/>
        </w:rPr>
        <w:t xml:space="preserve"> 助力扎实稳住经济的通知》（浙财采监〔2022〕8号）</w:t>
      </w:r>
      <w:r>
        <w:rPr>
          <w:rFonts w:hint="eastAsia" w:cs="Times New Roman"/>
          <w:b/>
          <w:sz w:val="21"/>
          <w:szCs w:val="21"/>
          <w:highlight w:val="none"/>
        </w:rPr>
        <w:t>的规定：</w:t>
      </w:r>
    </w:p>
    <w:p>
      <w:pPr>
        <w:adjustRightInd w:val="0"/>
        <w:snapToGrid w:val="0"/>
        <w:spacing w:line="288" w:lineRule="auto"/>
        <w:jc w:val="left"/>
        <w:rPr>
          <w:rFonts w:cs="Times New Roman"/>
          <w:b/>
          <w:sz w:val="21"/>
          <w:szCs w:val="21"/>
          <w:highlight w:val="none"/>
        </w:rPr>
      </w:pPr>
      <w:r>
        <w:rPr>
          <w:rFonts w:hint="eastAsia" w:cs="Times New Roman"/>
          <w:b/>
          <w:sz w:val="21"/>
          <w:szCs w:val="21"/>
          <w:highlight w:val="none"/>
        </w:rPr>
        <w:t>对符合规定的小微企业报价给予</w:t>
      </w:r>
      <w:r>
        <w:rPr>
          <w:rFonts w:hint="eastAsia" w:cs="Times New Roman"/>
          <w:b/>
          <w:sz w:val="21"/>
          <w:szCs w:val="21"/>
          <w:highlight w:val="none"/>
          <w:lang w:val="en-US" w:eastAsia="zh-CN"/>
        </w:rPr>
        <w:t>10%</w:t>
      </w:r>
      <w:r>
        <w:rPr>
          <w:rFonts w:hint="eastAsia" w:cs="Times New Roman"/>
          <w:b/>
          <w:sz w:val="21"/>
          <w:szCs w:val="21"/>
          <w:highlight w:val="none"/>
        </w:rPr>
        <w:t>的扣除后计算价格得分。</w:t>
      </w:r>
    </w:p>
    <w:p>
      <w:pPr>
        <w:adjustRightInd w:val="0"/>
        <w:snapToGrid w:val="0"/>
        <w:spacing w:line="288" w:lineRule="auto"/>
        <w:ind w:firstLine="396" w:firstLineChars="200"/>
        <w:jc w:val="left"/>
        <w:rPr>
          <w:b/>
          <w:sz w:val="21"/>
          <w:szCs w:val="21"/>
          <w:highlight w:val="none"/>
        </w:rPr>
      </w:pPr>
      <w:r>
        <w:rPr>
          <w:rFonts w:hint="eastAsia" w:cs="Times New Roman"/>
          <w:spacing w:val="-6"/>
          <w:sz w:val="21"/>
          <w:szCs w:val="21"/>
          <w:highlight w:val="none"/>
          <w:u w:val="single"/>
        </w:rPr>
        <w:t>注：对于联合协议或者分包意向协议约定小微企业的合同份额占到合同总金额30%以上的，对联合体或者大中型企业的报价给予</w:t>
      </w:r>
      <w:r>
        <w:rPr>
          <w:rFonts w:hint="eastAsia" w:cs="Times New Roman"/>
          <w:spacing w:val="-6"/>
          <w:sz w:val="21"/>
          <w:szCs w:val="21"/>
          <w:highlight w:val="none"/>
          <w:u w:val="single"/>
          <w:lang w:val="en-US" w:eastAsia="zh-CN"/>
        </w:rPr>
        <w:t>4%</w:t>
      </w:r>
      <w:r>
        <w:rPr>
          <w:rFonts w:hint="eastAsia" w:cs="Times New Roman"/>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cs="Times New Roman"/>
          <w:b/>
          <w:bCs/>
          <w:spacing w:val="-6"/>
          <w:sz w:val="21"/>
          <w:szCs w:val="21"/>
        </w:rPr>
      </w:pPr>
      <w:bookmarkStart w:id="47" w:name="_Hlk81817373"/>
      <w:bookmarkStart w:id="48" w:name="_Hlk81817387"/>
      <w:r>
        <w:rPr>
          <w:rFonts w:hint="eastAsia" w:cs="Times New Roman"/>
          <w:b/>
          <w:bCs/>
          <w:spacing w:val="-6"/>
          <w:sz w:val="21"/>
          <w:szCs w:val="21"/>
          <w:highlight w:val="none"/>
        </w:rPr>
        <w:t>2</w:t>
      </w:r>
      <w:r>
        <w:rPr>
          <w:rFonts w:cs="Times New Roman"/>
          <w:b/>
          <w:bCs/>
          <w:spacing w:val="-6"/>
          <w:sz w:val="21"/>
          <w:szCs w:val="21"/>
          <w:highlight w:val="none"/>
        </w:rPr>
        <w:t>.</w:t>
      </w:r>
      <w:r>
        <w:rPr>
          <w:rFonts w:hint="eastAsia" w:cs="Times New Roman"/>
          <w:b/>
          <w:bCs/>
          <w:spacing w:val="-6"/>
          <w:sz w:val="21"/>
          <w:szCs w:val="21"/>
          <w:highlight w:val="none"/>
        </w:rPr>
        <w:t>根据《</w:t>
      </w:r>
      <w:r>
        <w:rPr>
          <w:rFonts w:cs="Times New Roman"/>
          <w:b/>
          <w:bCs/>
          <w:spacing w:val="-6"/>
          <w:sz w:val="21"/>
          <w:szCs w:val="21"/>
          <w:highlight w:val="none"/>
        </w:rPr>
        <w:t>关于政府采购支持监狱企业发展有关问题的通</w:t>
      </w:r>
      <w:r>
        <w:rPr>
          <w:rFonts w:cs="Times New Roman"/>
          <w:b/>
          <w:bCs/>
          <w:spacing w:val="-6"/>
          <w:sz w:val="21"/>
          <w:szCs w:val="21"/>
        </w:rPr>
        <w:t>知</w:t>
      </w:r>
      <w:r>
        <w:rPr>
          <w:rFonts w:hint="eastAsia" w:cs="Times New Roman"/>
          <w:b/>
          <w:bCs/>
          <w:spacing w:val="-6"/>
          <w:sz w:val="21"/>
          <w:szCs w:val="21"/>
        </w:rPr>
        <w:t>》（</w:t>
      </w:r>
      <w:r>
        <w:rPr>
          <w:rFonts w:cs="Times New Roman"/>
          <w:b/>
          <w:bCs/>
          <w:spacing w:val="-6"/>
          <w:sz w:val="21"/>
          <w:szCs w:val="21"/>
        </w:rPr>
        <w:t>财库[2014]68号</w:t>
      </w:r>
      <w:r>
        <w:rPr>
          <w:rFonts w:hint="eastAsia" w:cs="Times New Roman"/>
          <w:b/>
          <w:bCs/>
          <w:spacing w:val="-6"/>
          <w:sz w:val="21"/>
          <w:szCs w:val="21"/>
        </w:rPr>
        <w:t>）的规定，</w:t>
      </w:r>
      <w:r>
        <w:rPr>
          <w:rFonts w:hint="eastAsia"/>
          <w:color w:val="000000"/>
          <w:kern w:val="0"/>
          <w:sz w:val="21"/>
          <w:szCs w:val="21"/>
        </w:rPr>
        <w:t>监狱企业参加政府采购活动时，提供由省级以上监狱管理局</w:t>
      </w:r>
      <w:r>
        <w:rPr>
          <w:rFonts w:hint="eastAsia"/>
          <w:kern w:val="0"/>
          <w:sz w:val="21"/>
          <w:szCs w:val="21"/>
        </w:rPr>
        <w:t>、戒毒管理局（含新疆生产建设兵团）出具的属于监狱企业的证明文件的，在政府采购活动中，监狱企业视</w:t>
      </w:r>
      <w:r>
        <w:rPr>
          <w:rFonts w:hint="eastAsia"/>
          <w:color w:val="000000"/>
          <w:kern w:val="0"/>
          <w:sz w:val="21"/>
          <w:szCs w:val="21"/>
        </w:rPr>
        <w:t>同小型、微型企业，享受预留份额、评审中价格扣除等政府采购促进中小企业发展的政府采购政策。</w:t>
      </w:r>
    </w:p>
    <w:bookmarkEnd w:id="47"/>
    <w:p>
      <w:pPr>
        <w:adjustRightInd w:val="0"/>
        <w:snapToGrid w:val="0"/>
        <w:spacing w:line="288" w:lineRule="auto"/>
        <w:rPr>
          <w:rFonts w:cs="Times New Roman"/>
          <w:b/>
          <w:bCs/>
          <w:spacing w:val="-6"/>
          <w:sz w:val="21"/>
          <w:szCs w:val="21"/>
        </w:rPr>
      </w:pPr>
      <w:r>
        <w:rPr>
          <w:rFonts w:hint="eastAsia" w:cs="Times New Roman"/>
          <w:b/>
          <w:bCs/>
          <w:spacing w:val="-6"/>
          <w:sz w:val="21"/>
          <w:szCs w:val="21"/>
        </w:rPr>
        <w:t>3</w:t>
      </w:r>
      <w:r>
        <w:rPr>
          <w:rFonts w:cs="Times New Roman"/>
          <w:b/>
          <w:bCs/>
          <w:spacing w:val="-6"/>
          <w:sz w:val="21"/>
          <w:szCs w:val="21"/>
        </w:rPr>
        <w:t>.</w:t>
      </w:r>
      <w:r>
        <w:rPr>
          <w:rFonts w:hint="eastAsia" w:cs="Times New Roman"/>
          <w:b/>
          <w:bCs/>
          <w:spacing w:val="-6"/>
          <w:sz w:val="21"/>
          <w:szCs w:val="21"/>
        </w:rPr>
        <w:t>根据《关于促进残疾人就业政府采购政策的通知》（财库[2017]141号）的规定，</w:t>
      </w:r>
      <w:r>
        <w:rPr>
          <w:rFonts w:hint="eastAsia"/>
          <w:color w:val="000000"/>
          <w:sz w:val="21"/>
          <w:szCs w:val="21"/>
        </w:rPr>
        <w:t>符合条件的残疾人福利性单位在参加政府采购活动时，</w:t>
      </w:r>
      <w:r>
        <w:rPr>
          <w:rFonts w:hint="eastAsia"/>
          <w:sz w:val="21"/>
          <w:szCs w:val="21"/>
        </w:rPr>
        <w:t>提供财库</w:t>
      </w:r>
      <w:r>
        <w:rPr>
          <w:sz w:val="21"/>
          <w:szCs w:val="21"/>
        </w:rPr>
        <w:t>[2017]141号</w:t>
      </w:r>
      <w:r>
        <w:rPr>
          <w:rFonts w:hint="eastAsia"/>
          <w:sz w:val="21"/>
          <w:szCs w:val="21"/>
        </w:rPr>
        <w:t>文件</w:t>
      </w:r>
      <w:r>
        <w:rPr>
          <w:rFonts w:hint="eastAsia"/>
          <w:color w:val="000000"/>
          <w:sz w:val="21"/>
          <w:szCs w:val="21"/>
        </w:rPr>
        <w:t>规定的《残疾人福利性单位声明函》的，在政府采购活</w:t>
      </w:r>
      <w:r>
        <w:rPr>
          <w:rFonts w:hint="eastAsia"/>
          <w:sz w:val="21"/>
          <w:szCs w:val="21"/>
        </w:rPr>
        <w:t>动中，残疾人福利性单位视同小型、微型企业，享受预留份额、评审中价格扣除等促进中小企业发展的政府采购政策。</w:t>
      </w:r>
      <w:r>
        <w:rPr>
          <w:rFonts w:cs="Times New Roman"/>
          <w:spacing w:val="-6"/>
          <w:sz w:val="21"/>
          <w:szCs w:val="21"/>
        </w:rPr>
        <w:t>残疾人福利性单位属于小型、微型企业的，不重复享受政策。</w:t>
      </w:r>
    </w:p>
    <w:bookmarkEnd w:id="48"/>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lang w:eastAsia="zh-CN"/>
        </w:rPr>
        <w:t>浙江金融职业学院</w:t>
      </w:r>
      <w:r>
        <w:rPr>
          <w:rFonts w:hint="eastAsia"/>
          <w:b/>
          <w:spacing w:val="-6"/>
          <w:sz w:val="21"/>
          <w:szCs w:val="21"/>
        </w:rPr>
        <w:t xml:space="preserve"> 政府采购合同</w:t>
      </w:r>
    </w:p>
    <w:p>
      <w:pPr>
        <w:adjustRightInd w:val="0"/>
        <w:snapToGrid w:val="0"/>
        <w:spacing w:line="288" w:lineRule="auto"/>
        <w:rPr>
          <w:sz w:val="21"/>
          <w:szCs w:val="21"/>
        </w:rPr>
      </w:pP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业财税融合岗课证训场景教学平台项目</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QSZB-Z(F)-B24336(CS)L</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浙江金融职业学院</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浙江金融职业学院</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业财税融合岗课证训场景教学平台项目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QSZB-Z(F)-B24336(CS)L</w:t>
      </w:r>
      <w:r>
        <w:rPr>
          <w:rFonts w:hint="eastAsia"/>
          <w:spacing w:val="-6"/>
          <w:sz w:val="21"/>
          <w:szCs w:val="21"/>
          <w:u w:val="single"/>
        </w:rPr>
        <w:t>）</w:t>
      </w:r>
      <w:r>
        <w:rPr>
          <w:rFonts w:hint="eastAsia"/>
          <w:spacing w:val="-6"/>
          <w:sz w:val="21"/>
          <w:szCs w:val="21"/>
        </w:rPr>
        <w:t>的成交供应商。根据《中华人民共和国民法典》规定，签署本合同。</w:t>
      </w:r>
    </w:p>
    <w:p>
      <w:pPr>
        <w:adjustRightInd w:val="0"/>
        <w:snapToGrid w:val="0"/>
        <w:spacing w:line="288" w:lineRule="auto"/>
        <w:rPr>
          <w:b/>
          <w:spacing w:val="-6"/>
          <w:sz w:val="21"/>
          <w:szCs w:val="21"/>
        </w:rPr>
      </w:pPr>
    </w:p>
    <w:p>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pPr>
              <w:adjustRightInd w:val="0"/>
              <w:snapToGrid w:val="0"/>
              <w:spacing w:line="288" w:lineRule="auto"/>
              <w:jc w:val="center"/>
              <w:rPr>
                <w:spacing w:val="-6"/>
                <w:sz w:val="21"/>
                <w:szCs w:val="21"/>
              </w:rPr>
            </w:pPr>
            <w:r>
              <w:rPr>
                <w:rFonts w:hint="eastAsia"/>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rPr>
            </w:pPr>
            <w:r>
              <w:rPr>
                <w:rFonts w:hint="eastAsia"/>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lang w:val="zh-CN"/>
              </w:rPr>
            </w:pPr>
          </w:p>
          <w:p>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第二条：履约保证金和付款方式</w:t>
      </w:r>
    </w:p>
    <w:p>
      <w:pPr>
        <w:keepNext w:val="0"/>
        <w:keepLines w:val="0"/>
        <w:pageBreakBefore w:val="0"/>
        <w:widowControl w:val="0"/>
        <w:kinsoku/>
        <w:wordWrap/>
        <w:overflowPunct/>
        <w:topLinePunct w:val="0"/>
        <w:autoSpaceDE/>
        <w:autoSpaceDN/>
        <w:bidi w:val="0"/>
        <w:adjustRightInd w:val="0"/>
        <w:snapToGrid w:val="0"/>
        <w:spacing w:line="288" w:lineRule="auto"/>
        <w:ind w:firstLine="398" w:firstLineChars="200"/>
        <w:textAlignment w:val="auto"/>
        <w:rPr>
          <w:rFonts w:hint="eastAsia"/>
          <w:b/>
          <w:bCs/>
          <w:spacing w:val="-6"/>
          <w:kern w:val="0"/>
          <w:sz w:val="21"/>
          <w:szCs w:val="21"/>
          <w:lang w:val="en-US" w:eastAsia="zh-CN"/>
        </w:rPr>
      </w:pPr>
      <w:r>
        <w:rPr>
          <w:rFonts w:hint="eastAsia"/>
          <w:b/>
          <w:bCs/>
          <w:spacing w:val="-6"/>
          <w:kern w:val="0"/>
          <w:sz w:val="21"/>
          <w:szCs w:val="21"/>
          <w:lang w:val="en-US" w:eastAsia="zh-CN"/>
        </w:rPr>
        <w:t>履约保证金：</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rPr>
      </w:pPr>
      <w:r>
        <w:rPr>
          <w:rFonts w:hint="eastAsia"/>
          <w:spacing w:val="-6"/>
          <w:kern w:val="0"/>
          <w:sz w:val="21"/>
          <w:szCs w:val="21"/>
        </w:rPr>
        <w:t>1.合同签订后一周内，</w:t>
      </w:r>
      <w:r>
        <w:rPr>
          <w:rFonts w:hint="eastAsia"/>
          <w:spacing w:val="-6"/>
          <w:kern w:val="0"/>
          <w:sz w:val="21"/>
          <w:szCs w:val="21"/>
          <w:lang w:eastAsia="zh-CN"/>
        </w:rPr>
        <w:t>乙方</w:t>
      </w:r>
      <w:r>
        <w:rPr>
          <w:rFonts w:hint="eastAsia"/>
          <w:spacing w:val="-6"/>
          <w:kern w:val="0"/>
          <w:sz w:val="21"/>
          <w:szCs w:val="21"/>
        </w:rPr>
        <w:t>向</w:t>
      </w:r>
      <w:r>
        <w:rPr>
          <w:rFonts w:hint="eastAsia"/>
          <w:spacing w:val="-6"/>
          <w:kern w:val="0"/>
          <w:sz w:val="21"/>
          <w:szCs w:val="21"/>
          <w:lang w:eastAsia="zh-CN"/>
        </w:rPr>
        <w:t>甲方</w:t>
      </w:r>
      <w:r>
        <w:rPr>
          <w:rFonts w:hint="eastAsia"/>
          <w:spacing w:val="-6"/>
          <w:kern w:val="0"/>
          <w:sz w:val="21"/>
          <w:szCs w:val="21"/>
        </w:rPr>
        <w:t>提交合同总价1%的履约保证金，履约保证金在合同履约期间无违约情形的，项目验收结束后，于一周内退还（不计息）；</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rPr>
      </w:pPr>
      <w:r>
        <w:rPr>
          <w:rFonts w:hint="eastAsia"/>
          <w:spacing w:val="-6"/>
          <w:kern w:val="0"/>
          <w:sz w:val="21"/>
          <w:szCs w:val="21"/>
        </w:rPr>
        <w:t>2.提交方式：支票、汇票、本票或金融机构、担保机构出具的保函等非现金形式。</w:t>
      </w:r>
    </w:p>
    <w:p>
      <w:pPr>
        <w:keepNext w:val="0"/>
        <w:keepLines w:val="0"/>
        <w:pageBreakBefore w:val="0"/>
        <w:widowControl w:val="0"/>
        <w:kinsoku/>
        <w:wordWrap/>
        <w:overflowPunct/>
        <w:topLinePunct w:val="0"/>
        <w:autoSpaceDE/>
        <w:autoSpaceDN/>
        <w:bidi w:val="0"/>
        <w:adjustRightInd w:val="0"/>
        <w:snapToGrid w:val="0"/>
        <w:spacing w:line="288" w:lineRule="auto"/>
        <w:ind w:firstLine="398" w:firstLineChars="200"/>
        <w:textAlignment w:val="auto"/>
        <w:rPr>
          <w:rFonts w:hint="eastAsia"/>
          <w:b/>
          <w:bCs/>
          <w:spacing w:val="-6"/>
          <w:kern w:val="0"/>
          <w:sz w:val="21"/>
          <w:szCs w:val="21"/>
          <w:lang w:val="en-US" w:eastAsia="zh-CN"/>
        </w:rPr>
      </w:pPr>
      <w:r>
        <w:rPr>
          <w:rFonts w:hint="eastAsia"/>
          <w:b/>
          <w:bCs/>
          <w:spacing w:val="-6"/>
          <w:kern w:val="0"/>
          <w:sz w:val="21"/>
          <w:szCs w:val="21"/>
          <w:lang w:val="en-US" w:eastAsia="zh-CN"/>
        </w:rPr>
        <w:t>付款方式：</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rPr>
      </w:pPr>
      <w:r>
        <w:rPr>
          <w:rFonts w:hint="eastAsia"/>
          <w:spacing w:val="-6"/>
          <w:kern w:val="0"/>
          <w:sz w:val="21"/>
          <w:szCs w:val="21"/>
        </w:rPr>
        <w:t>1.预付款：</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rPr>
      </w:pPr>
      <w:r>
        <w:rPr>
          <w:rFonts w:hint="eastAsia"/>
          <w:spacing w:val="-6"/>
          <w:kern w:val="0"/>
          <w:sz w:val="21"/>
          <w:szCs w:val="21"/>
        </w:rPr>
        <w:t>1.1.支付条件：</w:t>
      </w:r>
      <w:r>
        <w:rPr>
          <w:rFonts w:hint="eastAsia"/>
          <w:spacing w:val="-6"/>
          <w:kern w:val="0"/>
          <w:sz w:val="21"/>
          <w:szCs w:val="21"/>
          <w:lang w:eastAsia="zh-CN"/>
        </w:rPr>
        <w:t>乙方</w:t>
      </w:r>
      <w:r>
        <w:rPr>
          <w:rFonts w:hint="eastAsia"/>
          <w:spacing w:val="-6"/>
          <w:kern w:val="0"/>
          <w:sz w:val="21"/>
          <w:szCs w:val="21"/>
        </w:rPr>
        <w:t>提交银行、保险公司等金融机构出具的预付款保函的；</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rPr>
      </w:pPr>
      <w:r>
        <w:rPr>
          <w:rFonts w:hint="eastAsia"/>
          <w:spacing w:val="-6"/>
          <w:kern w:val="0"/>
          <w:sz w:val="21"/>
          <w:szCs w:val="21"/>
        </w:rPr>
        <w:t>1.2.支付时间、数额：合同生效且</w:t>
      </w:r>
      <w:r>
        <w:rPr>
          <w:rFonts w:hint="eastAsia"/>
          <w:spacing w:val="-6"/>
          <w:kern w:val="0"/>
          <w:sz w:val="21"/>
          <w:szCs w:val="21"/>
          <w:lang w:eastAsia="zh-CN"/>
        </w:rPr>
        <w:t>乙方</w:t>
      </w:r>
      <w:r>
        <w:rPr>
          <w:rFonts w:hint="eastAsia"/>
          <w:spacing w:val="-6"/>
          <w:kern w:val="0"/>
          <w:sz w:val="21"/>
          <w:szCs w:val="21"/>
        </w:rPr>
        <w:t>出具预付款保函后七个工作日内，</w:t>
      </w:r>
      <w:r>
        <w:rPr>
          <w:rFonts w:hint="eastAsia"/>
          <w:spacing w:val="-6"/>
          <w:kern w:val="0"/>
          <w:sz w:val="21"/>
          <w:szCs w:val="21"/>
          <w:lang w:eastAsia="zh-CN"/>
        </w:rPr>
        <w:t>甲方</w:t>
      </w:r>
      <w:r>
        <w:rPr>
          <w:rFonts w:hint="eastAsia"/>
          <w:spacing w:val="-6"/>
          <w:kern w:val="0"/>
          <w:sz w:val="21"/>
          <w:szCs w:val="21"/>
        </w:rPr>
        <w:t>向中标</w:t>
      </w:r>
      <w:r>
        <w:rPr>
          <w:rFonts w:hint="eastAsia"/>
          <w:spacing w:val="-6"/>
          <w:kern w:val="0"/>
          <w:sz w:val="21"/>
          <w:szCs w:val="21"/>
          <w:lang w:eastAsia="zh-CN"/>
        </w:rPr>
        <w:t>乙方</w:t>
      </w:r>
      <w:r>
        <w:rPr>
          <w:rFonts w:hint="eastAsia"/>
          <w:spacing w:val="-6"/>
          <w:kern w:val="0"/>
          <w:sz w:val="21"/>
          <w:szCs w:val="21"/>
        </w:rPr>
        <w:t>支付合同金额40%的预付款。</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rPr>
      </w:pPr>
      <w:r>
        <w:rPr>
          <w:rFonts w:hint="eastAsia"/>
          <w:spacing w:val="-6"/>
          <w:kern w:val="0"/>
          <w:sz w:val="21"/>
          <w:szCs w:val="21"/>
        </w:rPr>
        <w:t>备注：签订合同时，</w:t>
      </w:r>
      <w:r>
        <w:rPr>
          <w:rFonts w:hint="eastAsia"/>
          <w:spacing w:val="-6"/>
          <w:kern w:val="0"/>
          <w:sz w:val="21"/>
          <w:szCs w:val="21"/>
          <w:lang w:eastAsia="zh-CN"/>
        </w:rPr>
        <w:t>乙方</w:t>
      </w:r>
      <w:r>
        <w:rPr>
          <w:rFonts w:hint="eastAsia"/>
          <w:spacing w:val="-6"/>
          <w:kern w:val="0"/>
          <w:sz w:val="21"/>
          <w:szCs w:val="21"/>
        </w:rPr>
        <w:t>明确表示无需预付款或者主动要求降低预付款比例的，采购单位可不适用前述规定。</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cs="Times New Roman"/>
          <w:b/>
          <w:spacing w:val="-6"/>
          <w:sz w:val="21"/>
          <w:szCs w:val="21"/>
        </w:rPr>
      </w:pPr>
      <w:r>
        <w:rPr>
          <w:rFonts w:hint="eastAsia"/>
          <w:spacing w:val="-6"/>
          <w:kern w:val="0"/>
          <w:sz w:val="21"/>
          <w:szCs w:val="21"/>
        </w:rPr>
        <w:t>2.项目完成后，经</w:t>
      </w:r>
      <w:r>
        <w:rPr>
          <w:rFonts w:hint="eastAsia"/>
          <w:spacing w:val="-6"/>
          <w:kern w:val="0"/>
          <w:sz w:val="21"/>
          <w:szCs w:val="21"/>
          <w:lang w:eastAsia="zh-CN"/>
        </w:rPr>
        <w:t>甲方</w:t>
      </w:r>
      <w:r>
        <w:rPr>
          <w:rFonts w:hint="eastAsia"/>
          <w:spacing w:val="-6"/>
          <w:kern w:val="0"/>
          <w:sz w:val="21"/>
          <w:szCs w:val="21"/>
        </w:rPr>
        <w:t>验收合格后，</w:t>
      </w:r>
      <w:r>
        <w:rPr>
          <w:rFonts w:hint="eastAsia"/>
          <w:spacing w:val="-6"/>
          <w:kern w:val="0"/>
          <w:sz w:val="21"/>
          <w:szCs w:val="21"/>
          <w:lang w:eastAsia="zh-CN"/>
        </w:rPr>
        <w:t>甲方</w:t>
      </w:r>
      <w:r>
        <w:rPr>
          <w:rFonts w:hint="eastAsia"/>
          <w:spacing w:val="-6"/>
          <w:kern w:val="0"/>
          <w:sz w:val="21"/>
          <w:szCs w:val="21"/>
        </w:rPr>
        <w:t>自收到发票后7个工作日内，支付至合同金额的100%。</w:t>
      </w:r>
    </w:p>
    <w:p>
      <w:pPr>
        <w:adjustRightInd w:val="0"/>
        <w:snapToGrid w:val="0"/>
        <w:spacing w:line="288" w:lineRule="auto"/>
        <w:rPr>
          <w:rFonts w:cs="Times New Roman"/>
          <w:b/>
          <w:spacing w:val="-6"/>
          <w:sz w:val="21"/>
          <w:szCs w:val="21"/>
        </w:rPr>
      </w:pPr>
      <w:r>
        <w:rPr>
          <w:rFonts w:hint="eastAsia" w:cs="Times New Roman"/>
          <w:b/>
          <w:spacing w:val="-6"/>
          <w:sz w:val="21"/>
          <w:szCs w:val="21"/>
        </w:rPr>
        <w:t>第三条：交付时间、地点、货物质保期</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ind w:right="-588" w:rightChars="-245" w:firstLine="396" w:firstLineChars="200"/>
        <w:rPr>
          <w:rFonts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pPr>
        <w:adjustRightInd w:val="0"/>
        <w:snapToGrid w:val="0"/>
        <w:spacing w:line="288" w:lineRule="auto"/>
        <w:rPr>
          <w:rFonts w:cs="Times New Roman"/>
          <w:b/>
          <w:spacing w:val="-6"/>
          <w:sz w:val="21"/>
          <w:szCs w:val="21"/>
        </w:rPr>
      </w:pPr>
      <w:r>
        <w:rPr>
          <w:rFonts w:hint="eastAsia" w:cs="Times New Roman"/>
          <w:b/>
          <w:spacing w:val="-6"/>
          <w:sz w:val="21"/>
          <w:szCs w:val="21"/>
        </w:rPr>
        <w:t>第四条：服务标准、期限、效率</w:t>
      </w:r>
    </w:p>
    <w:p>
      <w:pPr>
        <w:adjustRightInd w:val="0"/>
        <w:snapToGrid w:val="0"/>
        <w:spacing w:line="288" w:lineRule="auto"/>
        <w:ind w:firstLine="396" w:firstLineChars="200"/>
        <w:rPr>
          <w:rFonts w:hint="eastAsia" w:cs="Times New Roman"/>
          <w:spacing w:val="-6"/>
          <w:sz w:val="21"/>
          <w:szCs w:val="21"/>
          <w:u w:val="none"/>
        </w:rPr>
      </w:pPr>
      <w:r>
        <w:rPr>
          <w:rFonts w:hint="eastAsia" w:cs="Times New Roman"/>
          <w:spacing w:val="-6"/>
          <w:sz w:val="21"/>
          <w:szCs w:val="21"/>
          <w:u w:val="none"/>
        </w:rPr>
        <w:t>1</w:t>
      </w:r>
      <w:r>
        <w:rPr>
          <w:rFonts w:hint="eastAsia" w:cs="Times New Roman"/>
          <w:spacing w:val="-6"/>
          <w:sz w:val="21"/>
          <w:szCs w:val="21"/>
          <w:u w:val="none"/>
          <w:lang w:val="en-US" w:eastAsia="zh-CN"/>
        </w:rPr>
        <w:t>.</w:t>
      </w:r>
      <w:r>
        <w:rPr>
          <w:rFonts w:hint="eastAsia" w:cs="Times New Roman"/>
          <w:spacing w:val="-6"/>
          <w:sz w:val="21"/>
          <w:szCs w:val="21"/>
          <w:u w:val="none"/>
        </w:rPr>
        <w:t>自验收合格之日起提供5年的软件质保，并提供5年的软件系统的免费升级服务及永久技术咨询和技术支持服务。</w:t>
      </w:r>
    </w:p>
    <w:p>
      <w:pPr>
        <w:adjustRightInd w:val="0"/>
        <w:snapToGrid w:val="0"/>
        <w:spacing w:line="288" w:lineRule="auto"/>
        <w:ind w:firstLine="396" w:firstLineChars="200"/>
        <w:rPr>
          <w:rFonts w:hint="eastAsia" w:cs="Times New Roman"/>
          <w:spacing w:val="-6"/>
          <w:sz w:val="21"/>
          <w:szCs w:val="21"/>
          <w:u w:val="none"/>
        </w:rPr>
      </w:pPr>
      <w:r>
        <w:rPr>
          <w:rFonts w:hint="eastAsia" w:cs="Times New Roman"/>
          <w:spacing w:val="-6"/>
          <w:sz w:val="21"/>
          <w:szCs w:val="21"/>
          <w:u w:val="none"/>
        </w:rPr>
        <w:t>2</w:t>
      </w:r>
      <w:r>
        <w:rPr>
          <w:rFonts w:hint="eastAsia" w:cs="Times New Roman"/>
          <w:spacing w:val="-6"/>
          <w:sz w:val="21"/>
          <w:szCs w:val="21"/>
          <w:u w:val="none"/>
          <w:lang w:val="en-US" w:eastAsia="zh-CN"/>
        </w:rPr>
        <w:t>.</w:t>
      </w:r>
      <w:r>
        <w:rPr>
          <w:rFonts w:hint="eastAsia" w:cs="Times New Roman"/>
          <w:spacing w:val="-6"/>
          <w:sz w:val="21"/>
          <w:szCs w:val="21"/>
          <w:u w:val="none"/>
        </w:rPr>
        <w:t>无条件根据甲方要求提供免费的软件安装、调试工作；应用软件版本有新的版本时，或有修正版本时，为学校用户提供升级服务。学校用户某些机器上不需要使用部分应用软件，或应用软件在使用过程中与其他方面有冲突时，应学校用户要求，进行卸载维护服务。</w:t>
      </w:r>
    </w:p>
    <w:p>
      <w:pPr>
        <w:adjustRightInd w:val="0"/>
        <w:snapToGrid w:val="0"/>
        <w:spacing w:line="288" w:lineRule="auto"/>
        <w:ind w:firstLine="396" w:firstLineChars="200"/>
        <w:rPr>
          <w:rFonts w:cs="Times New Roman"/>
          <w:spacing w:val="-6"/>
          <w:sz w:val="21"/>
          <w:szCs w:val="21"/>
          <w:u w:val="none"/>
        </w:rPr>
      </w:pPr>
      <w:r>
        <w:rPr>
          <w:rFonts w:hint="eastAsia" w:cs="Times New Roman"/>
          <w:spacing w:val="-6"/>
          <w:sz w:val="21"/>
          <w:szCs w:val="21"/>
          <w:u w:val="none"/>
        </w:rPr>
        <w:t>3</w:t>
      </w:r>
      <w:r>
        <w:rPr>
          <w:rFonts w:hint="eastAsia" w:cs="Times New Roman"/>
          <w:spacing w:val="-6"/>
          <w:sz w:val="21"/>
          <w:szCs w:val="21"/>
          <w:u w:val="none"/>
          <w:lang w:val="en-US" w:eastAsia="zh-CN"/>
        </w:rPr>
        <w:t>.乙方</w:t>
      </w:r>
      <w:r>
        <w:rPr>
          <w:rFonts w:hint="eastAsia" w:cs="Times New Roman"/>
          <w:spacing w:val="-6"/>
          <w:sz w:val="21"/>
          <w:szCs w:val="21"/>
          <w:u w:val="none"/>
        </w:rPr>
        <w:t>在接到软件故障通知后，要求1小时内响应，2小时内到达现场，10小时内保证解决。</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lang w:val="en-US" w:eastAsia="zh-CN"/>
        </w:rPr>
        <w:t>4</w:t>
      </w:r>
      <w:r>
        <w:rPr>
          <w:rFonts w:hint="eastAsia" w:cs="Times New Roman"/>
          <w:spacing w:val="-6"/>
          <w:sz w:val="21"/>
          <w:szCs w:val="21"/>
        </w:rPr>
        <w:t>.培训：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rPr>
          <w:rFonts w:cs="Times New Roman"/>
          <w:b/>
          <w:spacing w:val="-6"/>
          <w:sz w:val="21"/>
          <w:szCs w:val="21"/>
        </w:rPr>
      </w:pPr>
      <w:r>
        <w:rPr>
          <w:rFonts w:hint="eastAsia" w:cs="Times New Roman"/>
          <w:b/>
          <w:spacing w:val="-6"/>
          <w:sz w:val="21"/>
          <w:szCs w:val="21"/>
        </w:rPr>
        <w:t>第五条：其他技术、服务要求</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1.乙方应按磋商文件规定的货物性能、技术要求、质量标准向甲方提供未经使用的全新产品，符合国家法律法规规定和技术规格、质量标准的出厂原装合格产品。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2.技术支持：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5.供货时提供有关的全套技术文件。</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6</w:t>
      </w:r>
      <w:r>
        <w:rPr>
          <w:rFonts w:cs="Times New Roman"/>
          <w:spacing w:val="-6"/>
          <w:sz w:val="21"/>
          <w:szCs w:val="21"/>
          <w:highlight w:val="none"/>
        </w:rPr>
        <w:t>.</w:t>
      </w:r>
      <w:r>
        <w:rPr>
          <w:rFonts w:hint="eastAsia" w:cs="Times New Roman"/>
          <w:spacing w:val="-6"/>
          <w:sz w:val="21"/>
          <w:szCs w:val="21"/>
          <w:highlight w:val="none"/>
        </w:rPr>
        <w:t>乙方应保证所提供的货物或其中任何一部分均不会侵犯第三方的知识产权。</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第六条：验收标准</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1.验收由甲方负责实施；</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2.验收依据：</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2.1合同、磋商文件、响应文件；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2.2乙方提供的技术规格、经甲方认可的合同货物的有效检验文件；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4.验收合格的条件：</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4.1供应商提供不符合附件文件和本合同规定的货物，采购人有权拒绝接受。</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4.2供应商应将所提供货物的使用说明书等交付给采购人，如有缺失应及时补齐，否则视为逾期交货。</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4.3提交的货物依据招标文件上的技术规格要求和国家有关质量标准进行现场验收，项目建设完毕后，采购人在15日内组织验收。</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4.4供应商交货前应对产品做出全面检查和对验收文件进行整理，并列出清单，作为采购人收货验收和使用的技术条件依据，检验的结果应随货物交采购人。</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4.5采购人对供应商提供的货物在使用前进行调试时，供应商需负责安装并培训采购人的使用操作人员，并协助采购人一起调试，直到符合技术要求，采购人才做最终验收。</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4.6验收时供应商应在现场，验收完毕后做出验收结果报告。</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第七条：违约责任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百分之五作为违约金。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w:t>
      </w:r>
      <w:r>
        <w:rPr>
          <w:rFonts w:hint="eastAsia" w:ascii="宋体" w:hAnsi="宋体" w:eastAsia="宋体" w:cs="宋体"/>
          <w:spacing w:val="-6"/>
          <w:kern w:val="0"/>
          <w:sz w:val="21"/>
          <w:szCs w:val="21"/>
          <w:highlight w:val="none"/>
          <w:lang w:val="en-US" w:eastAsia="zh-CN"/>
        </w:rPr>
        <w:t>价</w:t>
      </w:r>
      <w:r>
        <w:rPr>
          <w:rFonts w:hint="eastAsia" w:ascii="宋体" w:hAnsi="宋体" w:eastAsia="宋体" w:cs="宋体"/>
          <w:spacing w:val="-6"/>
          <w:kern w:val="0"/>
          <w:sz w:val="21"/>
          <w:szCs w:val="21"/>
          <w:highlight w:val="none"/>
          <w:lang w:val="zh-CN"/>
        </w:rPr>
        <w:t>每日万分之五向乙方支付违约金。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pPr>
        <w:adjustRightInd w:val="0"/>
        <w:snapToGrid w:val="0"/>
        <w:spacing w:line="288" w:lineRule="auto"/>
        <w:ind w:firstLine="396" w:firstLineChars="200"/>
        <w:rPr>
          <w:rFonts w:cs="Times New Roman"/>
          <w:spacing w:val="-6"/>
          <w:sz w:val="21"/>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第九条：争议解决</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第十条：合同生效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pPr>
        <w:adjustRightInd w:val="0"/>
        <w:snapToGrid w:val="0"/>
        <w:spacing w:line="288" w:lineRule="auto"/>
        <w:rPr>
          <w:rFonts w:cs="Times New Roman"/>
          <w:b/>
          <w:spacing w:val="-6"/>
          <w:sz w:val="21"/>
          <w:szCs w:val="21"/>
        </w:rPr>
      </w:pPr>
      <w:r>
        <w:rPr>
          <w:rFonts w:hint="eastAsia" w:cs="Times New Roman"/>
          <w:b/>
          <w:spacing w:val="-6"/>
          <w:sz w:val="21"/>
          <w:szCs w:val="21"/>
        </w:rPr>
        <w:t>第十一条：合同份数</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eastAsia="宋体" w:cs="Times New Roman"/>
                <w:spacing w:val="-6"/>
                <w:sz w:val="21"/>
                <w:szCs w:val="21"/>
                <w:lang w:val="en-US" w:eastAsia="zh-CN"/>
              </w:rPr>
            </w:pPr>
            <w:r>
              <w:rPr>
                <w:rFonts w:hint="eastAsia" w:cs="Times New Roman"/>
                <w:spacing w:val="-6"/>
                <w:sz w:val="21"/>
                <w:szCs w:val="21"/>
                <w:lang w:val="en-US" w:eastAsia="zh-CN"/>
              </w:rPr>
              <w:t>统一社会信用代码：</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账号：</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eastAsia="宋体" w:cs="Times New Roman"/>
                <w:spacing w:val="-6"/>
                <w:sz w:val="21"/>
                <w:szCs w:val="21"/>
                <w:lang w:eastAsia="zh-CN"/>
              </w:rPr>
            </w:pPr>
            <w:r>
              <w:rPr>
                <w:rFonts w:hint="eastAsia"/>
                <w:sz w:val="21"/>
                <w:szCs w:val="21"/>
              </w:rPr>
              <w:t>电话：0571-87</w:t>
            </w:r>
            <w:r>
              <w:rPr>
                <w:rFonts w:hint="eastAsia"/>
                <w:sz w:val="21"/>
                <w:szCs w:val="21"/>
                <w:lang w:eastAsia="zh-CN"/>
              </w:rPr>
              <w:t>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9" w:name="_Hlk71884160"/>
      <w:r>
        <w:rPr>
          <w:rFonts w:hint="eastAsia"/>
          <w:b/>
          <w:bCs/>
          <w:sz w:val="21"/>
          <w:szCs w:val="21"/>
        </w:rPr>
        <w:t>▲1.资格文件（单独上传）。资格审查要求的资格证明材料（均需加盖公章）</w:t>
      </w:r>
    </w:p>
    <w:bookmarkEnd w:id="49"/>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50"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3）落实政府采购政策需</w:t>
      </w:r>
      <w:r>
        <w:rPr>
          <w:sz w:val="21"/>
          <w:szCs w:val="21"/>
          <w:highlight w:val="none"/>
        </w:rPr>
        <w:t>满足的资格要求：无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highlight w:val="none"/>
        </w:rPr>
      </w:pPr>
    </w:p>
    <w:bookmarkEnd w:id="50"/>
    <w:p>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51" w:name="_Hlk71884196"/>
      <w:r>
        <w:rPr>
          <w:rFonts w:hint="eastAsia"/>
          <w:sz w:val="21"/>
          <w:szCs w:val="21"/>
          <w:highlight w:val="none"/>
          <w:lang w:val="en-US" w:eastAsia="zh-CN"/>
        </w:rPr>
        <w:t>服务</w:t>
      </w:r>
      <w:r>
        <w:rPr>
          <w:sz w:val="21"/>
          <w:szCs w:val="21"/>
          <w:highlight w:val="none"/>
        </w:rPr>
        <w:t>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项目实施方案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信息化管理</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进度计划</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应急处理方案</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项目组人员</w:t>
      </w:r>
    </w:p>
    <w:p>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培训方案</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售后服务方案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7</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1"/>
    </w:p>
    <w:p>
      <w:pPr>
        <w:adjustRightInd w:val="0"/>
        <w:snapToGrid w:val="0"/>
        <w:spacing w:line="288" w:lineRule="auto"/>
        <w:ind w:firstLine="420" w:firstLineChars="200"/>
        <w:rPr>
          <w:sz w:val="21"/>
          <w:szCs w:val="21"/>
          <w:highlight w:val="none"/>
        </w:rPr>
      </w:pPr>
    </w:p>
    <w:p>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）属于监狱企业的证明文件（若属于监狱企业）</w:t>
      </w:r>
    </w:p>
    <w:p>
      <w:pPr>
        <w:adjustRightInd w:val="0"/>
        <w:snapToGrid w:val="0"/>
        <w:spacing w:line="288" w:lineRule="auto"/>
        <w:ind w:firstLine="420" w:firstLineChars="200"/>
        <w:rPr>
          <w:sz w:val="21"/>
          <w:szCs w:val="21"/>
          <w:highlight w:val="none"/>
        </w:rPr>
      </w:pPr>
      <w:bookmarkStart w:id="52" w:name="OLE_LINK14"/>
      <w:bookmarkStart w:id="53" w:name="OLE_LINK13"/>
      <w:r>
        <w:rPr>
          <w:rFonts w:hint="eastAsia"/>
          <w:sz w:val="21"/>
          <w:szCs w:val="21"/>
          <w:highlight w:val="none"/>
        </w:rPr>
        <w:t>（</w:t>
      </w:r>
      <w:r>
        <w:rPr>
          <w:sz w:val="21"/>
          <w:szCs w:val="21"/>
          <w:highlight w:val="none"/>
        </w:rPr>
        <w:t>4</w:t>
      </w:r>
      <w:r>
        <w:rPr>
          <w:rFonts w:hint="eastAsia"/>
          <w:sz w:val="21"/>
          <w:szCs w:val="21"/>
          <w:highlight w:val="none"/>
        </w:rPr>
        <w:t>）残疾人福利性单位声明函</w:t>
      </w:r>
      <w:bookmarkEnd w:id="52"/>
      <w:bookmarkEnd w:id="53"/>
      <w:r>
        <w:rPr>
          <w:rFonts w:hint="eastAsia"/>
          <w:sz w:val="21"/>
          <w:szCs w:val="21"/>
          <w:highlight w:val="none"/>
        </w:rPr>
        <w:t>（若属于残疾人福利性单位）</w:t>
      </w:r>
    </w:p>
    <w:p>
      <w:pPr>
        <w:widowControl/>
        <w:jc w:val="left"/>
        <w:rPr>
          <w:sz w:val="21"/>
          <w:szCs w:val="21"/>
          <w:highlight w:val="none"/>
        </w:rPr>
      </w:pPr>
      <w:r>
        <w:rPr>
          <w:sz w:val="21"/>
          <w:szCs w:val="21"/>
          <w:highlight w:val="none"/>
        </w:rPr>
        <w:br w:type="page"/>
      </w:r>
    </w:p>
    <w:p>
      <w:pPr>
        <w:tabs>
          <w:tab w:val="center" w:pos="4706"/>
        </w:tabs>
        <w:adjustRightInd w:val="0"/>
        <w:snapToGrid w:val="0"/>
        <w:spacing w:line="288" w:lineRule="auto"/>
        <w:jc w:val="center"/>
        <w:outlineLvl w:val="2"/>
        <w:rPr>
          <w:rFonts w:cs="Times New Roman"/>
          <w:b/>
          <w:spacing w:val="-6"/>
          <w:sz w:val="21"/>
          <w:szCs w:val="21"/>
          <w:highlight w:val="none"/>
        </w:rPr>
      </w:pPr>
      <w:bookmarkStart w:id="54" w:name="_Hlk140130228"/>
      <w:r>
        <w:rPr>
          <w:rFonts w:hint="eastAsia" w:cs="Times New Roman"/>
          <w:b/>
          <w:spacing w:val="-6"/>
          <w:sz w:val="21"/>
          <w:szCs w:val="21"/>
          <w:highlight w:val="none"/>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序号</w:t>
            </w:r>
          </w:p>
        </w:tc>
        <w:tc>
          <w:tcPr>
            <w:tcW w:w="2091" w:type="dxa"/>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评审因素</w:t>
            </w:r>
          </w:p>
        </w:tc>
        <w:tc>
          <w:tcPr>
            <w:tcW w:w="709" w:type="dxa"/>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highlight w:val="none"/>
              </w:rPr>
            </w:pPr>
            <w:r>
              <w:rPr>
                <w:rFonts w:cs="Times New Roman"/>
                <w:b/>
                <w:spacing w:val="-6"/>
                <w:kern w:val="0"/>
                <w:sz w:val="21"/>
                <w:szCs w:val="21"/>
                <w:highlight w:val="none"/>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highlight w:val="none"/>
              </w:rPr>
            </w:pPr>
          </w:p>
        </w:tc>
        <w:tc>
          <w:tcPr>
            <w:tcW w:w="2091" w:type="dxa"/>
            <w:vAlign w:val="center"/>
          </w:tcPr>
          <w:p>
            <w:pPr>
              <w:adjustRightInd w:val="0"/>
              <w:snapToGrid w:val="0"/>
              <w:spacing w:line="288" w:lineRule="auto"/>
              <w:jc w:val="center"/>
              <w:rPr>
                <w:rFonts w:cs="Times New Roman"/>
                <w:spacing w:val="-6"/>
                <w:sz w:val="21"/>
                <w:szCs w:val="21"/>
                <w:highlight w:val="none"/>
              </w:rPr>
            </w:pPr>
          </w:p>
        </w:tc>
        <w:tc>
          <w:tcPr>
            <w:tcW w:w="709" w:type="dxa"/>
            <w:vAlign w:val="center"/>
          </w:tcPr>
          <w:p>
            <w:pPr>
              <w:adjustRightInd w:val="0"/>
              <w:snapToGrid w:val="0"/>
              <w:spacing w:line="288" w:lineRule="auto"/>
              <w:jc w:val="center"/>
              <w:rPr>
                <w:rFonts w:cs="Times New Roman"/>
                <w:spacing w:val="-6"/>
                <w:sz w:val="21"/>
                <w:szCs w:val="21"/>
                <w:highlight w:val="none"/>
              </w:rPr>
            </w:pPr>
          </w:p>
        </w:tc>
        <w:tc>
          <w:tcPr>
            <w:tcW w:w="3040" w:type="dxa"/>
            <w:vAlign w:val="center"/>
          </w:tcPr>
          <w:p>
            <w:pPr>
              <w:adjustRightInd w:val="0"/>
              <w:snapToGrid w:val="0"/>
              <w:spacing w:line="288" w:lineRule="auto"/>
              <w:rPr>
                <w:rFonts w:cs="Times New Roman"/>
                <w:spacing w:val="-6"/>
                <w:sz w:val="21"/>
                <w:szCs w:val="21"/>
                <w:highlight w:val="none"/>
              </w:rPr>
            </w:pPr>
          </w:p>
        </w:tc>
        <w:tc>
          <w:tcPr>
            <w:tcW w:w="967" w:type="dxa"/>
            <w:vAlign w:val="center"/>
          </w:tcPr>
          <w:p>
            <w:pPr>
              <w:adjustRightInd w:val="0"/>
              <w:snapToGrid w:val="0"/>
              <w:spacing w:line="288" w:lineRule="auto"/>
              <w:jc w:val="center"/>
              <w:rPr>
                <w:rFonts w:cs="Times New Roman"/>
                <w:spacing w:val="-6"/>
                <w:sz w:val="21"/>
                <w:szCs w:val="21"/>
                <w:highlight w:val="none"/>
              </w:rPr>
            </w:pPr>
          </w:p>
        </w:tc>
        <w:tc>
          <w:tcPr>
            <w:tcW w:w="1053" w:type="dxa"/>
            <w:vAlign w:val="center"/>
          </w:tcPr>
          <w:p>
            <w:pPr>
              <w:adjustRightInd w:val="0"/>
              <w:snapToGrid w:val="0"/>
              <w:spacing w:line="288" w:lineRule="auto"/>
              <w:jc w:val="center"/>
              <w:rPr>
                <w:rFonts w:cs="Times New Roman"/>
                <w:spacing w:val="-6"/>
                <w:sz w:val="21"/>
                <w:szCs w:val="21"/>
                <w:highlight w:val="none"/>
              </w:rPr>
            </w:pPr>
          </w:p>
        </w:tc>
        <w:tc>
          <w:tcPr>
            <w:tcW w:w="881" w:type="dxa"/>
          </w:tcPr>
          <w:p>
            <w:pPr>
              <w:adjustRightInd w:val="0"/>
              <w:snapToGrid w:val="0"/>
              <w:spacing w:line="288" w:lineRule="auto"/>
              <w:jc w:val="center"/>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highlight w:val="none"/>
              </w:rPr>
            </w:pPr>
          </w:p>
        </w:tc>
        <w:tc>
          <w:tcPr>
            <w:tcW w:w="2091" w:type="dxa"/>
            <w:vAlign w:val="center"/>
          </w:tcPr>
          <w:p>
            <w:pPr>
              <w:adjustRightInd w:val="0"/>
              <w:snapToGrid w:val="0"/>
              <w:spacing w:line="288" w:lineRule="auto"/>
              <w:jc w:val="center"/>
              <w:rPr>
                <w:rFonts w:cs="Times New Roman"/>
                <w:spacing w:val="-6"/>
                <w:sz w:val="21"/>
                <w:szCs w:val="21"/>
                <w:highlight w:val="none"/>
              </w:rPr>
            </w:pPr>
          </w:p>
        </w:tc>
        <w:tc>
          <w:tcPr>
            <w:tcW w:w="709" w:type="dxa"/>
            <w:vAlign w:val="center"/>
          </w:tcPr>
          <w:p>
            <w:pPr>
              <w:adjustRightInd w:val="0"/>
              <w:snapToGrid w:val="0"/>
              <w:spacing w:line="288" w:lineRule="auto"/>
              <w:jc w:val="center"/>
              <w:rPr>
                <w:rFonts w:cs="Times New Roman"/>
                <w:spacing w:val="-6"/>
                <w:sz w:val="21"/>
                <w:szCs w:val="21"/>
                <w:highlight w:val="none"/>
              </w:rPr>
            </w:pPr>
          </w:p>
        </w:tc>
        <w:tc>
          <w:tcPr>
            <w:tcW w:w="3040" w:type="dxa"/>
            <w:vAlign w:val="center"/>
          </w:tcPr>
          <w:p>
            <w:pPr>
              <w:adjustRightInd w:val="0"/>
              <w:snapToGrid w:val="0"/>
              <w:spacing w:line="288" w:lineRule="auto"/>
              <w:rPr>
                <w:rFonts w:cs="Times New Roman"/>
                <w:spacing w:val="-6"/>
                <w:sz w:val="21"/>
                <w:szCs w:val="21"/>
                <w:highlight w:val="none"/>
              </w:rPr>
            </w:pPr>
          </w:p>
        </w:tc>
        <w:tc>
          <w:tcPr>
            <w:tcW w:w="967" w:type="dxa"/>
            <w:vAlign w:val="center"/>
          </w:tcPr>
          <w:p>
            <w:pPr>
              <w:adjustRightInd w:val="0"/>
              <w:snapToGrid w:val="0"/>
              <w:spacing w:line="288" w:lineRule="auto"/>
              <w:jc w:val="center"/>
              <w:rPr>
                <w:rFonts w:cs="Times New Roman"/>
                <w:spacing w:val="-6"/>
                <w:sz w:val="21"/>
                <w:szCs w:val="21"/>
                <w:highlight w:val="none"/>
              </w:rPr>
            </w:pPr>
          </w:p>
        </w:tc>
        <w:tc>
          <w:tcPr>
            <w:tcW w:w="1053" w:type="dxa"/>
            <w:vAlign w:val="center"/>
          </w:tcPr>
          <w:p>
            <w:pPr>
              <w:adjustRightInd w:val="0"/>
              <w:snapToGrid w:val="0"/>
              <w:spacing w:line="288" w:lineRule="auto"/>
              <w:jc w:val="center"/>
              <w:rPr>
                <w:rFonts w:cs="Times New Roman"/>
                <w:spacing w:val="-6"/>
                <w:sz w:val="21"/>
                <w:szCs w:val="21"/>
                <w:highlight w:val="none"/>
              </w:rPr>
            </w:pPr>
          </w:p>
        </w:tc>
        <w:tc>
          <w:tcPr>
            <w:tcW w:w="881" w:type="dxa"/>
          </w:tcPr>
          <w:p>
            <w:pPr>
              <w:adjustRightInd w:val="0"/>
              <w:snapToGrid w:val="0"/>
              <w:spacing w:line="288" w:lineRule="auto"/>
              <w:jc w:val="center"/>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highlight w:val="none"/>
              </w:rPr>
            </w:pPr>
          </w:p>
        </w:tc>
        <w:tc>
          <w:tcPr>
            <w:tcW w:w="2091" w:type="dxa"/>
            <w:vAlign w:val="center"/>
          </w:tcPr>
          <w:p>
            <w:pPr>
              <w:adjustRightInd w:val="0"/>
              <w:snapToGrid w:val="0"/>
              <w:spacing w:line="288" w:lineRule="auto"/>
              <w:jc w:val="center"/>
              <w:rPr>
                <w:rFonts w:cs="Times New Roman"/>
                <w:kern w:val="0"/>
                <w:sz w:val="21"/>
                <w:szCs w:val="21"/>
                <w:highlight w:val="none"/>
              </w:rPr>
            </w:pPr>
          </w:p>
        </w:tc>
        <w:tc>
          <w:tcPr>
            <w:tcW w:w="709" w:type="dxa"/>
            <w:vAlign w:val="center"/>
          </w:tcPr>
          <w:p>
            <w:pPr>
              <w:adjustRightInd w:val="0"/>
              <w:snapToGrid w:val="0"/>
              <w:spacing w:line="288" w:lineRule="auto"/>
              <w:jc w:val="center"/>
              <w:rPr>
                <w:rFonts w:cs="Times New Roman"/>
                <w:kern w:val="0"/>
                <w:sz w:val="21"/>
                <w:szCs w:val="21"/>
                <w:highlight w:val="none"/>
              </w:rPr>
            </w:pPr>
          </w:p>
        </w:tc>
        <w:tc>
          <w:tcPr>
            <w:tcW w:w="3040" w:type="dxa"/>
            <w:vAlign w:val="center"/>
          </w:tcPr>
          <w:p>
            <w:pPr>
              <w:adjustRightInd w:val="0"/>
              <w:snapToGrid w:val="0"/>
              <w:spacing w:line="288" w:lineRule="auto"/>
              <w:rPr>
                <w:rFonts w:cs="Times New Roman"/>
                <w:kern w:val="0"/>
                <w:sz w:val="21"/>
                <w:szCs w:val="21"/>
                <w:highlight w:val="none"/>
              </w:rPr>
            </w:pPr>
          </w:p>
        </w:tc>
        <w:tc>
          <w:tcPr>
            <w:tcW w:w="967" w:type="dxa"/>
            <w:vAlign w:val="center"/>
          </w:tcPr>
          <w:p>
            <w:pPr>
              <w:adjustRightInd w:val="0"/>
              <w:snapToGrid w:val="0"/>
              <w:spacing w:line="288" w:lineRule="auto"/>
              <w:jc w:val="center"/>
              <w:rPr>
                <w:rFonts w:cs="Times New Roman"/>
                <w:sz w:val="21"/>
                <w:szCs w:val="21"/>
                <w:highlight w:val="none"/>
              </w:rPr>
            </w:pPr>
          </w:p>
        </w:tc>
        <w:tc>
          <w:tcPr>
            <w:tcW w:w="1053" w:type="dxa"/>
            <w:vAlign w:val="center"/>
          </w:tcPr>
          <w:p>
            <w:pPr>
              <w:adjustRightInd w:val="0"/>
              <w:snapToGrid w:val="0"/>
              <w:spacing w:line="288" w:lineRule="auto"/>
              <w:jc w:val="center"/>
              <w:rPr>
                <w:rFonts w:cs="Times New Roman"/>
                <w:sz w:val="21"/>
                <w:szCs w:val="21"/>
                <w:highlight w:val="none"/>
              </w:rPr>
            </w:pPr>
          </w:p>
        </w:tc>
        <w:tc>
          <w:tcPr>
            <w:tcW w:w="881" w:type="dxa"/>
          </w:tcPr>
          <w:p>
            <w:pPr>
              <w:adjustRightInd w:val="0"/>
              <w:snapToGrid w:val="0"/>
              <w:spacing w:line="288" w:lineRule="auto"/>
              <w:jc w:val="center"/>
              <w:rPr>
                <w:rFonts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4"/>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5" w:name="_Hlk94097338"/>
      <w:r>
        <w:rPr>
          <w:rFonts w:hint="eastAsia"/>
          <w:b/>
          <w:bCs/>
          <w:sz w:val="21"/>
          <w:szCs w:val="21"/>
        </w:rPr>
        <w:t>资格审查要求的资格证明材料（均需加盖公章）</w:t>
      </w:r>
    </w:p>
    <w:bookmarkEnd w:id="55"/>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浙江金融职业学院</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6"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3）落实政府采购政策需满足的资格要求：无</w:t>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浙江金融职业学院</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7" w:name="_Hlk97040115"/>
      <w:r>
        <w:rPr>
          <w:rFonts w:hint="eastAsia" w:cs="Times New Roman"/>
          <w:spacing w:val="-6"/>
          <w:sz w:val="21"/>
          <w:szCs w:val="21"/>
        </w:rPr>
        <w:t>我方参加</w:t>
      </w:r>
      <w:r>
        <w:rPr>
          <w:rFonts w:hint="eastAsia" w:cs="Times New Roman"/>
          <w:bCs/>
          <w:spacing w:val="-6"/>
          <w:sz w:val="21"/>
          <w:szCs w:val="21"/>
          <w:u w:val="single"/>
          <w:lang w:eastAsia="zh-CN"/>
        </w:rPr>
        <w:t>浙江金融职业学院业财税融合岗课证训场景教学平台项目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QSZB-Z(F)-B24336(CS)L</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7"/>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8"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8"/>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9"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浙江金融职业学院</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浙江金融职业学院业财税融合岗课证训场景教学平台项目</w:t>
      </w:r>
      <w:r>
        <w:rPr>
          <w:rFonts w:hint="eastAsia" w:cs="Times New Roman"/>
          <w:bCs/>
          <w:spacing w:val="-6"/>
          <w:sz w:val="21"/>
          <w:szCs w:val="21"/>
        </w:rPr>
        <w:t>项目（项目编号：</w:t>
      </w:r>
      <w:r>
        <w:rPr>
          <w:rFonts w:hint="eastAsia" w:cs="Times New Roman"/>
          <w:bCs/>
          <w:spacing w:val="-6"/>
          <w:sz w:val="21"/>
          <w:szCs w:val="21"/>
          <w:lang w:eastAsia="zh-CN"/>
        </w:rPr>
        <w:t>QSZB-Z(F)-B24336(CS)L</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2024年01月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2024年01月</w:t>
      </w:r>
      <w:r>
        <w:rPr>
          <w:rFonts w:hint="eastAsia" w:cs="Times New Roman"/>
          <w:b/>
          <w:bCs/>
          <w:sz w:val="21"/>
          <w:szCs w:val="21"/>
        </w:rPr>
        <w:t>（含）以后任意一月）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浙江金融职业学院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业财税融合岗课证训场景教学平台项目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QSZB-Z(F)-B24336(CS)L</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b/>
                <w:bCs/>
                <w:kern w:val="0"/>
                <w:sz w:val="21"/>
                <w:szCs w:val="21"/>
              </w:rPr>
            </w:pPr>
            <w:bookmarkStart w:id="60"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60"/>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rPr>
          <w:rFonts w:hint="eastAsia"/>
          <w:b/>
          <w:spacing w:val="-6"/>
          <w:sz w:val="21"/>
          <w:szCs w:val="21"/>
        </w:rPr>
      </w:pPr>
      <w:bookmarkStart w:id="61" w:name="_Hlk71885757"/>
      <w:r>
        <w:rPr>
          <w:rFonts w:hint="eastAsia"/>
          <w:b/>
          <w:spacing w:val="-6"/>
          <w:sz w:val="21"/>
          <w:szCs w:val="21"/>
        </w:rPr>
        <w:br w:type="page"/>
      </w:r>
    </w:p>
    <w:p>
      <w:pPr>
        <w:adjustRightInd w:val="0"/>
        <w:snapToGrid w:val="0"/>
        <w:spacing w:line="288" w:lineRule="auto"/>
        <w:jc w:val="left"/>
        <w:outlineLvl w:val="2"/>
        <w:rPr>
          <w:rFonts w:hint="eastAsia" w:eastAsia="宋体"/>
          <w:b/>
          <w:spacing w:val="-6"/>
          <w:sz w:val="21"/>
          <w:szCs w:val="21"/>
          <w:lang w:eastAsia="zh-CN"/>
        </w:rPr>
      </w:pPr>
      <w:r>
        <w:rPr>
          <w:rFonts w:hint="eastAsia"/>
          <w:b/>
          <w:spacing w:val="-6"/>
          <w:sz w:val="21"/>
          <w:szCs w:val="21"/>
        </w:rPr>
        <w:t>（</w:t>
      </w:r>
      <w:r>
        <w:rPr>
          <w:b/>
          <w:spacing w:val="-6"/>
          <w:sz w:val="21"/>
          <w:szCs w:val="21"/>
        </w:rPr>
        <w:t>6</w:t>
      </w:r>
      <w:r>
        <w:rPr>
          <w:rFonts w:hint="eastAsia"/>
          <w:b/>
          <w:spacing w:val="-6"/>
          <w:sz w:val="21"/>
          <w:szCs w:val="21"/>
        </w:rPr>
        <w:t>）</w:t>
      </w:r>
      <w:r>
        <w:rPr>
          <w:rFonts w:hint="eastAsia"/>
          <w:b/>
          <w:spacing w:val="-6"/>
          <w:sz w:val="21"/>
          <w:szCs w:val="21"/>
          <w:lang w:val="en-US" w:eastAsia="zh-CN"/>
        </w:rPr>
        <w:t>服务</w:t>
      </w:r>
      <w:r>
        <w:rPr>
          <w:rFonts w:hint="eastAsia"/>
          <w:b/>
          <w:spacing w:val="-6"/>
          <w:sz w:val="21"/>
          <w:szCs w:val="21"/>
        </w:rPr>
        <w:t>方案</w:t>
      </w:r>
      <w:r>
        <w:rPr>
          <w:rFonts w:hint="eastAsia"/>
          <w:b/>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cs="Times New Roman"/>
          <w:b/>
          <w:bCs/>
          <w:spacing w:val="-6"/>
          <w:sz w:val="21"/>
          <w:szCs w:val="21"/>
        </w:rPr>
      </w:pPr>
      <w:r>
        <w:rPr>
          <w:rFonts w:hint="eastAsia" w:cs="Times New Roman"/>
          <w:b/>
          <w:bCs/>
          <w:spacing w:val="-6"/>
          <w:sz w:val="21"/>
          <w:szCs w:val="21"/>
        </w:rPr>
        <w:t>项目实施方案</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cs="宋体"/>
          <w:b/>
          <w:bCs/>
          <w:kern w:val="0"/>
          <w:sz w:val="21"/>
          <w:szCs w:val="21"/>
          <w:highlight w:val="none"/>
          <w:lang w:val="en-US" w:eastAsia="zh-CN"/>
        </w:rPr>
      </w:pPr>
      <w:r>
        <w:rPr>
          <w:rFonts w:hint="eastAsia" w:cs="宋体"/>
          <w:b/>
          <w:bCs/>
          <w:kern w:val="0"/>
          <w:sz w:val="21"/>
          <w:szCs w:val="21"/>
          <w:highlight w:val="none"/>
          <w:lang w:val="en-US" w:eastAsia="zh-CN"/>
        </w:rPr>
        <w:t>信息化管理</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cs="Times New Roman"/>
          <w:b/>
          <w:bCs/>
          <w:spacing w:val="-6"/>
          <w:sz w:val="21"/>
          <w:szCs w:val="21"/>
        </w:rPr>
      </w:pPr>
      <w:r>
        <w:rPr>
          <w:rFonts w:hint="eastAsia" w:cs="Times New Roman"/>
          <w:b/>
          <w:bCs/>
          <w:spacing w:val="-6"/>
          <w:sz w:val="21"/>
          <w:szCs w:val="21"/>
        </w:rPr>
        <w:t>进度计划</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cs="Times New Roman"/>
          <w:b/>
          <w:bCs/>
          <w:spacing w:val="-6"/>
          <w:sz w:val="21"/>
          <w:szCs w:val="21"/>
        </w:rPr>
      </w:pPr>
      <w:r>
        <w:rPr>
          <w:rFonts w:hint="eastAsia" w:cs="Times New Roman"/>
          <w:b/>
          <w:bCs/>
          <w:spacing w:val="-6"/>
          <w:sz w:val="21"/>
          <w:szCs w:val="21"/>
        </w:rPr>
        <w:t>应急处理方案</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cs="Times New Roman"/>
          <w:b/>
          <w:bCs/>
          <w:spacing w:val="-6"/>
          <w:sz w:val="21"/>
          <w:szCs w:val="21"/>
        </w:rPr>
      </w:pPr>
      <w:r>
        <w:rPr>
          <w:rFonts w:hint="eastAsia" w:cs="Times New Roman"/>
          <w:b/>
          <w:bCs/>
          <w:spacing w:val="-6"/>
          <w:sz w:val="21"/>
          <w:szCs w:val="21"/>
        </w:rPr>
        <w:t>项目组人员</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cs="Times New Roman"/>
          <w:b/>
          <w:bCs/>
          <w:spacing w:val="-6"/>
          <w:sz w:val="21"/>
          <w:szCs w:val="21"/>
        </w:rPr>
      </w:pPr>
      <w:r>
        <w:rPr>
          <w:rFonts w:hint="eastAsia" w:cs="Times New Roman"/>
          <w:b/>
          <w:bCs/>
          <w:spacing w:val="-6"/>
          <w:sz w:val="21"/>
          <w:szCs w:val="21"/>
        </w:rPr>
        <w:t>培训方案</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b/>
          <w:bCs/>
          <w:spacing w:val="-6"/>
          <w:sz w:val="21"/>
          <w:szCs w:val="21"/>
        </w:rPr>
      </w:pPr>
      <w:r>
        <w:rPr>
          <w:rFonts w:hint="eastAsia" w:cs="Times New Roman"/>
          <w:b/>
          <w:bCs/>
          <w:spacing w:val="-6"/>
          <w:sz w:val="21"/>
          <w:szCs w:val="21"/>
        </w:rPr>
        <w:t>售后服务方案</w:t>
      </w:r>
    </w:p>
    <w:p>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7</w:t>
      </w:r>
      <w:r>
        <w:rPr>
          <w:rFonts w:hint="eastAsia"/>
          <w:b/>
          <w:spacing w:val="-6"/>
          <w:sz w:val="21"/>
          <w:szCs w:val="21"/>
        </w:rPr>
        <w:t>）供应商需要说明的其他文件和材料。</w:t>
      </w:r>
      <w:bookmarkEnd w:id="61"/>
    </w:p>
    <w:p>
      <w:pPr>
        <w:widowControl/>
        <w:jc w:val="left"/>
        <w:rPr>
          <w:b/>
          <w:spacing w:val="-6"/>
          <w:sz w:val="21"/>
          <w:szCs w:val="21"/>
        </w:rPr>
      </w:pPr>
      <w:r>
        <w:rPr>
          <w:b/>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浙江金融职业学院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业财税融合岗课证训场景教学平台项目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QSZB-Z(F)-B24336(CS)L</w:t>
      </w:r>
    </w:p>
    <w:tbl>
      <w:tblPr>
        <w:tblStyle w:val="1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62"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62"/>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63"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3.以上表格要求细分项目及报价，在“具体服务”一栏中，服务类项目填写具体服务。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3"/>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ind w:firstLine="498" w:firstLineChars="236"/>
        <w:jc w:val="center"/>
        <w:outlineLvl w:val="2"/>
        <w:rPr>
          <w:b/>
          <w:bCs/>
          <w:sz w:val="21"/>
          <w:szCs w:val="21"/>
        </w:rPr>
      </w:pPr>
      <w:r>
        <w:rPr>
          <w:rFonts w:hint="eastAsia"/>
          <w:b/>
          <w:bCs/>
          <w:sz w:val="21"/>
          <w:szCs w:val="21"/>
        </w:rPr>
        <w:t>（</w:t>
      </w:r>
      <w:r>
        <w:rPr>
          <w:b/>
          <w:bCs/>
          <w:sz w:val="21"/>
          <w:szCs w:val="21"/>
        </w:rPr>
        <w:t>2</w:t>
      </w:r>
      <w:r>
        <w:rPr>
          <w:rFonts w:hint="eastAsia"/>
          <w:b/>
          <w:bCs/>
          <w:sz w:val="21"/>
          <w:szCs w:val="21"/>
        </w:rPr>
        <w:t>）</w:t>
      </w:r>
      <w:r>
        <w:rPr>
          <w:b/>
          <w:bCs/>
          <w:sz w:val="21"/>
          <w:szCs w:val="21"/>
        </w:rPr>
        <w:t>中小企业声明函（</w:t>
      </w:r>
      <w:r>
        <w:rPr>
          <w:rFonts w:hint="eastAsia"/>
          <w:b/>
          <w:bCs/>
          <w:sz w:val="21"/>
          <w:szCs w:val="21"/>
          <w:lang w:val="en-US" w:eastAsia="zh-CN"/>
        </w:rPr>
        <w:t>服务</w:t>
      </w:r>
      <w:r>
        <w:rPr>
          <w:b/>
          <w:bCs/>
          <w:sz w:val="21"/>
          <w:szCs w:val="21"/>
        </w:rPr>
        <w:t>）</w:t>
      </w:r>
      <w:r>
        <w:rPr>
          <w:rFonts w:hint="eastAsia"/>
          <w:b/>
          <w:bCs/>
          <w:sz w:val="21"/>
          <w:szCs w:val="21"/>
        </w:rPr>
        <w:t>（若属于中小企业）</w:t>
      </w:r>
    </w:p>
    <w:p>
      <w:pPr>
        <w:adjustRightInd w:val="0"/>
        <w:snapToGrid w:val="0"/>
        <w:spacing w:line="288" w:lineRule="auto"/>
        <w:ind w:firstLine="498" w:firstLineChars="236"/>
        <w:rPr>
          <w:b/>
          <w:sz w:val="21"/>
          <w:szCs w:val="21"/>
        </w:rPr>
      </w:pPr>
    </w:p>
    <w:p>
      <w:pPr>
        <w:adjustRightInd w:val="0"/>
        <w:snapToGrid w:val="0"/>
        <w:spacing w:line="288" w:lineRule="auto"/>
        <w:ind w:firstLine="495" w:firstLineChars="236"/>
        <w:outlineLvl w:val="9"/>
        <w:rPr>
          <w:sz w:val="21"/>
          <w:szCs w:val="21"/>
          <w:highlight w:val="none"/>
        </w:rPr>
      </w:pPr>
      <w:r>
        <w:rPr>
          <w:rFonts w:ascii="宋体" w:hAnsi="宋体"/>
          <w:sz w:val="21"/>
          <w:szCs w:val="21"/>
        </w:rPr>
        <w:t>本公司（联合体）郑重声明，根据《政府采购促进中小企业发展管理办法》（财库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i/>
          <w:sz w:val="21"/>
          <w:szCs w:val="21"/>
          <w:highlight w:val="none"/>
          <w:u w:val="single"/>
        </w:rPr>
      </w:pPr>
      <w:r>
        <w:rPr>
          <w:rFonts w:hint="eastAsia" w:ascii="宋体" w:hAnsi="宋体"/>
          <w:i/>
          <w:sz w:val="21"/>
          <w:szCs w:val="21"/>
          <w:u w:val="single"/>
        </w:rPr>
        <w:t>1</w:t>
      </w:r>
      <w:r>
        <w:rPr>
          <w:rFonts w:ascii="宋体" w:hAnsi="宋体"/>
          <w:i/>
          <w:sz w:val="21"/>
          <w:szCs w:val="21"/>
          <w:u w:val="single"/>
        </w:rPr>
        <w:t>.（标的名称），</w:t>
      </w:r>
      <w:r>
        <w:rPr>
          <w:rFonts w:ascii="宋体" w:hAnsi="宋体"/>
          <w:i/>
          <w:sz w:val="21"/>
          <w:szCs w:val="21"/>
          <w:highlight w:val="none"/>
          <w:u w:val="single"/>
        </w:rPr>
        <w:t>属于（采购文件中明确的所属行业）；</w:t>
      </w:r>
      <w:r>
        <w:rPr>
          <w:rFonts w:ascii="宋体" w:hAnsi="宋体"/>
          <w:sz w:val="21"/>
          <w:szCs w:val="21"/>
          <w:highlight w:val="none"/>
        </w:rPr>
        <w:t>承建（承接）企业为</w:t>
      </w:r>
      <w:r>
        <w:rPr>
          <w:rFonts w:ascii="宋体" w:hAnsi="宋体"/>
          <w:i/>
          <w:sz w:val="21"/>
          <w:szCs w:val="21"/>
          <w:highlight w:val="none"/>
          <w:u w:val="single"/>
        </w:rPr>
        <w:t>（企业名称）</w:t>
      </w:r>
      <w:r>
        <w:rPr>
          <w:rFonts w:ascii="宋体" w:hAnsi="宋体"/>
          <w:sz w:val="21"/>
          <w:szCs w:val="21"/>
          <w:highlight w:val="none"/>
        </w:rPr>
        <w:t>，从业人员</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人，营业收入为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万元，资产总额为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万元，属于</w:t>
      </w:r>
      <w:r>
        <w:rPr>
          <w:rFonts w:ascii="宋体" w:hAnsi="宋体"/>
          <w:i/>
          <w:sz w:val="21"/>
          <w:szCs w:val="21"/>
          <w:highlight w:val="none"/>
          <w:u w:val="single"/>
        </w:rPr>
        <w:t>（中型企业、小型企业、微型企业）</w:t>
      </w:r>
      <w:r>
        <w:rPr>
          <w:rFonts w:ascii="宋体" w:hAnsi="宋体"/>
          <w:sz w:val="21"/>
          <w:szCs w:val="21"/>
          <w:highlight w:val="none"/>
        </w:rPr>
        <w:t>；</w:t>
      </w:r>
    </w:p>
    <w:p>
      <w:pPr>
        <w:adjustRightInd w:val="0"/>
        <w:snapToGrid w:val="0"/>
        <w:spacing w:line="288" w:lineRule="auto"/>
        <w:ind w:firstLine="495" w:firstLineChars="236"/>
        <w:rPr>
          <w:rFonts w:ascii="宋体" w:hAnsi="宋体"/>
          <w:sz w:val="21"/>
          <w:szCs w:val="21"/>
          <w:highlight w:val="none"/>
        </w:rPr>
      </w:pPr>
      <w:r>
        <w:rPr>
          <w:rFonts w:hint="eastAsia" w:ascii="宋体" w:hAnsi="宋体"/>
          <w:i/>
          <w:sz w:val="21"/>
          <w:szCs w:val="21"/>
          <w:highlight w:val="none"/>
          <w:u w:val="single"/>
        </w:rPr>
        <w:t>2</w:t>
      </w:r>
      <w:r>
        <w:rPr>
          <w:rFonts w:ascii="宋体" w:hAnsi="宋体"/>
          <w:i/>
          <w:sz w:val="21"/>
          <w:szCs w:val="21"/>
          <w:highlight w:val="none"/>
          <w:u w:val="single"/>
        </w:rPr>
        <w:t>.（标的名称）</w:t>
      </w:r>
      <w:r>
        <w:rPr>
          <w:rFonts w:ascii="宋体" w:hAnsi="宋体"/>
          <w:sz w:val="21"/>
          <w:szCs w:val="21"/>
          <w:highlight w:val="none"/>
        </w:rPr>
        <w:t>，属于</w:t>
      </w:r>
      <w:r>
        <w:rPr>
          <w:rFonts w:ascii="宋体" w:hAnsi="宋体"/>
          <w:i/>
          <w:sz w:val="21"/>
          <w:szCs w:val="21"/>
          <w:highlight w:val="none"/>
        </w:rPr>
        <w:t>（</w:t>
      </w:r>
      <w:r>
        <w:rPr>
          <w:rFonts w:ascii="宋体" w:hAnsi="宋体"/>
          <w:i/>
          <w:sz w:val="21"/>
          <w:szCs w:val="21"/>
          <w:highlight w:val="none"/>
          <w:u w:val="single"/>
        </w:rPr>
        <w:t>采购文件中明确的所属行业）</w:t>
      </w:r>
      <w:r>
        <w:rPr>
          <w:rFonts w:ascii="宋体" w:hAnsi="宋体"/>
          <w:sz w:val="21"/>
          <w:szCs w:val="21"/>
          <w:highlight w:val="none"/>
        </w:rPr>
        <w:t>；承建（承接）企业为</w:t>
      </w:r>
      <w:r>
        <w:rPr>
          <w:rFonts w:ascii="宋体" w:hAnsi="宋体"/>
          <w:i/>
          <w:sz w:val="21"/>
          <w:szCs w:val="21"/>
          <w:highlight w:val="none"/>
          <w:u w:val="single"/>
        </w:rPr>
        <w:t>（企业名称）</w:t>
      </w:r>
      <w:r>
        <w:rPr>
          <w:rFonts w:ascii="宋体" w:hAnsi="宋体"/>
          <w:sz w:val="21"/>
          <w:szCs w:val="21"/>
          <w:highlight w:val="none"/>
        </w:rPr>
        <w:t>，从业人员</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人，营业收入为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万元，资产总额为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万元，属于</w:t>
      </w:r>
      <w:r>
        <w:rPr>
          <w:rFonts w:ascii="宋体" w:hAnsi="宋体"/>
          <w:i/>
          <w:sz w:val="21"/>
          <w:szCs w:val="21"/>
          <w:highlight w:val="none"/>
          <w:u w:val="single"/>
        </w:rPr>
        <w:t>（中型企业、小型企业、微型企业）</w:t>
      </w:r>
      <w:r>
        <w:rPr>
          <w:rFonts w:ascii="宋体" w:hAnsi="宋体"/>
          <w:sz w:val="21"/>
          <w:szCs w:val="21"/>
          <w:highlight w:val="none"/>
        </w:rPr>
        <w:t>；</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t>……</w:t>
      </w:r>
    </w:p>
    <w:p>
      <w:pPr>
        <w:adjustRightInd w:val="0"/>
        <w:snapToGrid w:val="0"/>
        <w:spacing w:line="288" w:lineRule="auto"/>
        <w:ind w:firstLine="495" w:firstLineChars="236"/>
        <w:outlineLvl w:val="9"/>
        <w:rPr>
          <w:sz w:val="21"/>
          <w:szCs w:val="21"/>
          <w:highlight w:val="none"/>
        </w:rPr>
      </w:pPr>
      <w:r>
        <w:rPr>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outlineLvl w:val="9"/>
        <w:rPr>
          <w:sz w:val="21"/>
          <w:szCs w:val="21"/>
          <w:highlight w:val="none"/>
        </w:rPr>
      </w:pPr>
      <w:r>
        <w:rPr>
          <w:sz w:val="21"/>
          <w:szCs w:val="21"/>
          <w:highlight w:val="none"/>
        </w:rPr>
        <w:t>本企业对上述声明内容的真实性负责。如有虚假，将依法承担相应责任。</w:t>
      </w:r>
    </w:p>
    <w:p>
      <w:pPr>
        <w:adjustRightInd w:val="0"/>
        <w:snapToGrid w:val="0"/>
        <w:spacing w:line="288" w:lineRule="auto"/>
        <w:ind w:firstLine="495" w:firstLineChars="236"/>
        <w:outlineLvl w:val="9"/>
        <w:rPr>
          <w:sz w:val="21"/>
          <w:szCs w:val="21"/>
          <w:highlight w:val="none"/>
        </w:rPr>
      </w:pPr>
      <w:r>
        <w:rPr>
          <w:sz w:val="21"/>
          <w:szCs w:val="21"/>
          <w:highlight w:val="none"/>
        </w:rPr>
        <w:t>企业名称（盖章）：</w:t>
      </w:r>
    </w:p>
    <w:p>
      <w:pPr>
        <w:adjustRightInd w:val="0"/>
        <w:snapToGrid w:val="0"/>
        <w:spacing w:line="288" w:lineRule="auto"/>
        <w:ind w:firstLine="495" w:firstLineChars="236"/>
        <w:outlineLvl w:val="9"/>
        <w:rPr>
          <w:sz w:val="21"/>
          <w:szCs w:val="21"/>
          <w:highlight w:val="none"/>
        </w:rPr>
      </w:pPr>
      <w:r>
        <w:rPr>
          <w:sz w:val="21"/>
          <w:szCs w:val="21"/>
          <w:highlight w:val="none"/>
        </w:rPr>
        <w:t>日期：</w:t>
      </w:r>
    </w:p>
    <w:p>
      <w:pPr>
        <w:adjustRightInd w:val="0"/>
        <w:snapToGrid w:val="0"/>
        <w:spacing w:line="288" w:lineRule="auto"/>
        <w:ind w:firstLine="495" w:firstLineChars="236"/>
        <w:outlineLvl w:val="9"/>
        <w:rPr>
          <w:sz w:val="21"/>
          <w:szCs w:val="21"/>
          <w:highlight w:val="none"/>
        </w:rPr>
      </w:pPr>
    </w:p>
    <w:p>
      <w:pPr>
        <w:adjustRightInd w:val="0"/>
        <w:snapToGrid w:val="0"/>
        <w:spacing w:line="288" w:lineRule="auto"/>
        <w:ind w:firstLine="495" w:firstLineChars="236"/>
        <w:outlineLvl w:val="9"/>
        <w:rPr>
          <w:sz w:val="21"/>
          <w:szCs w:val="21"/>
          <w:highlight w:val="none"/>
        </w:rPr>
      </w:pPr>
      <w:r>
        <w:rPr>
          <w:rFonts w:hint="eastAsia"/>
          <w:sz w:val="21"/>
          <w:szCs w:val="21"/>
          <w:highlight w:val="none"/>
        </w:rPr>
        <w:t>注：</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outlineLvl w:val="9"/>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pPr>
        <w:adjustRightInd w:val="0"/>
        <w:snapToGrid w:val="0"/>
        <w:spacing w:line="288" w:lineRule="auto"/>
        <w:ind w:firstLine="495" w:firstLineChars="236"/>
        <w:outlineLvl w:val="9"/>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cs="Times New Roman"/>
          <w:sz w:val="21"/>
          <w:szCs w:val="21"/>
          <w:highlight w:val="none"/>
          <w:u w:val="single"/>
        </w:rPr>
      </w:pPr>
    </w:p>
    <w:p>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t>（</w:t>
      </w:r>
      <w:r>
        <w:rPr>
          <w:b/>
          <w:spacing w:val="-6"/>
          <w:sz w:val="21"/>
          <w:szCs w:val="21"/>
        </w:rPr>
        <w:t>3</w:t>
      </w:r>
      <w:r>
        <w:rPr>
          <w:rFonts w:hint="eastAsia"/>
          <w:b/>
          <w:spacing w:val="-6"/>
          <w:sz w:val="21"/>
          <w:szCs w:val="21"/>
        </w:rPr>
        <w:t>）属于监狱企业的证明文件（若属于监狱企业）</w:t>
      </w:r>
    </w:p>
    <w:p>
      <w:pPr>
        <w:adjustRightInd w:val="0"/>
        <w:snapToGrid w:val="0"/>
        <w:spacing w:line="288" w:lineRule="auto"/>
        <w:rPr>
          <w:color w:val="000000"/>
          <w:kern w:val="0"/>
          <w:sz w:val="21"/>
          <w:szCs w:val="21"/>
        </w:rPr>
      </w:pPr>
    </w:p>
    <w:p>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rPr>
      </w:pPr>
      <w:r>
        <w:rPr>
          <w:b/>
          <w:spacing w:val="-6"/>
          <w:sz w:val="21"/>
          <w:szCs w:val="21"/>
        </w:rPr>
        <w:br w:type="page"/>
      </w:r>
    </w:p>
    <w:p>
      <w:pPr>
        <w:adjustRightInd w:val="0"/>
        <w:snapToGrid w:val="0"/>
        <w:spacing w:line="288" w:lineRule="auto"/>
        <w:jc w:val="center"/>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）残疾人福利性单位声明函（若属于残疾人福利性单位）</w:t>
      </w:r>
    </w:p>
    <w:p>
      <w:pPr>
        <w:adjustRightInd w:val="0"/>
        <w:snapToGrid w:val="0"/>
        <w:spacing w:line="288" w:lineRule="auto"/>
        <w:rPr>
          <w:rFonts w:cs="Times New Roman"/>
          <w:b/>
          <w:spacing w:val="6"/>
          <w:sz w:val="21"/>
          <w:szCs w:val="21"/>
          <w:highlight w:val="none"/>
        </w:rPr>
      </w:pP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，且本单位参加______（采购人）单位的______（项目名称）项目采购活动由本单位提供服。</w:t>
      </w: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残疾人福利性单位属于小型、微型企业的，不重复享受政策。</w:t>
      </w:r>
    </w:p>
    <w:p>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内容而对采购人、采购代理机构所作的任何合法承诺，包括书面澄清及相应等均对联合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64"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64"/>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65"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65"/>
      <w:r>
        <w:rPr>
          <w:rFonts w:hint="eastAsia" w:ascii="宋体" w:hAnsi="宋体" w:eastAsia="宋体" w:cs="宋体"/>
          <w:b/>
          <w:kern w:val="0"/>
          <w:sz w:val="21"/>
          <w:szCs w:val="21"/>
          <w:lang w:val="zh-CN"/>
        </w:rPr>
        <w:t>）</w:t>
      </w:r>
    </w:p>
    <w:p>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66"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66"/>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eastAsia="宋体" w:cs="宋体"/>
          <w:kern w:val="0"/>
          <w:sz w:val="21"/>
          <w:szCs w:val="21"/>
          <w:lang w:val="zh-CN"/>
        </w:rPr>
      </w:pP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pPr>
        <w:snapToGrid w:val="0"/>
        <w:spacing w:line="288" w:lineRule="auto"/>
        <w:ind w:right="420" w:firstLine="424" w:firstLineChars="202"/>
        <w:rPr>
          <w:rFonts w:ascii="宋体" w:hAnsi="宋体" w:eastAsia="宋体" w:cs="宋体"/>
          <w:sz w:val="21"/>
          <w:szCs w:val="21"/>
        </w:rPr>
      </w:pPr>
    </w:p>
    <w:p>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pPr>
        <w:snapToGrid w:val="0"/>
        <w:spacing w:line="288" w:lineRule="auto"/>
        <w:ind w:firstLine="424" w:firstLineChars="202"/>
        <w:rPr>
          <w:rFonts w:ascii="宋体" w:hAnsi="宋体" w:eastAsia="宋体"/>
          <w:sz w:val="21"/>
          <w:szCs w:val="21"/>
        </w:rPr>
      </w:pP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pPr>
        <w:snapToGrid w:val="0"/>
        <w:spacing w:line="288" w:lineRule="auto"/>
        <w:ind w:firstLine="424" w:firstLineChars="202"/>
        <w:rPr>
          <w:rFonts w:ascii="宋体" w:hAnsi="宋体" w:eastAsia="宋体" w:cs="宋体"/>
          <w:kern w:val="0"/>
          <w:sz w:val="21"/>
          <w:szCs w:val="21"/>
          <w:lang w:val="zh-CN"/>
        </w:rPr>
      </w:pP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pPr>
        <w:snapToGrid w:val="0"/>
        <w:spacing w:line="288" w:lineRule="auto"/>
        <w:ind w:right="420" w:firstLine="424" w:firstLineChars="202"/>
        <w:rPr>
          <w:rFonts w:ascii="宋体" w:hAnsi="宋体" w:eastAsia="宋体" w:cs="宋体"/>
          <w:sz w:val="21"/>
          <w:szCs w:val="21"/>
        </w:rPr>
      </w:pPr>
    </w:p>
    <w:p>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56F6"/>
    <w:multiLevelType w:val="singleLevel"/>
    <w:tmpl w:val="2D8156F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ZmE3OGE5MWQxNjBkYjc5MWY2YzAyOTM1YmJhMTE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19076FB"/>
    <w:rsid w:val="04A46854"/>
    <w:rsid w:val="0B994C4C"/>
    <w:rsid w:val="10483E43"/>
    <w:rsid w:val="176B6604"/>
    <w:rsid w:val="19337E5E"/>
    <w:rsid w:val="1FFD69AE"/>
    <w:rsid w:val="27B80EAA"/>
    <w:rsid w:val="2C6F4174"/>
    <w:rsid w:val="35C9743A"/>
    <w:rsid w:val="38CB003E"/>
    <w:rsid w:val="394450A4"/>
    <w:rsid w:val="3F587ED5"/>
    <w:rsid w:val="3FB20145"/>
    <w:rsid w:val="4FC82BAB"/>
    <w:rsid w:val="54062CE5"/>
    <w:rsid w:val="5DAD3F64"/>
    <w:rsid w:val="5EDC7367"/>
    <w:rsid w:val="6D8A5D32"/>
    <w:rsid w:val="7A36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6">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widowControl w:val="0"/>
      <w:spacing w:line="200" w:lineRule="atLeast"/>
      <w:ind w:firstLine="420"/>
      <w:jc w:val="both"/>
    </w:pPr>
    <w:rPr>
      <w:rFonts w:ascii="宋体" w:hAnsi="Courier New"/>
      <w:spacing w:val="-4"/>
      <w:kern w:val="2"/>
      <w:sz w:val="18"/>
      <w:lang w:val="en-US" w:eastAsia="zh-CN" w:bidi="ar-SA"/>
    </w:rPr>
  </w:style>
  <w:style w:type="paragraph" w:styleId="3">
    <w:name w:val="Body Text Indent"/>
    <w:basedOn w:val="1"/>
    <w:next w:val="2"/>
    <w:link w:val="25"/>
    <w:qFormat/>
    <w:uiPriority w:val="0"/>
    <w:pPr>
      <w:spacing w:line="200" w:lineRule="atLeast"/>
      <w:ind w:firstLine="301"/>
    </w:pPr>
    <w:rPr>
      <w:rFonts w:hAnsi="Courier New" w:cs="Times New Roman"/>
      <w:spacing w:val="-4"/>
      <w:sz w:val="18"/>
      <w:szCs w:val="20"/>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34"/>
    <w:qFormat/>
    <w:uiPriority w:val="0"/>
    <w:pPr>
      <w:spacing w:after="120"/>
    </w:pPr>
  </w:style>
  <w:style w:type="paragraph" w:styleId="7">
    <w:name w:val="annotation text"/>
    <w:basedOn w:val="1"/>
    <w:link w:val="22"/>
    <w:unhideWhenUsed/>
    <w:qFormat/>
    <w:uiPriority w:val="99"/>
    <w:pPr>
      <w:jc w:val="left"/>
    </w:pPr>
    <w:rPr>
      <w:rFonts w:ascii="Times New Roman" w:hAnsi="Times New Roman" w:cs="Times New Roman"/>
      <w:sz w:val="28"/>
    </w:rPr>
  </w:style>
  <w:style w:type="paragraph" w:styleId="8">
    <w:name w:val="Plain Text"/>
    <w:basedOn w:val="1"/>
    <w:link w:val="35"/>
    <w:semiHidden/>
    <w:unhideWhenUsed/>
    <w:qFormat/>
    <w:uiPriority w:val="99"/>
    <w:rPr>
      <w:rFonts w:hAnsi="Courier New" w:cs="Courier New" w:asciiTheme="minorEastAsia" w:eastAsiaTheme="minorEastAsia"/>
    </w:rPr>
  </w:style>
  <w:style w:type="paragraph" w:styleId="9">
    <w:name w:val="Balloon Text"/>
    <w:basedOn w:val="1"/>
    <w:link w:val="24"/>
    <w:qFormat/>
    <w:uiPriority w:val="0"/>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7"/>
    <w:next w:val="7"/>
    <w:link w:val="32"/>
    <w:semiHidden/>
    <w:unhideWhenUsed/>
    <w:qFormat/>
    <w:uiPriority w:val="0"/>
    <w:rPr>
      <w:rFonts w:ascii="宋体" w:hAnsi="宋体" w:cs="宋体"/>
      <w:b/>
      <w:bCs/>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paragraph" w:customStyle="1" w:styleId="19">
    <w:name w:val="[Normal]"/>
    <w:qFormat/>
    <w:uiPriority w:val="99"/>
    <w:rPr>
      <w:rFonts w:ascii="宋体" w:hAnsi="宋体" w:eastAsia="宋体" w:cs="Times New Roman"/>
      <w:sz w:val="24"/>
      <w:szCs w:val="22"/>
      <w:lang w:val="zh-CN"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文字 字符"/>
    <w:basedOn w:val="16"/>
    <w:link w:val="7"/>
    <w:qFormat/>
    <w:uiPriority w:val="99"/>
    <w:rPr>
      <w:rFonts w:ascii="Times New Roman" w:hAnsi="Times New Roman" w:eastAsia="宋体" w:cs="Times New Roman"/>
      <w:sz w:val="28"/>
      <w:szCs w:val="24"/>
    </w:rPr>
  </w:style>
  <w:style w:type="character" w:customStyle="1" w:styleId="23">
    <w:name w:val="正文文本缩进 字符"/>
    <w:basedOn w:val="16"/>
    <w:qFormat/>
    <w:uiPriority w:val="0"/>
    <w:rPr>
      <w:rFonts w:ascii="宋体" w:hAnsi="宋体" w:eastAsia="宋体" w:cs="宋体"/>
      <w:sz w:val="24"/>
      <w:szCs w:val="24"/>
    </w:rPr>
  </w:style>
  <w:style w:type="character" w:customStyle="1" w:styleId="24">
    <w:name w:val="批注框文本 字符"/>
    <w:basedOn w:val="16"/>
    <w:link w:val="9"/>
    <w:qFormat/>
    <w:uiPriority w:val="0"/>
    <w:rPr>
      <w:rFonts w:ascii="宋体" w:hAnsi="宋体" w:eastAsia="宋体" w:cs="宋体"/>
      <w:sz w:val="18"/>
      <w:szCs w:val="18"/>
    </w:rPr>
  </w:style>
  <w:style w:type="character" w:customStyle="1" w:styleId="25">
    <w:name w:val="正文文本缩进 字符1"/>
    <w:link w:val="3"/>
    <w:qFormat/>
    <w:uiPriority w:val="0"/>
    <w:rPr>
      <w:rFonts w:ascii="宋体" w:hAnsi="Courier New" w:eastAsia="宋体" w:cs="Times New Roman"/>
      <w:spacing w:val="-4"/>
      <w:sz w:val="18"/>
      <w:szCs w:val="20"/>
    </w:rPr>
  </w:style>
  <w:style w:type="character" w:customStyle="1" w:styleId="26">
    <w:name w:val="正文文本缩进 字符2"/>
    <w:qFormat/>
    <w:uiPriority w:val="0"/>
    <w:rPr>
      <w:rFonts w:ascii="宋体" w:hAnsi="Courier New"/>
      <w:spacing w:val="-4"/>
      <w:kern w:val="2"/>
      <w:sz w:val="18"/>
    </w:rPr>
  </w:style>
  <w:style w:type="character" w:customStyle="1" w:styleId="27">
    <w:name w:val="未处理的提及1"/>
    <w:basedOn w:val="16"/>
    <w:semiHidden/>
    <w:unhideWhenUsed/>
    <w:qFormat/>
    <w:uiPriority w:val="99"/>
    <w:rPr>
      <w:color w:val="605E5C"/>
      <w:shd w:val="clear" w:color="auto" w:fill="E1DFDD"/>
    </w:rPr>
  </w:style>
  <w:style w:type="paragraph" w:styleId="28">
    <w:name w:val="List Paragraph"/>
    <w:basedOn w:val="1"/>
    <w:qFormat/>
    <w:uiPriority w:val="99"/>
    <w:pPr>
      <w:ind w:firstLine="420" w:firstLineChars="200"/>
    </w:pPr>
  </w:style>
  <w:style w:type="paragraph" w:customStyle="1" w:styleId="29">
    <w:name w:val="纯文本1"/>
    <w:basedOn w:val="1"/>
    <w:next w:val="8"/>
    <w:link w:val="31"/>
    <w:qFormat/>
    <w:uiPriority w:val="99"/>
    <w:pPr>
      <w:spacing w:before="156" w:beforeLines="50" w:after="156" w:afterLines="50" w:line="400" w:lineRule="atLeast"/>
    </w:pPr>
    <w:rPr>
      <w:rFonts w:hAnsi="Courier New" w:cs="Times New Roman"/>
    </w:rPr>
  </w:style>
  <w:style w:type="character" w:customStyle="1" w:styleId="30">
    <w:name w:val="纯文本 字符"/>
    <w:basedOn w:val="16"/>
    <w:qFormat/>
    <w:uiPriority w:val="0"/>
    <w:rPr>
      <w:rFonts w:ascii="宋体" w:hAnsi="Courier New" w:eastAsia="宋体" w:cs="Courier New"/>
      <w:kern w:val="2"/>
      <w:sz w:val="24"/>
      <w:szCs w:val="24"/>
    </w:rPr>
  </w:style>
  <w:style w:type="character" w:customStyle="1" w:styleId="31">
    <w:name w:val="纯文本 字符1"/>
    <w:link w:val="29"/>
    <w:qFormat/>
    <w:uiPriority w:val="99"/>
    <w:rPr>
      <w:rFonts w:ascii="宋体" w:hAnsi="Courier New" w:eastAsia="宋体" w:cs="Times New Roman"/>
      <w:kern w:val="2"/>
      <w:sz w:val="24"/>
      <w:szCs w:val="24"/>
    </w:rPr>
  </w:style>
  <w:style w:type="character" w:customStyle="1" w:styleId="32">
    <w:name w:val="批注主题 字符"/>
    <w:basedOn w:val="22"/>
    <w:link w:val="13"/>
    <w:semiHidden/>
    <w:qFormat/>
    <w:uiPriority w:val="0"/>
    <w:rPr>
      <w:rFonts w:ascii="宋体" w:hAnsi="宋体" w:eastAsia="宋体" w:cs="宋体"/>
      <w:b/>
      <w:bCs/>
      <w:sz w:val="24"/>
      <w:szCs w:val="24"/>
    </w:rPr>
  </w:style>
  <w:style w:type="character" w:customStyle="1" w:styleId="33">
    <w:name w:val="Unresolved Mention"/>
    <w:basedOn w:val="16"/>
    <w:semiHidden/>
    <w:unhideWhenUsed/>
    <w:qFormat/>
    <w:uiPriority w:val="99"/>
    <w:rPr>
      <w:color w:val="605E5C"/>
      <w:shd w:val="clear" w:color="auto" w:fill="E1DFDD"/>
    </w:rPr>
  </w:style>
  <w:style w:type="character" w:customStyle="1" w:styleId="34">
    <w:name w:val="正文文本 字符"/>
    <w:basedOn w:val="16"/>
    <w:link w:val="5"/>
    <w:qFormat/>
    <w:uiPriority w:val="0"/>
    <w:rPr>
      <w:rFonts w:ascii="宋体" w:hAnsi="宋体" w:eastAsia="宋体" w:cs="宋体"/>
      <w:sz w:val="24"/>
      <w:szCs w:val="24"/>
    </w:rPr>
  </w:style>
  <w:style w:type="character" w:customStyle="1" w:styleId="35">
    <w:name w:val="纯文本 字符2"/>
    <w:basedOn w:val="16"/>
    <w:link w:val="8"/>
    <w:semiHidden/>
    <w:qFormat/>
    <w:uiPriority w:val="99"/>
    <w:rPr>
      <w:rFonts w:hAnsi="Courier New" w:cs="Courier New" w:asciiTheme="minorEastAsia"/>
      <w:sz w:val="24"/>
      <w:szCs w:val="24"/>
    </w:rPr>
  </w:style>
  <w:style w:type="table" w:customStyle="1" w:styleId="36">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font3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54</Pages>
  <Words>34943</Words>
  <Characters>36641</Characters>
  <Lines>223</Lines>
  <Paragraphs>62</Paragraphs>
  <TotalTime>4</TotalTime>
  <ScaleCrop>false</ScaleCrop>
  <LinksUpToDate>false</LinksUpToDate>
  <CharactersWithSpaces>37554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2024-07-31T08:52:44Z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6E47736CA0EC4A48954A4104FBADAB97_12</vt:lpwstr>
  </property>
</Properties>
</file>