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浙江省文物考古研究所</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(浙江省世界文化遗产监测中心)</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2025年度考古项目协作单位技术服务采购（第一批）</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2025年度考古项目协作单位技术服务采购（第一批）</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QSZB-Z(F)-E24406(GK)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浙江省文物考</w:t>
      </w:r>
      <w:r>
        <w:rPr>
          <w:rFonts w:hint="eastAsia" w:ascii="楷体" w:hAnsi="楷体" w:eastAsia="楷体" w:cs="Times New Roman"/>
          <w:b/>
          <w:spacing w:val="-6"/>
          <w:sz w:val="30"/>
          <w:szCs w:val="30"/>
          <w:highlight w:val="none"/>
          <w:lang w:eastAsia="zh-CN"/>
        </w:rPr>
        <w:t>古研究所(浙江省世界文化遗产监测中心)</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临[2024]97710号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2025年度考古项目协作单位技术服务采购（第一批）</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w:t>
      </w:r>
      <w:r>
        <w:rPr>
          <w:rFonts w:hint="eastAsia" w:ascii="宋体" w:hAnsi="宋体" w:eastAsia="宋体" w:cs="Times New Roman"/>
          <w:b/>
          <w:szCs w:val="21"/>
          <w:highlight w:val="none"/>
        </w:rPr>
        <w:t>文件，并于</w:t>
      </w:r>
      <w:r>
        <w:rPr>
          <w:rFonts w:hint="eastAsia" w:ascii="宋体" w:hAnsi="宋体" w:eastAsia="宋体" w:cs="Times New Roman"/>
          <w:b/>
          <w:szCs w:val="21"/>
          <w:highlight w:val="none"/>
          <w:u w:val="single"/>
          <w:lang w:eastAsia="zh-CN"/>
        </w:rPr>
        <w:t>2025年1月3日14:00:00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rPr>
        <w:t>1.项目</w:t>
      </w:r>
      <w:r>
        <w:rPr>
          <w:rFonts w:hint="eastAsia" w:ascii="宋体" w:hAnsi="宋体" w:eastAsia="宋体" w:cs="Times New Roman"/>
          <w:szCs w:val="21"/>
          <w:highlight w:val="none"/>
        </w:rPr>
        <w:t>编号：</w:t>
      </w:r>
      <w:r>
        <w:rPr>
          <w:rFonts w:hint="eastAsia" w:ascii="宋体" w:hAnsi="宋体" w:eastAsia="宋体" w:cs="Times New Roman"/>
          <w:szCs w:val="21"/>
          <w:highlight w:val="none"/>
          <w:lang w:eastAsia="zh-CN"/>
        </w:rPr>
        <w:t>QSZB-Z(F)-E24406(GK)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2025年度考古项目协作单位技术服务采购（第一批）</w:t>
      </w:r>
    </w:p>
    <w:bookmarkEnd w:id="4"/>
    <w:p>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.预算金额：85000000</w:t>
      </w:r>
      <w:r>
        <w:rPr>
          <w:rFonts w:hint="eastAsia" w:ascii="宋体" w:hAnsi="宋体" w:eastAsia="宋体" w:cs="Times New Roman"/>
          <w:szCs w:val="21"/>
          <w:highlight w:val="none"/>
          <w:lang w:val="en-US" w:eastAsia="zh-CN"/>
        </w:rPr>
        <w:t>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.最高限价：85000000</w:t>
      </w:r>
      <w:r>
        <w:rPr>
          <w:rFonts w:hint="eastAsia" w:ascii="宋体" w:hAnsi="宋体" w:eastAsia="宋体" w:cs="Times New Roman"/>
          <w:szCs w:val="21"/>
          <w:highlight w:val="none"/>
          <w:lang w:val="en-US" w:eastAsia="zh-CN"/>
        </w:rPr>
        <w:t>元</w:t>
      </w:r>
    </w:p>
    <w:p>
      <w:pPr>
        <w:adjustRightInd w:val="0"/>
        <w:snapToGrid w:val="0"/>
        <w:spacing w:line="288" w:lineRule="auto"/>
        <w:ind w:left="199" w:leftChars="95" w:firstLine="210" w:firstLineChars="1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宋体"/>
          <w:sz w:val="21"/>
          <w:szCs w:val="21"/>
          <w:highlight w:val="none"/>
        </w:rPr>
        <w:t>合同签订之日起至</w:t>
      </w:r>
      <w:r>
        <w:rPr>
          <w:rFonts w:hint="eastAsia" w:ascii="宋体" w:hAnsi="宋体" w:eastAsia="宋体" w:cs="宋体"/>
          <w:sz w:val="21"/>
          <w:szCs w:val="21"/>
          <w:highlight w:val="none"/>
          <w:lang w:val="en-US" w:eastAsia="zh-CN"/>
        </w:rPr>
        <w:t>预算金额执行完毕截止</w:t>
      </w:r>
      <w:r>
        <w:rPr>
          <w:rFonts w:hint="eastAsia" w:ascii="宋体" w:hAnsi="宋体" w:eastAsia="宋体" w:cs="宋体"/>
          <w:sz w:val="21"/>
          <w:szCs w:val="21"/>
          <w:highlight w:val="none"/>
        </w:rPr>
        <w:t>。</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eastAsia="zh-CN"/>
              </w:rPr>
              <w:t>2025年度考古项目协作单位技术服务采购（第一批）</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pPr>
        <w:adjustRightInd w:val="0"/>
        <w:snapToGrid w:val="0"/>
        <w:spacing w:line="288" w:lineRule="auto"/>
        <w:rPr>
          <w:rFonts w:ascii="宋体" w:hAnsi="宋体" w:eastAsia="宋体" w:cs="宋体"/>
          <w:b/>
          <w:szCs w:val="21"/>
        </w:rPr>
      </w:pPr>
      <w:bookmarkStart w:id="5" w:name="_Toc28359003"/>
      <w:bookmarkStart w:id="6" w:name="_Toc35393791"/>
      <w:bookmarkStart w:id="7" w:name="_Toc28359080"/>
      <w:bookmarkStart w:id="8" w:name="_Toc35393622"/>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w:t>
      </w:r>
      <w:r>
        <w:rPr>
          <w:rFonts w:ascii="宋体" w:hAnsi="宋体" w:eastAsia="宋体" w:cs="Times New Roman"/>
          <w:bCs/>
          <w:szCs w:val="21"/>
          <w:highlight w:val="none"/>
        </w:rPr>
        <w:t>.ccgp.gov.cn）列入失信被执行人、重大税收违法案件当事人名单、政府采购严重违法失信行为记录名单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2025年1月3日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2025年1月3日14:00:00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2025年1月3日14:00:00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rPr>
      </w:pPr>
      <w:bookmarkStart w:id="19" w:name="_Toc35393794"/>
      <w:bookmarkStart w:id="20" w:name="_Toc28359084"/>
      <w:bookmarkStart w:id="21" w:name="_Toc28359007"/>
      <w:bookmarkStart w:id="22" w:name="_Toc35393625"/>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796"/>
      <w:bookmarkStart w:id="30" w:name="_Toc28359008"/>
      <w:bookmarkStart w:id="31" w:name="_Toc28359085"/>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51" w:firstLineChars="215"/>
        <w:rPr>
          <w:rFonts w:hint="eastAsia" w:ascii="宋体" w:hAnsi="宋体" w:eastAsia="宋体" w:cs="Times New Roman"/>
          <w:szCs w:val="21"/>
        </w:rPr>
      </w:pPr>
      <w:bookmarkStart w:id="33" w:name="_Hlk124147873"/>
      <w:r>
        <w:rPr>
          <w:rFonts w:hint="eastAsia" w:ascii="宋体" w:hAnsi="宋体" w:eastAsia="宋体" w:cs="Times New Roman"/>
          <w:szCs w:val="21"/>
        </w:rPr>
        <w:t>1.采购人信息</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名称：浙江省文物考古研究所(浙江省世界文化遗产监测中心)</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地址：杭州市教工路71号</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项目联系人（询问）：蒋女士</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项目联系方式（询问）：0571-87956218</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质疑联系人：张老师</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质疑联系方式：0571-88038198</w:t>
      </w:r>
    </w:p>
    <w:p>
      <w:pPr>
        <w:adjustRightInd w:val="0"/>
        <w:snapToGrid w:val="0"/>
        <w:spacing w:line="288" w:lineRule="auto"/>
        <w:ind w:firstLine="451" w:firstLineChars="215"/>
        <w:rPr>
          <w:rFonts w:hint="eastAsia" w:ascii="宋体" w:hAnsi="宋体" w:eastAsia="宋体" w:cs="Times New Roman"/>
          <w:szCs w:val="21"/>
        </w:rPr>
      </w:pP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51" w:firstLineChars="215"/>
        <w:rPr>
          <w:rFonts w:hint="eastAsia" w:ascii="宋体" w:hAnsi="宋体" w:eastAsia="宋体" w:cs="Times New Roman"/>
          <w:szCs w:val="21"/>
          <w:lang w:eastAsia="zh-CN"/>
        </w:rPr>
      </w:pPr>
      <w:r>
        <w:rPr>
          <w:rFonts w:hint="eastAsia" w:ascii="宋体" w:hAnsi="宋体" w:eastAsia="宋体" w:cs="Times New Roman"/>
          <w:szCs w:val="21"/>
        </w:rPr>
        <w:t>项目联系人（询问）：</w:t>
      </w:r>
      <w:r>
        <w:rPr>
          <w:rFonts w:hint="eastAsia" w:ascii="宋体" w:hAnsi="宋体" w:eastAsia="宋体" w:cs="Times New Roman"/>
          <w:szCs w:val="21"/>
          <w:lang w:eastAsia="zh-CN"/>
        </w:rPr>
        <w:t>蒋晗、刘冰冰、王鑫涛</w:t>
      </w:r>
    </w:p>
    <w:p>
      <w:pPr>
        <w:adjustRightInd w:val="0"/>
        <w:snapToGrid w:val="0"/>
        <w:spacing w:line="288" w:lineRule="auto"/>
        <w:ind w:firstLine="451" w:firstLineChars="215"/>
        <w:rPr>
          <w:rFonts w:hint="eastAsia" w:ascii="宋体" w:hAnsi="宋体" w:eastAsia="宋体" w:cs="Times New Roman"/>
          <w:szCs w:val="21"/>
          <w:lang w:eastAsia="zh-CN"/>
        </w:rPr>
      </w:pPr>
      <w:r>
        <w:rPr>
          <w:rFonts w:hint="eastAsia" w:ascii="宋体" w:hAnsi="宋体" w:eastAsia="宋体" w:cs="Times New Roman"/>
          <w:szCs w:val="21"/>
        </w:rPr>
        <w:t>项目联系方式（询问）：</w:t>
      </w:r>
      <w:r>
        <w:rPr>
          <w:rFonts w:hint="eastAsia" w:ascii="宋体" w:hAnsi="宋体" w:eastAsia="宋体" w:cs="Times New Roman"/>
          <w:szCs w:val="21"/>
          <w:lang w:eastAsia="zh-CN"/>
        </w:rPr>
        <w:t>0571-87666117</w:t>
      </w:r>
    </w:p>
    <w:p>
      <w:pPr>
        <w:adjustRightInd w:val="0"/>
        <w:snapToGrid w:val="0"/>
        <w:spacing w:line="288" w:lineRule="auto"/>
        <w:ind w:firstLine="451" w:firstLineChars="215"/>
        <w:rPr>
          <w:rFonts w:hint="eastAsia" w:ascii="宋体" w:hAnsi="宋体" w:eastAsia="宋体" w:cs="Times New Roman"/>
          <w:szCs w:val="21"/>
          <w:lang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质疑邮箱：jdkh@qszb.net</w:t>
      </w:r>
    </w:p>
    <w:p>
      <w:pPr>
        <w:adjustRightInd w:val="0"/>
        <w:snapToGrid w:val="0"/>
        <w:spacing w:line="288" w:lineRule="auto"/>
        <w:ind w:firstLine="451" w:firstLineChars="215"/>
        <w:rPr>
          <w:rFonts w:hint="eastAsia" w:ascii="宋体" w:hAnsi="宋体" w:eastAsia="宋体" w:cs="Times New Roman"/>
          <w:szCs w:val="21"/>
        </w:rPr>
      </w:pP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3.同级政府采购监督管理部门</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名称：浙江省财政厅政府采购监管处、浙江省政府采购行政裁决服务中心（杭州）</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地址：杭州市上城区清泰街549号城建综合大楼11楼（快递仅限ems或顺丰）</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联系人：朱女士、王女士</w:t>
      </w:r>
    </w:p>
    <w:p>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监督投诉电话：0571-87227671,0571-87800218</w:t>
      </w:r>
    </w:p>
    <w:p>
      <w:pPr>
        <w:adjustRightInd w:val="0"/>
        <w:snapToGrid w:val="0"/>
        <w:spacing w:line="288" w:lineRule="auto"/>
        <w:ind w:firstLine="451" w:firstLineChars="215"/>
        <w:rPr>
          <w:rFonts w:hint="eastAsia" w:ascii="宋体" w:hAnsi="宋体" w:eastAsia="宋体" w:cs="Times New Roman"/>
          <w:szCs w:val="21"/>
        </w:rPr>
      </w:pPr>
    </w:p>
    <w:p>
      <w:pPr>
        <w:adjustRightInd w:val="0"/>
        <w:snapToGrid w:val="0"/>
        <w:spacing w:line="288" w:lineRule="auto"/>
        <w:ind w:firstLine="451" w:firstLineChars="215"/>
        <w:rPr>
          <w:rFonts w:ascii="宋体" w:hAnsi="宋体" w:eastAsia="宋体" w:cs="Times New Roman"/>
          <w:spacing w:val="-6"/>
          <w:szCs w:val="21"/>
          <w:highlight w:val="none"/>
        </w:rPr>
      </w:pPr>
      <w:r>
        <w:rPr>
          <w:rFonts w:hint="eastAsia" w:ascii="宋体" w:hAnsi="宋体" w:eastAsia="宋体" w:cs="Times New Roman"/>
          <w:szCs w:val="21"/>
        </w:rPr>
        <w:t>政策咨询：何一平、冯华，0571-87058424、87055741</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本项目属</w:t>
            </w:r>
            <w:r>
              <w:rPr>
                <w:rFonts w:hint="eastAsia" w:ascii="宋体" w:hAnsi="宋体" w:eastAsia="宋体" w:cs="Times New Roman"/>
                <w:b/>
                <w:bCs/>
                <w:color w:val="auto"/>
                <w:szCs w:val="21"/>
                <w:highlight w:val="none"/>
              </w:rPr>
              <w:t>性为：</w:t>
            </w:r>
            <w:r>
              <w:rPr>
                <w:rFonts w:ascii="宋体" w:hAnsi="宋体" w:eastAsia="宋体" w:cs="Times New Roman"/>
                <w:b/>
                <w:bCs/>
                <w:color w:val="auto"/>
                <w:szCs w:val="21"/>
                <w:highlight w:val="none"/>
              </w:rPr>
              <w:t>服务</w:t>
            </w:r>
          </w:p>
          <w:p>
            <w:pPr>
              <w:adjustRightInd w:val="0"/>
              <w:snapToGrid w:val="0"/>
              <w:spacing w:line="288" w:lineRule="auto"/>
              <w:jc w:val="left"/>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采购标的</w:t>
            </w:r>
            <w:r>
              <w:rPr>
                <w:rFonts w:hint="eastAsia" w:ascii="宋体" w:hAnsi="宋体" w:eastAsia="宋体" w:cs="Times New Roman"/>
                <w:b/>
                <w:bCs/>
                <w:szCs w:val="21"/>
                <w:highlight w:val="none"/>
                <w:lang w:eastAsia="zh-CN"/>
              </w:rPr>
              <w:t>：2025年度考古项目协作单位技术服务采购（第一批）</w:t>
            </w:r>
          </w:p>
          <w:p>
            <w:pPr>
              <w:adjustRightInd w:val="0"/>
              <w:snapToGrid w:val="0"/>
              <w:spacing w:line="288" w:lineRule="auto"/>
              <w:jc w:val="left"/>
              <w:rPr>
                <w:rFonts w:ascii="宋体" w:hAnsi="宋体" w:eastAsia="宋体" w:cs="Times New Roman"/>
                <w:b w:val="0"/>
                <w:bCs w:val="0"/>
                <w:szCs w:val="21"/>
                <w:highlight w:val="none"/>
              </w:rPr>
            </w:pPr>
            <w:r>
              <w:rPr>
                <w:rFonts w:hint="eastAsia" w:ascii="宋体" w:hAnsi="宋体" w:eastAsia="宋体" w:cs="Times New Roman"/>
                <w:b/>
                <w:bCs/>
                <w:szCs w:val="21"/>
                <w:highlight w:val="none"/>
              </w:rPr>
              <w:t>对应的中小企业划分标准所属行业：</w:t>
            </w:r>
            <w:r>
              <w:rPr>
                <w:rFonts w:hint="eastAsia" w:ascii="宋体" w:hAnsi="宋体" w:eastAsia="宋体" w:cs="Times New Roman"/>
                <w:b w:val="0"/>
                <w:bCs w:val="0"/>
                <w:szCs w:val="21"/>
                <w:highlight w:val="none"/>
              </w:rPr>
              <w:t>其他未列明行业</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szCs w:val="21"/>
                <w:highlight w:val="none"/>
              </w:rPr>
              <w:t>中小企业划型标准：</w:t>
            </w:r>
            <w:r>
              <w:rPr>
                <w:rFonts w:hint="eastAsia" w:ascii="宋体" w:hAnsi="宋体" w:eastAsia="宋体" w:cs="Times New Roman"/>
                <w:b w:val="0"/>
                <w:bCs w:val="0"/>
                <w:szCs w:val="21"/>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spacing w:val="-4"/>
          <w:szCs w:val="21"/>
        </w:rPr>
      </w:pP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、采购项目</w:t>
      </w:r>
      <w:r>
        <w:rPr>
          <w:rFonts w:hint="eastAsia" w:ascii="宋体" w:hAnsi="宋体" w:eastAsia="宋体" w:cs="宋体"/>
          <w:b/>
          <w:bCs/>
          <w:sz w:val="21"/>
          <w:szCs w:val="21"/>
          <w:highlight w:val="none"/>
          <w:lang w:val="en-US" w:eastAsia="zh-CN"/>
        </w:rPr>
        <w:t>概述</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供应商协助浙江省文物考古研究所（浙江省世界文化遗产监测中心）完成202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年度田野考古工作，主要包括考古调查、勘探、发掘等任务。</w:t>
      </w: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、用途的简要说明</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浙江省文物考古研究所（浙江省世界文化遗产监测中心）承担着除杭州、宁波、绍兴三市之外地区，以及杭州、宁波、绍兴地区</w:t>
      </w:r>
      <w:r>
        <w:rPr>
          <w:rFonts w:hint="default" w:ascii="宋体" w:hAnsi="宋体" w:eastAsia="宋体" w:cs="宋体"/>
          <w:sz w:val="21"/>
          <w:szCs w:val="21"/>
          <w:highlight w:val="none"/>
        </w:rPr>
        <w:t>重点文物埋藏区及</w:t>
      </w:r>
      <w:r>
        <w:rPr>
          <w:rFonts w:hint="eastAsia" w:ascii="宋体" w:hAnsi="宋体" w:eastAsia="宋体" w:cs="宋体"/>
          <w:sz w:val="21"/>
          <w:szCs w:val="21"/>
          <w:highlight w:val="none"/>
        </w:rPr>
        <w:t>重大项目</w:t>
      </w:r>
      <w:r>
        <w:rPr>
          <w:rFonts w:hint="default" w:ascii="宋体" w:hAnsi="宋体" w:eastAsia="宋体" w:cs="宋体"/>
          <w:sz w:val="21"/>
          <w:szCs w:val="21"/>
          <w:highlight w:val="none"/>
        </w:rPr>
        <w:t>相关的</w:t>
      </w:r>
      <w:r>
        <w:rPr>
          <w:rFonts w:hint="eastAsia" w:ascii="宋体" w:hAnsi="宋体" w:eastAsia="宋体" w:cs="宋体"/>
          <w:sz w:val="21"/>
          <w:szCs w:val="21"/>
          <w:highlight w:val="none"/>
        </w:rPr>
        <w:t>考古调查、勘探、发掘</w:t>
      </w:r>
      <w:r>
        <w:rPr>
          <w:rFonts w:hint="default" w:ascii="宋体" w:hAnsi="宋体" w:eastAsia="宋体" w:cs="宋体"/>
          <w:sz w:val="21"/>
          <w:szCs w:val="21"/>
          <w:highlight w:val="none"/>
        </w:rPr>
        <w:t>任务</w:t>
      </w:r>
      <w:r>
        <w:rPr>
          <w:rFonts w:hint="eastAsia" w:ascii="宋体" w:hAnsi="宋体" w:eastAsia="宋体" w:cs="宋体"/>
          <w:sz w:val="21"/>
          <w:szCs w:val="21"/>
          <w:highlight w:val="none"/>
        </w:rPr>
        <w:t>。</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为保护文物资源，延续历史文脉，根据《中华人民共和国文物保护法》等法律法规，正确处理文物</w:t>
      </w:r>
      <w:r>
        <w:rPr>
          <w:rFonts w:hint="default" w:ascii="宋体" w:hAnsi="宋体" w:eastAsia="宋体" w:cs="宋体"/>
          <w:sz w:val="21"/>
          <w:szCs w:val="21"/>
          <w:highlight w:val="none"/>
        </w:rPr>
        <w:t>保护</w:t>
      </w:r>
      <w:r>
        <w:rPr>
          <w:rFonts w:hint="eastAsia" w:ascii="宋体" w:hAnsi="宋体" w:eastAsia="宋体" w:cs="宋体"/>
          <w:sz w:val="21"/>
          <w:szCs w:val="21"/>
          <w:highlight w:val="none"/>
        </w:rPr>
        <w:t>与社会发展的关系，坚持前置考古、开放考古、主动考古、科学考古的原则，同时也为应对日益繁重的</w:t>
      </w:r>
      <w:r>
        <w:rPr>
          <w:rFonts w:hint="default" w:ascii="宋体" w:hAnsi="宋体" w:eastAsia="宋体" w:cs="宋体"/>
          <w:sz w:val="21"/>
          <w:szCs w:val="21"/>
          <w:highlight w:val="none"/>
        </w:rPr>
        <w:t>前置</w:t>
      </w:r>
      <w:r>
        <w:rPr>
          <w:rFonts w:hint="eastAsia" w:ascii="宋体" w:hAnsi="宋体" w:eastAsia="宋体" w:cs="宋体"/>
          <w:sz w:val="21"/>
          <w:szCs w:val="21"/>
          <w:highlight w:val="none"/>
        </w:rPr>
        <w:t>考古工作任务，有效</w:t>
      </w:r>
      <w:r>
        <w:rPr>
          <w:rFonts w:hint="default" w:ascii="宋体" w:hAnsi="宋体" w:eastAsia="宋体" w:cs="宋体"/>
          <w:sz w:val="21"/>
          <w:szCs w:val="21"/>
          <w:highlight w:val="none"/>
        </w:rPr>
        <w:t>应对</w:t>
      </w:r>
      <w:r>
        <w:rPr>
          <w:rFonts w:hint="eastAsia" w:ascii="宋体" w:hAnsi="宋体" w:eastAsia="宋体" w:cs="宋体"/>
          <w:sz w:val="21"/>
          <w:szCs w:val="21"/>
          <w:highlight w:val="none"/>
        </w:rPr>
        <w:t>全省</w:t>
      </w:r>
      <w:r>
        <w:rPr>
          <w:rFonts w:hint="default" w:ascii="宋体" w:hAnsi="宋体" w:eastAsia="宋体" w:cs="宋体"/>
          <w:sz w:val="21"/>
          <w:szCs w:val="21"/>
          <w:highlight w:val="none"/>
        </w:rPr>
        <w:t>各地</w:t>
      </w:r>
      <w:r>
        <w:rPr>
          <w:rFonts w:hint="eastAsia" w:ascii="宋体" w:hAnsi="宋体" w:eastAsia="宋体" w:cs="宋体"/>
          <w:sz w:val="21"/>
          <w:szCs w:val="21"/>
          <w:highlight w:val="none"/>
        </w:rPr>
        <w:t>经济建设、文旅融合开发以及考古学科发展</w:t>
      </w:r>
      <w:r>
        <w:rPr>
          <w:rFonts w:hint="default" w:ascii="宋体" w:hAnsi="宋体" w:eastAsia="宋体" w:cs="宋体"/>
          <w:sz w:val="21"/>
          <w:szCs w:val="21"/>
          <w:highlight w:val="none"/>
        </w:rPr>
        <w:t>需要</w:t>
      </w:r>
      <w:r>
        <w:rPr>
          <w:rFonts w:hint="eastAsia" w:ascii="宋体" w:hAnsi="宋体" w:eastAsia="宋体" w:cs="宋体"/>
          <w:sz w:val="21"/>
          <w:szCs w:val="21"/>
          <w:highlight w:val="none"/>
        </w:rPr>
        <w:t>，浙江省文物考古研究所（浙江省世界文化遗产监测中心）拟通过招标方式确定考古调查勘探、发掘服务单位，拟将其承担的部分考古勘探、发掘服务工作由</w:t>
      </w:r>
      <w:r>
        <w:rPr>
          <w:rFonts w:hint="eastAsia" w:ascii="宋体" w:hAnsi="宋体" w:eastAsia="宋体" w:cs="宋体"/>
          <w:sz w:val="21"/>
          <w:szCs w:val="21"/>
          <w:highlight w:val="none"/>
          <w:lang w:val="en-US" w:eastAsia="zh-CN"/>
        </w:rPr>
        <w:t>中标单位</w:t>
      </w:r>
      <w:r>
        <w:rPr>
          <w:rFonts w:hint="eastAsia" w:ascii="宋体" w:hAnsi="宋体" w:eastAsia="宋体" w:cs="宋体"/>
          <w:sz w:val="21"/>
          <w:szCs w:val="21"/>
          <w:highlight w:val="none"/>
        </w:rPr>
        <w:t>协助实施，</w:t>
      </w:r>
      <w:r>
        <w:rPr>
          <w:rFonts w:hint="default" w:ascii="宋体" w:hAnsi="宋体" w:eastAsia="宋体" w:cs="宋体"/>
          <w:sz w:val="21"/>
          <w:szCs w:val="21"/>
          <w:highlight w:val="none"/>
        </w:rPr>
        <w:t>以</w:t>
      </w:r>
      <w:r>
        <w:rPr>
          <w:rFonts w:hint="eastAsia" w:ascii="宋体" w:hAnsi="宋体" w:eastAsia="宋体" w:cs="宋体"/>
          <w:sz w:val="21"/>
          <w:szCs w:val="21"/>
          <w:highlight w:val="none"/>
        </w:rPr>
        <w:t>保证高质高效完成考古工作，</w:t>
      </w:r>
      <w:r>
        <w:rPr>
          <w:rFonts w:hint="default" w:ascii="宋体" w:hAnsi="宋体" w:eastAsia="宋体" w:cs="宋体"/>
          <w:sz w:val="21"/>
          <w:szCs w:val="21"/>
          <w:highlight w:val="none"/>
        </w:rPr>
        <w:t>同时在</w:t>
      </w:r>
      <w:r>
        <w:rPr>
          <w:rFonts w:hint="eastAsia" w:ascii="宋体" w:hAnsi="宋体" w:eastAsia="宋体" w:cs="宋体"/>
          <w:sz w:val="21"/>
          <w:szCs w:val="21"/>
          <w:highlight w:val="none"/>
        </w:rPr>
        <w:t>一定程度上缓解本单位考古专业人员和技工不足的压力，保障经济建设工作的顺利进行。</w:t>
      </w: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三、项目概况及具体内容</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服务期限：合同签订之日起至</w:t>
      </w:r>
      <w:r>
        <w:rPr>
          <w:rFonts w:hint="eastAsia" w:ascii="宋体" w:hAnsi="宋体" w:eastAsia="宋体" w:cs="宋体"/>
          <w:sz w:val="21"/>
          <w:szCs w:val="21"/>
          <w:highlight w:val="none"/>
          <w:lang w:val="en-US" w:eastAsia="zh-CN"/>
        </w:rPr>
        <w:t>预算金额执行完毕截止</w:t>
      </w:r>
      <w:r>
        <w:rPr>
          <w:rFonts w:hint="eastAsia" w:ascii="宋体" w:hAnsi="宋体" w:eastAsia="宋体" w:cs="宋体"/>
          <w:sz w:val="21"/>
          <w:szCs w:val="21"/>
          <w:highlight w:val="none"/>
        </w:rPr>
        <w:t>。</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服务地点：甲方指</w:t>
      </w:r>
      <w:r>
        <w:rPr>
          <w:rFonts w:hint="eastAsia" w:ascii="宋体" w:hAnsi="宋体" w:eastAsia="宋体" w:cs="宋体"/>
          <w:sz w:val="21"/>
          <w:szCs w:val="21"/>
          <w:highlight w:val="none"/>
          <w:lang w:val="en-US" w:eastAsia="zh-CN"/>
        </w:rPr>
        <w:t>定</w:t>
      </w:r>
      <w:r>
        <w:rPr>
          <w:rFonts w:hint="eastAsia" w:ascii="宋体" w:hAnsi="宋体" w:eastAsia="宋体" w:cs="宋体"/>
          <w:sz w:val="21"/>
          <w:szCs w:val="21"/>
          <w:highlight w:val="none"/>
        </w:rPr>
        <w:t>地址。</w:t>
      </w:r>
    </w:p>
    <w:p>
      <w:pPr>
        <w:wordWrap w:val="0"/>
        <w:adjustRightInd/>
        <w:spacing w:line="360" w:lineRule="auto"/>
        <w:ind w:firstLine="420"/>
        <w:contextualSpacing/>
        <w:jc w:val="left"/>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1、总体要求：</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①供应商考古工作必须按照国家文物局颁布的《考古勘探工作规程（试行）》《田野考古工作规程》进行，所有的工作成果需科学规范、精确记录。</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②供应商考古工作人员在不违反安全操作规范的前提下须配合并服从采购人安排，所有考古工作应在采购人的统一指导安排下进行，如不服从或不及时响应采购人要求，造成的一切损失由供应商承担。</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③现场考古所需工具及设备由供应商自行配备，采购人不提供。</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④考古工作发现的遗迹必须用RTK测量地理坐标点，并精确标注。</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⑤单个项目的考古工作结束后，应提供《考古工作报告》文本6份（A4纸双面胶装印制）及考古资料电子版1份（包括项目各类图纸、工作记录、表格、照片等相关资料）。</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⑥供应商应遵守采购人的保密规定，对所有的工作成果及报告须严格保密。不得擅自向第三方透露、介绍工地情况，不得私自保管和泄露考古资料。</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⑦供应商服务人员应熟悉《中华人民共和国文物保护法》的有关规定，不得私留截留、保管、倒卖工地上出土的古代文物和标本，一经发现，采购人有权终止合同，并依法追究当事人及连带供应商法律责任。</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⑧供应商需设有固定服务电话，以便及时响应采购人的考古勘探需求。供应商应在接到采购人通知起，2小时之内回复，在3个工作日内根据采购人所下达的考古任务及考古时间要求，自行配备组织相关人员进场。如因供应商服务响应滞后，采购人有权将考古任务指定其他入库供应商。</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⑨考古勘探用地面积在5万平方米以内（含5万平方米）的，在15日内完成勘探工作；用地面积超过5万平方米，不足15万平方米的，在30日内完成勘探工作；用地面积超过15万平方米的，根据实际情况和采购人要求可相应延长勘探期限。若遇不可抗拒因素（雨雪、重要考古发现、文物主管部门的要求等），工期顺延。考古勘探工作结束后五个工作日内供应商应当将工作报告提交给采购人，工作报告包括但不限于以下内容：项目名称、项目负责人、勘探范围图、勘探过程描述、地层遗迹描述、主要收获（价值初判）、遗迹定位测量图、工作过程照片、相关建议等。</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采购人可以根据考古勘探项目的实际情况指定考古勘探孔距，供应商应根据采购人指定孔距和对应面积进行考古勘探工作。</w:t>
      </w:r>
    </w:p>
    <w:p>
      <w:pPr>
        <w:wordWrap w:val="0"/>
        <w:adjustRightInd/>
        <w:spacing w:line="360" w:lineRule="auto"/>
        <w:contextualSpacing/>
        <w:jc w:val="left"/>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2、技术队伍要求</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（1）为了满足项目的要求及强度，供应商应有至少200人受过</w:t>
      </w:r>
      <w:r>
        <w:rPr>
          <w:rFonts w:hint="default" w:ascii="宋体" w:hAnsi="宋体" w:eastAsia="宋体" w:cs="宋体"/>
          <w:sz w:val="21"/>
          <w:szCs w:val="21"/>
          <w:highlight w:val="none"/>
        </w:rPr>
        <w:t>相关</w:t>
      </w:r>
      <w:r>
        <w:rPr>
          <w:rFonts w:hint="eastAsia" w:ascii="宋体" w:hAnsi="宋体" w:eastAsia="宋体" w:cs="宋体"/>
          <w:sz w:val="21"/>
          <w:szCs w:val="21"/>
          <w:highlight w:val="none"/>
        </w:rPr>
        <w:t>专业训练，并详细列出用于本项目的负责人、各层次的专业技术人员、服务人员的名单。为了方便实施本项目，供应商应明确一名项目主要负责人以及1-2名联系人。</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▲（2）拟派考古发掘现场负责人须具有国家文物局颁发的考古发掘领队资格证书或项目负责人编号；</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（3）现场环境的管理，每次考古工作当天工作结束后，现场不能留有供应商人员、垃圾，保证现场人走场清。</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（4）供应商所安排的考古工作人员必须经过专业培训，同时应提前告知所有现场工作人员注意事项，如由供应商人员所引起的事故，供应商应承担所有责任，同时采购人保留追究其相关责任的权利。</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（5）供应商须组织及协调现场人员，维持现场秩序，保证工作有条不紊的进行，同时应对现场工作人员及其他第三方人员人身安全负责。</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供应商在项目实施过程中应做到制度上墙，人员工作时应配戴安全帽和必要的安全防护措施。每次考古项目至少设置一名安全员，挂牌上岗。如供应商人员因违规操作发生事故,或将地下管线损坏，由供应商自行处理并承担由此造成的所有损失和费用。对考古工作中出现的高危项目，供应商应向采购人说明，并要求采取合理的保护措施，确保人员安全。在安全条件和措施不到位的情况下，供应商有权拒绝施工。</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对其项目的人员、物资、场地等安全负全部责任。</w:t>
      </w: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四、考古工作任务分配</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采购人根据服务期内考古工作计划安排，按实分配。</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应合理安排采购人分配的工作任务，保证服务质量和服务进度。</w:t>
      </w: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五、验收要求</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（1）每个考古项目完成后，均由采购人组织验收，采取评分制（80分为合格线），如未达到合格线的，验收组提出整改和核减相应经费的意见，由甲方监督落实。验收内容和分值基本如下：</w:t>
      </w:r>
    </w:p>
    <w:p>
      <w:pPr>
        <w:wordWrap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 xml:space="preserve">A、工作方法、程序是否规范；是否按规定范围和面积完成勘探工作；探孔密度、深度是否符合专业要求、无遗漏（30分） </w:t>
      </w:r>
    </w:p>
    <w:p>
      <w:pPr>
        <w:wordWrap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en-US" w:eastAsia="zh-CN"/>
        </w:rPr>
        <w:t>B、</w:t>
      </w:r>
      <w:r>
        <w:rPr>
          <w:rFonts w:hint="eastAsia" w:ascii="宋体" w:hAnsi="宋体" w:eastAsia="宋体" w:cs="宋体"/>
          <w:szCs w:val="21"/>
          <w:highlight w:val="none"/>
        </w:rPr>
        <w:t>地层与遗迹现象分析判断是否科学准确（20分）</w:t>
      </w:r>
    </w:p>
    <w:p>
      <w:pPr>
        <w:wordWrap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en-US" w:eastAsia="zh-CN"/>
        </w:rPr>
        <w:t>C</w:t>
      </w:r>
      <w:r>
        <w:rPr>
          <w:rFonts w:hint="eastAsia" w:ascii="宋体" w:hAnsi="宋体" w:eastAsia="宋体" w:cs="宋体"/>
          <w:szCs w:val="21"/>
          <w:highlight w:val="none"/>
        </w:rPr>
        <w:t>、资料是否详细齐全，并按单元归档（20分）按：包括文字记录、图纸、照片（探孔、遗迹、局部、全景）、测量记录等。</w:t>
      </w:r>
    </w:p>
    <w:p>
      <w:pPr>
        <w:wordWrap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en-US" w:eastAsia="zh-CN"/>
        </w:rPr>
        <w:t>D</w:t>
      </w:r>
      <w:r>
        <w:rPr>
          <w:rFonts w:hint="eastAsia" w:ascii="宋体" w:hAnsi="宋体" w:eastAsia="宋体" w:cs="宋体"/>
          <w:szCs w:val="21"/>
          <w:highlight w:val="none"/>
        </w:rPr>
        <w:t>、队伍是否遵纪守法，有无安全事故、无故延误工期现象，有无其他违规违纪问题（10分）</w:t>
      </w:r>
    </w:p>
    <w:p>
      <w:pPr>
        <w:wordWrap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en-US" w:eastAsia="zh-CN"/>
        </w:rPr>
        <w:t>E</w:t>
      </w:r>
      <w:r>
        <w:rPr>
          <w:rFonts w:hint="eastAsia" w:ascii="宋体" w:hAnsi="宋体" w:eastAsia="宋体" w:cs="宋体"/>
          <w:szCs w:val="21"/>
          <w:highlight w:val="none"/>
        </w:rPr>
        <w:t>、工作报告编写是否符合规范要求，内容是否全面（20分）</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在单个考古项目验收后5日内，应向采购人提供照片、文字档案资料、图纸、《考古工作报告》纸质文本6套、电子资料1套。</w:t>
      </w: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六、退出机制</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不得将项目非法分包或转包给任何单位和个人，否则采购人有权即刻终止合同，并要求</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赔偿相应损失。</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出现以下行为之一时，采购人有权单方面中止与</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的合作，同时没收履约保证金，并以书面形式通知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①未按合同约定投入合格的、足够的劳务人员，或者未经采购人同意擅自更换项目负责人，或者项目负责人较长时间不到工地现场履行职责。</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②未达到前文所述的工作要求。</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③在项目实施过程中，如采购人发现</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的劳务人员没有依时完成合约规定任务或服务质量达不到要求的，经采购人提出书面整改意见后仍无改进的，</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须无条件更换劳务人员。</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④在项目实施过程中，如</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2次单项验收不合格或不能按要求进行整改或整改后仍不能达到要求的。</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⑤在项目实施过程中，如</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发生重大业务失误、安全生产责任事故或者违法违纪事件的。</w:t>
      </w: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七、项目特别说明</w:t>
      </w:r>
    </w:p>
    <w:p>
      <w:pPr>
        <w:wordWrap w:val="0"/>
        <w:adjustRightInd/>
        <w:spacing w:line="360" w:lineRule="auto"/>
        <w:ind w:firstLine="422" w:firstLineChars="200"/>
        <w:contextualSpacing/>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1、实施地点：</w:t>
      </w:r>
      <w:r>
        <w:rPr>
          <w:rFonts w:hint="eastAsia" w:ascii="宋体" w:hAnsi="宋体" w:eastAsia="宋体" w:cs="宋体"/>
          <w:sz w:val="21"/>
          <w:szCs w:val="21"/>
          <w:highlight w:val="none"/>
        </w:rPr>
        <w:t>采购人指定地点</w:t>
      </w:r>
    </w:p>
    <w:p>
      <w:pPr>
        <w:wordWrap w:val="0"/>
        <w:adjustRightInd/>
        <w:spacing w:line="360" w:lineRule="auto"/>
        <w:ind w:firstLine="422" w:firstLineChars="200"/>
        <w:contextualSpacing/>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2．结算方法：</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2.1付款人：浙江省文物考古研究所（浙江省世界文化遗产监测中心）。</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2.2结算金额：</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考古调查勘探服务费用：项目实际规模（㎡）*对应孔距综合单价（元/㎡）。</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考古发掘服务费用：项目实际规模（㎡）*综合单价（元/㎡）。</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2.3付款方式：</w:t>
      </w:r>
    </w:p>
    <w:p>
      <w:pPr>
        <w:wordWrap w:val="0"/>
        <w:adjustRightInd/>
        <w:spacing w:line="360" w:lineRule="auto"/>
        <w:ind w:firstLine="422" w:firstLineChars="200"/>
        <w:contextualSpacing/>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考古调查勘探服务费用：</w:t>
      </w:r>
      <w:r>
        <w:rPr>
          <w:rFonts w:hint="eastAsia" w:ascii="宋体" w:hAnsi="宋体" w:eastAsia="宋体" w:cs="宋体"/>
          <w:sz w:val="21"/>
          <w:szCs w:val="21"/>
          <w:highlight w:val="none"/>
        </w:rPr>
        <w:t>合同签订后，视项目具体情况分别签订</w:t>
      </w:r>
      <w:r>
        <w:rPr>
          <w:rFonts w:hint="eastAsia" w:ascii="宋体" w:hAnsi="宋体" w:eastAsia="宋体" w:cs="宋体"/>
          <w:sz w:val="21"/>
          <w:szCs w:val="21"/>
          <w:highlight w:val="none"/>
          <w:lang w:val="en-US" w:eastAsia="zh-CN"/>
        </w:rPr>
        <w:t>单次</w:t>
      </w:r>
      <w:r>
        <w:rPr>
          <w:rFonts w:hint="eastAsia" w:ascii="宋体" w:hAnsi="宋体" w:eastAsia="宋体" w:cs="宋体"/>
          <w:sz w:val="21"/>
          <w:szCs w:val="21"/>
          <w:highlight w:val="none"/>
        </w:rPr>
        <w:t>合同</w:t>
      </w:r>
      <w:r>
        <w:rPr>
          <w:rFonts w:hint="eastAsia" w:ascii="宋体" w:hAnsi="宋体" w:eastAsia="宋体" w:cs="宋体"/>
          <w:sz w:val="21"/>
          <w:szCs w:val="21"/>
          <w:highlight w:val="none"/>
          <w:lang w:eastAsia="zh-CN"/>
        </w:rPr>
        <w:t>，</w:t>
      </w:r>
      <w:r>
        <w:rPr>
          <w:rFonts w:hint="default" w:ascii="宋体" w:hAnsi="宋体" w:eastAsia="宋体" w:cs="宋体"/>
          <w:sz w:val="21"/>
          <w:szCs w:val="21"/>
          <w:highlight w:val="none"/>
        </w:rPr>
        <w:t>采购人</w:t>
      </w:r>
      <w:r>
        <w:rPr>
          <w:rFonts w:hint="eastAsia" w:ascii="宋体" w:hAnsi="宋体" w:eastAsia="宋体" w:cs="宋体"/>
          <w:sz w:val="21"/>
          <w:szCs w:val="21"/>
          <w:highlight w:val="none"/>
        </w:rPr>
        <w:t>对已完工通过验收、交付完整的资料与报告的项目</w:t>
      </w:r>
      <w:r>
        <w:rPr>
          <w:rFonts w:hint="default" w:ascii="宋体" w:hAnsi="宋体" w:eastAsia="宋体" w:cs="宋体"/>
          <w:sz w:val="21"/>
          <w:szCs w:val="21"/>
          <w:highlight w:val="none"/>
        </w:rPr>
        <w:t>按月进行</w:t>
      </w:r>
      <w:r>
        <w:rPr>
          <w:rFonts w:hint="eastAsia" w:ascii="宋体" w:hAnsi="宋体" w:eastAsia="宋体" w:cs="宋体"/>
          <w:sz w:val="21"/>
          <w:szCs w:val="21"/>
          <w:highlight w:val="none"/>
        </w:rPr>
        <w:t>结算，</w:t>
      </w:r>
      <w:r>
        <w:rPr>
          <w:rFonts w:hint="default" w:ascii="宋体" w:hAnsi="宋体" w:eastAsia="宋体" w:cs="宋体"/>
          <w:sz w:val="21"/>
          <w:szCs w:val="21"/>
          <w:highlight w:val="none"/>
        </w:rPr>
        <w:t>在收到供应商</w:t>
      </w:r>
      <w:r>
        <w:rPr>
          <w:rFonts w:hint="eastAsia" w:ascii="宋体" w:hAnsi="宋体" w:eastAsia="宋体" w:cs="宋体"/>
          <w:sz w:val="21"/>
          <w:szCs w:val="21"/>
          <w:highlight w:val="none"/>
        </w:rPr>
        <w:t>发票后7个工作日内（最后一天为节假日的顺延）支付。</w:t>
      </w:r>
    </w:p>
    <w:p>
      <w:pPr>
        <w:wordWrap w:val="0"/>
        <w:adjustRightInd/>
        <w:spacing w:line="360" w:lineRule="auto"/>
        <w:ind w:firstLine="422" w:firstLineChars="200"/>
        <w:contextualSpacing/>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考古发掘服务费用：</w:t>
      </w:r>
      <w:r>
        <w:rPr>
          <w:rFonts w:hint="default" w:ascii="宋体" w:hAnsi="宋体" w:eastAsia="宋体" w:cs="宋体"/>
          <w:sz w:val="21"/>
          <w:szCs w:val="21"/>
          <w:highlight w:val="none"/>
        </w:rPr>
        <w:t>合同签订后，视项目具体情况分别签订</w:t>
      </w:r>
      <w:r>
        <w:rPr>
          <w:rFonts w:hint="eastAsia" w:ascii="宋体" w:hAnsi="宋体" w:eastAsia="宋体" w:cs="宋体"/>
          <w:sz w:val="21"/>
          <w:szCs w:val="21"/>
          <w:highlight w:val="none"/>
          <w:lang w:val="en-US" w:eastAsia="zh-CN"/>
        </w:rPr>
        <w:t>单次</w:t>
      </w:r>
      <w:r>
        <w:rPr>
          <w:rFonts w:hint="default" w:ascii="宋体" w:hAnsi="宋体" w:eastAsia="宋体" w:cs="宋体"/>
          <w:sz w:val="21"/>
          <w:szCs w:val="21"/>
          <w:highlight w:val="none"/>
        </w:rPr>
        <w:t>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（1）单次合同在具备考古发掘条件</w:t>
      </w:r>
      <w:r>
        <w:rPr>
          <w:rFonts w:hint="default" w:ascii="宋体" w:hAnsi="宋体" w:eastAsia="宋体" w:cs="宋体"/>
          <w:sz w:val="21"/>
          <w:szCs w:val="21"/>
          <w:highlight w:val="none"/>
        </w:rPr>
        <w:t>且收到供应商发票后</w:t>
      </w:r>
      <w:r>
        <w:rPr>
          <w:rFonts w:hint="eastAsia" w:ascii="宋体" w:hAnsi="宋体" w:eastAsia="宋体" w:cs="宋体"/>
          <w:sz w:val="21"/>
          <w:szCs w:val="21"/>
          <w:highlight w:val="none"/>
        </w:rPr>
        <w:t>7</w:t>
      </w:r>
      <w:r>
        <w:rPr>
          <w:rFonts w:hint="default" w:ascii="宋体" w:hAnsi="宋体" w:eastAsia="宋体" w:cs="宋体"/>
          <w:sz w:val="21"/>
          <w:szCs w:val="21"/>
          <w:highlight w:val="none"/>
        </w:rPr>
        <w:t>个工作</w:t>
      </w:r>
      <w:r>
        <w:rPr>
          <w:rFonts w:hint="eastAsia" w:ascii="宋体" w:hAnsi="宋体" w:eastAsia="宋体" w:cs="宋体"/>
          <w:sz w:val="21"/>
          <w:szCs w:val="21"/>
          <w:highlight w:val="none"/>
        </w:rPr>
        <w:t>日内</w:t>
      </w:r>
      <w:r>
        <w:rPr>
          <w:rFonts w:hint="default" w:ascii="宋体" w:hAnsi="宋体" w:eastAsia="宋体" w:cs="宋体"/>
          <w:sz w:val="21"/>
          <w:szCs w:val="21"/>
          <w:highlight w:val="none"/>
        </w:rPr>
        <w:t>（最后一天为节假日的顺延）</w:t>
      </w:r>
      <w:r>
        <w:rPr>
          <w:rFonts w:hint="eastAsia" w:ascii="宋体" w:hAnsi="宋体" w:eastAsia="宋体" w:cs="宋体"/>
          <w:sz w:val="21"/>
          <w:szCs w:val="21"/>
          <w:highlight w:val="none"/>
        </w:rPr>
        <w:t>，采购人支付合同金额的70%作为预付款；（2）考古工作完成且通过验收、交付完整的资料与报告后，自收到供应商发票</w:t>
      </w:r>
      <w:r>
        <w:rPr>
          <w:rFonts w:hint="default" w:ascii="宋体" w:hAnsi="宋体" w:eastAsia="宋体" w:cs="宋体"/>
          <w:sz w:val="21"/>
          <w:szCs w:val="21"/>
          <w:highlight w:val="none"/>
        </w:rPr>
        <w:t>后</w:t>
      </w:r>
      <w:r>
        <w:rPr>
          <w:rFonts w:hint="eastAsia" w:ascii="宋体" w:hAnsi="宋体" w:eastAsia="宋体" w:cs="宋体"/>
          <w:sz w:val="21"/>
          <w:szCs w:val="21"/>
          <w:highlight w:val="none"/>
        </w:rPr>
        <w:t>7个工作日内（最后一天为节假日的顺延），采购人支付合同金额的30%</w:t>
      </w:r>
      <w:r>
        <w:rPr>
          <w:rFonts w:hint="default" w:ascii="宋体" w:hAnsi="宋体" w:eastAsia="宋体" w:cs="宋体"/>
          <w:sz w:val="21"/>
          <w:szCs w:val="21"/>
          <w:highlight w:val="none"/>
        </w:rPr>
        <w:t>的尾款。</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2.4履约保证金</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在合同签订后5个工作日内向采购方</w:t>
      </w:r>
      <w:r>
        <w:rPr>
          <w:rFonts w:hint="default" w:ascii="宋体" w:hAnsi="宋体" w:eastAsia="宋体" w:cs="宋体"/>
          <w:sz w:val="21"/>
          <w:szCs w:val="21"/>
          <w:highlight w:val="none"/>
        </w:rPr>
        <w:t>交纳</w:t>
      </w:r>
      <w:r>
        <w:rPr>
          <w:rFonts w:hint="eastAsia" w:ascii="宋体" w:hAnsi="宋体" w:eastAsia="宋体" w:cs="宋体"/>
          <w:sz w:val="21"/>
          <w:szCs w:val="21"/>
          <w:highlight w:val="none"/>
        </w:rPr>
        <w:t>履约保证金</w:t>
      </w:r>
      <w:r>
        <w:rPr>
          <w:rFonts w:hint="eastAsia" w:ascii="宋体" w:hAnsi="宋体" w:eastAsia="宋体" w:cs="宋体"/>
          <w:b/>
          <w:bCs/>
          <w:sz w:val="21"/>
          <w:szCs w:val="21"/>
          <w:highlight w:val="none"/>
          <w:u w:val="single"/>
          <w:lang w:val="en-US" w:eastAsia="zh-CN"/>
        </w:rPr>
        <w:t>捌拾伍</w:t>
      </w:r>
      <w:r>
        <w:rPr>
          <w:rFonts w:hint="eastAsia" w:ascii="宋体" w:hAnsi="宋体" w:eastAsia="宋体" w:cs="宋体"/>
          <w:b/>
          <w:bCs/>
          <w:sz w:val="21"/>
          <w:szCs w:val="21"/>
          <w:highlight w:val="none"/>
          <w:u w:val="single"/>
        </w:rPr>
        <w:t>万元</w:t>
      </w:r>
      <w:r>
        <w:rPr>
          <w:rFonts w:hint="eastAsia" w:ascii="宋体" w:hAnsi="宋体" w:eastAsia="宋体" w:cs="宋体"/>
          <w:sz w:val="21"/>
          <w:szCs w:val="21"/>
          <w:highlight w:val="none"/>
        </w:rPr>
        <w:t>，服务期满后，按合同约定扣除相关款项（如有）后无息退还。</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3、本项目采用综合固定单价方式，</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在项目实施中出现任何遗漏或事故均应自行负责，采购人不再支付任何费用。</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4、投标人在投标前可踏勘现场，踏勘期间发生的意外自负，有关费用自理。</w:t>
      </w: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八、违约处理</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（一）供应商有下列情形之一的，第一次书面警告；第二次解除合同，清理出库：</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1、未及时响应采购人工作安排的；</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2、工作过程中出现重大遗漏、误报的；</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3、违反保密纪律的；</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4、拒绝接受采购人作业指导和监督的；</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5、不履行合同规定义务的；</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6、其他导致严重质量问题的等。</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（二）如</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与用地单位相互串通勾结，刻意隐瞒或误报考古发现、遗迹遗址的，一经发现，立即终止合同，并依法追究当事人及连带供应商法律责任。</w:t>
      </w: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九、其他要求</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（一）严格按照相关法律、法规，恪守独立、客观、公正的原则，履行必要的执业规范和程序。</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（二）严格遵循诚实信用的原则，不得损害国家利益、社会公共利益和他人的合法权益。</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（三）供应商须对其所出具的成果保密，严格遵守国家有关保密规定和调查、审核等约定，不得泄露工作中知悉的国家秘密、商业秘密和内部情况，不得擅自将工作中取得的文物信息透露给任何第三方。</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（四）供应商应做好工作记录以及在作业过程中形成的其他资料应如实反映相关情况，做到事实准确、结论清楚；出具记录或报告，对报告承担责任。</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（五）入库供应商工作任务由采购人统筹安排，在不违背法律法规的前提下，各</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须无条件服从采购人安排</w:t>
      </w:r>
      <w:r>
        <w:rPr>
          <w:rFonts w:hint="eastAsia" w:ascii="宋体" w:hAnsi="宋体" w:eastAsia="宋体" w:cs="宋体"/>
          <w:b/>
          <w:bCs/>
          <w:sz w:val="21"/>
          <w:szCs w:val="21"/>
          <w:highlight w:val="none"/>
        </w:rPr>
        <w:t>（须提供针对此项的承诺函并加盖公章）</w:t>
      </w:r>
      <w:r>
        <w:rPr>
          <w:rFonts w:hint="eastAsia" w:ascii="宋体" w:hAnsi="宋体" w:eastAsia="宋体" w:cs="宋体"/>
          <w:sz w:val="21"/>
          <w:szCs w:val="21"/>
          <w:highlight w:val="none"/>
        </w:rPr>
        <w:t>。</w:t>
      </w:r>
    </w:p>
    <w:p>
      <w:pPr>
        <w:wordWrap w:val="0"/>
        <w:adjustRightInd/>
        <w:spacing w:line="360" w:lineRule="auto"/>
        <w:ind w:firstLine="420" w:firstLineChars="200"/>
        <w:contextualSpacing/>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（六）供应商须在项目实施前同采购人签订安全协议书及廉政协议书，如供应商违反协议书上所述条款，采购人可依据承诺书依法追究供应商责任。</w:t>
      </w:r>
    </w:p>
    <w:p>
      <w:pPr>
        <w:wordWrap w:val="0"/>
        <w:adjustRightInd/>
        <w:spacing w:line="360" w:lineRule="auto"/>
        <w:ind w:firstLine="420" w:firstLineChars="200"/>
        <w:contextualSpacing/>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（七）供应商及其聘用人员在项目实施期间如涉及违反法律法规的行为，采购人不承担连带责任。</w:t>
      </w:r>
      <w:r>
        <w:rPr>
          <w:rFonts w:hint="eastAsia" w:ascii="宋体" w:hAnsi="宋体" w:eastAsia="宋体" w:cs="宋体"/>
          <w:b/>
          <w:sz w:val="21"/>
          <w:szCs w:val="21"/>
          <w:highlight w:val="none"/>
        </w:rPr>
        <w:br w:type="page"/>
      </w:r>
    </w:p>
    <w:p>
      <w:pPr>
        <w:wordWrap w:val="0"/>
        <w:autoSpaceDE w:val="0"/>
        <w:autoSpaceDN w:val="0"/>
        <w:adjustRightInd w:val="0"/>
        <w:spacing w:line="360" w:lineRule="auto"/>
        <w:contextualSpacing/>
        <w:jc w:val="left"/>
        <w:outlineLvl w:val="2"/>
        <w:rPr>
          <w:rFonts w:hint="eastAsia" w:ascii="宋体" w:hAnsi="宋体" w:eastAsia="宋体" w:cs="宋体"/>
          <w:b/>
          <w:bCs/>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十、报价要求</w:t>
      </w:r>
    </w:p>
    <w:tbl>
      <w:tblPr>
        <w:tblStyle w:val="2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811"/>
        <w:gridCol w:w="2112"/>
        <w:gridCol w:w="2601"/>
        <w:gridCol w:w="2925"/>
        <w:gridCol w:w="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30" w:type="pct"/>
            <w:noWrap/>
            <w:vAlign w:val="center"/>
          </w:tcPr>
          <w:p>
            <w:pPr>
              <w:wordWrap w:val="0"/>
              <w:adjustRightInd/>
              <w:spacing w:line="360" w:lineRule="auto"/>
              <w:contextualSpacing/>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120" w:type="pct"/>
            <w:noWrap/>
            <w:vAlign w:val="center"/>
          </w:tcPr>
          <w:p>
            <w:pPr>
              <w:wordWrap w:val="0"/>
              <w:adjustRightInd/>
              <w:spacing w:line="360" w:lineRule="auto"/>
              <w:contextualSpacing/>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采购内容</w:t>
            </w:r>
          </w:p>
        </w:tc>
        <w:tc>
          <w:tcPr>
            <w:tcW w:w="1379" w:type="pct"/>
            <w:tcBorders>
              <w:right w:val="single" w:color="auto" w:sz="4" w:space="0"/>
            </w:tcBorders>
            <w:noWrap/>
            <w:vAlign w:val="center"/>
          </w:tcPr>
          <w:p>
            <w:pPr>
              <w:wordWrap w:val="0"/>
              <w:adjustRightInd/>
              <w:spacing w:line="360" w:lineRule="auto"/>
              <w:contextualSpacing/>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采购类型</w:t>
            </w:r>
          </w:p>
        </w:tc>
        <w:tc>
          <w:tcPr>
            <w:tcW w:w="1551" w:type="pct"/>
            <w:tcBorders>
              <w:left w:val="single" w:color="auto" w:sz="4" w:space="0"/>
            </w:tcBorders>
            <w:noWrap/>
            <w:vAlign w:val="center"/>
          </w:tcPr>
          <w:p>
            <w:pPr>
              <w:wordWrap w:val="0"/>
              <w:adjustRightInd/>
              <w:spacing w:line="360" w:lineRule="auto"/>
              <w:contextualSpacing/>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综合单价最高限价</w:t>
            </w:r>
          </w:p>
          <w:p>
            <w:pPr>
              <w:wordWrap w:val="0"/>
              <w:adjustRightInd/>
              <w:spacing w:line="360" w:lineRule="auto"/>
              <w:contextualSpacing/>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7" w:type="pct"/>
            <w:noWrap/>
            <w:vAlign w:val="center"/>
          </w:tcPr>
          <w:p>
            <w:pPr>
              <w:wordWrap w:val="0"/>
              <w:adjustRightInd/>
              <w:spacing w:line="360" w:lineRule="auto"/>
              <w:contextualSpacing/>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30" w:type="pct"/>
            <w:vMerge w:val="restart"/>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20" w:type="pct"/>
            <w:vMerge w:val="restart"/>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考古</w:t>
            </w:r>
            <w:r>
              <w:rPr>
                <w:rFonts w:hint="eastAsia" w:ascii="宋体" w:hAnsi="宋体" w:eastAsia="宋体" w:cs="宋体"/>
                <w:snapToGrid w:val="0"/>
                <w:kern w:val="0"/>
                <w:sz w:val="21"/>
                <w:szCs w:val="21"/>
                <w:highlight w:val="none"/>
              </w:rPr>
              <w:t>调查</w:t>
            </w:r>
            <w:r>
              <w:rPr>
                <w:rFonts w:hint="eastAsia" w:ascii="宋体" w:hAnsi="宋体" w:eastAsia="宋体" w:cs="宋体"/>
                <w:sz w:val="21"/>
                <w:szCs w:val="21"/>
                <w:highlight w:val="none"/>
              </w:rPr>
              <w:t>勘探</w:t>
            </w:r>
          </w:p>
        </w:tc>
        <w:tc>
          <w:tcPr>
            <w:tcW w:w="1379" w:type="pct"/>
            <w:tcBorders>
              <w:righ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1米孔综合单价</w:t>
            </w:r>
          </w:p>
        </w:tc>
        <w:tc>
          <w:tcPr>
            <w:tcW w:w="1551" w:type="pct"/>
            <w:tcBorders>
              <w:lef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10.00</w:t>
            </w:r>
          </w:p>
        </w:tc>
        <w:tc>
          <w:tcPr>
            <w:tcW w:w="517" w:type="pct"/>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3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12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379" w:type="pct"/>
            <w:tcBorders>
              <w:righ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2米孔综合单价</w:t>
            </w:r>
          </w:p>
        </w:tc>
        <w:tc>
          <w:tcPr>
            <w:tcW w:w="1551" w:type="pct"/>
            <w:tcBorders>
              <w:lef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5.00</w:t>
            </w:r>
          </w:p>
        </w:tc>
        <w:tc>
          <w:tcPr>
            <w:tcW w:w="517" w:type="pct"/>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3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12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379" w:type="pct"/>
            <w:tcBorders>
              <w:righ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3米孔综合单价</w:t>
            </w:r>
          </w:p>
        </w:tc>
        <w:tc>
          <w:tcPr>
            <w:tcW w:w="1551" w:type="pct"/>
            <w:tcBorders>
              <w:lef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3.00</w:t>
            </w:r>
          </w:p>
        </w:tc>
        <w:tc>
          <w:tcPr>
            <w:tcW w:w="517" w:type="pct"/>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3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12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379" w:type="pct"/>
            <w:tcBorders>
              <w:righ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5米孔综合单价</w:t>
            </w:r>
          </w:p>
        </w:tc>
        <w:tc>
          <w:tcPr>
            <w:tcW w:w="1551" w:type="pct"/>
            <w:tcBorders>
              <w:lef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2.00</w:t>
            </w:r>
          </w:p>
        </w:tc>
        <w:tc>
          <w:tcPr>
            <w:tcW w:w="517" w:type="pct"/>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3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12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379" w:type="pct"/>
            <w:tcBorders>
              <w:righ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10米孔综合单价</w:t>
            </w:r>
          </w:p>
        </w:tc>
        <w:tc>
          <w:tcPr>
            <w:tcW w:w="1551" w:type="pct"/>
            <w:tcBorders>
              <w:lef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c>
          <w:tcPr>
            <w:tcW w:w="517" w:type="pct"/>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3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120" w:type="pct"/>
            <w:vMerge w:val="continue"/>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c>
          <w:tcPr>
            <w:tcW w:w="1379" w:type="pct"/>
            <w:tcBorders>
              <w:righ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20米孔综合单价</w:t>
            </w:r>
          </w:p>
        </w:tc>
        <w:tc>
          <w:tcPr>
            <w:tcW w:w="1551" w:type="pct"/>
            <w:tcBorders>
              <w:lef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0.50</w:t>
            </w:r>
          </w:p>
        </w:tc>
        <w:tc>
          <w:tcPr>
            <w:tcW w:w="517" w:type="pct"/>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30" w:type="pct"/>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20" w:type="pct"/>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考古发掘</w:t>
            </w:r>
          </w:p>
        </w:tc>
        <w:tc>
          <w:tcPr>
            <w:tcW w:w="1379" w:type="pct"/>
            <w:tcBorders>
              <w:righ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每平方综合单价</w:t>
            </w:r>
          </w:p>
        </w:tc>
        <w:tc>
          <w:tcPr>
            <w:tcW w:w="1551" w:type="pct"/>
            <w:tcBorders>
              <w:left w:val="single" w:color="auto" w:sz="4" w:space="0"/>
            </w:tcBorders>
            <w:noWrap/>
            <w:vAlign w:val="center"/>
          </w:tcPr>
          <w:p>
            <w:pPr>
              <w:wordWrap w:val="0"/>
              <w:adjustRightIn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1100</w:t>
            </w:r>
          </w:p>
        </w:tc>
        <w:tc>
          <w:tcPr>
            <w:tcW w:w="517" w:type="pct"/>
            <w:noWrap/>
            <w:vAlign w:val="center"/>
          </w:tcPr>
          <w:p>
            <w:pPr>
              <w:wordWrap w:val="0"/>
              <w:adjustRightInd/>
              <w:spacing w:line="360" w:lineRule="auto"/>
              <w:contextualSpacing/>
              <w:jc w:val="center"/>
              <w:rPr>
                <w:rFonts w:hint="eastAsia" w:ascii="宋体" w:hAnsi="宋体" w:eastAsia="宋体" w:cs="宋体"/>
                <w:sz w:val="21"/>
                <w:szCs w:val="21"/>
                <w:highlight w:val="none"/>
              </w:rPr>
            </w:pPr>
          </w:p>
        </w:tc>
      </w:tr>
    </w:tbl>
    <w:p>
      <w:pPr>
        <w:adjustRightInd w:val="0"/>
        <w:spacing w:line="360" w:lineRule="auto"/>
        <w:ind w:firstLine="420" w:firstLineChars="200"/>
        <w:jc w:val="left"/>
        <w:rPr>
          <w:rFonts w:hint="eastAsia" w:ascii="宋体" w:hAnsi="宋体" w:eastAsia="宋体" w:cs="宋体"/>
          <w:sz w:val="21"/>
          <w:szCs w:val="21"/>
          <w:highlight w:val="none"/>
        </w:rPr>
      </w:pPr>
    </w:p>
    <w:p>
      <w:pPr>
        <w:adjustRightInd w:val="0"/>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注：如服务要求中未特别注明需执行的国家相关标准、行业标准、地方标准或者其他标准、规范，则统一执行最新标准、规范。</w:t>
      </w:r>
    </w:p>
    <w:p>
      <w:pPr>
        <w:adjustRightInd w:val="0"/>
        <w:snapToGrid w:val="0"/>
        <w:spacing w:line="288" w:lineRule="auto"/>
        <w:rPr>
          <w:rFonts w:ascii="宋体" w:hAnsi="宋体" w:eastAsia="宋体" w:cs="Times New Roman"/>
          <w:b/>
          <w:bCs/>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浙江省文物考古研究所(浙江省世界文化遗产监测中心)2025年度考古项目协作单位技术服务采购（第一批）</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w:t>
            </w:r>
            <w:r>
              <w:rPr>
                <w:rFonts w:ascii="宋体" w:hAnsi="宋体" w:eastAsia="宋体"/>
                <w:szCs w:val="21"/>
                <w:highlight w:val="none"/>
              </w:rPr>
              <w:t>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2024年7月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lang w:val="en-US" w:eastAsia="zh-CN"/>
                    </w:rPr>
                    <w:t>预算</w:t>
                  </w:r>
                  <w:r>
                    <w:rPr>
                      <w:rFonts w:hint="eastAsia" w:ascii="宋体" w:hAnsi="宋体" w:eastAsia="宋体"/>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100以下</w:t>
                  </w:r>
                </w:p>
              </w:tc>
              <w:tc>
                <w:tcPr>
                  <w:tcW w:w="30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100-500</w:t>
                  </w:r>
                </w:p>
              </w:tc>
              <w:tc>
                <w:tcPr>
                  <w:tcW w:w="30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500-1000</w:t>
                  </w:r>
                </w:p>
              </w:tc>
              <w:tc>
                <w:tcPr>
                  <w:tcW w:w="3070" w:type="dxa"/>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1000-5000</w:t>
                  </w:r>
                </w:p>
              </w:tc>
              <w:tc>
                <w:tcPr>
                  <w:tcW w:w="3070" w:type="dxa"/>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5000-10000</w:t>
                  </w:r>
                </w:p>
              </w:tc>
              <w:tc>
                <w:tcPr>
                  <w:tcW w:w="3070" w:type="dxa"/>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0.08</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auto"/>
                <w:sz w:val="21"/>
                <w:szCs w:val="21"/>
              </w:rPr>
              <w:t>1</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本项目不允许转包；</w:t>
            </w:r>
          </w:p>
          <w:p>
            <w:pPr>
              <w:keepNext w:val="0"/>
              <w:keepLines w:val="0"/>
              <w:widowControl/>
              <w:suppressLineNumbers w:val="0"/>
              <w:jc w:val="left"/>
              <w:rPr>
                <w:rFonts w:ascii="宋体" w:hAnsi="宋体" w:eastAsia="宋体" w:cs="Times New Roman"/>
                <w:spacing w:val="-6"/>
                <w:szCs w:val="21"/>
              </w:rPr>
            </w:pPr>
            <w:r>
              <w:rPr>
                <w:rFonts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本项目</w:t>
            </w:r>
            <w:r>
              <w:rPr>
                <w:rFonts w:hint="eastAsia" w:ascii="宋体" w:hAnsi="宋体" w:eastAsia="宋体"/>
                <w:b/>
                <w:bCs/>
                <w:color w:val="000000" w:themeColor="text1"/>
                <w:sz w:val="21"/>
                <w:szCs w:val="21"/>
                <w:u w:val="single"/>
                <w14:textFill>
                  <w14:solidFill>
                    <w14:schemeClr w14:val="tx1"/>
                  </w14:solidFill>
                </w14:textFill>
              </w:rPr>
              <w:t>不允许</w:t>
            </w:r>
            <w:r>
              <w:rPr>
                <w:rFonts w:hint="eastAsia" w:ascii="宋体" w:hAnsi="宋体" w:eastAsia="宋体"/>
                <w:color w:val="000000" w:themeColor="text1"/>
                <w:sz w:val="21"/>
                <w:szCs w:val="21"/>
                <w14:textFill>
                  <w14:solidFill>
                    <w14:schemeClr w14:val="tx1"/>
                  </w14:solidFill>
                </w14:textFill>
              </w:rPr>
              <w:t>分包，不适宜分包的理由是：</w:t>
            </w:r>
            <w:r>
              <w:rPr>
                <w:rFonts w:ascii="宋体" w:hAnsi="宋体" w:eastAsia="宋体" w:cs="宋体"/>
                <w:color w:val="000000" w:themeColor="text1"/>
                <w:kern w:val="0"/>
                <w:sz w:val="21"/>
                <w:szCs w:val="21"/>
                <w:u w:val="single"/>
                <w:lang w:val="en-US" w:eastAsia="zh-CN" w:bidi="ar"/>
                <w14:textFill>
                  <w14:solidFill>
                    <w14:schemeClr w14:val="tx1"/>
                  </w14:solidFill>
                </w14:textFill>
              </w:rPr>
              <w:t>为了保证考古调查勘探工作质量、勘探调查成果保密要求、文物安全，本项目不宜分包。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蒋晗</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pPr>
              <w:pStyle w:val="13"/>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浙江省文物考古研究所(浙江省世界文化遗产监测中心)2025年度考古项目协作单位技术服务采购（第一批）</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浙江省文物考古研究所(浙江省世界文化遗产监测中心)</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预算</w:t>
            </w:r>
            <w:r>
              <w:rPr>
                <w:rFonts w:hint="eastAsia" w:ascii="宋体" w:hAnsi="宋体" w:eastAsia="宋体"/>
                <w:szCs w:val="21"/>
                <w:highlight w:val="none"/>
              </w:rPr>
              <w:t>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eastAsia="宋体" w:cs="宋体"/>
                <w:sz w:val="21"/>
                <w:szCs w:val="21"/>
                <w:highlight w:val="yellow"/>
              </w:rPr>
            </w:pPr>
            <w:r>
              <w:rPr>
                <w:rFonts w:hint="eastAsia" w:ascii="宋体" w:hAnsi="宋体" w:eastAsia="宋体" w:cs="宋体"/>
                <w:i w:val="0"/>
                <w:iCs w:val="0"/>
                <w:color w:val="000000"/>
                <w:kern w:val="0"/>
                <w:sz w:val="21"/>
                <w:szCs w:val="21"/>
                <w:u w:val="none"/>
                <w:lang w:val="en-US" w:eastAsia="zh-CN" w:bidi="ar"/>
              </w:rPr>
              <w:t>100以下</w:t>
            </w:r>
          </w:p>
        </w:tc>
        <w:tc>
          <w:tcPr>
            <w:tcW w:w="2833" w:type="dxa"/>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eastAsia="宋体" w:cs="宋体"/>
                <w:sz w:val="21"/>
                <w:szCs w:val="21"/>
                <w:highlight w:val="yellow"/>
              </w:rPr>
            </w:pPr>
            <w:r>
              <w:rPr>
                <w:rFonts w:hint="eastAsia" w:ascii="宋体" w:hAnsi="宋体" w:eastAsia="宋体" w:cs="宋体"/>
                <w:i w:val="0"/>
                <w:iCs w:val="0"/>
                <w:color w:val="000000"/>
                <w:kern w:val="0"/>
                <w:sz w:val="21"/>
                <w:szCs w:val="21"/>
                <w:u w:val="none"/>
                <w:lang w:val="en-US" w:eastAsia="zh-CN" w:bidi="ar"/>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eastAsia="宋体" w:cs="宋体"/>
                <w:sz w:val="21"/>
                <w:szCs w:val="21"/>
                <w:highlight w:val="yellow"/>
              </w:rPr>
            </w:pPr>
            <w:r>
              <w:rPr>
                <w:rFonts w:hint="eastAsia" w:ascii="宋体" w:hAnsi="宋体" w:eastAsia="宋体" w:cs="宋体"/>
                <w:i w:val="0"/>
                <w:iCs w:val="0"/>
                <w:color w:val="000000"/>
                <w:kern w:val="0"/>
                <w:sz w:val="21"/>
                <w:szCs w:val="21"/>
                <w:u w:val="none"/>
                <w:lang w:val="en-US" w:eastAsia="zh-CN" w:bidi="ar"/>
              </w:rPr>
              <w:t>100-500</w:t>
            </w:r>
          </w:p>
        </w:tc>
        <w:tc>
          <w:tcPr>
            <w:tcW w:w="2833" w:type="dxa"/>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eastAsia="宋体" w:cs="宋体"/>
                <w:sz w:val="21"/>
                <w:szCs w:val="21"/>
                <w:highlight w:val="yellow"/>
              </w:rPr>
            </w:pPr>
            <w:r>
              <w:rPr>
                <w:rFonts w:hint="eastAsia" w:ascii="宋体" w:hAnsi="宋体" w:eastAsia="宋体" w:cs="宋体"/>
                <w:i w:val="0"/>
                <w:iCs w:val="0"/>
                <w:color w:val="000000"/>
                <w:kern w:val="0"/>
                <w:sz w:val="21"/>
                <w:szCs w:val="21"/>
                <w:u w:val="none"/>
                <w:lang w:val="en-US" w:eastAsia="zh-CN" w:bidi="ar"/>
              </w:rPr>
              <w:t>0.64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Times New Roman"/>
                <w:sz w:val="21"/>
                <w:szCs w:val="21"/>
                <w:highlight w:val="yellow"/>
              </w:rPr>
            </w:pPr>
            <w:r>
              <w:rPr>
                <w:rFonts w:hint="eastAsia" w:ascii="宋体" w:hAnsi="宋体" w:eastAsia="宋体" w:cs="宋体"/>
                <w:i w:val="0"/>
                <w:iCs w:val="0"/>
                <w:color w:val="000000"/>
                <w:kern w:val="0"/>
                <w:sz w:val="21"/>
                <w:szCs w:val="21"/>
                <w:u w:val="none"/>
                <w:lang w:val="en-US" w:eastAsia="zh-CN" w:bidi="ar"/>
              </w:rPr>
              <w:t>500-1000</w:t>
            </w:r>
          </w:p>
        </w:tc>
        <w:tc>
          <w:tcPr>
            <w:tcW w:w="2833"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Times New Roman"/>
                <w:sz w:val="21"/>
                <w:szCs w:val="21"/>
                <w:highlight w:val="yellow"/>
              </w:rPr>
            </w:pPr>
            <w:r>
              <w:rPr>
                <w:rFonts w:hint="eastAsia" w:ascii="宋体" w:hAnsi="宋体" w:eastAsia="宋体" w:cs="宋体"/>
                <w:i w:val="0"/>
                <w:iCs w:val="0"/>
                <w:color w:val="000000"/>
                <w:kern w:val="0"/>
                <w:sz w:val="21"/>
                <w:szCs w:val="21"/>
                <w:u w:val="none"/>
                <w:lang w:val="en-US" w:eastAsia="zh-CN" w:bidi="ar"/>
              </w:rPr>
              <w:t>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Times New Roman"/>
                <w:sz w:val="21"/>
                <w:szCs w:val="21"/>
                <w:highlight w:val="yellow"/>
              </w:rPr>
            </w:pPr>
            <w:r>
              <w:rPr>
                <w:rFonts w:hint="eastAsia" w:ascii="宋体" w:hAnsi="宋体" w:eastAsia="宋体" w:cs="宋体"/>
                <w:i w:val="0"/>
                <w:iCs w:val="0"/>
                <w:color w:val="000000"/>
                <w:kern w:val="0"/>
                <w:sz w:val="21"/>
                <w:szCs w:val="21"/>
                <w:u w:val="none"/>
                <w:lang w:val="en-US" w:eastAsia="zh-CN" w:bidi="ar"/>
              </w:rPr>
              <w:t>1000-5000</w:t>
            </w:r>
          </w:p>
        </w:tc>
        <w:tc>
          <w:tcPr>
            <w:tcW w:w="2833"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Times New Roman"/>
                <w:sz w:val="21"/>
                <w:szCs w:val="21"/>
                <w:highlight w:val="yellow"/>
              </w:rPr>
            </w:pPr>
            <w:r>
              <w:rPr>
                <w:rFonts w:hint="eastAsia" w:ascii="宋体" w:hAnsi="宋体" w:eastAsia="宋体" w:cs="宋体"/>
                <w:i w:val="0"/>
                <w:iCs w:val="0"/>
                <w:color w:val="000000"/>
                <w:kern w:val="0"/>
                <w:sz w:val="21"/>
                <w:szCs w:val="21"/>
                <w:u w:val="none"/>
                <w:lang w:val="en-US" w:eastAsia="zh-CN" w:bidi="ar"/>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Times New Roman"/>
                <w:sz w:val="21"/>
                <w:szCs w:val="21"/>
                <w:highlight w:val="yellow"/>
              </w:rPr>
            </w:pPr>
            <w:r>
              <w:rPr>
                <w:rFonts w:hint="eastAsia" w:ascii="宋体" w:hAnsi="宋体" w:eastAsia="宋体" w:cs="宋体"/>
                <w:i w:val="0"/>
                <w:iCs w:val="0"/>
                <w:color w:val="000000"/>
                <w:kern w:val="0"/>
                <w:sz w:val="21"/>
                <w:szCs w:val="21"/>
                <w:u w:val="none"/>
                <w:lang w:val="en-US" w:eastAsia="zh-CN" w:bidi="ar"/>
              </w:rPr>
              <w:t>5000-10000</w:t>
            </w:r>
          </w:p>
        </w:tc>
        <w:tc>
          <w:tcPr>
            <w:tcW w:w="2833"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Times New Roman"/>
                <w:sz w:val="21"/>
                <w:szCs w:val="21"/>
                <w:highlight w:val="yellow"/>
              </w:rPr>
            </w:pPr>
            <w:r>
              <w:rPr>
                <w:rFonts w:hint="eastAsia" w:ascii="宋体" w:hAnsi="宋体" w:eastAsia="宋体" w:cs="宋体"/>
                <w:i w:val="0"/>
                <w:iCs w:val="0"/>
                <w:color w:val="000000"/>
                <w:kern w:val="0"/>
                <w:sz w:val="21"/>
                <w:szCs w:val="21"/>
                <w:u w:val="none"/>
                <w:lang w:val="en-US" w:eastAsia="zh-CN" w:bidi="ar"/>
              </w:rPr>
              <w:t>0.08</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w:t>
      </w:r>
      <w:r>
        <w:rPr>
          <w:rFonts w:ascii="宋体" w:hAnsi="宋体" w:eastAsia="宋体" w:cs="Times New Roman"/>
          <w:spacing w:val="-6"/>
          <w:szCs w:val="21"/>
          <w:highlight w:val="none"/>
        </w:rPr>
        <w:t>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2024年7月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w:t>
      </w:r>
      <w:r>
        <w:rPr>
          <w:rFonts w:ascii="宋体" w:hAnsi="宋体" w:eastAsia="宋体" w:cs="Times New Roman"/>
          <w:spacing w:val="-6"/>
          <w:szCs w:val="21"/>
        </w:rPr>
        <w:t>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szCs w:val="21"/>
          <w:highlight w:val="none"/>
        </w:rPr>
        <w:t>）</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000000" w:themeColor="text1"/>
          <w:spacing w:val="-6"/>
          <w:szCs w:val="21"/>
          <w:highlight w:val="none"/>
          <w14:textFill>
            <w14:solidFill>
              <w14:schemeClr w14:val="tx1"/>
            </w14:solidFill>
          </w14:textFill>
        </w:rPr>
      </w:pPr>
      <w:r>
        <w:rPr>
          <w:rFonts w:hint="eastAsia" w:ascii="宋体" w:hAnsi="宋体" w:eastAsia="宋体" w:cs="Times New Roman"/>
          <w:b/>
          <w:spacing w:val="-6"/>
          <w:szCs w:val="21"/>
          <w:highlight w:val="none"/>
        </w:rPr>
        <w:t>（七）转</w:t>
      </w:r>
      <w:r>
        <w:rPr>
          <w:rFonts w:hint="eastAsia" w:ascii="宋体" w:hAnsi="宋体" w:eastAsia="宋体" w:cs="Times New Roman"/>
          <w:b/>
          <w:color w:val="000000" w:themeColor="text1"/>
          <w:spacing w:val="-6"/>
          <w:szCs w:val="21"/>
          <w:highlight w:val="none"/>
          <w14:textFill>
            <w14:solidFill>
              <w14:schemeClr w14:val="tx1"/>
            </w14:solidFill>
          </w14:textFill>
        </w:rPr>
        <w:t>包与分包</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本项目不允许转包；</w:t>
      </w:r>
    </w:p>
    <w:p>
      <w:pPr>
        <w:keepNext w:val="0"/>
        <w:keepLines w:val="0"/>
        <w:pageBreakBefore w:val="0"/>
        <w:widowControl/>
        <w:suppressLineNumbers w:val="0"/>
        <w:kinsoku/>
        <w:wordWrap/>
        <w:overflowPunct/>
        <w:topLinePunct w:val="0"/>
        <w:autoSpaceDE/>
        <w:autoSpaceDN/>
        <w:bidi w:val="0"/>
        <w:spacing w:line="288" w:lineRule="auto"/>
        <w:ind w:firstLine="420" w:firstLineChars="200"/>
        <w:jc w:val="left"/>
        <w:textAlignment w:val="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本项目</w:t>
      </w:r>
      <w:r>
        <w:rPr>
          <w:rFonts w:hint="eastAsia" w:ascii="宋体" w:hAnsi="宋体" w:eastAsia="宋体"/>
          <w:b/>
          <w:bCs/>
          <w:color w:val="000000" w:themeColor="text1"/>
          <w:sz w:val="21"/>
          <w:szCs w:val="21"/>
          <w:u w:val="single"/>
          <w14:textFill>
            <w14:solidFill>
              <w14:schemeClr w14:val="tx1"/>
            </w14:solidFill>
          </w14:textFill>
        </w:rPr>
        <w:t>不允许</w:t>
      </w:r>
      <w:r>
        <w:rPr>
          <w:rFonts w:hint="eastAsia" w:ascii="宋体" w:hAnsi="宋体" w:eastAsia="宋体"/>
          <w:color w:val="000000" w:themeColor="text1"/>
          <w:sz w:val="21"/>
          <w:szCs w:val="21"/>
          <w14:textFill>
            <w14:solidFill>
              <w14:schemeClr w14:val="tx1"/>
            </w14:solidFill>
          </w14:textFill>
        </w:rPr>
        <w:t>分包，不适宜分包的理由是：</w:t>
      </w:r>
      <w:r>
        <w:rPr>
          <w:rFonts w:ascii="宋体" w:hAnsi="宋体" w:eastAsia="宋体" w:cs="宋体"/>
          <w:color w:val="000000" w:themeColor="text1"/>
          <w:kern w:val="0"/>
          <w:sz w:val="21"/>
          <w:szCs w:val="21"/>
          <w:u w:val="single"/>
          <w:lang w:val="en-US" w:eastAsia="zh-CN" w:bidi="ar"/>
          <w14:textFill>
            <w14:solidFill>
              <w14:schemeClr w14:val="tx1"/>
            </w14:solidFill>
          </w14:textFill>
        </w:rPr>
        <w:t>为了保证考古调查勘探工作质量、勘探调查成果保密要求、文物安全，本项目不宜分包</w:t>
      </w:r>
      <w:r>
        <w:rPr>
          <w:rFonts w:ascii="宋体" w:hAnsi="宋体" w:eastAsia="宋体" w:cs="宋体"/>
          <w:color w:val="000000" w:themeColor="text1"/>
          <w:kern w:val="0"/>
          <w:sz w:val="21"/>
          <w:szCs w:val="21"/>
          <w:lang w:val="en-US" w:eastAsia="zh-CN" w:bidi="ar"/>
          <w14:textFill>
            <w14:solidFill>
              <w14:schemeClr w14:val="tx1"/>
            </w14:solidFill>
          </w14:textFill>
        </w:rPr>
        <w:t>。</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39"/>
    <w:bookmarkEnd w:id="40"/>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w:t>
      </w:r>
      <w:r>
        <w:rPr>
          <w:rFonts w:hint="eastAsia" w:ascii="宋体" w:hAnsi="宋体" w:eastAsia="宋体" w:cs="宋体"/>
          <w:i w:val="0"/>
          <w:iCs w:val="0"/>
          <w:color w:val="auto"/>
          <w:sz w:val="21"/>
          <w:szCs w:val="21"/>
          <w:highlight w:val="none"/>
        </w:rPr>
        <w:t>采购进口产品。优先采购向我国企业转让技术、与我国企业签订消化吸收再创新方案的供应商的进口产品。</w:t>
      </w:r>
    </w:p>
    <w:p>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rPr>
        <w:t>符合《关于促进残疾人就业政府采购政策的通知》（财库[2017]141号）规定的条件并</w:t>
      </w:r>
      <w:r>
        <w:rPr>
          <w:rFonts w:hint="eastAsia" w:ascii="宋体" w:hAnsi="宋体" w:eastAsia="宋体" w:cs="宋体"/>
          <w:i w:val="0"/>
          <w:iCs w:val="0"/>
          <w:sz w:val="21"/>
          <w:szCs w:val="21"/>
        </w:rPr>
        <w:t>提供《残疾人福利性单位声明函》的残疾人福利性单位视同小型、微型企业。</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1"/>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蒋晗</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left="0" w:leftChars="0" w:firstLine="420" w:firstLineChars="200"/>
        <w:rPr>
          <w:rFonts w:ascii="宋体" w:hAnsi="宋体" w:eastAsia="宋体"/>
          <w:color w:val="auto"/>
          <w:szCs w:val="21"/>
        </w:rPr>
      </w:pPr>
      <w:bookmarkStart w:id="44" w:name="_Hlk94018664"/>
      <w:r>
        <w:rPr>
          <w:rFonts w:hint="eastAsia" w:ascii="宋体" w:hAnsi="宋体" w:eastAsia="宋体"/>
          <w:szCs w:val="21"/>
        </w:rPr>
        <w:t>1.报价应按招标文件要求的格式编制、</w:t>
      </w:r>
      <w:r>
        <w:rPr>
          <w:rFonts w:hint="eastAsia" w:ascii="宋体" w:hAnsi="宋体" w:eastAsia="宋体"/>
          <w:color w:val="auto"/>
          <w:szCs w:val="21"/>
        </w:rPr>
        <w:t>填写报价内容（可自行增行），未按招标文件要求编制、填写的投标文件可能被拒绝；</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3"/>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4"/>
    <w:p>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w:t>
      </w:r>
      <w:r>
        <w:rPr>
          <w:rFonts w:hAnsi="宋体" w:eastAsia="宋体"/>
          <w:spacing w:val="-6"/>
          <w:sz w:val="21"/>
          <w:szCs w:val="21"/>
        </w:rPr>
        <w:t>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3）委托授权</w:t>
      </w:r>
      <w:r>
        <w:rPr>
          <w:rFonts w:ascii="宋体" w:hAnsi="宋体" w:eastAsia="宋体" w:cs="Times New Roman"/>
          <w:spacing w:val="-6"/>
          <w:szCs w:val="21"/>
          <w:highlight w:val="none"/>
        </w:rPr>
        <w:t>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w:t>
      </w:r>
      <w:r>
        <w:rPr>
          <w:rFonts w:ascii="宋体" w:hAnsi="宋体" w:eastAsia="宋体" w:cs="Times New Roman"/>
          <w:spacing w:val="-6"/>
          <w:szCs w:val="21"/>
        </w:rPr>
        <w:t>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spacing w:val="-6"/>
          <w:szCs w:val="21"/>
        </w:rPr>
        <w:t>（3）不同投标人</w:t>
      </w:r>
      <w:r>
        <w:rPr>
          <w:rFonts w:hint="eastAsia" w:ascii="宋体" w:hAnsi="宋体" w:eastAsia="宋体" w:cs="Times New Roman"/>
          <w:color w:val="auto"/>
          <w:spacing w:val="-6"/>
          <w:szCs w:val="21"/>
        </w:rPr>
        <w:t>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（5）不同投标人的投标文件相互混装。</w:t>
      </w:r>
    </w:p>
    <w:p>
      <w:pPr>
        <w:widowControl/>
        <w:adjustRightInd w:val="0"/>
        <w:snapToGrid w:val="0"/>
        <w:spacing w:line="288" w:lineRule="auto"/>
        <w:ind w:firstLine="398" w:firstLineChars="200"/>
        <w:jc w:val="left"/>
        <w:rPr>
          <w:rFonts w:hint="eastAsia" w:ascii="宋体" w:hAnsi="宋体" w:eastAsia="宋体" w:cs="Times New Roman"/>
          <w:b/>
          <w:color w:val="auto"/>
          <w:spacing w:val="-6"/>
          <w:szCs w:val="21"/>
          <w:lang w:val="en-US" w:eastAsia="zh-CN"/>
        </w:rPr>
      </w:pPr>
      <w:r>
        <w:rPr>
          <w:rFonts w:hint="eastAsia" w:ascii="宋体" w:hAnsi="宋体" w:eastAsia="宋体" w:cs="Times New Roman"/>
          <w:b/>
          <w:color w:val="auto"/>
          <w:spacing w:val="-6"/>
          <w:szCs w:val="21"/>
          <w:lang w:val="en-US" w:eastAsia="zh-CN"/>
        </w:rPr>
        <w:t>5.参与同一个采购包（标项）的供应商存在下列情形之一的，其投标文件无效：</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（1）不同供应商的电子投标文件上传计算机的网卡MAC地址、CPU序列号或硬盘序列号等硬件信息相同的；</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（2）上传的电子投标文件若出现使用本项目其他投标供应商的数字证书加密的，或者加盖本项目其他投标供应商的电子印章的；</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（3）不同供应商的投标文件的内容存在三处（含）以上错误一致，且无法合理解释的；</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（4）不同供应商联系人为同一人或不同联系人的联系电话一致，且无法合理解释的。</w:t>
      </w:r>
    </w:p>
    <w:p>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w:t>
      </w:r>
      <w:r>
        <w:rPr>
          <w:rFonts w:ascii="宋体" w:hAnsi="宋体" w:cs="仿宋"/>
          <w:kern w:val="0"/>
          <w:sz w:val="21"/>
          <w:szCs w:val="21"/>
          <w:highlight w:val="none"/>
        </w:rPr>
        <w:t>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highlight w:val="none"/>
        </w:rPr>
        <w:t>对于投标文件中含义不明确、同类问题表述不一致或者有明显文</w:t>
      </w:r>
      <w:r>
        <w:rPr>
          <w:rFonts w:hint="eastAsia" w:ascii="宋体" w:hAnsi="宋体" w:cs="Arial"/>
          <w:kern w:val="0"/>
          <w:sz w:val="21"/>
          <w:szCs w:val="21"/>
        </w:rPr>
        <w:t>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zb05@qszb.net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w:t>
      </w:r>
      <w:r>
        <w:rPr>
          <w:rFonts w:ascii="宋体" w:hAnsi="宋体" w:eastAsia="宋体" w:cs="Arial"/>
          <w:kern w:val="0"/>
          <w:szCs w:val="21"/>
          <w:highlight w:val="none"/>
        </w:rPr>
        <w:t>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w:t>
      </w:r>
      <w:r>
        <w:rPr>
          <w:rFonts w:hint="eastAsia" w:ascii="宋体" w:hAnsi="宋体" w:eastAsia="宋体" w:cs="Times New Roman"/>
          <w:szCs w:val="21"/>
        </w:rPr>
        <w:t>://zfcg.czt.zj.gov.cn）。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w:t>
      </w:r>
      <w:r>
        <w:rPr>
          <w:rFonts w:hint="eastAsia" w:ascii="宋体" w:hAnsi="宋体" w:eastAsia="宋体" w:cs="Times New Roman"/>
          <w:b/>
          <w:sz w:val="32"/>
          <w:szCs w:val="32"/>
          <w:highlight w:val="none"/>
        </w:rPr>
        <w:t>四章  评标方法和评标标准</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w:t>
            </w:r>
            <w:r>
              <w:rPr>
                <w:rFonts w:hint="eastAsia" w:ascii="宋体" w:hAnsi="宋体" w:eastAsia="宋体" w:cs="宋体"/>
                <w:szCs w:val="21"/>
                <w:lang w:eastAsia="zh-CN"/>
              </w:rPr>
              <w:t>，按［报价得分=（考古调查勘探1米孔评标基准价/考古调查勘探1米孔投标报价）*1+（考古调查勘探2米孔评标基准价/考古调查勘探2米孔投标报价）*1+……+（考古发掘评标基准价/考古发掘投标报价）*4］的计算公式计算。</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报价内容</w:t>
                  </w:r>
                </w:p>
              </w:tc>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考古调查勘探1米孔</w:t>
                  </w:r>
                </w:p>
              </w:tc>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考古调查勘探2米孔</w:t>
                  </w:r>
                </w:p>
              </w:tc>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考古调查勘探3米孔</w:t>
                  </w:r>
                </w:p>
              </w:tc>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考古调查勘探5米孔</w:t>
                  </w:r>
                </w:p>
              </w:tc>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考古调查勘探10米孔</w:t>
                  </w:r>
                </w:p>
              </w:tc>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考古调查勘探20米孔</w:t>
                  </w:r>
                </w:p>
              </w:tc>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考古发掘</w:t>
                  </w:r>
                </w:p>
              </w:tc>
              <w:tc>
                <w:tcPr>
                  <w:tcW w:w="2657"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r>
          </w:tbl>
          <w:p>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w:t>
            </w:r>
            <w:bookmarkStart w:id="59" w:name="_GoBack"/>
            <w:bookmarkEnd w:id="59"/>
            <w:r>
              <w:rPr>
                <w:rFonts w:hint="eastAsia" w:ascii="宋体" w:hAnsi="宋体" w:eastAsia="宋体" w:cs="Times New Roman"/>
                <w:color w:val="auto"/>
                <w:spacing w:val="-6"/>
                <w:szCs w:val="21"/>
                <w:highlight w:val="none"/>
                <w:u w:val="none"/>
              </w:rPr>
              <w:t>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1</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投标人（联合体投标的，牵头人和成员单位业绩均可）自2021年1月1日（以合同签订时间为准）以来，承担过两处及以上经国家文物局批复主动性考古项目的考古勘探或发掘工作的得1分，其余不得分。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注：以投标文件中所附清晰可辩的合同复印件为评分依据，不得有任何涂改，如有涂改，不得分。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89</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现状分析</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w:t>
            </w:r>
            <w:r>
              <w:rPr>
                <w:rFonts w:hint="eastAsia" w:ascii="宋体" w:hAnsi="宋体" w:eastAsia="宋体" w:cs="宋体"/>
                <w:szCs w:val="21"/>
              </w:rPr>
              <w:t>对考古勘探、发掘等工作的现状了解和认识</w:t>
            </w:r>
            <w:r>
              <w:rPr>
                <w:rFonts w:hint="eastAsia" w:ascii="宋体" w:hAnsi="宋体" w:eastAsia="宋体" w:cs="宋体"/>
                <w:szCs w:val="21"/>
                <w:lang w:val="en-US" w:eastAsia="zh-CN"/>
              </w:rPr>
              <w:t>情况。内容条理清晰，资料全面，认识符合项目所在区域实际情况。</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工作思路</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w:t>
            </w:r>
            <w:r>
              <w:rPr>
                <w:rFonts w:hint="eastAsia" w:ascii="宋体" w:hAnsi="宋体" w:eastAsia="宋体" w:cs="宋体"/>
                <w:szCs w:val="21"/>
              </w:rPr>
              <w:t>针对考古勘探、发掘等工作的工作思路、总体目标等内容</w:t>
            </w:r>
            <w:r>
              <w:rPr>
                <w:rFonts w:hint="eastAsia" w:ascii="宋体" w:hAnsi="宋体" w:eastAsia="宋体" w:cs="宋体"/>
                <w:szCs w:val="21"/>
                <w:lang w:val="en-US" w:eastAsia="zh-CN"/>
              </w:rPr>
              <w:t>分析</w:t>
            </w:r>
            <w:r>
              <w:rPr>
                <w:rFonts w:hint="eastAsia" w:ascii="宋体" w:hAnsi="宋体" w:eastAsia="宋体" w:cs="宋体"/>
                <w:szCs w:val="21"/>
                <w:lang w:eastAsia="zh-CN"/>
              </w:rPr>
              <w:t>。工作思路清晰，任务分解合理，目标清晰明确。（</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重点、难点分析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w:t>
            </w:r>
            <w:r>
              <w:rPr>
                <w:rFonts w:hint="eastAsia" w:ascii="宋体" w:hAnsi="宋体" w:eastAsia="宋体" w:cs="宋体"/>
                <w:szCs w:val="21"/>
              </w:rPr>
              <w:t>针对考古勘探、发掘等工作的重点、难点分析是否到位等</w:t>
            </w:r>
            <w:r>
              <w:rPr>
                <w:rFonts w:hint="eastAsia" w:ascii="宋体" w:hAnsi="宋体" w:eastAsia="宋体" w:cs="宋体"/>
                <w:szCs w:val="21"/>
                <w:lang w:val="en-US" w:eastAsia="zh-CN"/>
              </w:rPr>
              <w:t>情况。投标人对项目所在区域重要遗址、出土文物、埋藏特征、法规制度等全面了解，分析深入、阐述准确</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重点、难点解决措施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w:t>
            </w:r>
            <w:r>
              <w:rPr>
                <w:rFonts w:hint="eastAsia" w:ascii="宋体" w:hAnsi="宋体" w:eastAsia="宋体" w:cs="宋体"/>
                <w:szCs w:val="21"/>
              </w:rPr>
              <w:t>针对考古勘探、发掘等工作重点、难点提出的解决方案</w:t>
            </w:r>
            <w:r>
              <w:rPr>
                <w:rFonts w:hint="eastAsia" w:ascii="宋体" w:hAnsi="宋体" w:eastAsia="宋体" w:cs="宋体"/>
                <w:szCs w:val="21"/>
                <w:lang w:val="en-US" w:eastAsia="zh-CN"/>
              </w:rPr>
              <w:t>情况。解决方案具有针对性、条理清晰。</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工作流程</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w:t>
            </w:r>
            <w:r>
              <w:rPr>
                <w:rFonts w:hint="eastAsia" w:ascii="宋体" w:hAnsi="宋体" w:eastAsia="宋体" w:cs="宋体"/>
                <w:szCs w:val="21"/>
              </w:rPr>
              <w:t>针对考古勘探、发掘等内容的详细工作流程</w:t>
            </w:r>
            <w:r>
              <w:rPr>
                <w:rFonts w:hint="eastAsia" w:ascii="宋体" w:hAnsi="宋体" w:eastAsia="宋体" w:cs="宋体"/>
                <w:szCs w:val="21"/>
                <w:lang w:eastAsia="zh-CN"/>
              </w:rPr>
              <w:t>。工作流程合理规范，专业性强、措施可行、服务安排合理有效。（</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技术方案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w:t>
            </w:r>
            <w:r>
              <w:rPr>
                <w:rFonts w:hint="eastAsia" w:ascii="宋体" w:hAnsi="宋体" w:eastAsia="宋体" w:cs="宋体"/>
                <w:szCs w:val="21"/>
              </w:rPr>
              <w:t>针对考古勘探、发掘等内容的详细技术方案</w:t>
            </w:r>
            <w:r>
              <w:rPr>
                <w:rFonts w:hint="eastAsia" w:ascii="宋体" w:hAnsi="宋体" w:eastAsia="宋体" w:cs="宋体"/>
                <w:szCs w:val="21"/>
                <w:lang w:val="en-US" w:eastAsia="zh-CN"/>
              </w:rPr>
              <w:t>情况。投标人</w:t>
            </w:r>
            <w:r>
              <w:rPr>
                <w:rFonts w:hint="eastAsia" w:ascii="宋体" w:hAnsi="宋体" w:eastAsia="宋体" w:cs="宋体"/>
                <w:szCs w:val="21"/>
                <w:lang w:eastAsia="zh-CN"/>
              </w:rPr>
              <w:t>根据项目所在区域实际情况制定实施方案，方法内容全面合理，具有较强的可操作性。（</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质量保证措施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w:t>
            </w:r>
            <w:r>
              <w:rPr>
                <w:rFonts w:hint="eastAsia" w:ascii="宋体" w:hAnsi="宋体" w:eastAsia="宋体" w:cs="宋体"/>
                <w:szCs w:val="21"/>
              </w:rPr>
              <w:t>针对考古勘探、发掘等工作的质量控制保证措施</w:t>
            </w:r>
            <w:r>
              <w:rPr>
                <w:rFonts w:hint="eastAsia" w:ascii="宋体" w:hAnsi="宋体" w:eastAsia="宋体" w:cs="宋体"/>
                <w:szCs w:val="21"/>
                <w:lang w:val="en-US" w:eastAsia="zh-CN"/>
              </w:rPr>
              <w:t>情况。质量控制保证有完整体系，措施内容条理清晰，分析全面，操作性强。</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进度控制</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w:t>
            </w:r>
            <w:r>
              <w:rPr>
                <w:rFonts w:hint="eastAsia" w:ascii="宋体" w:hAnsi="宋体" w:eastAsia="宋体" w:cs="宋体"/>
                <w:szCs w:val="21"/>
              </w:rPr>
              <w:t>针对考古勘探、发掘等工作的进度控制保证措施</w:t>
            </w:r>
            <w:r>
              <w:rPr>
                <w:rFonts w:hint="eastAsia" w:ascii="宋体" w:hAnsi="宋体" w:eastAsia="宋体" w:cs="宋体"/>
                <w:szCs w:val="21"/>
                <w:lang w:val="en-US" w:eastAsia="zh-CN"/>
              </w:rPr>
              <w:t>情况。进度方案符合所在区域项目情况，清晰合理，可操作性强</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规章制度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w:t>
            </w:r>
            <w:r>
              <w:rPr>
                <w:rFonts w:hint="eastAsia" w:ascii="宋体" w:hAnsi="宋体" w:eastAsia="宋体" w:cs="宋体"/>
                <w:szCs w:val="21"/>
              </w:rPr>
              <w:t>针对本项目定制合理的管理规章制度方案（包括但不限于内部管理制度、内部岗位责任制度、管理运作制度、考核制度、人员、设施、设备管理服务、业主方反馈资料、文件资料等档案的建立与管理等）</w:t>
            </w:r>
            <w:r>
              <w:rPr>
                <w:rFonts w:hint="eastAsia" w:ascii="宋体" w:hAnsi="宋体" w:eastAsia="宋体" w:cs="宋体"/>
                <w:szCs w:val="21"/>
                <w:lang w:eastAsia="zh-CN"/>
              </w:rPr>
              <w:t>。管理制度符合规范、科学合理、操作性强。（</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lang w:val="en-US" w:eastAsia="zh-CN"/>
              </w:rPr>
            </w:pPr>
            <w:r>
              <w:rPr>
                <w:rFonts w:hint="eastAsia" w:ascii="宋体" w:hAnsi="宋体" w:eastAsia="宋体" w:cs="宋体"/>
                <w:b/>
                <w:bCs/>
                <w:szCs w:val="21"/>
              </w:rPr>
              <w:t>服务团队配置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客</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团队主要管理人员具有考古文博类中级职称及以上专业技术职称或考古学、文物与博物馆学相关专业研究生及以上学历的，每人得0.5分，最高得5分；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b/>
                <w:bCs/>
                <w:szCs w:val="21"/>
              </w:rPr>
              <w:t>注：以上人员需提供相关证明资料（如有）及近</w:t>
            </w:r>
            <w:r>
              <w:rPr>
                <w:rFonts w:hint="eastAsia" w:ascii="宋体" w:hAnsi="宋体" w:eastAsia="宋体" w:cs="宋体"/>
                <w:b/>
                <w:bCs/>
                <w:szCs w:val="21"/>
                <w:lang w:val="en-US" w:eastAsia="zh-CN"/>
              </w:rPr>
              <w:t>三</w:t>
            </w:r>
            <w:r>
              <w:rPr>
                <w:rFonts w:hint="eastAsia" w:ascii="宋体" w:hAnsi="宋体" w:eastAsia="宋体" w:cs="宋体"/>
                <w:b/>
                <w:bCs/>
                <w:szCs w:val="21"/>
              </w:rPr>
              <w:t>个月任意</w:t>
            </w:r>
            <w:r>
              <w:rPr>
                <w:rFonts w:hint="eastAsia" w:ascii="宋体" w:hAnsi="宋体" w:eastAsia="宋体" w:cs="宋体"/>
                <w:b/>
                <w:bCs/>
                <w:szCs w:val="21"/>
                <w:lang w:val="en-US" w:eastAsia="zh-CN"/>
              </w:rPr>
              <w:t>一</w:t>
            </w:r>
            <w:r>
              <w:rPr>
                <w:rFonts w:hint="eastAsia" w:ascii="宋体" w:hAnsi="宋体" w:eastAsia="宋体" w:cs="宋体"/>
                <w:b/>
                <w:bCs/>
                <w:szCs w:val="21"/>
              </w:rPr>
              <w:t>月的社保证明材料，未提供社保证明材料人员不作为评审考虑因素。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投标人拥有健全的组织机构，拟投入本项目的人员配置有相对稳定的考古勘探、发掘队伍（包括勘探发掘技术人员、测绘员、资料员等各工种专业人员）：</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w:t>
            </w:r>
            <w:r>
              <w:rPr>
                <w:rFonts w:hint="eastAsia" w:ascii="宋体" w:hAnsi="宋体" w:eastAsia="宋体" w:cs="宋体"/>
                <w:szCs w:val="21"/>
                <w:lang w:eastAsia="zh-CN"/>
              </w:rPr>
              <w:t>观分】（</w:t>
            </w:r>
            <w:r>
              <w:rPr>
                <w:rFonts w:hint="eastAsia" w:ascii="宋体" w:hAnsi="宋体" w:eastAsia="宋体" w:cs="宋体"/>
                <w:szCs w:val="21"/>
                <w:lang w:val="en-US" w:eastAsia="zh-CN"/>
              </w:rPr>
              <w:t>1</w:t>
            </w:r>
            <w:r>
              <w:rPr>
                <w:rFonts w:hint="eastAsia" w:ascii="宋体" w:hAnsi="宋体" w:eastAsia="宋体" w:cs="宋体"/>
                <w:szCs w:val="21"/>
                <w:lang w:eastAsia="zh-CN"/>
              </w:rPr>
              <w:t>）以上人员（</w:t>
            </w:r>
            <w:r>
              <w:rPr>
                <w:rFonts w:hint="eastAsia" w:ascii="宋体" w:hAnsi="宋体" w:eastAsia="宋体" w:cs="宋体"/>
                <w:szCs w:val="21"/>
                <w:lang w:val="en-US" w:eastAsia="zh-CN"/>
              </w:rPr>
              <w:t>除团队主要管理人员外</w:t>
            </w:r>
            <w:r>
              <w:rPr>
                <w:rFonts w:hint="eastAsia" w:ascii="宋体" w:hAnsi="宋体" w:eastAsia="宋体" w:cs="宋体"/>
                <w:szCs w:val="21"/>
                <w:lang w:eastAsia="zh-CN"/>
              </w:rPr>
              <w:t>）具有考古学、文物与博物馆学相关专业大学本科及以上学历的，每个得0.5分，最多得5分。</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）拟投入本项目人员配置</w:t>
            </w:r>
            <w:r>
              <w:rPr>
                <w:rFonts w:hint="eastAsia" w:ascii="宋体" w:hAnsi="宋体" w:eastAsia="宋体" w:cs="宋体"/>
                <w:szCs w:val="21"/>
                <w:lang w:val="en-US" w:eastAsia="zh-CN"/>
              </w:rPr>
              <w:t>稳定性强，相关经验丰富，专业技术能力强。</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客</w:t>
            </w:r>
            <w:r>
              <w:rPr>
                <w:rFonts w:hint="eastAsia" w:ascii="宋体" w:hAnsi="宋体" w:eastAsia="宋体" w:cs="宋体"/>
                <w:szCs w:val="21"/>
              </w:rPr>
              <w:t>观分】投标人拥有完整的田野作业人员团队（包括主要管理人员及各专业勘探技工、发掘技工、绘图技工、修复技工等工种人员），投入人数不少于200人，提供花名册并承诺固定投入本项目，为从事田野考古作业人员办理意外伤害保险、体检等职业安全健康措施。</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b/>
                <w:bCs/>
                <w:szCs w:val="21"/>
              </w:rPr>
              <w:t>注：须同时提供花名册、单独的承诺函及保险、医疗材料证明，未提供或提供不全的不得分。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拟投入设备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w:t>
            </w:r>
            <w:r>
              <w:rPr>
                <w:rFonts w:hint="eastAsia" w:ascii="宋体" w:hAnsi="宋体" w:eastAsia="宋体" w:cs="宋体"/>
                <w:szCs w:val="21"/>
                <w:lang w:eastAsia="zh-CN"/>
              </w:rPr>
              <w:t>观分】投标人拟投入的交通工具、协助配备人员，作业设施设备等科技考古配置情况。</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（1）交通工具：拟投入自有车辆，每提供1辆汽车的得0.5分，最多得2分。</w:t>
            </w:r>
          </w:p>
          <w:p>
            <w:pPr>
              <w:adjustRightInd w:val="0"/>
              <w:snapToGrid w:val="0"/>
              <w:spacing w:line="288" w:lineRule="auto"/>
              <w:rPr>
                <w:rFonts w:hint="eastAsia" w:ascii="宋体" w:hAnsi="宋体" w:eastAsia="宋体" w:cs="宋体"/>
                <w:b/>
                <w:bCs/>
                <w:szCs w:val="21"/>
                <w:lang w:eastAsia="zh-CN"/>
              </w:rPr>
            </w:pPr>
            <w:r>
              <w:rPr>
                <w:rFonts w:hint="eastAsia" w:ascii="宋体" w:hAnsi="宋体" w:eastAsia="宋体" w:cs="宋体"/>
                <w:b/>
                <w:bCs/>
                <w:szCs w:val="21"/>
                <w:lang w:eastAsia="zh-CN"/>
              </w:rPr>
              <w:t>证明材料：提供车辆照片和行驶证扫描件或复印件（车辆年检期限需在本项目服务期限内），</w:t>
            </w:r>
            <w:r>
              <w:rPr>
                <w:rFonts w:hint="eastAsia" w:ascii="宋体" w:hAnsi="宋体" w:eastAsia="宋体" w:cs="宋体"/>
                <w:b/>
                <w:bCs/>
                <w:szCs w:val="21"/>
                <w:lang w:val="en-US" w:eastAsia="zh-CN"/>
              </w:rPr>
              <w:t>不提供或不符合要求不得分</w:t>
            </w:r>
            <w:r>
              <w:rPr>
                <w:rFonts w:hint="eastAsia" w:ascii="宋体" w:hAnsi="宋体" w:eastAsia="宋体" w:cs="宋体"/>
                <w:b/>
                <w:bCs/>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（2）相关协助配备人员：提供驾龄3年及以上的熟练驾驶员，每1人得0.5分，最多得1分。</w:t>
            </w:r>
          </w:p>
          <w:p>
            <w:pPr>
              <w:adjustRightInd w:val="0"/>
              <w:snapToGrid w:val="0"/>
              <w:spacing w:line="288" w:lineRule="auto"/>
              <w:rPr>
                <w:rFonts w:hint="eastAsia" w:ascii="宋体" w:hAnsi="宋体" w:eastAsia="宋体" w:cs="宋体"/>
                <w:b/>
                <w:bCs/>
                <w:szCs w:val="21"/>
                <w:lang w:eastAsia="zh-CN"/>
              </w:rPr>
            </w:pPr>
            <w:r>
              <w:rPr>
                <w:rFonts w:hint="eastAsia" w:ascii="宋体" w:hAnsi="宋体" w:eastAsia="宋体" w:cs="宋体"/>
                <w:b/>
                <w:bCs/>
                <w:szCs w:val="21"/>
                <w:lang w:eastAsia="zh-CN"/>
              </w:rPr>
              <w:t>证明材料：提供驾驶员有效期内的劳务合同和驾驶证扫描件或复印件，</w:t>
            </w:r>
            <w:r>
              <w:rPr>
                <w:rFonts w:hint="eastAsia" w:ascii="宋体" w:hAnsi="宋体" w:eastAsia="宋体" w:cs="宋体"/>
                <w:b/>
                <w:bCs/>
                <w:szCs w:val="21"/>
                <w:lang w:val="en-US" w:eastAsia="zh-CN"/>
              </w:rPr>
              <w:t>不提供或不符合要求不得分</w:t>
            </w:r>
            <w:r>
              <w:rPr>
                <w:rFonts w:hint="eastAsia" w:ascii="宋体" w:hAnsi="宋体" w:eastAsia="宋体" w:cs="宋体"/>
                <w:b/>
                <w:bCs/>
                <w:szCs w:val="21"/>
                <w:lang w:eastAsia="zh-CN"/>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（3）作业设施设备：拟投入的自有设备具有航拍设备类、三维测绘设备类，每具备一类设备得1分，最高得2分。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b/>
                <w:bCs/>
                <w:szCs w:val="21"/>
                <w:lang w:eastAsia="zh-CN"/>
              </w:rPr>
              <w:t>证明材料：同时提供设备发票扫描件或复印件和设备使用照片，</w:t>
            </w:r>
            <w:r>
              <w:rPr>
                <w:rFonts w:hint="eastAsia" w:ascii="宋体" w:hAnsi="宋体" w:eastAsia="宋体" w:cs="宋体"/>
                <w:b/>
                <w:bCs/>
                <w:szCs w:val="21"/>
                <w:lang w:val="en-US" w:eastAsia="zh-CN"/>
              </w:rPr>
              <w:t>不提供或不符合要求不得分</w:t>
            </w:r>
            <w:r>
              <w:rPr>
                <w:rFonts w:hint="eastAsia" w:ascii="宋体" w:hAnsi="宋体" w:eastAsia="宋体" w:cs="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安全保障措施</w:t>
            </w:r>
          </w:p>
        </w:tc>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w:t>
            </w:r>
            <w:r>
              <w:rPr>
                <w:rFonts w:hint="eastAsia" w:ascii="宋体" w:hAnsi="宋体" w:eastAsia="宋体" w:cs="宋体"/>
                <w:szCs w:val="21"/>
                <w:lang w:eastAsia="zh-CN"/>
              </w:rPr>
              <w:t>观分】投标人针对本项目的安全保障措施，结合田野考古工作特点，措施具体明确，</w:t>
            </w:r>
            <w:r>
              <w:rPr>
                <w:rFonts w:hint="eastAsia" w:ascii="宋体" w:hAnsi="宋体" w:eastAsia="宋体" w:cs="宋体"/>
                <w:szCs w:val="21"/>
                <w:lang w:val="en-US" w:eastAsia="zh-CN"/>
              </w:rPr>
              <w:t>确保人员工作的安全</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应急预案</w:t>
            </w:r>
          </w:p>
        </w:tc>
        <w:tc>
          <w:tcPr>
            <w:tcW w:w="0" w:type="auto"/>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5</w:t>
            </w:r>
          </w:p>
        </w:tc>
        <w:tc>
          <w:tcPr>
            <w:tcW w:w="0" w:type="auto"/>
            <w:vAlign w:val="center"/>
          </w:tcPr>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w:t>
            </w:r>
            <w:r>
              <w:rPr>
                <w:rFonts w:hint="eastAsia" w:ascii="宋体" w:hAnsi="宋体" w:eastAsia="宋体" w:cs="宋体"/>
                <w:szCs w:val="21"/>
                <w:lang w:val="en-US" w:eastAsia="zh-CN"/>
              </w:rPr>
              <w:t>主</w:t>
            </w:r>
            <w:r>
              <w:rPr>
                <w:rFonts w:hint="eastAsia" w:ascii="宋体" w:hAnsi="宋体" w:eastAsia="宋体" w:cs="宋体"/>
                <w:szCs w:val="21"/>
                <w:lang w:eastAsia="zh-CN"/>
              </w:rPr>
              <w:t>观分】投标人针对本项目的突发事件应急处理预案完备健全，符合项目特点，处理措施完善，可操作性强。（</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成果资料移交方案</w:t>
            </w:r>
          </w:p>
        </w:tc>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w:t>
            </w:r>
            <w:r>
              <w:rPr>
                <w:rFonts w:hint="eastAsia" w:ascii="宋体" w:hAnsi="宋体" w:eastAsia="宋体" w:cs="宋体"/>
                <w:szCs w:val="21"/>
                <w:lang w:eastAsia="zh-CN"/>
              </w:rPr>
              <w:t>观分】投标人针对本项目成果资料整理、移交方案。方案完善，管理有序，移交及时，流程清晰。（</w:t>
            </w:r>
            <w:r>
              <w:rPr>
                <w:rFonts w:hint="eastAsia" w:ascii="宋体" w:hAnsi="宋体" w:eastAsia="宋体" w:cs="宋体"/>
                <w:szCs w:val="21"/>
                <w:lang w:val="en-US" w:eastAsia="zh-CN"/>
              </w:rPr>
              <w:t>评分范围：4,3,2,1,0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验收方案</w:t>
            </w:r>
          </w:p>
        </w:tc>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3</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w:t>
            </w:r>
            <w:r>
              <w:rPr>
                <w:rFonts w:hint="eastAsia" w:ascii="宋体" w:hAnsi="宋体" w:eastAsia="宋体" w:cs="宋体"/>
                <w:szCs w:val="21"/>
                <w:lang w:eastAsia="zh-CN"/>
              </w:rPr>
              <w:t>观分】投标人针对项目的验收</w:t>
            </w:r>
            <w:r>
              <w:rPr>
                <w:rFonts w:hint="eastAsia" w:ascii="宋体" w:hAnsi="宋体" w:eastAsia="宋体" w:cs="宋体"/>
                <w:szCs w:val="21"/>
                <w:lang w:val="en-US" w:eastAsia="zh-CN"/>
              </w:rPr>
              <w:t>要求，提供具体的验收方案</w:t>
            </w:r>
            <w:r>
              <w:rPr>
                <w:rFonts w:hint="eastAsia" w:ascii="宋体" w:hAnsi="宋体" w:eastAsia="宋体" w:cs="宋体"/>
                <w:szCs w:val="21"/>
                <w:lang w:eastAsia="zh-CN"/>
              </w:rPr>
              <w:t>。方案内容符合项目所在区域实际，</w:t>
            </w:r>
            <w:r>
              <w:rPr>
                <w:rFonts w:hint="eastAsia" w:ascii="宋体" w:hAnsi="宋体" w:eastAsia="宋体" w:cs="宋体"/>
                <w:szCs w:val="21"/>
                <w:lang w:val="en-US" w:eastAsia="zh-CN"/>
              </w:rPr>
              <w:t>可</w:t>
            </w:r>
            <w:r>
              <w:rPr>
                <w:rFonts w:hint="eastAsia" w:ascii="宋体" w:hAnsi="宋体" w:eastAsia="宋体" w:cs="宋体"/>
                <w:szCs w:val="21"/>
                <w:lang w:eastAsia="zh-CN"/>
              </w:rPr>
              <w:t>操作性强。（</w:t>
            </w:r>
            <w:r>
              <w:rPr>
                <w:rFonts w:hint="eastAsia" w:ascii="宋体" w:hAnsi="宋体" w:eastAsia="宋体" w:cs="宋体"/>
                <w:szCs w:val="21"/>
                <w:lang w:val="en-US" w:eastAsia="zh-CN"/>
              </w:rPr>
              <w:t>评分范围：3,2,1,0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后续服务</w:t>
            </w:r>
          </w:p>
        </w:tc>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w:t>
            </w:r>
            <w:r>
              <w:rPr>
                <w:rFonts w:hint="eastAsia" w:ascii="宋体" w:hAnsi="宋体" w:eastAsia="宋体" w:cs="宋体"/>
                <w:szCs w:val="21"/>
                <w:lang w:eastAsia="zh-CN"/>
              </w:rPr>
              <w:t>观分】投标人后续服务保障体系的完整性、科学性，以及有利于采购人及项目实施的各种有利条件以及落实情况。（</w:t>
            </w:r>
            <w:r>
              <w:rPr>
                <w:rFonts w:hint="eastAsia" w:ascii="宋体" w:hAnsi="宋体" w:eastAsia="宋体" w:cs="宋体"/>
                <w:szCs w:val="21"/>
                <w:lang w:val="en-US" w:eastAsia="zh-CN"/>
              </w:rPr>
              <w:t>评分范围：4,3,2,1,0</w:t>
            </w:r>
            <w:r>
              <w:rPr>
                <w:rFonts w:hint="eastAsia" w:ascii="宋体" w:hAnsi="宋体" w:eastAsia="宋体" w:cs="宋体"/>
                <w:szCs w:val="21"/>
                <w:lang w:eastAsia="zh-CN"/>
              </w:rPr>
              <w:t>）</w:t>
            </w:r>
          </w:p>
        </w:tc>
      </w:tr>
    </w:tbl>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采购文件及其答疑、补充、修改；成交</w:t>
      </w:r>
      <w:r>
        <w:rPr>
          <w:rFonts w:ascii="宋体" w:hAnsi="宋体" w:eastAsia="宋体" w:cs="Times New Roman"/>
          <w:sz w:val="24"/>
          <w:szCs w:val="24"/>
          <w:highlight w:val="none"/>
        </w:rPr>
        <w:t>人的投标文件正本；投标人在评标答疑时的书面澄清或说明；</w:t>
      </w:r>
      <w:r>
        <w:rPr>
          <w:rFonts w:hint="eastAsia" w:ascii="宋体" w:hAnsi="宋体" w:eastAsia="宋体" w:cs="Times New Roman"/>
          <w:sz w:val="24"/>
          <w:szCs w:val="24"/>
          <w:highlight w:val="none"/>
        </w:rPr>
        <w:t>成交</w:t>
      </w:r>
      <w:r>
        <w:rPr>
          <w:rFonts w:ascii="宋体" w:hAnsi="宋体" w:eastAsia="宋体" w:cs="Times New Roman"/>
          <w:sz w:val="24"/>
          <w:szCs w:val="24"/>
          <w:highlight w:val="none"/>
        </w:rPr>
        <w:t>通知书等文件是构成合同不可分割的组成部分。</w:t>
      </w:r>
    </w:p>
    <w:p>
      <w:pPr>
        <w:adjustRightInd/>
        <w:spacing w:line="360" w:lineRule="auto"/>
        <w:ind w:firstLine="420"/>
        <w:contextualSpacing/>
        <w:jc w:val="left"/>
        <w:rPr>
          <w:rFonts w:ascii="宋体" w:hAnsi="宋体" w:eastAsia="宋体" w:cs="Times New Roman"/>
          <w:sz w:val="24"/>
          <w:szCs w:val="24"/>
          <w:highlight w:val="none"/>
        </w:rPr>
      </w:pPr>
      <w:bookmarkStart w:id="50" w:name="_Toc467660638"/>
      <w:r>
        <w:rPr>
          <w:rFonts w:ascii="宋体" w:hAnsi="宋体" w:eastAsia="宋体" w:cs="Times New Roman"/>
          <w:sz w:val="24"/>
          <w:szCs w:val="24"/>
          <w:highlight w:val="none"/>
        </w:rPr>
        <w:t>甲方：</w:t>
      </w:r>
    </w:p>
    <w:p>
      <w:pPr>
        <w:adjustRightInd/>
        <w:spacing w:line="360" w:lineRule="auto"/>
        <w:ind w:firstLine="420"/>
        <w:contextualSpacing/>
        <w:jc w:val="left"/>
        <w:rPr>
          <w:rFonts w:ascii="宋体" w:hAnsi="宋体" w:eastAsia="宋体" w:cs="Times New Roman"/>
          <w:sz w:val="24"/>
          <w:szCs w:val="24"/>
          <w:highlight w:val="none"/>
        </w:rPr>
      </w:pPr>
      <w:r>
        <w:rPr>
          <w:rFonts w:ascii="宋体" w:hAnsi="宋体" w:eastAsia="宋体" w:cs="Times New Roman"/>
          <w:sz w:val="24"/>
          <w:szCs w:val="24"/>
          <w:highlight w:val="none"/>
        </w:rPr>
        <w:t>乙方：</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bookmarkStart w:id="51" w:name="_Toc489854744"/>
      <w:r>
        <w:rPr>
          <w:rFonts w:hint="eastAsia" w:ascii="宋体" w:hAnsi="宋体" w:eastAsia="宋体" w:cs="Times New Roman"/>
          <w:sz w:val="24"/>
          <w:szCs w:val="24"/>
          <w:highlight w:val="none"/>
        </w:rPr>
        <w:t>根据《中华人民共和国政府采购法》、《中华人民共和国民法典》等法律法规的规定，甲乙双方按照</w:t>
      </w:r>
      <w:bookmarkEnd w:id="51"/>
      <w:bookmarkStart w:id="52" w:name="_Toc489854745"/>
      <w:r>
        <w:rPr>
          <w:rFonts w:hint="eastAsia" w:ascii="宋体" w:hAnsi="宋体" w:eastAsia="宋体" w:cs="Times New Roman"/>
          <w:sz w:val="24"/>
          <w:szCs w:val="24"/>
          <w:highlight w:val="none"/>
          <w:u w:val="single"/>
        </w:rPr>
        <w:t>____________________</w:t>
      </w:r>
      <w:r>
        <w:rPr>
          <w:rFonts w:hint="eastAsia" w:ascii="宋体" w:hAnsi="宋体" w:eastAsia="宋体" w:cs="Times New Roman"/>
          <w:sz w:val="24"/>
          <w:szCs w:val="24"/>
          <w:highlight w:val="none"/>
        </w:rPr>
        <w:t>的招标结果签订本合同。</w:t>
      </w:r>
      <w:bookmarkEnd w:id="52"/>
    </w:p>
    <w:p>
      <w:pPr>
        <w:wordWrap w:val="0"/>
        <w:adjustRightInd/>
        <w:spacing w:line="360" w:lineRule="auto"/>
        <w:ind w:left="482"/>
        <w:contextualSpacing/>
        <w:jc w:val="left"/>
        <w:rPr>
          <w:rFonts w:ascii="宋体" w:hAnsi="宋体" w:eastAsia="宋体" w:cs="Times New Roman"/>
          <w:sz w:val="24"/>
          <w:szCs w:val="24"/>
          <w:highlight w:val="none"/>
        </w:rPr>
      </w:pPr>
      <w:r>
        <w:rPr>
          <w:rFonts w:hint="eastAsia" w:ascii="宋体" w:hAnsi="宋体" w:eastAsia="宋体" w:cs="Times New Roman"/>
          <w:b/>
          <w:sz w:val="24"/>
          <w:szCs w:val="24"/>
          <w:highlight w:val="none"/>
        </w:rPr>
        <w:t>第一条 合同标的</w:t>
      </w:r>
      <w:r>
        <w:rPr>
          <w:rFonts w:hint="eastAsia" w:ascii="宋体" w:hAnsi="宋体" w:eastAsia="宋体" w:cs="Times New Roman"/>
          <w:sz w:val="24"/>
          <w:szCs w:val="24"/>
          <w:highlight w:val="none"/>
        </w:rPr>
        <w:t xml:space="preserve"> 乙方根据甲方需求提供下列服务：</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供应商协助浙江省文物考古研究所（浙江省世界文化遗产监测中心）完成202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年度田野考古工作，主要包括考古调查、勘探、发掘等任务。具体详见采购需求。</w:t>
      </w:r>
    </w:p>
    <w:p>
      <w:pPr>
        <w:wordWrap w:val="0"/>
        <w:adjustRightInd/>
        <w:spacing w:line="360" w:lineRule="auto"/>
        <w:ind w:firstLine="482" w:firstLineChars="200"/>
        <w:contextualSpacing/>
        <w:jc w:val="left"/>
        <w:rPr>
          <w:rFonts w:ascii="宋体" w:hAnsi="宋体" w:eastAsia="宋体" w:cs="Times New Roman"/>
          <w:sz w:val="24"/>
          <w:szCs w:val="24"/>
          <w:highlight w:val="none"/>
        </w:rPr>
      </w:pPr>
      <w:r>
        <w:rPr>
          <w:rFonts w:hint="eastAsia" w:ascii="宋体" w:hAnsi="宋体" w:eastAsia="宋体" w:cs="Times New Roman"/>
          <w:b/>
          <w:sz w:val="24"/>
          <w:szCs w:val="24"/>
          <w:highlight w:val="none"/>
        </w:rPr>
        <w:t>第二条 合同价款</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（1）考古调查勘探对应孔距综合单价：1米孔为</w:t>
      </w:r>
      <w:r>
        <w:rPr>
          <w:rFonts w:hint="eastAsia" w:ascii="宋体" w:hAnsi="宋体" w:eastAsia="宋体" w:cs="Times New Roman"/>
          <w:sz w:val="24"/>
          <w:szCs w:val="24"/>
          <w:highlight w:val="none"/>
          <w:u w:val="single"/>
        </w:rPr>
        <w:t>_____</w:t>
      </w:r>
      <w:r>
        <w:rPr>
          <w:rFonts w:hint="eastAsia" w:ascii="宋体" w:hAnsi="宋体" w:eastAsia="宋体" w:cs="Times New Roman"/>
          <w:sz w:val="24"/>
          <w:szCs w:val="24"/>
          <w:highlight w:val="none"/>
        </w:rPr>
        <w:t>元/㎡；2米孔为</w:t>
      </w:r>
      <w:r>
        <w:rPr>
          <w:rFonts w:hint="eastAsia" w:ascii="宋体" w:hAnsi="宋体" w:eastAsia="宋体" w:cs="Times New Roman"/>
          <w:sz w:val="24"/>
          <w:szCs w:val="24"/>
          <w:highlight w:val="none"/>
          <w:u w:val="single"/>
        </w:rPr>
        <w:t>_____</w:t>
      </w:r>
      <w:r>
        <w:rPr>
          <w:rFonts w:hint="eastAsia" w:ascii="宋体" w:hAnsi="宋体" w:eastAsia="宋体" w:cs="Times New Roman"/>
          <w:sz w:val="24"/>
          <w:szCs w:val="24"/>
          <w:highlight w:val="none"/>
        </w:rPr>
        <w:t>元/㎡</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3米孔为</w:t>
      </w:r>
      <w:r>
        <w:rPr>
          <w:rFonts w:hint="eastAsia" w:ascii="宋体" w:hAnsi="宋体" w:eastAsia="宋体" w:cs="Times New Roman"/>
          <w:sz w:val="24"/>
          <w:szCs w:val="24"/>
          <w:highlight w:val="none"/>
          <w:u w:val="single"/>
        </w:rPr>
        <w:t>_____</w:t>
      </w:r>
      <w:r>
        <w:rPr>
          <w:rFonts w:hint="eastAsia" w:ascii="宋体" w:hAnsi="宋体" w:eastAsia="宋体" w:cs="Times New Roman"/>
          <w:sz w:val="24"/>
          <w:szCs w:val="24"/>
          <w:highlight w:val="none"/>
        </w:rPr>
        <w:t>元/㎡；5米孔为</w:t>
      </w:r>
      <w:r>
        <w:rPr>
          <w:rFonts w:hint="eastAsia" w:ascii="宋体" w:hAnsi="宋体" w:eastAsia="宋体" w:cs="Times New Roman"/>
          <w:sz w:val="24"/>
          <w:szCs w:val="24"/>
          <w:highlight w:val="none"/>
          <w:u w:val="single"/>
        </w:rPr>
        <w:t>_____</w:t>
      </w:r>
      <w:r>
        <w:rPr>
          <w:rFonts w:hint="eastAsia" w:ascii="宋体" w:hAnsi="宋体" w:eastAsia="宋体" w:cs="Times New Roman"/>
          <w:sz w:val="24"/>
          <w:szCs w:val="24"/>
          <w:highlight w:val="none"/>
        </w:rPr>
        <w:t>元/㎡；10米孔为</w:t>
      </w:r>
      <w:r>
        <w:rPr>
          <w:rFonts w:hint="eastAsia" w:ascii="宋体" w:hAnsi="宋体" w:eastAsia="宋体" w:cs="Times New Roman"/>
          <w:sz w:val="24"/>
          <w:szCs w:val="24"/>
          <w:highlight w:val="none"/>
          <w:u w:val="single"/>
        </w:rPr>
        <w:t>_____</w:t>
      </w:r>
      <w:r>
        <w:rPr>
          <w:rFonts w:hint="eastAsia" w:ascii="宋体" w:hAnsi="宋体" w:eastAsia="宋体" w:cs="Times New Roman"/>
          <w:sz w:val="24"/>
          <w:szCs w:val="24"/>
          <w:highlight w:val="none"/>
        </w:rPr>
        <w:t>元/㎡；20米孔为</w:t>
      </w:r>
      <w:r>
        <w:rPr>
          <w:rFonts w:hint="eastAsia" w:ascii="宋体" w:hAnsi="宋体" w:eastAsia="宋体" w:cs="Times New Roman"/>
          <w:sz w:val="24"/>
          <w:szCs w:val="24"/>
          <w:highlight w:val="none"/>
          <w:u w:val="single"/>
        </w:rPr>
        <w:t>_____</w:t>
      </w:r>
      <w:r>
        <w:rPr>
          <w:rFonts w:hint="eastAsia" w:ascii="宋体" w:hAnsi="宋体" w:eastAsia="宋体" w:cs="Times New Roman"/>
          <w:sz w:val="24"/>
          <w:szCs w:val="24"/>
          <w:highlight w:val="none"/>
        </w:rPr>
        <w:t>元/㎡。</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（2）考古发掘服务费综合单价：</w:t>
      </w:r>
      <w:r>
        <w:rPr>
          <w:rFonts w:hint="eastAsia" w:ascii="宋体" w:hAnsi="宋体" w:eastAsia="宋体" w:cs="Times New Roman"/>
          <w:sz w:val="24"/>
          <w:szCs w:val="24"/>
          <w:highlight w:val="none"/>
          <w:u w:val="single"/>
        </w:rPr>
        <w:t>__________</w:t>
      </w:r>
      <w:r>
        <w:rPr>
          <w:rFonts w:hint="eastAsia" w:ascii="宋体" w:hAnsi="宋体" w:eastAsia="宋体" w:cs="Times New Roman"/>
          <w:sz w:val="24"/>
          <w:szCs w:val="24"/>
          <w:highlight w:val="none"/>
        </w:rPr>
        <w:t>（元/㎡）。</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综合单价是完成本项目所发生的所有含税费用、支付给员工的工资和国家强制缴纳的各种社会保障资金，以及供应商认为需要的其他费用</w:t>
      </w:r>
      <w:bookmarkStart w:id="53" w:name="_Hlk56440855"/>
      <w:r>
        <w:rPr>
          <w:rFonts w:hint="eastAsia" w:ascii="宋体" w:hAnsi="宋体" w:eastAsia="宋体" w:cs="Times New Roman"/>
          <w:sz w:val="24"/>
          <w:szCs w:val="24"/>
          <w:highlight w:val="none"/>
        </w:rPr>
        <w:t>（包括但不限于与本次勘探发掘项目相关的设备费、食宿费、资料整理费、录入费、评审费及野外作业涉及的各类风险费用等）。</w:t>
      </w:r>
      <w:bookmarkEnd w:id="53"/>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本项目为综合单价合同，具体价款根据甲方实际委派任务按</w:t>
      </w:r>
      <w:r>
        <w:rPr>
          <w:rFonts w:hint="eastAsia" w:ascii="宋体" w:hAnsi="宋体" w:eastAsia="宋体" w:cs="Times New Roman"/>
          <w:sz w:val="24"/>
          <w:szCs w:val="24"/>
          <w:highlight w:val="none"/>
          <w:u w:val="single"/>
        </w:rPr>
        <w:t>（对应孔距）综合单价*实际规模</w:t>
      </w:r>
      <w:r>
        <w:rPr>
          <w:rFonts w:hint="eastAsia" w:ascii="宋体" w:hAnsi="宋体" w:eastAsia="宋体" w:cs="Times New Roman"/>
          <w:sz w:val="24"/>
          <w:szCs w:val="24"/>
          <w:highlight w:val="none"/>
        </w:rPr>
        <w:t>确定。</w:t>
      </w:r>
    </w:p>
    <w:p>
      <w:pPr>
        <w:wordWrap w:val="0"/>
        <w:adjustRightInd/>
        <w:spacing w:line="360" w:lineRule="auto"/>
        <w:ind w:firstLine="482" w:firstLineChars="200"/>
        <w:contextualSpacing/>
        <w:jc w:val="left"/>
        <w:rPr>
          <w:rFonts w:ascii="宋体" w:hAnsi="宋体" w:eastAsia="宋体" w:cs="Times New Roman"/>
          <w:sz w:val="24"/>
          <w:szCs w:val="24"/>
          <w:highlight w:val="none"/>
        </w:rPr>
      </w:pPr>
      <w:r>
        <w:rPr>
          <w:rFonts w:hint="eastAsia" w:ascii="宋体" w:hAnsi="宋体" w:eastAsia="宋体" w:cs="Times New Roman"/>
          <w:b/>
          <w:sz w:val="24"/>
          <w:szCs w:val="24"/>
          <w:highlight w:val="none"/>
        </w:rPr>
        <w:t>第三条 组成本合同的有关文件</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下列关于</w:t>
      </w:r>
      <w:r>
        <w:rPr>
          <w:rFonts w:hint="eastAsia" w:ascii="宋体" w:hAnsi="宋体" w:eastAsia="宋体" w:cs="Times New Roman"/>
          <w:sz w:val="24"/>
          <w:szCs w:val="24"/>
          <w:highlight w:val="none"/>
          <w:u w:val="single"/>
        </w:rPr>
        <w:t>_____（项目名称）_____（项目编号）</w:t>
      </w:r>
      <w:r>
        <w:rPr>
          <w:rFonts w:hint="eastAsia" w:ascii="宋体" w:hAnsi="宋体" w:eastAsia="宋体" w:cs="Times New Roman"/>
          <w:sz w:val="24"/>
          <w:szCs w:val="24"/>
          <w:highlight w:val="none"/>
        </w:rPr>
        <w:t>标的招投标文件或与本次采购活动方式相适应的文件及有关附件是本合同不可分割的组成部分，与本合同具有同等法律效力，这些文件包括但不限于：</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（1）乙方提供的投标文件和投标报价表； （2）价格一览表；</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（3）服务一览表；                     （4）技术条款响应表；</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（5）投标承诺；                       （6）服务承诺；</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（7）成交通知书；                     （8）甲乙双方商定的其他文件等。</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第四条 权利保证</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乙方应保证甲方在使用该服务或其任何一部分时不受第三方提出侵犯其专利权、版权、商标权或其他权利的起诉。一旦出现侵权，乙方应承担全部责任。</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第五条 质量保证</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乙方所提供的服务的技术规格应与招标文件规定的技术规格及所附的“技术条款响应表”相一致；若技术性能无特殊说明，则按国家有关部门最新颁布的标准及规范为准。</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第六条 服务期限和验收</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6.1服务期限：</w:t>
      </w:r>
      <w:r>
        <w:rPr>
          <w:rFonts w:hint="eastAsia" w:ascii="宋体" w:hAnsi="宋体" w:eastAsia="宋体" w:cs="Times New Roman"/>
          <w:sz w:val="24"/>
          <w:szCs w:val="24"/>
          <w:highlight w:val="none"/>
          <w:u w:val="single"/>
        </w:rPr>
        <w:t>合同签订之日起至</w:t>
      </w:r>
      <w:r>
        <w:rPr>
          <w:rFonts w:hint="eastAsia" w:ascii="宋体" w:hAnsi="宋体" w:eastAsia="宋体" w:cs="Times New Roman"/>
          <w:sz w:val="24"/>
          <w:szCs w:val="24"/>
          <w:highlight w:val="none"/>
          <w:u w:val="single"/>
          <w:lang w:val="en-US" w:eastAsia="zh-CN"/>
        </w:rPr>
        <w:t>预算金额执行完毕截止</w:t>
      </w:r>
      <w:r>
        <w:rPr>
          <w:rFonts w:hint="eastAsia" w:ascii="宋体" w:hAnsi="宋体" w:eastAsia="宋体" w:cs="Times New Roman"/>
          <w:sz w:val="24"/>
          <w:szCs w:val="24"/>
          <w:highlight w:val="none"/>
          <w:u w:val="single"/>
        </w:rPr>
        <w:t>。</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6.2验收标准：按行业通行标准和乙方投标文件的承诺（详见合同附件载明的标准，并不低于国家相关标准）。</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第七条 履约保证金</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在合同签订后5</w:t>
      </w:r>
      <w:r>
        <w:rPr>
          <w:rFonts w:ascii="宋体" w:hAnsi="宋体" w:eastAsia="宋体" w:cs="Times New Roman"/>
          <w:sz w:val="24"/>
          <w:szCs w:val="24"/>
          <w:highlight w:val="none"/>
        </w:rPr>
        <w:t>个工作日内</w:t>
      </w:r>
      <w:r>
        <w:rPr>
          <w:rFonts w:hint="eastAsia" w:ascii="宋体" w:hAnsi="宋体" w:eastAsia="宋体" w:cs="Times New Roman"/>
          <w:sz w:val="24"/>
          <w:szCs w:val="24"/>
          <w:highlight w:val="none"/>
        </w:rPr>
        <w:t>向甲方递交履约保证金</w:t>
      </w:r>
      <w:r>
        <w:rPr>
          <w:rFonts w:hint="eastAsia" w:ascii="宋体" w:hAnsi="宋体" w:eastAsia="宋体" w:cs="Times New Roman"/>
          <w:sz w:val="24"/>
          <w:szCs w:val="24"/>
          <w:highlight w:val="none"/>
          <w:u w:val="single"/>
          <w:lang w:val="en-US" w:eastAsia="zh-CN"/>
        </w:rPr>
        <w:t>捌拾伍</w:t>
      </w:r>
      <w:r>
        <w:rPr>
          <w:rFonts w:hint="eastAsia" w:ascii="宋体" w:hAnsi="宋体" w:eastAsia="宋体" w:cs="Times New Roman"/>
          <w:sz w:val="24"/>
          <w:szCs w:val="24"/>
          <w:highlight w:val="none"/>
          <w:u w:val="single"/>
        </w:rPr>
        <w:t>万元</w:t>
      </w:r>
      <w:r>
        <w:rPr>
          <w:rFonts w:hint="eastAsia" w:ascii="宋体" w:hAnsi="宋体" w:eastAsia="宋体" w:cs="Times New Roman"/>
          <w:sz w:val="24"/>
          <w:szCs w:val="24"/>
          <w:highlight w:val="none"/>
        </w:rPr>
        <w:t>，服务期满后，按合同约定扣除相关款项（如有）后无息退还。</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第八条 费用支付</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8.1本合同项下所有款项均以人民币支付。</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8.2本合同项下的采购资金由甲方以银行转账形式支付给乙方，每次支付前乙方需向甲方提供正规的税务发票。乙方账户信息以合同尾部记载为准。</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8.3付款方式：</w:t>
      </w:r>
    </w:p>
    <w:p>
      <w:pPr>
        <w:wordWrap w:val="0"/>
        <w:adjustRightInd/>
        <w:spacing w:line="360" w:lineRule="auto"/>
        <w:ind w:firstLine="480" w:firstLineChars="200"/>
        <w:contextualSpacing/>
        <w:jc w:val="left"/>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考古调查勘探服务费用：合同签订后，视项目具体情况分别签订</w:t>
      </w:r>
      <w:r>
        <w:rPr>
          <w:rFonts w:hint="eastAsia" w:ascii="宋体" w:hAnsi="宋体" w:eastAsia="宋体" w:cs="Times New Roman"/>
          <w:b w:val="0"/>
          <w:bCs w:val="0"/>
          <w:sz w:val="24"/>
          <w:szCs w:val="24"/>
          <w:highlight w:val="none"/>
          <w:lang w:val="en-US" w:eastAsia="zh-CN"/>
        </w:rPr>
        <w:t>单次</w:t>
      </w:r>
      <w:r>
        <w:rPr>
          <w:rFonts w:hint="eastAsia" w:ascii="宋体" w:hAnsi="宋体" w:eastAsia="宋体" w:cs="Times New Roman"/>
          <w:b w:val="0"/>
          <w:bCs w:val="0"/>
          <w:sz w:val="24"/>
          <w:szCs w:val="24"/>
          <w:highlight w:val="none"/>
        </w:rPr>
        <w:t>合同</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甲方</w:t>
      </w:r>
      <w:r>
        <w:rPr>
          <w:rFonts w:hint="eastAsia" w:ascii="宋体" w:hAnsi="宋体" w:eastAsia="宋体" w:cs="Times New Roman"/>
          <w:b w:val="0"/>
          <w:bCs w:val="0"/>
          <w:sz w:val="24"/>
          <w:szCs w:val="24"/>
          <w:highlight w:val="none"/>
        </w:rPr>
        <w:t>对已完工通过验收、交付完整的资料与报告的项目</w:t>
      </w:r>
      <w:r>
        <w:rPr>
          <w:rFonts w:hint="default" w:ascii="宋体" w:hAnsi="宋体" w:eastAsia="宋体" w:cs="Times New Roman"/>
          <w:b w:val="0"/>
          <w:bCs w:val="0"/>
          <w:sz w:val="24"/>
          <w:szCs w:val="24"/>
          <w:highlight w:val="none"/>
        </w:rPr>
        <w:t>按月</w:t>
      </w:r>
      <w:r>
        <w:rPr>
          <w:rFonts w:hint="eastAsia" w:ascii="宋体" w:hAnsi="宋体" w:eastAsia="宋体" w:cs="Times New Roman"/>
          <w:b w:val="0"/>
          <w:bCs w:val="0"/>
          <w:sz w:val="24"/>
          <w:szCs w:val="24"/>
          <w:highlight w:val="none"/>
        </w:rPr>
        <w:t>进行结算，在收到</w:t>
      </w:r>
      <w:r>
        <w:rPr>
          <w:rFonts w:hint="eastAsia" w:ascii="宋体" w:hAnsi="宋体" w:eastAsia="宋体" w:cs="Times New Roman"/>
          <w:b w:val="0"/>
          <w:bCs w:val="0"/>
          <w:sz w:val="24"/>
          <w:szCs w:val="24"/>
          <w:highlight w:val="none"/>
          <w:lang w:val="en-US" w:eastAsia="zh-CN"/>
        </w:rPr>
        <w:t>乙方</w:t>
      </w:r>
      <w:r>
        <w:rPr>
          <w:rFonts w:hint="eastAsia" w:ascii="宋体" w:hAnsi="宋体" w:eastAsia="宋体" w:cs="Times New Roman"/>
          <w:b w:val="0"/>
          <w:bCs w:val="0"/>
          <w:sz w:val="24"/>
          <w:szCs w:val="24"/>
          <w:highlight w:val="none"/>
        </w:rPr>
        <w:t>发票后7个工作日内（最后一天为节假日的顺延）支付。</w:t>
      </w:r>
    </w:p>
    <w:p>
      <w:pPr>
        <w:wordWrap w:val="0"/>
        <w:adjustRightInd/>
        <w:spacing w:line="360" w:lineRule="auto"/>
        <w:ind w:firstLine="480" w:firstLineChars="200"/>
        <w:contextualSpacing/>
        <w:jc w:val="left"/>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考古发掘服务费用：合同签订后，视项目具体情况分别签订</w:t>
      </w:r>
      <w:r>
        <w:rPr>
          <w:rFonts w:hint="eastAsia" w:ascii="宋体" w:hAnsi="宋体" w:eastAsia="宋体" w:cs="Times New Roman"/>
          <w:b w:val="0"/>
          <w:bCs w:val="0"/>
          <w:sz w:val="24"/>
          <w:szCs w:val="24"/>
          <w:highlight w:val="none"/>
          <w:lang w:val="en-US" w:eastAsia="zh-CN"/>
        </w:rPr>
        <w:t>单次</w:t>
      </w:r>
      <w:r>
        <w:rPr>
          <w:rFonts w:hint="eastAsia" w:ascii="宋体" w:hAnsi="宋体" w:eastAsia="宋体" w:cs="Times New Roman"/>
          <w:b w:val="0"/>
          <w:bCs w:val="0"/>
          <w:sz w:val="24"/>
          <w:szCs w:val="24"/>
          <w:highlight w:val="none"/>
        </w:rPr>
        <w:t>合同</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（1）单次合同在具备考古发掘条件且收到</w:t>
      </w:r>
      <w:r>
        <w:rPr>
          <w:rFonts w:hint="eastAsia" w:ascii="宋体" w:hAnsi="宋体" w:eastAsia="宋体" w:cs="Times New Roman"/>
          <w:b w:val="0"/>
          <w:bCs w:val="0"/>
          <w:sz w:val="24"/>
          <w:szCs w:val="24"/>
          <w:highlight w:val="none"/>
          <w:lang w:val="en-US" w:eastAsia="zh-CN"/>
        </w:rPr>
        <w:t>乙方</w:t>
      </w:r>
      <w:r>
        <w:rPr>
          <w:rFonts w:hint="eastAsia" w:ascii="宋体" w:hAnsi="宋体" w:eastAsia="宋体" w:cs="Times New Roman"/>
          <w:b w:val="0"/>
          <w:bCs w:val="0"/>
          <w:sz w:val="24"/>
          <w:szCs w:val="24"/>
          <w:highlight w:val="none"/>
        </w:rPr>
        <w:t>发票后7个工作日内（最后一天为节假日的顺延），</w:t>
      </w:r>
      <w:r>
        <w:rPr>
          <w:rFonts w:hint="eastAsia" w:ascii="宋体" w:hAnsi="宋体" w:eastAsia="宋体" w:cs="Times New Roman"/>
          <w:b w:val="0"/>
          <w:bCs w:val="0"/>
          <w:sz w:val="24"/>
          <w:szCs w:val="24"/>
          <w:highlight w:val="none"/>
          <w:lang w:val="en-US" w:eastAsia="zh-CN"/>
        </w:rPr>
        <w:t>甲方</w:t>
      </w:r>
      <w:r>
        <w:rPr>
          <w:rFonts w:hint="eastAsia" w:ascii="宋体" w:hAnsi="宋体" w:eastAsia="宋体" w:cs="Times New Roman"/>
          <w:b w:val="0"/>
          <w:bCs w:val="0"/>
          <w:sz w:val="24"/>
          <w:szCs w:val="24"/>
          <w:highlight w:val="none"/>
        </w:rPr>
        <w:t>支付合同金额的70%作为预付款；（2）考古工作完成且通过验收、交付完整的资料与报告后，自收到</w:t>
      </w:r>
      <w:r>
        <w:rPr>
          <w:rFonts w:hint="eastAsia" w:ascii="宋体" w:hAnsi="宋体" w:eastAsia="宋体" w:cs="Times New Roman"/>
          <w:b w:val="0"/>
          <w:bCs w:val="0"/>
          <w:sz w:val="24"/>
          <w:szCs w:val="24"/>
          <w:highlight w:val="none"/>
          <w:lang w:val="en-US" w:eastAsia="zh-CN"/>
        </w:rPr>
        <w:t>乙方</w:t>
      </w:r>
      <w:r>
        <w:rPr>
          <w:rFonts w:hint="eastAsia" w:ascii="宋体" w:hAnsi="宋体" w:eastAsia="宋体" w:cs="Times New Roman"/>
          <w:b w:val="0"/>
          <w:bCs w:val="0"/>
          <w:sz w:val="24"/>
          <w:szCs w:val="24"/>
          <w:highlight w:val="none"/>
        </w:rPr>
        <w:t>发票后7个工作日内（最后一天为节假日的顺延），</w:t>
      </w:r>
      <w:r>
        <w:rPr>
          <w:rFonts w:hint="eastAsia" w:ascii="宋体" w:hAnsi="宋体" w:eastAsia="宋体" w:cs="Times New Roman"/>
          <w:b w:val="0"/>
          <w:bCs w:val="0"/>
          <w:sz w:val="24"/>
          <w:szCs w:val="24"/>
          <w:highlight w:val="none"/>
          <w:lang w:val="en-US" w:eastAsia="zh-CN"/>
        </w:rPr>
        <w:t>甲方</w:t>
      </w:r>
      <w:r>
        <w:rPr>
          <w:rFonts w:hint="eastAsia" w:ascii="宋体" w:hAnsi="宋体" w:eastAsia="宋体" w:cs="Times New Roman"/>
          <w:b w:val="0"/>
          <w:bCs w:val="0"/>
          <w:sz w:val="24"/>
          <w:szCs w:val="24"/>
          <w:highlight w:val="none"/>
        </w:rPr>
        <w:t>支付合同金额的30%的尾款。</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8.4结算金额：</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（1）考古调查勘探服务费用：项目实际规模（㎡）*对应孔距综合单价（元/㎡）。</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（2）考古发掘服务费用：项目实际规模（㎡）*综合单价（元/㎡）。</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第九条 违约责任</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9.1甲方无正当理由拒收服务、拒付服务款的，甲方向乙方偿付单项合同金额的5%违约金。</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9.2因甲方原因导致未按合同规定的期限向乙方支付服务款的，每逾期1天甲方向乙方偿付欠款总额的0.5‰滞纳金，但累计滞纳金总额不超过欠款总额的5‰。</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9.3如乙方不能交付服务的，甲方有权要求乙方向甲方支付单项合同金额的5%违约金。</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9.4乙方逾期交付的，每逾期1天，乙方向甲方偿付单项合同金额的5‰的滞纳金。如乙方逾期交付达10天，甲方有权解除合同，解除合同的通知自到达乙方时生效。</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9.5乙方所交付的服务不符合合同规定的，甲方有权拒收。甲方拒收的，乙方应向甲方支付单项合同金额的5%的违约金。甲方未拒收的，代理机构发现后将向有关部门反映，并责成乙方按照采购结果提供服务。</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9.6乙方所交付的服务出现重大遗漏，由此造成重大影响的，乙方应退回全部单项合同金额，并按本条9.3款处理，同时，乙方还须承担全部经济及法律责任（包括但不限于赔偿、处罚等），并赔偿甲方因此遭受的所有损失。</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9.7乙方未按本合同的规定和“服务承诺”提供伴随服务/售后服务的，应按单项合同金额的5%向甲方承担违约责任。</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9.8乙方在承担上述9.4-9.7款一项或多项违约责任后，仍应继续履行合同规定的义务（甲方解除合同的除外）。甲方未能及时追究乙方的任何一项违约责任并不表明甲方放弃追究乙方该项或其他违约责任。</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9.9乙方响应属虚假承诺，或经权威部门监测提供的服务不能满足招标文件要求，或是由于乙方的过错造成合同无法继续履行的，还应向甲方支付不少于单项合同金额的30%赔偿金。</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9.10本合同在履行期间，若甲方要求终止合同，必须以书面形式通知乙方。乙方接到通知后，未开始实际工作的，应退还甲方已付的工作费用。已开始工作的，甲方应根据乙方项目已经完成的工作量向乙方支付费用。乙方单方终止或不能按时完成所委托的工作，甲方有权向乙方索回已先行支付的经费，并保留索赔的权利。</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第十条 合同的变更和终止</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10.1除《政府采购法》第50条第二款规定的情形外，本合同一经签订，甲乙双方不得擅自变更、中止或终止合同。</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10.2除发生法律规定的不能预见、不能避免并不能克服的客观情况外，甲乙双方不得放弃或拒绝履行合同。</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第十一条 合同的转让</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乙方不得擅自部分或全部转让其应履行的合同义务。</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第十二条 争议的解决</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12.1因服务的质量问题发生争议的，应当邀请国家认可的质量检测机构对服务质量进行鉴定。服务符合标准的，鉴定费由甲方承担；服务不符合质量标准的，鉴定费由乙方承担。</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12.2因履行本合同引起的或与本合同有关的争议，甲、乙双方应首先通过友好协商解决，如果协商不能解决争议，则采取以下第</w:t>
      </w:r>
      <w:r>
        <w:rPr>
          <w:rFonts w:hint="eastAsia" w:ascii="宋体" w:hAnsi="宋体" w:eastAsia="宋体" w:cs="Times New Roman"/>
          <w:sz w:val="24"/>
          <w:szCs w:val="24"/>
          <w:highlight w:val="none"/>
          <w:u w:val="single"/>
        </w:rPr>
        <w:t>（1）</w:t>
      </w:r>
      <w:r>
        <w:rPr>
          <w:rFonts w:hint="eastAsia" w:ascii="宋体" w:hAnsi="宋体" w:eastAsia="宋体" w:cs="Times New Roman"/>
          <w:sz w:val="24"/>
          <w:szCs w:val="24"/>
          <w:highlight w:val="none"/>
        </w:rPr>
        <w:t>种方式解决争议：</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（1）向甲方所在地有管辖权的人民法院提起诉讼；</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（2）向浙江省仲裁委员会按其仲裁规则申请仲裁。</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12.3在仲裁期间，本合同应继续履行。</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 xml:space="preserve">第十三条 诚实信用 </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乙方应诚实信用，严格按照招标文件要求和投标承诺履行合同，不向甲方进行商业贿赂或者提供不正当利益。</w:t>
      </w:r>
    </w:p>
    <w:p>
      <w:pPr>
        <w:wordWrap w:val="0"/>
        <w:adjustRightInd/>
        <w:spacing w:line="360" w:lineRule="auto"/>
        <w:ind w:firstLine="482" w:firstLineChars="200"/>
        <w:contextualSpacing/>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第十四条 合同生效及其他</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14.1单次项目对应单个合同。</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14.2本合同自签订之日起生效。</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14.3本合同一式</w:t>
      </w:r>
      <w:r>
        <w:rPr>
          <w:rFonts w:hint="eastAsia" w:ascii="宋体" w:hAnsi="宋体" w:eastAsia="宋体" w:cs="Times New Roman"/>
          <w:sz w:val="24"/>
          <w:szCs w:val="24"/>
          <w:highlight w:val="none"/>
          <w:lang w:val="en-US" w:eastAsia="zh-CN"/>
        </w:rPr>
        <w:t>柒份</w:t>
      </w:r>
      <w:r>
        <w:rPr>
          <w:rFonts w:hint="eastAsia" w:ascii="宋体" w:hAnsi="宋体" w:eastAsia="宋体" w:cs="Times New Roman"/>
          <w:sz w:val="24"/>
          <w:szCs w:val="24"/>
          <w:highlight w:val="none"/>
        </w:rPr>
        <w:t>，甲乙双方各执叁份</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鉴证方壹份</w:t>
      </w:r>
      <w:r>
        <w:rPr>
          <w:rFonts w:hint="eastAsia" w:ascii="宋体" w:hAnsi="宋体" w:eastAsia="宋体" w:cs="Times New Roman"/>
          <w:sz w:val="24"/>
          <w:szCs w:val="24"/>
          <w:highlight w:val="none"/>
        </w:rPr>
        <w:t>。</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14.4本合同应按照中华人民共和国的现行法律进行解释。</w:t>
      </w:r>
    </w:p>
    <w:p>
      <w:pPr>
        <w:wordWrap w:val="0"/>
        <w:adjustRightInd/>
        <w:spacing w:line="360" w:lineRule="auto"/>
        <w:ind w:firstLine="480" w:firstLineChars="200"/>
        <w:contextualSpacing/>
        <w:jc w:val="left"/>
        <w:rPr>
          <w:rFonts w:ascii="宋体" w:hAnsi="宋体" w:eastAsia="宋体" w:cs="Times New Roman"/>
          <w:sz w:val="24"/>
          <w:szCs w:val="24"/>
          <w:highlight w:val="none"/>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甲方（需方）：（公章</w:t>
            </w:r>
            <w:r>
              <w:rPr>
                <w:rFonts w:ascii="宋体" w:hAnsi="宋体" w:eastAsia="宋体" w:cs="Times New Roman"/>
                <w:kern w:val="0"/>
                <w:sz w:val="24"/>
                <w:szCs w:val="24"/>
                <w:highlight w:val="none"/>
              </w:rPr>
              <w:t>/合同专用章）</w:t>
            </w:r>
          </w:p>
        </w:tc>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乙方（供方）：（公章</w:t>
            </w:r>
            <w:r>
              <w:rPr>
                <w:rFonts w:ascii="宋体" w:hAnsi="宋体" w:eastAsia="宋体" w:cs="Times New Roman"/>
                <w:kern w:val="0"/>
                <w:sz w:val="24"/>
                <w:szCs w:val="24"/>
                <w:highlight w:val="none"/>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甲方代表：</w:t>
            </w:r>
          </w:p>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（签名）</w:t>
            </w:r>
          </w:p>
        </w:tc>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乙方代表：</w:t>
            </w:r>
          </w:p>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地址：</w:t>
            </w:r>
          </w:p>
        </w:tc>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电话：</w:t>
            </w:r>
          </w:p>
        </w:tc>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开户银行：</w:t>
            </w:r>
          </w:p>
        </w:tc>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账号：</w:t>
            </w:r>
          </w:p>
        </w:tc>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签名日期：      年    月    日</w:t>
            </w:r>
          </w:p>
        </w:tc>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合同鉴证方：浙江求是招标代理有限公司（公章</w:t>
            </w:r>
            <w:r>
              <w:rPr>
                <w:rFonts w:ascii="宋体" w:hAnsi="宋体" w:eastAsia="宋体" w:cs="Times New Roman"/>
                <w:kern w:val="0"/>
                <w:sz w:val="24"/>
                <w:szCs w:val="24"/>
                <w:highlight w:val="none"/>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采购代理机构代表：</w:t>
            </w:r>
          </w:p>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snapToGrid w:val="0"/>
              <w:spacing w:line="360" w:lineRule="auto"/>
              <w:contextualSpacing/>
              <w:jc w:val="left"/>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rPr>
              <w:t>电话：</w:t>
            </w:r>
            <w:r>
              <w:rPr>
                <w:rFonts w:hint="eastAsia" w:ascii="宋体" w:hAnsi="宋体" w:eastAsia="宋体" w:cs="Times New Roman"/>
                <w:kern w:val="0"/>
                <w:sz w:val="24"/>
                <w:szCs w:val="24"/>
                <w:highlight w:val="none"/>
                <w:lang w:eastAsia="zh-CN"/>
              </w:rPr>
              <w:t>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snapToGrid w:val="0"/>
              <w:spacing w:line="360" w:lineRule="auto"/>
              <w:contextualSpacing/>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鉴证日期：      年    月    日</w:t>
            </w:r>
          </w:p>
        </w:tc>
      </w:tr>
      <w:bookmarkEnd w:id="50"/>
    </w:tbl>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2024年7月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lang w:eastAsia="zh-CN"/>
        </w:rPr>
        <w:t>现状分</w:t>
      </w:r>
      <w:r>
        <w:rPr>
          <w:rFonts w:hint="eastAsia" w:ascii="宋体" w:hAnsi="宋体" w:eastAsia="宋体" w:cs="宋体"/>
          <w:spacing w:val="-6"/>
          <w:szCs w:val="21"/>
          <w:lang w:eastAsia="zh-CN"/>
        </w:rPr>
        <w:t>析</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6</w:t>
      </w:r>
      <w:r>
        <w:rPr>
          <w:rFonts w:hint="eastAsia" w:ascii="宋体" w:hAnsi="宋体" w:eastAsia="宋体" w:cs="宋体"/>
          <w:spacing w:val="-6"/>
          <w:szCs w:val="21"/>
          <w:lang w:eastAsia="zh-CN"/>
        </w:rPr>
        <w:t>）工作思路</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7</w:t>
      </w:r>
      <w:r>
        <w:rPr>
          <w:rFonts w:hint="eastAsia" w:ascii="宋体" w:hAnsi="宋体" w:eastAsia="宋体" w:cs="宋体"/>
          <w:spacing w:val="-6"/>
          <w:szCs w:val="21"/>
          <w:lang w:eastAsia="zh-CN"/>
        </w:rPr>
        <w:t>）重点、难点分析</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8</w:t>
      </w:r>
      <w:r>
        <w:rPr>
          <w:rFonts w:hint="eastAsia" w:ascii="宋体" w:hAnsi="宋体" w:eastAsia="宋体" w:cs="宋体"/>
          <w:spacing w:val="-6"/>
          <w:szCs w:val="21"/>
          <w:lang w:eastAsia="zh-CN"/>
        </w:rPr>
        <w:t>）重点、难点解决措施</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9</w:t>
      </w:r>
      <w:r>
        <w:rPr>
          <w:rFonts w:hint="eastAsia" w:ascii="宋体" w:hAnsi="宋体" w:eastAsia="宋体" w:cs="宋体"/>
          <w:spacing w:val="-6"/>
          <w:szCs w:val="21"/>
          <w:lang w:eastAsia="zh-CN"/>
        </w:rPr>
        <w:t>）工作流程</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10</w:t>
      </w:r>
      <w:r>
        <w:rPr>
          <w:rFonts w:hint="eastAsia" w:ascii="宋体" w:hAnsi="宋体" w:eastAsia="宋体" w:cs="宋体"/>
          <w:spacing w:val="-6"/>
          <w:szCs w:val="21"/>
          <w:lang w:eastAsia="zh-CN"/>
        </w:rPr>
        <w:t>）技术方案</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11</w:t>
      </w:r>
      <w:r>
        <w:rPr>
          <w:rFonts w:hint="eastAsia" w:ascii="宋体" w:hAnsi="宋体" w:eastAsia="宋体" w:cs="宋体"/>
          <w:spacing w:val="-6"/>
          <w:szCs w:val="21"/>
          <w:lang w:eastAsia="zh-CN"/>
        </w:rPr>
        <w:t>）质量保证措施</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12</w:t>
      </w:r>
      <w:r>
        <w:rPr>
          <w:rFonts w:hint="eastAsia" w:ascii="宋体" w:hAnsi="宋体" w:eastAsia="宋体" w:cs="宋体"/>
          <w:spacing w:val="-6"/>
          <w:szCs w:val="21"/>
          <w:lang w:eastAsia="zh-CN"/>
        </w:rPr>
        <w:t>）进度控制</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13</w:t>
      </w:r>
      <w:r>
        <w:rPr>
          <w:rFonts w:hint="eastAsia" w:ascii="宋体" w:hAnsi="宋体" w:eastAsia="宋体" w:cs="宋体"/>
          <w:spacing w:val="-6"/>
          <w:szCs w:val="21"/>
          <w:lang w:eastAsia="zh-CN"/>
        </w:rPr>
        <w:t>）规章制度</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14</w:t>
      </w:r>
      <w:r>
        <w:rPr>
          <w:rFonts w:hint="eastAsia" w:ascii="宋体" w:hAnsi="宋体" w:eastAsia="宋体" w:cs="宋体"/>
          <w:spacing w:val="-6"/>
          <w:szCs w:val="21"/>
          <w:lang w:eastAsia="zh-CN"/>
        </w:rPr>
        <w:t>）服务团队配置</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15</w:t>
      </w:r>
      <w:r>
        <w:rPr>
          <w:rFonts w:hint="eastAsia" w:ascii="宋体" w:hAnsi="宋体" w:eastAsia="宋体" w:cs="宋体"/>
          <w:spacing w:val="-6"/>
          <w:szCs w:val="21"/>
          <w:lang w:eastAsia="zh-CN"/>
        </w:rPr>
        <w:t>）拟投入设备</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16</w:t>
      </w:r>
      <w:r>
        <w:rPr>
          <w:rFonts w:hint="eastAsia" w:ascii="宋体" w:hAnsi="宋体" w:eastAsia="宋体" w:cs="宋体"/>
          <w:spacing w:val="-6"/>
          <w:szCs w:val="21"/>
          <w:lang w:eastAsia="zh-CN"/>
        </w:rPr>
        <w:t>）安全保障措施</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17</w:t>
      </w:r>
      <w:r>
        <w:rPr>
          <w:rFonts w:hint="eastAsia" w:ascii="宋体" w:hAnsi="宋体" w:eastAsia="宋体" w:cs="宋体"/>
          <w:spacing w:val="-6"/>
          <w:szCs w:val="21"/>
          <w:lang w:eastAsia="zh-CN"/>
        </w:rPr>
        <w:t>）应急预案</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18</w:t>
      </w:r>
      <w:r>
        <w:rPr>
          <w:rFonts w:hint="eastAsia" w:ascii="宋体" w:hAnsi="宋体" w:eastAsia="宋体" w:cs="宋体"/>
          <w:spacing w:val="-6"/>
          <w:szCs w:val="21"/>
          <w:lang w:eastAsia="zh-CN"/>
        </w:rPr>
        <w:t>）成果资料移交方案</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val="en-US" w:eastAsia="zh-CN"/>
        </w:rPr>
        <w:t>（19）</w:t>
      </w:r>
      <w:r>
        <w:rPr>
          <w:rFonts w:hint="eastAsia" w:ascii="宋体" w:hAnsi="宋体" w:eastAsia="宋体" w:cs="宋体"/>
          <w:spacing w:val="-6"/>
          <w:szCs w:val="21"/>
          <w:lang w:eastAsia="zh-CN"/>
        </w:rPr>
        <w:t>验收方案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20</w:t>
      </w:r>
      <w:r>
        <w:rPr>
          <w:rFonts w:hint="eastAsia" w:ascii="宋体" w:hAnsi="宋体" w:eastAsia="宋体" w:cs="宋体"/>
          <w:spacing w:val="-6"/>
          <w:szCs w:val="21"/>
          <w:lang w:eastAsia="zh-CN"/>
        </w:rPr>
        <w:t>）后续服务</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21</w:t>
      </w:r>
      <w:r>
        <w:rPr>
          <w:rFonts w:ascii="宋体" w:hAnsi="宋体" w:eastAsia="宋体" w:cs="宋体"/>
          <w:spacing w:val="-6"/>
          <w:szCs w:val="21"/>
        </w:rPr>
        <w:t>）投标人需</w:t>
      </w:r>
      <w:r>
        <w:rPr>
          <w:rFonts w:ascii="宋体" w:hAnsi="宋体" w:eastAsia="宋体" w:cs="宋体"/>
          <w:spacing w:val="-6"/>
          <w:szCs w:val="21"/>
          <w:highlight w:val="none"/>
        </w:rPr>
        <w:t>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（1）开</w:t>
      </w:r>
      <w:r>
        <w:rPr>
          <w:rFonts w:hint="eastAsia" w:ascii="宋体" w:hAnsi="宋体" w:eastAsia="宋体" w:cs="Times New Roman"/>
          <w:spacing w:val="-6"/>
          <w:szCs w:val="21"/>
          <w:highlight w:val="none"/>
        </w:rPr>
        <w:t>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4" w:name="_Hlk81815656"/>
      <w:r>
        <w:rPr>
          <w:rFonts w:hint="eastAsia" w:ascii="宋体" w:hAnsi="宋体" w:eastAsia="宋体" w:cs="Times New Roman"/>
          <w:spacing w:val="-6"/>
          <w:szCs w:val="21"/>
          <w:highlight w:val="none"/>
        </w:rPr>
        <w:t>（若属于中小企业）</w:t>
      </w:r>
      <w:bookmarkEnd w:id="54"/>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5" w:name="_Hlk81815359"/>
      <w:r>
        <w:rPr>
          <w:rFonts w:hint="eastAsia" w:ascii="宋体" w:hAnsi="宋体" w:eastAsia="宋体" w:cs="Times New Roman"/>
          <w:spacing w:val="-6"/>
          <w:szCs w:val="21"/>
          <w:highlight w:val="none"/>
        </w:rPr>
        <w:t>（若属于监狱企业）</w:t>
      </w:r>
      <w:bookmarkEnd w:id="55"/>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6" w:name="OLE_LINK14"/>
      <w:bookmarkStart w:id="57" w:name="OLE_LINK13"/>
      <w:r>
        <w:rPr>
          <w:rFonts w:hint="eastAsia" w:ascii="宋体" w:hAnsi="宋体" w:eastAsia="宋体" w:cs="Times New Roman"/>
          <w:spacing w:val="-6"/>
          <w:szCs w:val="21"/>
          <w:highlight w:val="none"/>
        </w:rPr>
        <w:t>残疾人福利性单位声明函</w:t>
      </w:r>
      <w:bookmarkEnd w:id="56"/>
      <w:bookmarkEnd w:id="57"/>
      <w:bookmarkStart w:id="58" w:name="_Hlk81815372"/>
      <w:r>
        <w:rPr>
          <w:rFonts w:hint="eastAsia" w:ascii="宋体" w:hAnsi="宋体" w:eastAsia="宋体" w:cs="Times New Roman"/>
          <w:spacing w:val="-6"/>
          <w:szCs w:val="21"/>
          <w:highlight w:val="none"/>
        </w:rPr>
        <w:t>（若属于残疾人福利性单位）</w:t>
      </w:r>
      <w:bookmarkEnd w:id="58"/>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浙江省文物考古研究所(浙江省世界文化遗产监测中心)</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浙江省文物考古研究所(浙江省世界文化遗产监测中心)</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浙江省文物考古研究所(浙江省世界文化遗产监测中心)2025年度考古项目协作单位技术服务采购（第一批）</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QSZB-Z(F)-E24406(GK)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浙江省文物考古研究所(浙江省世界文化遗产监测中心)</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浙江省文物考古研究所(浙江省世界文化遗产监测中心)2025年度考古项目协作单位技术服务采购（第一批）</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QSZB-Z(F)-E24406(GK)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2024年7月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2024年7月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浙江省文物考古研究所(浙江省世界文化遗产监测中心)</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2025年度考古项目协作单位技术服务采购（第一批）</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QSZB-Z(F)-E24406(GK)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br w:type="page"/>
      </w:r>
    </w:p>
    <w:p>
      <w:pPr>
        <w:adjustRightInd w:val="0"/>
        <w:snapToGrid w:val="0"/>
        <w:spacing w:line="288" w:lineRule="auto"/>
        <w:ind w:firstLine="398" w:firstLineChars="200"/>
        <w:jc w:val="center"/>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lang w:val="en-US" w:eastAsia="zh-CN"/>
        </w:rPr>
        <w:t>以下内容根据评分标准格式自拟</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rPr>
        <w:t>（5）</w:t>
      </w:r>
      <w:r>
        <w:rPr>
          <w:rFonts w:hint="eastAsia" w:ascii="宋体" w:hAnsi="宋体" w:eastAsia="宋体" w:cs="宋体"/>
          <w:b/>
          <w:spacing w:val="-6"/>
          <w:szCs w:val="21"/>
          <w:lang w:eastAsia="zh-CN"/>
        </w:rPr>
        <w:t>现状分析</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lang w:eastAsia="zh-CN"/>
        </w:rPr>
        <w:t>）工作思路</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lang w:eastAsia="zh-CN"/>
        </w:rPr>
        <w:t>）重点、难点分析</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lang w:eastAsia="zh-CN"/>
        </w:rPr>
        <w:t>）重点、难点解决措施</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9</w:t>
      </w:r>
      <w:r>
        <w:rPr>
          <w:rFonts w:hint="eastAsia" w:ascii="宋体" w:hAnsi="宋体" w:eastAsia="宋体" w:cs="宋体"/>
          <w:b/>
          <w:spacing w:val="-6"/>
          <w:szCs w:val="21"/>
          <w:lang w:eastAsia="zh-CN"/>
        </w:rPr>
        <w:t>）工作流程</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10</w:t>
      </w:r>
      <w:r>
        <w:rPr>
          <w:rFonts w:hint="eastAsia" w:ascii="宋体" w:hAnsi="宋体" w:eastAsia="宋体" w:cs="宋体"/>
          <w:b/>
          <w:spacing w:val="-6"/>
          <w:szCs w:val="21"/>
          <w:lang w:eastAsia="zh-CN"/>
        </w:rPr>
        <w:t>）技术方案</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11</w:t>
      </w:r>
      <w:r>
        <w:rPr>
          <w:rFonts w:hint="eastAsia" w:ascii="宋体" w:hAnsi="宋体" w:eastAsia="宋体" w:cs="宋体"/>
          <w:b/>
          <w:spacing w:val="-6"/>
          <w:szCs w:val="21"/>
          <w:lang w:eastAsia="zh-CN"/>
        </w:rPr>
        <w:t>）质量保证措施</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12</w:t>
      </w:r>
      <w:r>
        <w:rPr>
          <w:rFonts w:hint="eastAsia" w:ascii="宋体" w:hAnsi="宋体" w:eastAsia="宋体" w:cs="宋体"/>
          <w:b/>
          <w:spacing w:val="-6"/>
          <w:szCs w:val="21"/>
          <w:lang w:eastAsia="zh-CN"/>
        </w:rPr>
        <w:t>）进度控制</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13</w:t>
      </w:r>
      <w:r>
        <w:rPr>
          <w:rFonts w:hint="eastAsia" w:ascii="宋体" w:hAnsi="宋体" w:eastAsia="宋体" w:cs="宋体"/>
          <w:b/>
          <w:spacing w:val="-6"/>
          <w:szCs w:val="21"/>
          <w:lang w:eastAsia="zh-CN"/>
        </w:rPr>
        <w:t>）规章制度</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14</w:t>
      </w:r>
      <w:r>
        <w:rPr>
          <w:rFonts w:hint="eastAsia" w:ascii="宋体" w:hAnsi="宋体" w:eastAsia="宋体" w:cs="宋体"/>
          <w:b/>
          <w:spacing w:val="-6"/>
          <w:szCs w:val="21"/>
          <w:lang w:eastAsia="zh-CN"/>
        </w:rPr>
        <w:t>）服务团队配置</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15</w:t>
      </w:r>
      <w:r>
        <w:rPr>
          <w:rFonts w:hint="eastAsia" w:ascii="宋体" w:hAnsi="宋体" w:eastAsia="宋体" w:cs="宋体"/>
          <w:b/>
          <w:spacing w:val="-6"/>
          <w:szCs w:val="21"/>
          <w:lang w:eastAsia="zh-CN"/>
        </w:rPr>
        <w:t>）拟投入设备</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16</w:t>
      </w:r>
      <w:r>
        <w:rPr>
          <w:rFonts w:hint="eastAsia" w:ascii="宋体" w:hAnsi="宋体" w:eastAsia="宋体" w:cs="宋体"/>
          <w:b/>
          <w:spacing w:val="-6"/>
          <w:szCs w:val="21"/>
          <w:lang w:eastAsia="zh-CN"/>
        </w:rPr>
        <w:t>）安全保障措施</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17</w:t>
      </w:r>
      <w:r>
        <w:rPr>
          <w:rFonts w:hint="eastAsia" w:ascii="宋体" w:hAnsi="宋体" w:eastAsia="宋体" w:cs="宋体"/>
          <w:b/>
          <w:spacing w:val="-6"/>
          <w:szCs w:val="21"/>
          <w:lang w:eastAsia="zh-CN"/>
        </w:rPr>
        <w:t>）应急预案</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18</w:t>
      </w:r>
      <w:r>
        <w:rPr>
          <w:rFonts w:hint="eastAsia" w:ascii="宋体" w:hAnsi="宋体" w:eastAsia="宋体" w:cs="宋体"/>
          <w:b/>
          <w:spacing w:val="-6"/>
          <w:szCs w:val="21"/>
          <w:lang w:eastAsia="zh-CN"/>
        </w:rPr>
        <w:t>）成果资料移交方案</w:t>
      </w:r>
    </w:p>
    <w:p>
      <w:pPr>
        <w:adjustRightInd w:val="0"/>
        <w:snapToGrid w:val="0"/>
        <w:spacing w:line="288" w:lineRule="auto"/>
        <w:ind w:firstLine="398" w:firstLineChars="200"/>
        <w:jc w:val="left"/>
        <w:rPr>
          <w:rFonts w:hint="eastAsia" w:ascii="宋体" w:hAnsi="宋体" w:eastAsia="宋体" w:cs="宋体"/>
          <w:b/>
          <w:spacing w:val="-6"/>
          <w:szCs w:val="21"/>
          <w:lang w:eastAsia="zh-CN"/>
        </w:rPr>
      </w:pPr>
      <w:r>
        <w:rPr>
          <w:rFonts w:hint="eastAsia" w:ascii="宋体" w:hAnsi="宋体" w:eastAsia="宋体" w:cs="宋体"/>
          <w:b/>
          <w:spacing w:val="-6"/>
          <w:szCs w:val="21"/>
          <w:lang w:val="en-US" w:eastAsia="zh-CN"/>
        </w:rPr>
        <w:t>（19）</w:t>
      </w:r>
      <w:r>
        <w:rPr>
          <w:rFonts w:hint="eastAsia" w:ascii="宋体" w:hAnsi="宋体" w:eastAsia="宋体" w:cs="宋体"/>
          <w:b/>
          <w:spacing w:val="-6"/>
          <w:szCs w:val="21"/>
          <w:lang w:eastAsia="zh-CN"/>
        </w:rPr>
        <w:t>验收方案</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20</w:t>
      </w:r>
      <w:r>
        <w:rPr>
          <w:rFonts w:hint="eastAsia" w:ascii="宋体" w:hAnsi="宋体" w:eastAsia="宋体" w:cs="宋体"/>
          <w:b/>
          <w:spacing w:val="-6"/>
          <w:szCs w:val="21"/>
          <w:lang w:eastAsia="zh-CN"/>
        </w:rPr>
        <w:t>）后续服务</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21</w:t>
      </w:r>
      <w:r>
        <w:rPr>
          <w:rFonts w:hint="eastAsia" w:ascii="宋体" w:hAnsi="宋体" w:eastAsia="宋体" w:cs="宋体"/>
          <w:b/>
          <w:spacing w:val="-6"/>
          <w:szCs w:val="21"/>
        </w:rPr>
        <w:t>）投标人需要说明的其他文件和材料</w:t>
      </w:r>
    </w:p>
    <w:p>
      <w:pPr>
        <w:adjustRightInd w:val="0"/>
        <w:snapToGrid w:val="0"/>
        <w:spacing w:line="288" w:lineRule="auto"/>
        <w:ind w:firstLine="396" w:firstLineChars="200"/>
        <w:jc w:val="left"/>
        <w:rPr>
          <w:rFonts w:ascii="宋体" w:hAnsi="宋体" w:eastAsia="宋体" w:cs="Times New Roman"/>
          <w:spacing w:val="-6"/>
          <w:szCs w:val="21"/>
        </w:rPr>
      </w:pPr>
    </w:p>
    <w:p>
      <w:pPr>
        <w:adjustRightInd w:val="0"/>
        <w:snapToGrid w:val="0"/>
        <w:spacing w:line="288" w:lineRule="auto"/>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浙江省文物考古研究所(浙江省世界文化遗产监测中心)</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2025年度考古项目协作单位技术服务采购（第一批）</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QSZB-Z(F)-E24406(GK)</w:t>
      </w:r>
    </w:p>
    <w:p>
      <w:pPr>
        <w:adjustRightInd w:val="0"/>
        <w:snapToGrid w:val="0"/>
        <w:spacing w:line="288" w:lineRule="auto"/>
        <w:rPr>
          <w:rFonts w:hint="eastAsia" w:ascii="宋体" w:hAnsi="宋体" w:eastAsia="宋体" w:cs="Times New Roman"/>
          <w:bCs/>
          <w:spacing w:val="-6"/>
          <w:szCs w:val="21"/>
        </w:rPr>
      </w:pPr>
    </w:p>
    <w:tbl>
      <w:tblPr>
        <w:tblStyle w:val="2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367"/>
        <w:gridCol w:w="1247"/>
        <w:gridCol w:w="1222"/>
        <w:gridCol w:w="1170"/>
        <w:gridCol w:w="216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385" w:type="pct"/>
            <w:vAlign w:val="center"/>
          </w:tcPr>
          <w:p>
            <w:pPr>
              <w:adjustRightInd w:val="0"/>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230" w:type="pct"/>
            <w:vAlign w:val="center"/>
          </w:tcPr>
          <w:p>
            <w:pPr>
              <w:adjustRightInd w:val="0"/>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648" w:type="pct"/>
            <w:vAlign w:val="center"/>
          </w:tcPr>
          <w:p>
            <w:pPr>
              <w:adjustRightInd w:val="0"/>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服务要求</w:t>
            </w:r>
          </w:p>
        </w:tc>
        <w:tc>
          <w:tcPr>
            <w:tcW w:w="635" w:type="pct"/>
            <w:vAlign w:val="center"/>
          </w:tcPr>
          <w:p>
            <w:pPr>
              <w:adjustRightInd w:val="0"/>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服务时间</w:t>
            </w:r>
          </w:p>
        </w:tc>
        <w:tc>
          <w:tcPr>
            <w:tcW w:w="608" w:type="pct"/>
            <w:vAlign w:val="center"/>
          </w:tcPr>
          <w:p>
            <w:pPr>
              <w:adjustRightInd w:val="0"/>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服务标准</w:t>
            </w:r>
          </w:p>
        </w:tc>
        <w:tc>
          <w:tcPr>
            <w:tcW w:w="1125" w:type="pct"/>
            <w:vAlign w:val="center"/>
          </w:tcPr>
          <w:p>
            <w:pPr>
              <w:adjustRightInd w:val="0"/>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综合单价</w:t>
            </w:r>
          </w:p>
          <w:p>
            <w:pPr>
              <w:adjustRightInd w:val="0"/>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（元/㎡）</w:t>
            </w:r>
          </w:p>
        </w:tc>
        <w:tc>
          <w:tcPr>
            <w:tcW w:w="365" w:type="pct"/>
            <w:vAlign w:val="center"/>
          </w:tcPr>
          <w:p>
            <w:pPr>
              <w:adjustRightInd w:val="0"/>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5" w:type="pct"/>
            <w:vAlign w:val="center"/>
          </w:tcPr>
          <w:p>
            <w:pPr>
              <w:adjustRightIn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1230" w:type="pct"/>
            <w:vAlign w:val="center"/>
          </w:tcPr>
          <w:p>
            <w:pPr>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考古调查勘探1米孔</w:t>
            </w:r>
          </w:p>
        </w:tc>
        <w:tc>
          <w:tcPr>
            <w:tcW w:w="648" w:type="pct"/>
            <w:vMerge w:val="restart"/>
            <w:vAlign w:val="center"/>
          </w:tcPr>
          <w:p>
            <w:pPr>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满足招标文件要求</w:t>
            </w:r>
          </w:p>
        </w:tc>
        <w:tc>
          <w:tcPr>
            <w:tcW w:w="635" w:type="pct"/>
            <w:vMerge w:val="restart"/>
            <w:vAlign w:val="center"/>
          </w:tcPr>
          <w:p>
            <w:pPr>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满足招标文件要求</w:t>
            </w:r>
          </w:p>
        </w:tc>
        <w:tc>
          <w:tcPr>
            <w:tcW w:w="608" w:type="pct"/>
            <w:vMerge w:val="restart"/>
            <w:vAlign w:val="center"/>
          </w:tcPr>
          <w:p>
            <w:pPr>
              <w:adjustRightIn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满足招标文件要求</w:t>
            </w:r>
          </w:p>
        </w:tc>
        <w:tc>
          <w:tcPr>
            <w:tcW w:w="1125" w:type="pct"/>
            <w:vAlign w:val="center"/>
          </w:tcPr>
          <w:p>
            <w:pPr>
              <w:adjustRightInd w:val="0"/>
              <w:spacing w:line="360" w:lineRule="auto"/>
              <w:jc w:val="center"/>
              <w:rPr>
                <w:rFonts w:ascii="宋体" w:hAnsi="宋体" w:eastAsia="宋体" w:cs="宋体"/>
                <w:sz w:val="21"/>
                <w:szCs w:val="21"/>
                <w:highlight w:val="none"/>
              </w:rPr>
            </w:pPr>
          </w:p>
        </w:tc>
        <w:tc>
          <w:tcPr>
            <w:tcW w:w="365" w:type="pct"/>
            <w:vAlign w:val="center"/>
          </w:tcPr>
          <w:p>
            <w:pPr>
              <w:adjustRightInd w:val="0"/>
              <w:spacing w:line="360" w:lineRule="auto"/>
              <w:jc w:val="center"/>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85" w:type="pct"/>
            <w:vAlign w:val="center"/>
          </w:tcPr>
          <w:p>
            <w:pPr>
              <w:adjustRightIn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1230" w:type="pct"/>
            <w:vAlign w:val="center"/>
          </w:tcPr>
          <w:p>
            <w:pPr>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Times New Roman"/>
                <w:sz w:val="21"/>
                <w:szCs w:val="21"/>
                <w:highlight w:val="none"/>
              </w:rPr>
              <w:t>考古调查勘探2米孔</w:t>
            </w:r>
          </w:p>
        </w:tc>
        <w:tc>
          <w:tcPr>
            <w:tcW w:w="648"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35"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08" w:type="pct"/>
            <w:vMerge w:val="continue"/>
            <w:vAlign w:val="center"/>
          </w:tcPr>
          <w:p>
            <w:pPr>
              <w:adjustRightInd w:val="0"/>
              <w:spacing w:line="360" w:lineRule="auto"/>
              <w:jc w:val="center"/>
              <w:rPr>
                <w:rFonts w:ascii="宋体" w:hAnsi="宋体" w:eastAsia="宋体" w:cs="宋体"/>
                <w:sz w:val="21"/>
                <w:szCs w:val="21"/>
                <w:highlight w:val="none"/>
              </w:rPr>
            </w:pPr>
          </w:p>
        </w:tc>
        <w:tc>
          <w:tcPr>
            <w:tcW w:w="1125" w:type="pct"/>
            <w:vAlign w:val="center"/>
          </w:tcPr>
          <w:p>
            <w:pPr>
              <w:adjustRightInd w:val="0"/>
              <w:spacing w:line="360" w:lineRule="auto"/>
              <w:jc w:val="center"/>
              <w:rPr>
                <w:rFonts w:ascii="宋体" w:hAnsi="宋体" w:eastAsia="宋体" w:cs="宋体"/>
                <w:sz w:val="21"/>
                <w:szCs w:val="21"/>
                <w:highlight w:val="none"/>
              </w:rPr>
            </w:pPr>
          </w:p>
        </w:tc>
        <w:tc>
          <w:tcPr>
            <w:tcW w:w="365" w:type="pct"/>
            <w:vAlign w:val="center"/>
          </w:tcPr>
          <w:p>
            <w:pPr>
              <w:adjustRightInd w:val="0"/>
              <w:spacing w:line="360" w:lineRule="auto"/>
              <w:jc w:val="center"/>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85" w:type="pct"/>
            <w:vAlign w:val="center"/>
          </w:tcPr>
          <w:p>
            <w:pPr>
              <w:adjustRightIn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3</w:t>
            </w:r>
          </w:p>
        </w:tc>
        <w:tc>
          <w:tcPr>
            <w:tcW w:w="1230" w:type="pct"/>
            <w:vAlign w:val="center"/>
          </w:tcPr>
          <w:p>
            <w:pPr>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Times New Roman"/>
                <w:sz w:val="21"/>
                <w:szCs w:val="21"/>
                <w:highlight w:val="none"/>
              </w:rPr>
              <w:t>考古调查勘探3米孔</w:t>
            </w:r>
          </w:p>
        </w:tc>
        <w:tc>
          <w:tcPr>
            <w:tcW w:w="648"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35"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08" w:type="pct"/>
            <w:vMerge w:val="continue"/>
            <w:vAlign w:val="center"/>
          </w:tcPr>
          <w:p>
            <w:pPr>
              <w:adjustRightInd w:val="0"/>
              <w:spacing w:line="360" w:lineRule="auto"/>
              <w:jc w:val="center"/>
              <w:rPr>
                <w:rFonts w:ascii="宋体" w:hAnsi="宋体" w:eastAsia="宋体" w:cs="宋体"/>
                <w:sz w:val="21"/>
                <w:szCs w:val="21"/>
                <w:highlight w:val="none"/>
              </w:rPr>
            </w:pPr>
          </w:p>
        </w:tc>
        <w:tc>
          <w:tcPr>
            <w:tcW w:w="1125" w:type="pct"/>
            <w:vAlign w:val="center"/>
          </w:tcPr>
          <w:p>
            <w:pPr>
              <w:adjustRightInd w:val="0"/>
              <w:spacing w:line="360" w:lineRule="auto"/>
              <w:jc w:val="center"/>
              <w:rPr>
                <w:rFonts w:ascii="宋体" w:hAnsi="宋体" w:eastAsia="宋体" w:cs="宋体"/>
                <w:sz w:val="21"/>
                <w:szCs w:val="21"/>
                <w:highlight w:val="none"/>
              </w:rPr>
            </w:pPr>
          </w:p>
        </w:tc>
        <w:tc>
          <w:tcPr>
            <w:tcW w:w="365" w:type="pct"/>
            <w:vAlign w:val="center"/>
          </w:tcPr>
          <w:p>
            <w:pPr>
              <w:adjustRightInd w:val="0"/>
              <w:spacing w:line="360" w:lineRule="auto"/>
              <w:jc w:val="center"/>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85" w:type="pct"/>
            <w:vAlign w:val="center"/>
          </w:tcPr>
          <w:p>
            <w:pPr>
              <w:adjustRightIn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4</w:t>
            </w:r>
          </w:p>
        </w:tc>
        <w:tc>
          <w:tcPr>
            <w:tcW w:w="1230" w:type="pct"/>
            <w:vAlign w:val="center"/>
          </w:tcPr>
          <w:p>
            <w:pPr>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Times New Roman"/>
                <w:sz w:val="21"/>
                <w:szCs w:val="21"/>
                <w:highlight w:val="none"/>
              </w:rPr>
              <w:t>考古调查勘探5米孔</w:t>
            </w:r>
          </w:p>
        </w:tc>
        <w:tc>
          <w:tcPr>
            <w:tcW w:w="648"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35"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08" w:type="pct"/>
            <w:vMerge w:val="continue"/>
            <w:vAlign w:val="center"/>
          </w:tcPr>
          <w:p>
            <w:pPr>
              <w:adjustRightInd w:val="0"/>
              <w:spacing w:line="360" w:lineRule="auto"/>
              <w:jc w:val="center"/>
              <w:rPr>
                <w:rFonts w:ascii="宋体" w:hAnsi="宋体" w:eastAsia="宋体" w:cs="宋体"/>
                <w:sz w:val="21"/>
                <w:szCs w:val="21"/>
                <w:highlight w:val="none"/>
              </w:rPr>
            </w:pPr>
          </w:p>
        </w:tc>
        <w:tc>
          <w:tcPr>
            <w:tcW w:w="1125" w:type="pct"/>
            <w:vAlign w:val="center"/>
          </w:tcPr>
          <w:p>
            <w:pPr>
              <w:adjustRightInd w:val="0"/>
              <w:spacing w:line="360" w:lineRule="auto"/>
              <w:jc w:val="center"/>
              <w:rPr>
                <w:rFonts w:ascii="宋体" w:hAnsi="宋体" w:eastAsia="宋体" w:cs="宋体"/>
                <w:sz w:val="21"/>
                <w:szCs w:val="21"/>
                <w:highlight w:val="none"/>
              </w:rPr>
            </w:pPr>
          </w:p>
        </w:tc>
        <w:tc>
          <w:tcPr>
            <w:tcW w:w="365" w:type="pct"/>
            <w:vAlign w:val="center"/>
          </w:tcPr>
          <w:p>
            <w:pPr>
              <w:adjustRightInd w:val="0"/>
              <w:spacing w:line="360" w:lineRule="auto"/>
              <w:jc w:val="center"/>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85" w:type="pct"/>
            <w:vAlign w:val="center"/>
          </w:tcPr>
          <w:p>
            <w:pPr>
              <w:adjustRightIn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5</w:t>
            </w:r>
          </w:p>
        </w:tc>
        <w:tc>
          <w:tcPr>
            <w:tcW w:w="1230" w:type="pct"/>
            <w:vAlign w:val="center"/>
          </w:tcPr>
          <w:p>
            <w:pPr>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Times New Roman"/>
                <w:sz w:val="21"/>
                <w:szCs w:val="21"/>
                <w:highlight w:val="none"/>
              </w:rPr>
              <w:t>考古调查勘探10米孔</w:t>
            </w:r>
          </w:p>
        </w:tc>
        <w:tc>
          <w:tcPr>
            <w:tcW w:w="648"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35"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08" w:type="pct"/>
            <w:vMerge w:val="continue"/>
            <w:vAlign w:val="center"/>
          </w:tcPr>
          <w:p>
            <w:pPr>
              <w:adjustRightInd w:val="0"/>
              <w:spacing w:line="360" w:lineRule="auto"/>
              <w:jc w:val="center"/>
              <w:rPr>
                <w:rFonts w:ascii="宋体" w:hAnsi="宋体" w:eastAsia="宋体" w:cs="宋体"/>
                <w:sz w:val="21"/>
                <w:szCs w:val="21"/>
                <w:highlight w:val="none"/>
              </w:rPr>
            </w:pPr>
          </w:p>
        </w:tc>
        <w:tc>
          <w:tcPr>
            <w:tcW w:w="1125" w:type="pct"/>
            <w:vAlign w:val="center"/>
          </w:tcPr>
          <w:p>
            <w:pPr>
              <w:adjustRightInd w:val="0"/>
              <w:spacing w:line="360" w:lineRule="auto"/>
              <w:jc w:val="center"/>
              <w:rPr>
                <w:rFonts w:ascii="宋体" w:hAnsi="宋体" w:eastAsia="宋体" w:cs="宋体"/>
                <w:sz w:val="21"/>
                <w:szCs w:val="21"/>
                <w:highlight w:val="none"/>
              </w:rPr>
            </w:pPr>
          </w:p>
        </w:tc>
        <w:tc>
          <w:tcPr>
            <w:tcW w:w="365" w:type="pct"/>
            <w:vAlign w:val="center"/>
          </w:tcPr>
          <w:p>
            <w:pPr>
              <w:adjustRightInd w:val="0"/>
              <w:spacing w:line="360" w:lineRule="auto"/>
              <w:jc w:val="center"/>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85" w:type="pct"/>
            <w:vAlign w:val="center"/>
          </w:tcPr>
          <w:p>
            <w:pPr>
              <w:adjustRightIn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6</w:t>
            </w:r>
          </w:p>
        </w:tc>
        <w:tc>
          <w:tcPr>
            <w:tcW w:w="1230" w:type="pct"/>
            <w:vAlign w:val="center"/>
          </w:tcPr>
          <w:p>
            <w:pPr>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Times New Roman"/>
                <w:sz w:val="21"/>
                <w:szCs w:val="21"/>
                <w:highlight w:val="none"/>
              </w:rPr>
              <w:t>考古调查勘探20米孔</w:t>
            </w:r>
          </w:p>
        </w:tc>
        <w:tc>
          <w:tcPr>
            <w:tcW w:w="648"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35"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08" w:type="pct"/>
            <w:vMerge w:val="continue"/>
            <w:vAlign w:val="center"/>
          </w:tcPr>
          <w:p>
            <w:pPr>
              <w:adjustRightInd w:val="0"/>
              <w:spacing w:line="360" w:lineRule="auto"/>
              <w:jc w:val="center"/>
              <w:rPr>
                <w:rFonts w:ascii="宋体" w:hAnsi="宋体" w:eastAsia="宋体" w:cs="宋体"/>
                <w:sz w:val="21"/>
                <w:szCs w:val="21"/>
                <w:highlight w:val="none"/>
              </w:rPr>
            </w:pPr>
          </w:p>
        </w:tc>
        <w:tc>
          <w:tcPr>
            <w:tcW w:w="1125" w:type="pct"/>
            <w:vAlign w:val="center"/>
          </w:tcPr>
          <w:p>
            <w:pPr>
              <w:adjustRightInd w:val="0"/>
              <w:spacing w:line="360" w:lineRule="auto"/>
              <w:jc w:val="center"/>
              <w:rPr>
                <w:rFonts w:ascii="宋体" w:hAnsi="宋体" w:eastAsia="宋体" w:cs="宋体"/>
                <w:sz w:val="21"/>
                <w:szCs w:val="21"/>
                <w:highlight w:val="none"/>
              </w:rPr>
            </w:pPr>
          </w:p>
        </w:tc>
        <w:tc>
          <w:tcPr>
            <w:tcW w:w="365" w:type="pct"/>
            <w:vAlign w:val="center"/>
          </w:tcPr>
          <w:p>
            <w:pPr>
              <w:adjustRightInd w:val="0"/>
              <w:spacing w:line="360" w:lineRule="auto"/>
              <w:jc w:val="center"/>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85" w:type="pct"/>
            <w:vAlign w:val="center"/>
          </w:tcPr>
          <w:p>
            <w:pPr>
              <w:adjustRightIn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7</w:t>
            </w:r>
          </w:p>
        </w:tc>
        <w:tc>
          <w:tcPr>
            <w:tcW w:w="1230" w:type="pct"/>
            <w:vAlign w:val="center"/>
          </w:tcPr>
          <w:p>
            <w:pPr>
              <w:adjustRightInd w:val="0"/>
              <w:snapToGrid w:val="0"/>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考古发掘</w:t>
            </w:r>
          </w:p>
        </w:tc>
        <w:tc>
          <w:tcPr>
            <w:tcW w:w="648"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35" w:type="pct"/>
            <w:vMerge w:val="continue"/>
            <w:vAlign w:val="center"/>
          </w:tcPr>
          <w:p>
            <w:pPr>
              <w:adjustRightInd w:val="0"/>
              <w:snapToGrid w:val="0"/>
              <w:spacing w:line="360" w:lineRule="auto"/>
              <w:jc w:val="center"/>
              <w:rPr>
                <w:rFonts w:ascii="宋体" w:hAnsi="宋体" w:eastAsia="宋体" w:cs="宋体"/>
                <w:sz w:val="21"/>
                <w:szCs w:val="21"/>
                <w:highlight w:val="none"/>
              </w:rPr>
            </w:pPr>
          </w:p>
        </w:tc>
        <w:tc>
          <w:tcPr>
            <w:tcW w:w="608" w:type="pct"/>
            <w:vMerge w:val="continue"/>
            <w:vAlign w:val="center"/>
          </w:tcPr>
          <w:p>
            <w:pPr>
              <w:adjustRightInd w:val="0"/>
              <w:spacing w:line="360" w:lineRule="auto"/>
              <w:jc w:val="center"/>
              <w:rPr>
                <w:rFonts w:ascii="宋体" w:hAnsi="宋体" w:eastAsia="宋体" w:cs="宋体"/>
                <w:sz w:val="21"/>
                <w:szCs w:val="21"/>
                <w:highlight w:val="none"/>
              </w:rPr>
            </w:pPr>
          </w:p>
        </w:tc>
        <w:tc>
          <w:tcPr>
            <w:tcW w:w="1125" w:type="pct"/>
            <w:vAlign w:val="center"/>
          </w:tcPr>
          <w:p>
            <w:pPr>
              <w:adjustRightInd w:val="0"/>
              <w:spacing w:line="360" w:lineRule="auto"/>
              <w:jc w:val="center"/>
              <w:rPr>
                <w:rFonts w:ascii="宋体" w:hAnsi="宋体" w:eastAsia="宋体" w:cs="宋体"/>
                <w:sz w:val="21"/>
                <w:szCs w:val="21"/>
                <w:highlight w:val="none"/>
              </w:rPr>
            </w:pPr>
          </w:p>
        </w:tc>
        <w:tc>
          <w:tcPr>
            <w:tcW w:w="365" w:type="pct"/>
            <w:vAlign w:val="center"/>
          </w:tcPr>
          <w:p>
            <w:pPr>
              <w:adjustRightInd w:val="0"/>
              <w:spacing w:line="360" w:lineRule="auto"/>
              <w:jc w:val="center"/>
              <w:rPr>
                <w:rFonts w:ascii="宋体" w:hAnsi="宋体" w:eastAsia="宋体" w:cs="宋体"/>
                <w:sz w:val="21"/>
                <w:szCs w:val="21"/>
                <w:highlight w:val="none"/>
              </w:rPr>
            </w:pPr>
          </w:p>
        </w:tc>
      </w:tr>
    </w:tbl>
    <w:p>
      <w:pPr>
        <w:adjustRightInd w:val="0"/>
        <w:snapToGrid w:val="0"/>
        <w:spacing w:line="288" w:lineRule="auto"/>
        <w:rPr>
          <w:rFonts w:hint="eastAsia" w:ascii="宋体" w:hAnsi="宋体" w:eastAsia="宋体" w:cs="Times New Roman"/>
          <w:bCs/>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服务项目不涉及提供货物的，规格型号、品牌、制造商、产地的可不填写；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联合体其他成员承担的部分、分包单位承担的部分，应在表中列明。</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szCs w:val="21"/>
        </w:rPr>
        <w:t>本公司（联合体）郑</w:t>
      </w:r>
      <w:r>
        <w:rPr>
          <w:rFonts w:ascii="宋体" w:hAnsi="宋体" w:eastAsia="宋体" w:cs="Times New Roman"/>
          <w:color w:val="auto"/>
          <w:szCs w:val="21"/>
        </w:rPr>
        <w:t>重声明，根据《政府采购促进中小企业发展管理办法》（财库</w:t>
      </w:r>
      <w:r>
        <w:rPr>
          <w:rFonts w:hint="eastAsia" w:ascii="宋体" w:hAnsi="宋体" w:eastAsia="宋体" w:cs="Times New Roman"/>
          <w:color w:val="auto"/>
          <w:szCs w:val="21"/>
        </w:rPr>
        <w:t>﹝</w:t>
      </w:r>
      <w:r>
        <w:rPr>
          <w:rFonts w:ascii="宋体" w:hAnsi="宋体" w:eastAsia="宋体" w:cs="Times New Roman"/>
          <w:color w:val="auto"/>
          <w:szCs w:val="21"/>
        </w:rPr>
        <w:t>2020</w:t>
      </w:r>
      <w:r>
        <w:rPr>
          <w:rFonts w:hint="eastAsia" w:ascii="宋体" w:hAnsi="宋体" w:eastAsia="宋体" w:cs="Times New Roman"/>
          <w:color w:val="auto"/>
          <w:szCs w:val="21"/>
        </w:rPr>
        <w:t>﹞</w:t>
      </w:r>
      <w:r>
        <w:rPr>
          <w:rFonts w:ascii="宋体" w:hAnsi="宋体" w:eastAsia="宋体" w:cs="Times New Roman"/>
          <w:color w:val="auto"/>
          <w:szCs w:val="21"/>
        </w:rPr>
        <w:t>46 号）的规定，本公司（联合体）参加</w:t>
      </w:r>
      <w:r>
        <w:rPr>
          <w:rFonts w:ascii="宋体" w:hAnsi="宋体" w:eastAsia="宋体" w:cs="Times New Roman"/>
          <w:i/>
          <w:color w:val="auto"/>
          <w:szCs w:val="21"/>
          <w:u w:val="single"/>
        </w:rPr>
        <w:t>（单位名称）</w:t>
      </w:r>
      <w:r>
        <w:rPr>
          <w:rFonts w:ascii="宋体" w:hAnsi="宋体" w:eastAsia="宋体" w:cs="Times New Roman"/>
          <w:color w:val="auto"/>
          <w:szCs w:val="21"/>
        </w:rPr>
        <w:t>的</w:t>
      </w:r>
      <w:r>
        <w:rPr>
          <w:rFonts w:ascii="宋体" w:hAnsi="宋体" w:eastAsia="宋体" w:cs="Times New Roman"/>
          <w:i/>
          <w:color w:val="auto"/>
          <w:szCs w:val="21"/>
          <w:u w:val="single"/>
        </w:rPr>
        <w:t>（项目名称）</w:t>
      </w:r>
      <w:r>
        <w:rPr>
          <w:rFonts w:ascii="宋体" w:hAnsi="宋体" w:eastAsia="宋体" w:cs="Times New Roman"/>
          <w:color w:val="auto"/>
          <w:szCs w:val="21"/>
        </w:rPr>
        <w:t>采购活动，服务全部由符合政策要求的中小企业承接。相关企业（</w:t>
      </w:r>
      <w:r>
        <w:rPr>
          <w:rFonts w:ascii="宋体" w:hAnsi="宋体" w:eastAsia="宋体" w:cs="Times New Roman"/>
          <w:color w:val="auto"/>
          <w:szCs w:val="21"/>
          <w:highlight w:val="none"/>
        </w:rPr>
        <w:t>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rPr>
      </w:pPr>
      <w:r>
        <w:rPr>
          <w:rFonts w:ascii="宋体" w:hAnsi="宋体" w:eastAsia="宋体" w:cs="Times New Roman"/>
          <w:color w:val="auto"/>
          <w:szCs w:val="21"/>
          <w:highlight w:val="none"/>
        </w:rPr>
        <w:t>本企业对上述声明内容的真实性负责。如有虚假，将依</w:t>
      </w:r>
      <w:r>
        <w:rPr>
          <w:rFonts w:ascii="宋体" w:hAnsi="宋体" w:eastAsia="宋体" w:cs="Times New Roman"/>
          <w:color w:val="auto"/>
          <w:szCs w:val="21"/>
        </w:rPr>
        <w:t>法承担相应责任。</w:t>
      </w:r>
    </w:p>
    <w:p>
      <w:pPr>
        <w:adjustRightInd w:val="0"/>
        <w:snapToGrid w:val="0"/>
        <w:spacing w:line="288" w:lineRule="auto"/>
        <w:ind w:firstLine="495" w:firstLineChars="236"/>
        <w:rPr>
          <w:rFonts w:ascii="宋体" w:hAnsi="宋体" w:eastAsia="宋体" w:cs="Times New Roman"/>
          <w:color w:val="auto"/>
          <w:szCs w:val="21"/>
        </w:rPr>
      </w:pPr>
    </w:p>
    <w:p>
      <w:pPr>
        <w:adjustRightInd w:val="0"/>
        <w:snapToGrid w:val="0"/>
        <w:spacing w:line="288" w:lineRule="auto"/>
        <w:ind w:firstLine="495" w:firstLineChars="236"/>
        <w:rPr>
          <w:rFonts w:ascii="宋体" w:hAnsi="宋体" w:eastAsia="宋体" w:cs="Times New Roman"/>
          <w:color w:val="auto"/>
          <w:szCs w:val="21"/>
        </w:rPr>
      </w:pPr>
      <w:r>
        <w:rPr>
          <w:rFonts w:ascii="宋体" w:hAnsi="宋体" w:eastAsia="宋体" w:cs="Times New Roman"/>
          <w:color w:val="auto"/>
          <w:szCs w:val="21"/>
        </w:rPr>
        <w:t>企业名称（盖章）：</w:t>
      </w:r>
    </w:p>
    <w:p>
      <w:pPr>
        <w:adjustRightInd w:val="0"/>
        <w:snapToGrid w:val="0"/>
        <w:spacing w:line="288" w:lineRule="auto"/>
        <w:ind w:firstLine="495" w:firstLineChars="236"/>
        <w:rPr>
          <w:rFonts w:ascii="宋体" w:hAnsi="宋体" w:eastAsia="宋体" w:cs="Times New Roman"/>
          <w:color w:val="auto"/>
          <w:szCs w:val="21"/>
        </w:rPr>
      </w:pPr>
      <w:r>
        <w:rPr>
          <w:rFonts w:ascii="宋体" w:hAnsi="宋体" w:eastAsia="宋体" w:cs="Times New Roman"/>
          <w:color w:val="auto"/>
          <w:szCs w:val="21"/>
        </w:rPr>
        <w:t>日期：</w:t>
      </w:r>
    </w:p>
    <w:p>
      <w:pPr>
        <w:adjustRightInd w:val="0"/>
        <w:snapToGrid w:val="0"/>
        <w:spacing w:line="288" w:lineRule="auto"/>
        <w:ind w:firstLine="495" w:firstLineChars="236"/>
        <w:rPr>
          <w:rFonts w:ascii="宋体" w:hAnsi="宋体" w:eastAsia="宋体" w:cs="Times New Roman"/>
          <w:color w:val="auto"/>
          <w:szCs w:val="21"/>
        </w:rPr>
      </w:pPr>
    </w:p>
    <w:p>
      <w:pPr>
        <w:adjustRightInd w:val="0"/>
        <w:snapToGrid w:val="0"/>
        <w:spacing w:line="288" w:lineRule="auto"/>
        <w:ind w:firstLine="495" w:firstLineChars="236"/>
        <w:rPr>
          <w:rFonts w:ascii="宋体" w:hAnsi="宋体" w:eastAsia="宋体" w:cs="Times New Roman"/>
          <w:color w:val="auto"/>
          <w:szCs w:val="21"/>
        </w:rPr>
      </w:pPr>
      <w:r>
        <w:rPr>
          <w:rFonts w:hint="eastAsia" w:ascii="宋体" w:hAnsi="宋体" w:eastAsia="宋体" w:cs="Times New Roman"/>
          <w:color w:val="auto"/>
          <w:szCs w:val="21"/>
        </w:rPr>
        <w:t>注：</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w:t>
      </w:r>
      <w:r>
        <w:rPr>
          <w:rFonts w:hint="eastAsia" w:ascii="宋体" w:hAnsi="宋体" w:eastAsia="宋体" w:cs="Times New Roman"/>
          <w:b/>
          <w:bCs/>
          <w:spacing w:val="6"/>
          <w:szCs w:val="21"/>
          <w:highlight w:val="none"/>
        </w:rPr>
        <w:t>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二、</w:t>
      </w:r>
      <w:r>
        <w:rPr>
          <w:rFonts w:hint="eastAsia" w:ascii="宋体" w:hAnsi="宋体" w:eastAsia="宋体" w:cs="Arial"/>
          <w:color w:val="auto"/>
          <w:szCs w:val="21"/>
        </w:rPr>
        <w:t>所有联合体成员各方签署授权书，授权书载明的</w:t>
      </w:r>
      <w:r>
        <w:rPr>
          <w:rFonts w:hint="eastAsia" w:ascii="宋体" w:hAnsi="宋体" w:eastAsia="宋体" w:cs="仿宋_GB2312"/>
          <w:color w:val="auto"/>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等均对联合投标各方产生约束力。</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（联合体其中一方成员名称）</w:t>
      </w:r>
      <w:r>
        <w:rPr>
          <w:rFonts w:hint="eastAsia" w:ascii="宋体" w:hAnsi="宋体" w:eastAsia="宋体" w:cs="仿宋_GB2312"/>
          <w:color w:val="auto"/>
          <w:kern w:val="0"/>
          <w:szCs w:val="21"/>
          <w:lang w:val="zh-CN"/>
        </w:rPr>
        <w:t>承担的工作和义务为：</w:t>
      </w:r>
      <w:r>
        <w:rPr>
          <w:rFonts w:ascii="宋体" w:hAnsi="宋体" w:eastAsia="宋体" w:cs="Times New Roman"/>
          <w:color w:val="auto"/>
          <w:szCs w:val="21"/>
          <w:u w:val="single"/>
        </w:rPr>
        <w:t xml:space="preserve">             </w:t>
      </w:r>
      <w:r>
        <w:rPr>
          <w:rFonts w:hint="eastAsia" w:ascii="宋体" w:hAnsi="宋体" w:eastAsia="宋体" w:cs="仿宋_GB2312"/>
          <w:color w:val="auto"/>
          <w:kern w:val="0"/>
          <w:szCs w:val="21"/>
          <w:lang w:val="zh-CN"/>
        </w:rPr>
        <w:t>；</w:t>
      </w:r>
      <w:r>
        <w:rPr>
          <w:rFonts w:ascii="宋体" w:hAnsi="宋体" w:eastAsia="宋体" w:cs="仿宋_GB2312"/>
          <w:color w:val="auto"/>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color w:val="auto"/>
          <w:kern w:val="0"/>
          <w:szCs w:val="21"/>
          <w:lang w:val="zh-CN"/>
        </w:rPr>
        <w:t>四、</w:t>
      </w:r>
      <w:r>
        <w:rPr>
          <w:rFonts w:hint="eastAsia" w:ascii="宋体" w:hAnsi="宋体" w:eastAsia="宋体" w:cs="仿宋_GB2312"/>
          <w:color w:val="auto"/>
          <w:kern w:val="0"/>
          <w:szCs w:val="21"/>
          <w:u w:val="single"/>
        </w:rPr>
        <w:t>（联合体其中一方成员名称）</w:t>
      </w:r>
      <w:r>
        <w:rPr>
          <w:rFonts w:hint="eastAsia" w:ascii="宋体" w:hAnsi="宋体" w:eastAsia="宋体" w:cs="仿宋_GB2312"/>
          <w:color w:val="auto"/>
          <w:kern w:val="0"/>
          <w:szCs w:val="21"/>
        </w:rPr>
        <w:t>提供的全部货物由小微企业制造，其合同份额占到合同总金额</w:t>
      </w:r>
      <w:r>
        <w:rPr>
          <w:rFonts w:ascii="宋体" w:hAnsi="宋体" w:eastAsia="宋体" w:cs="仿宋_GB2312"/>
          <w:color w:val="auto"/>
          <w:kern w:val="0"/>
          <w:szCs w:val="21"/>
          <w:u w:val="single"/>
        </w:rPr>
        <w:t xml:space="preserve">     </w:t>
      </w:r>
      <w:r>
        <w:rPr>
          <w:rFonts w:ascii="宋体" w:hAnsi="宋体" w:eastAsia="宋体" w:cs="仿宋_GB2312"/>
          <w:color w:val="auto"/>
          <w:kern w:val="0"/>
          <w:szCs w:val="21"/>
        </w:rPr>
        <w:t>%以上；</w:t>
      </w:r>
      <w:r>
        <w:rPr>
          <w:rFonts w:hint="eastAsia" w:ascii="宋体" w:hAnsi="宋体" w:eastAsia="宋体" w:cs="仿宋_GB2312"/>
          <w:color w:val="auto"/>
          <w:kern w:val="0"/>
          <w:szCs w:val="21"/>
          <w:lang w:val="zh-CN"/>
        </w:rPr>
        <w:t>……。</w:t>
      </w:r>
      <w:r>
        <w:rPr>
          <w:rFonts w:hint="eastAsia" w:ascii="宋体" w:hAnsi="宋体" w:eastAsia="宋体" w:cs="仿宋_GB2312"/>
          <w:b/>
          <w:color w:val="auto"/>
          <w:kern w:val="0"/>
          <w:szCs w:val="21"/>
          <w:lang w:val="zh-CN"/>
        </w:rPr>
        <w:t>（未预留份额专门面向中小企业采购的的采购项目，以及预留份额中的非预留部分采购包，接受联合体投标的，联合体其中一方提供</w:t>
      </w:r>
      <w:r>
        <w:rPr>
          <w:rFonts w:hint="eastAsia" w:ascii="宋体" w:hAnsi="宋体" w:eastAsia="宋体" w:cs="仿宋_GB2312"/>
          <w:b/>
          <w:kern w:val="0"/>
          <w:szCs w:val="21"/>
          <w:lang w:val="zh-CN"/>
        </w:rPr>
        <w:t>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HP Simplified Hans"/>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DejaVu Sans"/>
    <w:panose1 w:val="020B0604020202020204"/>
    <w:charset w:val="00"/>
    <w:family w:val="swiss"/>
    <w:pitch w:val="default"/>
    <w:sig w:usb0="00000000" w:usb1="00000000" w:usb2="00000009" w:usb3="00000000" w:csb0="000001FF" w:csb1="00000000"/>
  </w:font>
  <w:font w:name="HP Simplified Hans">
    <w:panose1 w:val="020B0500000000000000"/>
    <w:charset w:val="86"/>
    <w:family w:val="auto"/>
    <w:pitch w:val="default"/>
    <w:sig w:usb0="A00002BF" w:usb1="38CF7CFA" w:usb2="00000016" w:usb3="00000000" w:csb0="2004011D" w:csb1="41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240F3A"/>
    <w:rsid w:val="04C840C5"/>
    <w:rsid w:val="05D34727"/>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50D4C76"/>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E54F63"/>
    <w:rsid w:val="23FF4622"/>
    <w:rsid w:val="2555021A"/>
    <w:rsid w:val="267267AA"/>
    <w:rsid w:val="27432BC1"/>
    <w:rsid w:val="27BD1A2E"/>
    <w:rsid w:val="27F0275A"/>
    <w:rsid w:val="28580092"/>
    <w:rsid w:val="28BC23D4"/>
    <w:rsid w:val="2AA10ED5"/>
    <w:rsid w:val="2ADA0518"/>
    <w:rsid w:val="2C403817"/>
    <w:rsid w:val="2C4D0E2F"/>
    <w:rsid w:val="2C921974"/>
    <w:rsid w:val="2DA35CF6"/>
    <w:rsid w:val="2DBE14C9"/>
    <w:rsid w:val="2F6A64D8"/>
    <w:rsid w:val="301765BD"/>
    <w:rsid w:val="30616EA9"/>
    <w:rsid w:val="313E5C07"/>
    <w:rsid w:val="31676AEA"/>
    <w:rsid w:val="31A44D82"/>
    <w:rsid w:val="31EC174B"/>
    <w:rsid w:val="32BE120D"/>
    <w:rsid w:val="330C0EF9"/>
    <w:rsid w:val="33506DE6"/>
    <w:rsid w:val="344B5501"/>
    <w:rsid w:val="35A54CED"/>
    <w:rsid w:val="37534CA7"/>
    <w:rsid w:val="37D824F1"/>
    <w:rsid w:val="3A3519D1"/>
    <w:rsid w:val="3ACE7AB8"/>
    <w:rsid w:val="3AFF06C5"/>
    <w:rsid w:val="3B0C4DFA"/>
    <w:rsid w:val="3B77AE09"/>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7D5F80"/>
    <w:rsid w:val="4BD458ED"/>
    <w:rsid w:val="4BF40741"/>
    <w:rsid w:val="4C5E019B"/>
    <w:rsid w:val="4E724CEA"/>
    <w:rsid w:val="4F64249F"/>
    <w:rsid w:val="4F6E1200"/>
    <w:rsid w:val="4FEE189E"/>
    <w:rsid w:val="50A1482A"/>
    <w:rsid w:val="53F038EA"/>
    <w:rsid w:val="596674B0"/>
    <w:rsid w:val="59BA69E3"/>
    <w:rsid w:val="5A661DF4"/>
    <w:rsid w:val="5ACF0178"/>
    <w:rsid w:val="5B3F5F54"/>
    <w:rsid w:val="5B535726"/>
    <w:rsid w:val="5B5E287E"/>
    <w:rsid w:val="5C3E17F9"/>
    <w:rsid w:val="5D3A6920"/>
    <w:rsid w:val="5D8135CC"/>
    <w:rsid w:val="600446EC"/>
    <w:rsid w:val="600D2EE6"/>
    <w:rsid w:val="61A6685E"/>
    <w:rsid w:val="621760F6"/>
    <w:rsid w:val="62246B60"/>
    <w:rsid w:val="644041B0"/>
    <w:rsid w:val="644F1ACD"/>
    <w:rsid w:val="67FF1998"/>
    <w:rsid w:val="680D1D99"/>
    <w:rsid w:val="68695D44"/>
    <w:rsid w:val="69431270"/>
    <w:rsid w:val="6A1A2066"/>
    <w:rsid w:val="6A7F4F75"/>
    <w:rsid w:val="6ACA16F9"/>
    <w:rsid w:val="6ADF127C"/>
    <w:rsid w:val="6B0F32F3"/>
    <w:rsid w:val="6B16774A"/>
    <w:rsid w:val="6CE77AD2"/>
    <w:rsid w:val="6CE90920"/>
    <w:rsid w:val="6ECE2681"/>
    <w:rsid w:val="6ED07EFC"/>
    <w:rsid w:val="700B5C22"/>
    <w:rsid w:val="709D6190"/>
    <w:rsid w:val="72340F9C"/>
    <w:rsid w:val="728D7448"/>
    <w:rsid w:val="74EB1DB0"/>
    <w:rsid w:val="75B93A51"/>
    <w:rsid w:val="75C12BF5"/>
    <w:rsid w:val="75F3119F"/>
    <w:rsid w:val="774152C9"/>
    <w:rsid w:val="77FF1557"/>
    <w:rsid w:val="78153681"/>
    <w:rsid w:val="793070F8"/>
    <w:rsid w:val="79D825C1"/>
    <w:rsid w:val="7B5D131E"/>
    <w:rsid w:val="7DB41B16"/>
    <w:rsid w:val="7DEB79E2"/>
    <w:rsid w:val="7DFC5027"/>
    <w:rsid w:val="7E002D54"/>
    <w:rsid w:val="8DAFB209"/>
    <w:rsid w:val="D97AF195"/>
    <w:rsid w:val="DF7FDDB5"/>
    <w:rsid w:val="E5FF25F6"/>
    <w:rsid w:val="F51FEA52"/>
    <w:rsid w:val="FDCF000D"/>
    <w:rsid w:val="FF519468"/>
    <w:rsid w:val="FFFDE8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autoRedefine/>
    <w:qFormat/>
    <w:uiPriority w:val="0"/>
    <w:pPr>
      <w:ind w:firstLine="420"/>
    </w:pPr>
    <w:rPr>
      <w:rFonts w:eastAsia="宋体"/>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43"/>
    <w:autoRedefine/>
    <w:unhideWhenUsed/>
    <w:qFormat/>
    <w:uiPriority w:val="99"/>
    <w:rPr>
      <w:rFonts w:ascii="宋体"/>
      <w:sz w:val="18"/>
      <w:szCs w:val="18"/>
    </w:rPr>
  </w:style>
  <w:style w:type="paragraph" w:styleId="9">
    <w:name w:val="annotation text"/>
    <w:basedOn w:val="1"/>
    <w:link w:val="80"/>
    <w:autoRedefine/>
    <w:unhideWhenUsed/>
    <w:qFormat/>
    <w:uiPriority w:val="99"/>
    <w:pPr>
      <w:jc w:val="left"/>
    </w:pPr>
  </w:style>
  <w:style w:type="paragraph" w:styleId="10">
    <w:name w:val="Body Text"/>
    <w:basedOn w:val="1"/>
    <w:next w:val="1"/>
    <w:link w:val="83"/>
    <w:autoRedefine/>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autoRedefine/>
    <w:qFormat/>
    <w:uiPriority w:val="0"/>
    <w:pPr>
      <w:spacing w:line="200" w:lineRule="atLeast"/>
      <w:ind w:firstLine="301"/>
    </w:pPr>
    <w:rPr>
      <w:rFonts w:ascii="宋体" w:hAnsi="Courier New"/>
      <w:spacing w:val="-4"/>
      <w:sz w:val="18"/>
    </w:rPr>
  </w:style>
  <w:style w:type="paragraph" w:styleId="12">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autoRedefine/>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autoRedefine/>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autoRedefine/>
    <w:qFormat/>
    <w:uiPriority w:val="0"/>
    <w:rPr>
      <w:rFonts w:ascii="Times New Roman" w:hAnsi="Times New Roman" w:eastAsia="宋体" w:cs="Times New Roman"/>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autoRedefine/>
    <w:unhideWhenUsed/>
    <w:qFormat/>
    <w:uiPriority w:val="99"/>
    <w:rPr>
      <w:b/>
      <w:bCs/>
      <w:sz w:val="28"/>
      <w:szCs w:val="24"/>
    </w:rPr>
  </w:style>
  <w:style w:type="paragraph" w:styleId="22">
    <w:name w:val="Body Text First Indent 2"/>
    <w:basedOn w:val="11"/>
    <w:link w:val="88"/>
    <w:autoRedefine/>
    <w:unhideWhenUsed/>
    <w:qFormat/>
    <w:uiPriority w:val="99"/>
    <w:pPr>
      <w:ind w:firstLine="42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FollowedHyperlink"/>
    <w:autoRedefine/>
    <w:unhideWhenUsed/>
    <w:qFormat/>
    <w:uiPriority w:val="99"/>
    <w:rPr>
      <w:color w:val="5579A7"/>
      <w:u w:val="none"/>
    </w:rPr>
  </w:style>
  <w:style w:type="character" w:styleId="29">
    <w:name w:val="HTML Definition"/>
    <w:autoRedefine/>
    <w:unhideWhenUsed/>
    <w:qFormat/>
    <w:uiPriority w:val="99"/>
    <w:rPr>
      <w:i/>
    </w:rPr>
  </w:style>
  <w:style w:type="character" w:styleId="30">
    <w:name w:val="Hyperlink"/>
    <w:autoRedefine/>
    <w:qFormat/>
    <w:uiPriority w:val="0"/>
    <w:rPr>
      <w:color w:val="5579A7"/>
      <w:u w:val="none"/>
    </w:rPr>
  </w:style>
  <w:style w:type="character" w:styleId="31">
    <w:name w:val="HTML Code"/>
    <w:autoRedefine/>
    <w:unhideWhenUsed/>
    <w:qFormat/>
    <w:uiPriority w:val="99"/>
    <w:rPr>
      <w:rFonts w:ascii="-apple-system" w:hAnsi="-apple-system" w:eastAsia="-apple-system" w:cs="-apple-system"/>
      <w:sz w:val="21"/>
      <w:szCs w:val="21"/>
    </w:rPr>
  </w:style>
  <w:style w:type="character" w:styleId="32">
    <w:name w:val="annotation reference"/>
    <w:autoRedefine/>
    <w:unhideWhenUsed/>
    <w:qFormat/>
    <w:uiPriority w:val="99"/>
    <w:rPr>
      <w:sz w:val="21"/>
      <w:szCs w:val="21"/>
    </w:rPr>
  </w:style>
  <w:style w:type="character" w:styleId="33">
    <w:name w:val="HTML Keyboard"/>
    <w:autoRedefine/>
    <w:unhideWhenUsed/>
    <w:qFormat/>
    <w:uiPriority w:val="99"/>
    <w:rPr>
      <w:rFonts w:hint="default" w:ascii="-apple-system" w:hAnsi="-apple-system" w:eastAsia="-apple-system" w:cs="-apple-system"/>
      <w:sz w:val="21"/>
      <w:szCs w:val="21"/>
    </w:rPr>
  </w:style>
  <w:style w:type="character" w:styleId="34">
    <w:name w:val="HTML Sample"/>
    <w:autoRedefin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autoRedefine/>
    <w:qFormat/>
    <w:uiPriority w:val="99"/>
    <w:rPr>
      <w:sz w:val="18"/>
      <w:szCs w:val="18"/>
    </w:rPr>
  </w:style>
  <w:style w:type="character" w:customStyle="1" w:styleId="36">
    <w:name w:val="页脚 字符"/>
    <w:basedOn w:val="25"/>
    <w:link w:val="16"/>
    <w:autoRedefine/>
    <w:qFormat/>
    <w:uiPriority w:val="99"/>
    <w:rPr>
      <w:sz w:val="18"/>
      <w:szCs w:val="18"/>
    </w:rPr>
  </w:style>
  <w:style w:type="character" w:customStyle="1" w:styleId="37">
    <w:name w:val="标题 1 字符"/>
    <w:basedOn w:val="25"/>
    <w:link w:val="2"/>
    <w:autoRedefine/>
    <w:qFormat/>
    <w:uiPriority w:val="9"/>
    <w:rPr>
      <w:rFonts w:ascii="Times New Roman" w:hAnsi="Times New Roman" w:eastAsia="宋体" w:cs="Times New Roman"/>
      <w:b/>
      <w:bCs/>
      <w:kern w:val="44"/>
      <w:sz w:val="44"/>
      <w:szCs w:val="44"/>
    </w:rPr>
  </w:style>
  <w:style w:type="character" w:customStyle="1" w:styleId="38">
    <w:name w:val="标题 2 字符"/>
    <w:basedOn w:val="25"/>
    <w:link w:val="3"/>
    <w:autoRedefine/>
    <w:qFormat/>
    <w:uiPriority w:val="9"/>
    <w:rPr>
      <w:rFonts w:ascii="Cambria" w:hAnsi="Cambria" w:eastAsia="宋体" w:cs="Times New Roman"/>
      <w:b/>
      <w:bCs/>
      <w:sz w:val="32"/>
      <w:szCs w:val="32"/>
    </w:rPr>
  </w:style>
  <w:style w:type="character" w:customStyle="1" w:styleId="39">
    <w:name w:val="标题 3 字符"/>
    <w:basedOn w:val="25"/>
    <w:link w:val="4"/>
    <w:autoRedefine/>
    <w:qFormat/>
    <w:uiPriority w:val="9"/>
    <w:rPr>
      <w:rFonts w:ascii="Times New Roman" w:hAnsi="Times New Roman" w:eastAsia="宋体" w:cs="Times New Roman"/>
      <w:b/>
      <w:bCs/>
      <w:sz w:val="32"/>
      <w:szCs w:val="32"/>
    </w:rPr>
  </w:style>
  <w:style w:type="character" w:customStyle="1" w:styleId="40">
    <w:name w:val="jbox-icon-none"/>
    <w:autoRedefine/>
    <w:qFormat/>
    <w:uiPriority w:val="0"/>
    <w:rPr>
      <w:vanish/>
    </w:rPr>
  </w:style>
  <w:style w:type="character" w:customStyle="1" w:styleId="41">
    <w:name w:val="z-窗体底端 字符"/>
    <w:link w:val="42"/>
    <w:autoRedefine/>
    <w:qFormat/>
    <w:uiPriority w:val="99"/>
    <w:rPr>
      <w:rFonts w:ascii="Arial" w:hAnsi="Arial"/>
      <w:vanish/>
      <w:sz w:val="16"/>
      <w:szCs w:val="16"/>
    </w:rPr>
  </w:style>
  <w:style w:type="paragraph" w:customStyle="1" w:styleId="42">
    <w:name w:val="z-窗体底端1"/>
    <w:basedOn w:val="1"/>
    <w:next w:val="1"/>
    <w:link w:val="41"/>
    <w:autoRedefine/>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autoRedefine/>
    <w:qFormat/>
    <w:uiPriority w:val="99"/>
    <w:rPr>
      <w:rFonts w:ascii="宋体"/>
      <w:sz w:val="18"/>
      <w:szCs w:val="18"/>
    </w:rPr>
  </w:style>
  <w:style w:type="character" w:customStyle="1" w:styleId="44">
    <w:name w:val="black601"/>
    <w:autoRedefine/>
    <w:qFormat/>
    <w:uiPriority w:val="0"/>
    <w:rPr>
      <w:color w:val="666666"/>
    </w:rPr>
  </w:style>
  <w:style w:type="character" w:customStyle="1" w:styleId="45">
    <w:name w:val="hour_pm"/>
    <w:basedOn w:val="25"/>
    <w:autoRedefine/>
    <w:qFormat/>
    <w:uiPriority w:val="0"/>
  </w:style>
  <w:style w:type="character" w:customStyle="1" w:styleId="46">
    <w:name w:val="正文缩进 字符"/>
    <w:link w:val="6"/>
    <w:autoRedefine/>
    <w:qFormat/>
    <w:uiPriority w:val="0"/>
    <w:rPr>
      <w:rFonts w:eastAsia="宋体"/>
    </w:rPr>
  </w:style>
  <w:style w:type="character" w:customStyle="1" w:styleId="47">
    <w:name w:val="标题 1 Char Char"/>
    <w:autoRedefine/>
    <w:qFormat/>
    <w:uiPriority w:val="0"/>
    <w:rPr>
      <w:rFonts w:eastAsia="宋体"/>
      <w:b/>
      <w:spacing w:val="-2"/>
      <w:sz w:val="24"/>
      <w:lang w:val="en-US" w:eastAsia="zh-CN" w:bidi="ar-SA"/>
    </w:rPr>
  </w:style>
  <w:style w:type="character" w:customStyle="1" w:styleId="48">
    <w:name w:val="jbox-icon-info"/>
    <w:basedOn w:val="25"/>
    <w:autoRedefine/>
    <w:qFormat/>
    <w:uiPriority w:val="0"/>
  </w:style>
  <w:style w:type="character" w:customStyle="1" w:styleId="49">
    <w:name w:val="hover9"/>
    <w:autoRedefine/>
    <w:qFormat/>
    <w:uiPriority w:val="0"/>
    <w:rPr>
      <w:shd w:val="clear" w:color="auto" w:fill="EEEEEE"/>
    </w:rPr>
  </w:style>
  <w:style w:type="character" w:customStyle="1" w:styleId="50">
    <w:name w:val="maywed421"/>
    <w:autoRedefine/>
    <w:qFormat/>
    <w:uiPriority w:val="0"/>
    <w:rPr>
      <w:color w:val="366FB6"/>
      <w:u w:val="none"/>
    </w:rPr>
  </w:style>
  <w:style w:type="character" w:customStyle="1" w:styleId="51">
    <w:name w:val="old"/>
    <w:autoRedefine/>
    <w:qFormat/>
    <w:uiPriority w:val="0"/>
    <w:rPr>
      <w:color w:val="999999"/>
    </w:rPr>
  </w:style>
  <w:style w:type="character" w:customStyle="1" w:styleId="52">
    <w:name w:val="jbox-icon-warning"/>
    <w:basedOn w:val="25"/>
    <w:autoRedefine/>
    <w:qFormat/>
    <w:uiPriority w:val="0"/>
  </w:style>
  <w:style w:type="character" w:customStyle="1" w:styleId="53">
    <w:name w:val="z-窗体顶端 字符"/>
    <w:link w:val="54"/>
    <w:autoRedefine/>
    <w:qFormat/>
    <w:uiPriority w:val="99"/>
    <w:rPr>
      <w:rFonts w:ascii="Arial" w:hAnsi="Arial"/>
      <w:vanish/>
      <w:sz w:val="16"/>
      <w:szCs w:val="16"/>
    </w:rPr>
  </w:style>
  <w:style w:type="paragraph" w:customStyle="1" w:styleId="54">
    <w:name w:val="z-窗体顶端1"/>
    <w:basedOn w:val="1"/>
    <w:next w:val="1"/>
    <w:link w:val="53"/>
    <w:autoRedefine/>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autoRedefine/>
    <w:qFormat/>
    <w:uiPriority w:val="99"/>
    <w:rPr>
      <w:rFonts w:ascii="宋体" w:hAnsi="Courier New"/>
      <w:sz w:val="24"/>
      <w:szCs w:val="24"/>
    </w:rPr>
  </w:style>
  <w:style w:type="character" w:customStyle="1" w:styleId="56">
    <w:name w:val="批注主题 字符"/>
    <w:link w:val="21"/>
    <w:autoRedefine/>
    <w:qFormat/>
    <w:uiPriority w:val="99"/>
    <w:rPr>
      <w:b/>
      <w:bCs/>
      <w:sz w:val="28"/>
      <w:szCs w:val="24"/>
    </w:rPr>
  </w:style>
  <w:style w:type="character" w:customStyle="1" w:styleId="57">
    <w:name w:val="jbox-icon-loading"/>
    <w:basedOn w:val="25"/>
    <w:autoRedefine/>
    <w:qFormat/>
    <w:uiPriority w:val="0"/>
  </w:style>
  <w:style w:type="character" w:customStyle="1" w:styleId="58">
    <w:name w:val="正文文本缩进 字符"/>
    <w:autoRedefine/>
    <w:qFormat/>
    <w:uiPriority w:val="0"/>
    <w:rPr>
      <w:rFonts w:ascii="宋体" w:hAnsi="Courier New"/>
      <w:spacing w:val="-4"/>
      <w:kern w:val="2"/>
      <w:sz w:val="18"/>
    </w:rPr>
  </w:style>
  <w:style w:type="character" w:customStyle="1" w:styleId="59">
    <w:name w:val="正文文本缩进 字符1"/>
    <w:autoRedefine/>
    <w:qFormat/>
    <w:uiPriority w:val="0"/>
    <w:rPr>
      <w:rFonts w:ascii="宋体" w:hAnsi="Courier New"/>
      <w:spacing w:val="-4"/>
      <w:kern w:val="2"/>
      <w:sz w:val="18"/>
    </w:rPr>
  </w:style>
  <w:style w:type="character" w:customStyle="1" w:styleId="60">
    <w:name w:val="纯文本 字符"/>
    <w:autoRedefine/>
    <w:qFormat/>
    <w:uiPriority w:val="99"/>
    <w:rPr>
      <w:rFonts w:ascii="宋体" w:hAnsi="Courier New"/>
      <w:kern w:val="2"/>
      <w:sz w:val="24"/>
      <w:szCs w:val="24"/>
    </w:rPr>
  </w:style>
  <w:style w:type="character" w:customStyle="1" w:styleId="61">
    <w:name w:val="jbox-icon-question"/>
    <w:basedOn w:val="25"/>
    <w:autoRedefine/>
    <w:qFormat/>
    <w:uiPriority w:val="0"/>
  </w:style>
  <w:style w:type="character" w:customStyle="1" w:styleId="62">
    <w:name w:val="jbox-icon"/>
    <w:basedOn w:val="25"/>
    <w:autoRedefine/>
    <w:qFormat/>
    <w:uiPriority w:val="0"/>
  </w:style>
  <w:style w:type="character" w:customStyle="1" w:styleId="63">
    <w:name w:val="纯文本 字符2"/>
    <w:autoRedefine/>
    <w:qFormat/>
    <w:uiPriority w:val="99"/>
    <w:rPr>
      <w:rFonts w:ascii="宋体" w:hAnsi="Courier New"/>
      <w:kern w:val="2"/>
      <w:sz w:val="24"/>
      <w:szCs w:val="24"/>
    </w:rPr>
  </w:style>
  <w:style w:type="character" w:customStyle="1" w:styleId="64">
    <w:name w:val="hour_am"/>
    <w:basedOn w:val="25"/>
    <w:autoRedefine/>
    <w:qFormat/>
    <w:uiPriority w:val="0"/>
  </w:style>
  <w:style w:type="character" w:customStyle="1" w:styleId="65">
    <w:name w:val="jbox-icon-success"/>
    <w:basedOn w:val="25"/>
    <w:autoRedefine/>
    <w:qFormat/>
    <w:uiPriority w:val="0"/>
  </w:style>
  <w:style w:type="character" w:customStyle="1" w:styleId="66">
    <w:name w:val="批注文字 字符"/>
    <w:autoRedefine/>
    <w:qFormat/>
    <w:uiPriority w:val="99"/>
    <w:rPr>
      <w:kern w:val="2"/>
      <w:sz w:val="28"/>
      <w:szCs w:val="24"/>
    </w:rPr>
  </w:style>
  <w:style w:type="character" w:customStyle="1" w:styleId="67">
    <w:name w:val="纯文本 Char1"/>
    <w:autoRedefine/>
    <w:qFormat/>
    <w:uiPriority w:val="0"/>
    <w:rPr>
      <w:rFonts w:ascii="宋体" w:hAnsi="Courier New"/>
      <w:kern w:val="2"/>
      <w:sz w:val="21"/>
    </w:rPr>
  </w:style>
  <w:style w:type="character" w:customStyle="1" w:styleId="68">
    <w:name w:val="纯文本 Char"/>
    <w:autoRedefine/>
    <w:qFormat/>
    <w:uiPriority w:val="99"/>
    <w:rPr>
      <w:rFonts w:ascii="宋体" w:hAnsi="Courier New"/>
      <w:kern w:val="2"/>
      <w:sz w:val="24"/>
      <w:szCs w:val="24"/>
    </w:rPr>
  </w:style>
  <w:style w:type="character" w:customStyle="1" w:styleId="69">
    <w:name w:val="sub_title s0"/>
    <w:basedOn w:val="25"/>
    <w:autoRedefine/>
    <w:qFormat/>
    <w:uiPriority w:val="0"/>
  </w:style>
  <w:style w:type="character" w:customStyle="1" w:styleId="70">
    <w:name w:val="正文文本缩进 字符2"/>
    <w:link w:val="11"/>
    <w:autoRedefine/>
    <w:qFormat/>
    <w:uiPriority w:val="0"/>
    <w:rPr>
      <w:rFonts w:ascii="宋体" w:hAnsi="Courier New"/>
      <w:spacing w:val="-4"/>
      <w:sz w:val="18"/>
    </w:rPr>
  </w:style>
  <w:style w:type="character" w:customStyle="1" w:styleId="71">
    <w:name w:val="jbox-icon-error"/>
    <w:basedOn w:val="25"/>
    <w:autoRedefine/>
    <w:qFormat/>
    <w:uiPriority w:val="0"/>
  </w:style>
  <w:style w:type="character" w:customStyle="1" w:styleId="72">
    <w:name w:val="正文文本 2 字符"/>
    <w:basedOn w:val="25"/>
    <w:link w:val="19"/>
    <w:autoRedefine/>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autoRedefine/>
    <w:semiHidden/>
    <w:qFormat/>
    <w:uiPriority w:val="99"/>
    <w:rPr>
      <w:rFonts w:ascii="Arial" w:hAnsi="Arial" w:cs="Arial"/>
      <w:vanish/>
      <w:sz w:val="16"/>
      <w:szCs w:val="16"/>
    </w:rPr>
  </w:style>
  <w:style w:type="paragraph" w:customStyle="1" w:styleId="78">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autoRedefine/>
    <w:semiHidden/>
    <w:qFormat/>
    <w:uiPriority w:val="99"/>
  </w:style>
  <w:style w:type="character" w:customStyle="1" w:styleId="81">
    <w:name w:val="批注主题 字符1"/>
    <w:basedOn w:val="80"/>
    <w:autoRedefine/>
    <w:semiHidden/>
    <w:qFormat/>
    <w:uiPriority w:val="99"/>
    <w:rPr>
      <w:b/>
      <w:bCs/>
    </w:rPr>
  </w:style>
  <w:style w:type="character" w:customStyle="1" w:styleId="82">
    <w:name w:val="文档结构图 字符1"/>
    <w:basedOn w:val="25"/>
    <w:autoRedefine/>
    <w:semiHidden/>
    <w:qFormat/>
    <w:uiPriority w:val="99"/>
    <w:rPr>
      <w:rFonts w:ascii="Microsoft YaHei UI" w:eastAsia="Microsoft YaHei UI"/>
      <w:sz w:val="18"/>
      <w:szCs w:val="18"/>
    </w:rPr>
  </w:style>
  <w:style w:type="character" w:customStyle="1" w:styleId="83">
    <w:name w:val="正文文本 字符"/>
    <w:basedOn w:val="25"/>
    <w:link w:val="10"/>
    <w:autoRedefine/>
    <w:qFormat/>
    <w:uiPriority w:val="99"/>
    <w:rPr>
      <w:rFonts w:ascii="Times New Roman" w:hAnsi="Times New Roman" w:eastAsia="宋体" w:cs="Times New Roman"/>
      <w:sz w:val="28"/>
      <w:szCs w:val="24"/>
    </w:rPr>
  </w:style>
  <w:style w:type="character" w:customStyle="1" w:styleId="84">
    <w:name w:val="批注框文本 字符"/>
    <w:basedOn w:val="25"/>
    <w:link w:val="15"/>
    <w:autoRedefine/>
    <w:qFormat/>
    <w:uiPriority w:val="0"/>
    <w:rPr>
      <w:rFonts w:ascii="Times New Roman" w:hAnsi="Times New Roman" w:eastAsia="宋体" w:cs="Times New Roman"/>
      <w:sz w:val="18"/>
      <w:szCs w:val="18"/>
    </w:rPr>
  </w:style>
  <w:style w:type="character" w:customStyle="1" w:styleId="85">
    <w:name w:val="正文文本缩进 字符3"/>
    <w:basedOn w:val="25"/>
    <w:autoRedefine/>
    <w:semiHidden/>
    <w:qFormat/>
    <w:uiPriority w:val="99"/>
  </w:style>
  <w:style w:type="character" w:customStyle="1" w:styleId="86">
    <w:name w:val="日期 字符"/>
    <w:basedOn w:val="25"/>
    <w:link w:val="14"/>
    <w:autoRedefine/>
    <w:qFormat/>
    <w:uiPriority w:val="0"/>
    <w:rPr>
      <w:rFonts w:ascii="Times New Roman" w:hAnsi="Times New Roman" w:eastAsia="楷体_GB2312" w:cs="Times New Roman"/>
      <w:sz w:val="32"/>
      <w:szCs w:val="20"/>
    </w:rPr>
  </w:style>
  <w:style w:type="character" w:customStyle="1" w:styleId="87">
    <w:name w:val="纯文本 字符3"/>
    <w:basedOn w:val="25"/>
    <w:autoRedefine/>
    <w:semiHidden/>
    <w:qFormat/>
    <w:uiPriority w:val="99"/>
    <w:rPr>
      <w:rFonts w:hAnsi="Courier New" w:cs="Courier New" w:asciiTheme="minorEastAsia"/>
    </w:rPr>
  </w:style>
  <w:style w:type="character" w:customStyle="1" w:styleId="88">
    <w:name w:val="正文文本首行缩进 2 字符"/>
    <w:basedOn w:val="85"/>
    <w:link w:val="22"/>
    <w:autoRedefine/>
    <w:qFormat/>
    <w:uiPriority w:val="99"/>
    <w:rPr>
      <w:rFonts w:ascii="宋体" w:hAnsi="Courier New"/>
      <w:spacing w:val="-4"/>
      <w:sz w:val="18"/>
    </w:rPr>
  </w:style>
  <w:style w:type="character" w:customStyle="1" w:styleId="89">
    <w:name w:val="z-窗体底端 字符1"/>
    <w:basedOn w:val="25"/>
    <w:autoRedefine/>
    <w:semiHidden/>
    <w:qFormat/>
    <w:uiPriority w:val="99"/>
    <w:rPr>
      <w:rFonts w:ascii="Arial" w:hAnsi="Arial" w:cs="Arial"/>
      <w:vanish/>
      <w:sz w:val="16"/>
      <w:szCs w:val="16"/>
    </w:rPr>
  </w:style>
  <w:style w:type="paragraph" w:customStyle="1" w:styleId="90">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autoRedefine/>
    <w:qFormat/>
    <w:uiPriority w:val="0"/>
    <w:rPr>
      <w:rFonts w:ascii="Tahoma" w:hAnsi="Tahoma" w:eastAsia="宋体" w:cs="Times New Roman"/>
      <w:sz w:val="24"/>
      <w:szCs w:val="20"/>
    </w:rPr>
  </w:style>
  <w:style w:type="paragraph" w:customStyle="1" w:styleId="96">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7">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3">
    <w:name w:val="标题 10"/>
    <w:basedOn w:val="3"/>
    <w:autoRedefine/>
    <w:qFormat/>
    <w:uiPriority w:val="0"/>
    <w:pPr>
      <w:jc w:val="center"/>
    </w:pPr>
    <w:rPr>
      <w:kern w:val="0"/>
    </w:rPr>
  </w:style>
  <w:style w:type="character" w:customStyle="1" w:styleId="104">
    <w:name w:val="未处理的提及1"/>
    <w:autoRedefine/>
    <w:semiHidden/>
    <w:unhideWhenUsed/>
    <w:qFormat/>
    <w:uiPriority w:val="99"/>
    <w:rPr>
      <w:color w:val="605E5C"/>
      <w:shd w:val="clear" w:color="auto" w:fill="E1DFDD"/>
    </w:rPr>
  </w:style>
  <w:style w:type="character" w:customStyle="1" w:styleId="105">
    <w:name w:val="未处理的提及2"/>
    <w:basedOn w:val="25"/>
    <w:autoRedefine/>
    <w:semiHidden/>
    <w:unhideWhenUsed/>
    <w:qFormat/>
    <w:uiPriority w:val="99"/>
    <w:rPr>
      <w:color w:val="605E5C"/>
      <w:shd w:val="clear" w:color="auto" w:fill="E1DFDD"/>
    </w:rPr>
  </w:style>
  <w:style w:type="character" w:customStyle="1" w:styleId="106">
    <w:name w:val="Unresolved Mention"/>
    <w:basedOn w:val="25"/>
    <w:autoRedefine/>
    <w:semiHidden/>
    <w:unhideWhenUsed/>
    <w:qFormat/>
    <w:uiPriority w:val="99"/>
    <w:rPr>
      <w:color w:val="605E5C"/>
      <w:shd w:val="clear" w:color="auto" w:fill="E1DFDD"/>
    </w:rPr>
  </w:style>
  <w:style w:type="character" w:customStyle="1" w:styleId="107">
    <w:name w:val="正文2 Char Char"/>
    <w:link w:val="98"/>
    <w:autoRedefine/>
    <w:qFormat/>
    <w:uiPriority w:val="0"/>
    <w:rPr>
      <w:kern w:val="2"/>
      <w:sz w:val="24"/>
    </w:rPr>
  </w:style>
  <w:style w:type="table" w:customStyle="1" w:styleId="108">
    <w:name w:val="网格型1"/>
    <w:basedOn w:val="2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19642</Words>
  <Characters>20716</Characters>
  <Lines>220</Lines>
  <Paragraphs>61</Paragraphs>
  <TotalTime>33</TotalTime>
  <ScaleCrop>false</ScaleCrop>
  <LinksUpToDate>false</LinksUpToDate>
  <CharactersWithSpaces>20785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2021-05-14T13:24:00Z</dcterms:created>
  <dc:creator>hj j</dc:creator>
  <cp:lastModifiedBy>蒋晗</cp:lastModifiedBy>
  <cp:lastPrinted>2022-11-01T08:58:00Z</cp:lastPrinted>
  <dcterms:modified xsi:type="dcterms:W3CDTF">2024-12-13T14:21:41Z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2E6200A5C9E6493DB9358EE523BE9FBE_13</vt:lpwstr>
  </property>
</Properties>
</file>