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rPr>
      </w:pPr>
    </w:p>
    <w:p w14:paraId="312EED65">
      <w:pPr>
        <w:adjustRightInd w:val="0"/>
        <w:snapToGrid w:val="0"/>
        <w:spacing w:line="288" w:lineRule="auto"/>
        <w:rPr>
          <w:rFonts w:ascii="楷体" w:hAnsi="楷体" w:eastAsia="楷体" w:cs="Times New Roman"/>
          <w:b/>
          <w:spacing w:val="-6"/>
          <w:sz w:val="44"/>
          <w:szCs w:val="44"/>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浙江科技大学</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数字化技术与智能制造产教融合实训基地（中德科创中心）EPC项目全过程跟踪审计</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数字化技术与智能制造产教融合实训基地（中德科创中心）EPC项目全过程跟踪审计</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QSZB-Z(F)-B24629(CS)</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浙江科技大学</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346AD5F0">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Times New Roman"/>
          <w:b/>
          <w:spacing w:val="-6"/>
          <w:sz w:val="30"/>
          <w:szCs w:val="30"/>
          <w:highlight w:val="none"/>
          <w:lang w:eastAsia="zh-CN"/>
        </w:rPr>
        <w:t>[2024]86897号</w:t>
      </w:r>
    </w:p>
    <w:p w14:paraId="4A903F3C">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14:paraId="73DE392D">
      <w:pPr>
        <w:adjustRightInd w:val="0"/>
        <w:snapToGrid w:val="0"/>
        <w:spacing w:line="288" w:lineRule="auto"/>
        <w:rPr>
          <w:rFonts w:ascii="楷体" w:hAnsi="楷体" w:eastAsia="楷体" w:cs="楷体"/>
          <w:b/>
          <w:bCs/>
          <w:sz w:val="30"/>
          <w:szCs w:val="30"/>
        </w:rPr>
      </w:pPr>
    </w:p>
    <w:p w14:paraId="16272DD0">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45412A3A">
      <w:pPr>
        <w:adjustRightInd w:val="0"/>
        <w:snapToGrid w:val="0"/>
        <w:spacing w:line="288" w:lineRule="auto"/>
        <w:rPr>
          <w:rFonts w:ascii="楷体" w:hAnsi="楷体" w:eastAsia="楷体" w:cs="楷体"/>
          <w:b/>
          <w:bCs/>
          <w:sz w:val="30"/>
          <w:szCs w:val="30"/>
        </w:rPr>
      </w:pPr>
    </w:p>
    <w:p w14:paraId="6E88E5FC">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14:paraId="6C578868">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14:paraId="01638A8A">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14:paraId="2DF40C1F">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14:paraId="478E9949">
      <w:pPr>
        <w:widowControl/>
        <w:jc w:val="left"/>
      </w:pPr>
    </w:p>
    <w:p w14:paraId="7626B074">
      <w:pPr>
        <w:widowControl/>
        <w:jc w:val="left"/>
        <w:sectPr>
          <w:headerReference r:id="rId3" w:type="default"/>
          <w:footerReference r:id="rId4" w:type="default"/>
          <w:pgSz w:w="11905" w:h="16838"/>
          <w:pgMar w:top="1247" w:right="1247" w:bottom="1247" w:left="1247" w:header="113" w:footer="992" w:gutter="0"/>
          <w:pgNumType w:start="1"/>
          <w:cols w:space="0" w:num="1"/>
          <w:rtlGutter w:val="0"/>
          <w:docGrid w:linePitch="312" w:charSpace="0"/>
        </w:sectPr>
      </w:pPr>
    </w:p>
    <w:p w14:paraId="31D419CE">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数字化技术与智能制造产教融合实训基地（中德科创中心）EPC项目全过程跟踪审计</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2024年12月13日09:00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14:paraId="27AB13CC">
      <w:pPr>
        <w:adjustRightInd w:val="0"/>
        <w:snapToGrid w:val="0"/>
        <w:spacing w:line="288" w:lineRule="auto"/>
        <w:rPr>
          <w:b/>
          <w:sz w:val="21"/>
          <w:szCs w:val="21"/>
          <w:highlight w:val="none"/>
        </w:rPr>
      </w:pPr>
      <w:bookmarkStart w:id="0" w:name="_Toc35393790"/>
      <w:bookmarkStart w:id="1" w:name="_Toc28359079"/>
      <w:bookmarkStart w:id="2" w:name="_Toc28359002"/>
      <w:bookmarkStart w:id="3" w:name="_Toc35393621"/>
      <w:bookmarkStart w:id="4" w:name="_Hlk24379207"/>
      <w:r>
        <w:rPr>
          <w:rFonts w:hint="eastAsia"/>
          <w:b/>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QSZB-Z(F)-B24629(CS)</w:t>
      </w:r>
    </w:p>
    <w:p w14:paraId="17454952">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数字化技术与智能制造产教融合实训基地（中德科创中心）EPC项目全过程跟踪审计</w:t>
      </w:r>
    </w:p>
    <w:p w14:paraId="45DC75C7">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186D1064">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600000元</w:t>
      </w:r>
    </w:p>
    <w:p w14:paraId="0A334808">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600000元</w:t>
      </w:r>
    </w:p>
    <w:p w14:paraId="79A3FC8D">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合同履约期限：自合同签订之日起开始实施，至提交完整全过程跟踪审计报告及工程竣工结算报告等咨询材料之日止</w:t>
      </w:r>
    </w:p>
    <w:p w14:paraId="40F57CEA">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71894DE5">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4"/>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47D875DD">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829" w:type="pct"/>
            <w:tcBorders>
              <w:right w:val="single" w:color="auto" w:sz="4" w:space="0"/>
              <w:tl2br w:val="nil"/>
              <w:tr2bl w:val="nil"/>
            </w:tcBorders>
            <w:vAlign w:val="center"/>
          </w:tcPr>
          <w:p w14:paraId="6D3BB639">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430" w:type="pct"/>
            <w:tcBorders>
              <w:tl2br w:val="nil"/>
              <w:tr2bl w:val="nil"/>
            </w:tcBorders>
            <w:vAlign w:val="center"/>
          </w:tcPr>
          <w:p w14:paraId="05A6AF33">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431" w:type="pct"/>
            <w:tcBorders>
              <w:tl2br w:val="nil"/>
              <w:tr2bl w:val="nil"/>
            </w:tcBorders>
            <w:vAlign w:val="center"/>
          </w:tcPr>
          <w:p w14:paraId="37CF11AC">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1898" w:type="pct"/>
            <w:tcBorders>
              <w:right w:val="single" w:color="auto" w:sz="4" w:space="0"/>
              <w:tl2br w:val="nil"/>
              <w:tr2bl w:val="nil"/>
            </w:tcBorders>
            <w:vAlign w:val="center"/>
          </w:tcPr>
          <w:p w14:paraId="794B95D7">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5486C266">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一</w:t>
            </w:r>
          </w:p>
        </w:tc>
        <w:tc>
          <w:tcPr>
            <w:tcW w:w="1829" w:type="pct"/>
            <w:tcBorders>
              <w:right w:val="single" w:color="auto" w:sz="4" w:space="0"/>
              <w:tl2br w:val="nil"/>
              <w:tr2bl w:val="nil"/>
            </w:tcBorders>
            <w:vAlign w:val="center"/>
          </w:tcPr>
          <w:p w14:paraId="2C923CBB">
            <w:pPr>
              <w:adjustRightInd w:val="0"/>
              <w:snapToGrid w:val="0"/>
              <w:spacing w:line="288" w:lineRule="auto"/>
              <w:jc w:val="center"/>
              <w:rPr>
                <w:bCs/>
                <w:sz w:val="21"/>
                <w:szCs w:val="21"/>
                <w:highlight w:val="none"/>
              </w:rPr>
            </w:pPr>
            <w:r>
              <w:rPr>
                <w:rFonts w:hint="eastAsia"/>
                <w:sz w:val="21"/>
                <w:szCs w:val="21"/>
                <w:highlight w:val="none"/>
                <w:lang w:eastAsia="zh-CN"/>
              </w:rPr>
              <w:t>数字化技术与智能制造产教融合实训基地（中德科创中心）EPC项目全过程跟踪审计</w:t>
            </w:r>
          </w:p>
        </w:tc>
        <w:tc>
          <w:tcPr>
            <w:tcW w:w="430" w:type="pct"/>
            <w:tcBorders>
              <w:tl2br w:val="nil"/>
              <w:tr2bl w:val="nil"/>
            </w:tcBorders>
            <w:vAlign w:val="center"/>
          </w:tcPr>
          <w:p w14:paraId="1F724F75">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431" w:type="pct"/>
            <w:tcBorders>
              <w:tl2br w:val="nil"/>
              <w:tr2bl w:val="nil"/>
            </w:tcBorders>
            <w:vAlign w:val="center"/>
          </w:tcPr>
          <w:p w14:paraId="41F221C0">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项</w:t>
            </w:r>
          </w:p>
        </w:tc>
        <w:tc>
          <w:tcPr>
            <w:tcW w:w="1898" w:type="pct"/>
            <w:tcBorders>
              <w:right w:val="single" w:color="auto" w:sz="4" w:space="0"/>
              <w:tl2br w:val="nil"/>
              <w:tr2bl w:val="nil"/>
            </w:tcBorders>
            <w:vAlign w:val="center"/>
          </w:tcPr>
          <w:p w14:paraId="4D08AB81">
            <w:pPr>
              <w:adjustRightInd w:val="0"/>
              <w:snapToGrid w:val="0"/>
              <w:spacing w:line="288" w:lineRule="auto"/>
              <w:jc w:val="left"/>
              <w:rPr>
                <w:rFonts w:hint="default" w:eastAsia="宋体"/>
                <w:bCs/>
                <w:sz w:val="21"/>
                <w:szCs w:val="21"/>
                <w:highlight w:val="none"/>
                <w:lang w:val="en-US" w:eastAsia="zh-CN"/>
              </w:rPr>
            </w:pPr>
            <w:r>
              <w:rPr>
                <w:rFonts w:hint="eastAsia"/>
                <w:bCs/>
                <w:sz w:val="21"/>
                <w:szCs w:val="21"/>
                <w:highlight w:val="none"/>
                <w:lang w:eastAsia="zh-CN"/>
              </w:rPr>
              <w:t>数字化技术与智能制造产教融合实训基地（中德科创中心）EPC项目全过程造价咨询，</w:t>
            </w:r>
            <w:r>
              <w:rPr>
                <w:rFonts w:hint="eastAsia"/>
                <w:bCs/>
                <w:sz w:val="21"/>
                <w:szCs w:val="21"/>
                <w:highlight w:val="none"/>
                <w:lang w:val="en-US" w:eastAsia="zh-CN"/>
              </w:rPr>
              <w:t>具体详见第二章采购需求</w:t>
            </w:r>
          </w:p>
        </w:tc>
      </w:tr>
    </w:tbl>
    <w:p w14:paraId="2CF9088B">
      <w:pPr>
        <w:adjustRightInd w:val="0"/>
        <w:snapToGrid w:val="0"/>
        <w:spacing w:line="288" w:lineRule="auto"/>
        <w:rPr>
          <w:b/>
          <w:sz w:val="21"/>
          <w:szCs w:val="21"/>
          <w:highlight w:val="none"/>
        </w:rPr>
      </w:pPr>
      <w:bookmarkStart w:id="5" w:name="_Toc35393622"/>
      <w:bookmarkStart w:id="6" w:name="_Toc28359080"/>
      <w:bookmarkStart w:id="7" w:name="_Toc28359003"/>
      <w:bookmarkStart w:id="8" w:name="_Toc35393791"/>
      <w:r>
        <w:rPr>
          <w:rFonts w:hint="eastAsia"/>
          <w:b/>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sz w:val="21"/>
          <w:szCs w:val="21"/>
          <w:highlight w:val="none"/>
        </w:rPr>
      </w:pPr>
      <w:bookmarkStart w:id="9" w:name="_Toc28359004"/>
      <w:bookmarkStart w:id="10" w:name="_Toc28359081"/>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6165EED8">
      <w:pPr>
        <w:adjustRightInd w:val="0"/>
        <w:snapToGrid w:val="0"/>
        <w:spacing w:line="288" w:lineRule="auto"/>
        <w:ind w:firstLine="420" w:firstLineChars="200"/>
        <w:rPr>
          <w:rFonts w:hint="eastAsia" w:ascii="宋体" w:hAnsi="宋体"/>
          <w:sz w:val="21"/>
          <w:szCs w:val="21"/>
          <w:highlight w:val="none"/>
        </w:rPr>
      </w:pPr>
      <w:r>
        <w:rPr>
          <w:rFonts w:hint="eastAsia" w:cs="Times New Roman"/>
          <w:sz w:val="21"/>
          <w:szCs w:val="21"/>
          <w:highlight w:val="none"/>
        </w:rPr>
        <w:t>2.落实政府采购政策需满足的资格要求：</w:t>
      </w:r>
      <w:r>
        <w:rPr>
          <w:rFonts w:hint="eastAsia" w:ascii="宋体" w:hAnsi="宋体"/>
          <w:sz w:val="21"/>
          <w:szCs w:val="21"/>
          <w:highlight w:val="none"/>
        </w:rPr>
        <w:t>本项目专门面向中小企业采购，需按要求提交《中小企业声明函》。</w:t>
      </w:r>
    </w:p>
    <w:p w14:paraId="70FFDE0E">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√服务全部由中小企业承接，即提供服务的人员为中小企业依照《中华人民共和国劳动合同法》订立劳动合同的从业人员</w:t>
      </w:r>
    </w:p>
    <w:p w14:paraId="500B8AAD">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监狱企业、残疾人福利性单位视同小型、微型企业；</w:t>
      </w:r>
    </w:p>
    <w:p w14:paraId="447E0FFB">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本项目属性为：服务</w:t>
      </w:r>
    </w:p>
    <w:p w14:paraId="28F8671D">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采购标的对应的中小企业划分标准所属行业：其他未列明行业</w:t>
      </w:r>
    </w:p>
    <w:p w14:paraId="241EF84A">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2D634466">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14:paraId="7CCBAA3A">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sz w:val="21"/>
          <w:szCs w:val="21"/>
          <w:highlight w:val="none"/>
        </w:rPr>
      </w:pPr>
      <w:bookmarkStart w:id="13" w:name="_Toc35393793"/>
      <w:bookmarkStart w:id="14" w:name="_Toc28359082"/>
      <w:bookmarkStart w:id="15" w:name="_Toc35393624"/>
      <w:bookmarkStart w:id="16" w:name="_Toc28359005"/>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w:t>
      </w:r>
      <w:r>
        <w:rPr>
          <w:rFonts w:hint="eastAsia"/>
          <w:sz w:val="21"/>
          <w:szCs w:val="21"/>
          <w:highlight w:val="none"/>
          <w:lang w:eastAsia="zh-CN"/>
        </w:rPr>
        <w:t>2024年12月13日</w:t>
      </w:r>
      <w:r>
        <w:rPr>
          <w:rFonts w:hint="eastAsia"/>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561412F5">
      <w:pPr>
        <w:adjustRightInd w:val="0"/>
        <w:snapToGrid w:val="0"/>
        <w:spacing w:line="288" w:lineRule="auto"/>
        <w:ind w:firstLine="420" w:firstLineChars="200"/>
        <w:rPr>
          <w:sz w:val="21"/>
          <w:szCs w:val="21"/>
          <w:highlight w:val="none"/>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w:t>
      </w:r>
      <w:r>
        <w:rPr>
          <w:sz w:val="21"/>
          <w:szCs w:val="21"/>
          <w:highlight w:val="none"/>
        </w:rPr>
        <w:t>，在获取采购文件菜单中选择项目，申请获取采购文件）</w:t>
      </w:r>
    </w:p>
    <w:p w14:paraId="2E1C3A96">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53FBF7D3">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2050A618">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2024年12月13日09:00</w:t>
      </w:r>
      <w:r>
        <w:rPr>
          <w:rFonts w:hint="eastAsia"/>
          <w:bCs/>
          <w:sz w:val="21"/>
          <w:szCs w:val="21"/>
          <w:highlight w:val="none"/>
        </w:rPr>
        <w:t>:00（北京时间）</w:t>
      </w:r>
    </w:p>
    <w:p w14:paraId="054E4FEF">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334578BA">
      <w:pPr>
        <w:adjustRightInd w:val="0"/>
        <w:snapToGrid w:val="0"/>
        <w:spacing w:line="288" w:lineRule="auto"/>
        <w:rPr>
          <w:b/>
          <w:sz w:val="21"/>
          <w:szCs w:val="21"/>
          <w:highlight w:val="none"/>
        </w:rPr>
      </w:pPr>
      <w:bookmarkStart w:id="17" w:name="_Toc28359084"/>
      <w:bookmarkStart w:id="18" w:name="_Toc28359007"/>
      <w:bookmarkStart w:id="19" w:name="_Toc35393625"/>
      <w:bookmarkStart w:id="20" w:name="_Toc35393794"/>
      <w:r>
        <w:rPr>
          <w:rFonts w:hint="eastAsia"/>
          <w:b/>
          <w:sz w:val="21"/>
          <w:szCs w:val="21"/>
          <w:highlight w:val="none"/>
        </w:rPr>
        <w:t>五、响应文件开启</w:t>
      </w:r>
    </w:p>
    <w:p w14:paraId="6377BE2D">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2024年12月13日09:00</w:t>
      </w:r>
      <w:r>
        <w:rPr>
          <w:rFonts w:hint="eastAsia"/>
          <w:bCs/>
          <w:sz w:val="21"/>
          <w:szCs w:val="21"/>
          <w:highlight w:val="none"/>
        </w:rPr>
        <w:t>:00（北京时间）</w:t>
      </w:r>
    </w:p>
    <w:p w14:paraId="04AC819D">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16</w:t>
      </w:r>
      <w:bookmarkStart w:id="191" w:name="_GoBack"/>
      <w:bookmarkEnd w:id="191"/>
      <w:r>
        <w:rPr>
          <w:rFonts w:hint="eastAsia" w:cs="Times New Roman"/>
          <w:sz w:val="21"/>
          <w:szCs w:val="21"/>
          <w:highlight w:val="none"/>
        </w:rPr>
        <w:t>楼（求是招标会议室</w:t>
      </w:r>
      <w:r>
        <w:rPr>
          <w:rFonts w:hint="eastAsia" w:cs="Times New Roman"/>
          <w:sz w:val="21"/>
          <w:szCs w:val="21"/>
          <w:highlight w:val="none"/>
          <w:lang w:val="en-US" w:eastAsia="zh-CN"/>
        </w:rPr>
        <w:t>5</w:t>
      </w:r>
      <w:r>
        <w:rPr>
          <w:rFonts w:hint="eastAsia" w:cs="Times New Roman"/>
          <w:sz w:val="21"/>
          <w:szCs w:val="21"/>
          <w:highlight w:val="none"/>
        </w:rPr>
        <w:t>）</w:t>
      </w:r>
    </w:p>
    <w:p w14:paraId="4BA32938">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14:paraId="5281722C">
      <w:pPr>
        <w:adjustRightInd w:val="0"/>
        <w:snapToGrid w:val="0"/>
        <w:spacing w:line="288" w:lineRule="auto"/>
        <w:rPr>
          <w:b/>
          <w:sz w:val="21"/>
          <w:szCs w:val="21"/>
          <w:highlight w:val="none"/>
        </w:rPr>
      </w:pPr>
      <w:bookmarkStart w:id="21" w:name="_Toc35393626"/>
      <w:bookmarkStart w:id="22" w:name="_Toc35393795"/>
      <w:r>
        <w:rPr>
          <w:rFonts w:hint="eastAsia"/>
          <w:b/>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sz w:val="21"/>
          <w:szCs w:val="21"/>
        </w:rPr>
      </w:pPr>
      <w:bookmarkStart w:id="23" w:name="_Hlk97039575"/>
      <w:bookmarkStart w:id="24" w:name="_Toc28359008"/>
      <w:bookmarkStart w:id="25" w:name="_Toc35393627"/>
      <w:bookmarkStart w:id="26" w:name="_Toc35393796"/>
      <w:bookmarkStart w:id="27" w:name="_Toc28359085"/>
      <w:r>
        <w:rPr>
          <w:rFonts w:cs="Times New Roman"/>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w:t>
      </w:r>
      <w:r>
        <w:rPr>
          <w:rFonts w:cs="Times New Roman"/>
          <w:sz w:val="21"/>
          <w:szCs w:val="21"/>
        </w:rPr>
        <w:t>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14:paraId="0671AC44">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14:paraId="6436FD3D">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color w:val="auto"/>
          <w:sz w:val="21"/>
          <w:szCs w:val="21"/>
        </w:rPr>
      </w:pPr>
      <w:r>
        <w:rPr>
          <w:color w:val="auto"/>
          <w:sz w:val="21"/>
          <w:szCs w:val="21"/>
        </w:rPr>
        <w:t>1.采购人信息</w:t>
      </w:r>
    </w:p>
    <w:p w14:paraId="5E251956">
      <w:pPr>
        <w:adjustRightInd w:val="0"/>
        <w:snapToGrid w:val="0"/>
        <w:spacing w:line="288" w:lineRule="auto"/>
        <w:ind w:firstLine="424" w:firstLineChars="202"/>
        <w:rPr>
          <w:rFonts w:hint="eastAsia" w:eastAsia="宋体"/>
          <w:color w:val="auto"/>
          <w:sz w:val="21"/>
          <w:szCs w:val="21"/>
          <w:lang w:eastAsia="zh-CN"/>
        </w:rPr>
      </w:pPr>
      <w:r>
        <w:rPr>
          <w:rFonts w:hint="eastAsia"/>
          <w:color w:val="auto"/>
          <w:sz w:val="21"/>
          <w:szCs w:val="21"/>
        </w:rPr>
        <w:t>名称：</w:t>
      </w:r>
      <w:r>
        <w:rPr>
          <w:rFonts w:hint="eastAsia"/>
          <w:color w:val="auto"/>
          <w:sz w:val="21"/>
          <w:szCs w:val="21"/>
          <w:lang w:eastAsia="zh-CN"/>
        </w:rPr>
        <w:t>浙江科技大学</w:t>
      </w:r>
    </w:p>
    <w:p w14:paraId="6E2D29D0">
      <w:pPr>
        <w:adjustRightInd w:val="0"/>
        <w:snapToGrid w:val="0"/>
        <w:spacing w:line="288" w:lineRule="auto"/>
        <w:ind w:firstLine="424" w:firstLineChars="20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项目联系人（询问）：</w:t>
      </w:r>
      <w:r>
        <w:rPr>
          <w:rFonts w:hint="eastAsia" w:cs="Times New Roman"/>
          <w:color w:val="auto"/>
          <w:sz w:val="21"/>
          <w:szCs w:val="21"/>
          <w:highlight w:val="none"/>
          <w:lang w:val="en-US" w:eastAsia="zh-CN"/>
        </w:rPr>
        <w:t>华</w:t>
      </w:r>
      <w:r>
        <w:rPr>
          <w:rFonts w:hint="eastAsia" w:ascii="宋体" w:hAnsi="宋体" w:eastAsia="宋体" w:cs="Times New Roman"/>
          <w:color w:val="auto"/>
          <w:sz w:val="21"/>
          <w:szCs w:val="21"/>
          <w:highlight w:val="none"/>
          <w:lang w:val="en-US" w:eastAsia="zh-CN"/>
        </w:rPr>
        <w:t>老师</w:t>
      </w:r>
    </w:p>
    <w:p w14:paraId="43E2421C">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项目联系方式（询问）：</w:t>
      </w:r>
      <w:r>
        <w:rPr>
          <w:rFonts w:hint="eastAsia" w:ascii="宋体" w:hAnsi="宋体" w:eastAsia="宋体" w:cs="Times New Roman"/>
          <w:color w:val="auto"/>
          <w:sz w:val="21"/>
          <w:szCs w:val="21"/>
          <w:highlight w:val="none"/>
          <w:lang w:eastAsia="zh-CN"/>
        </w:rPr>
        <w:t>0571-85070102</w:t>
      </w:r>
    </w:p>
    <w:p w14:paraId="6A3747B6">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质疑联系人：</w:t>
      </w:r>
      <w:r>
        <w:rPr>
          <w:rFonts w:hint="eastAsia" w:ascii="宋体" w:hAnsi="宋体" w:eastAsia="宋体" w:cs="Times New Roman"/>
          <w:color w:val="auto"/>
          <w:sz w:val="21"/>
          <w:szCs w:val="21"/>
          <w:highlight w:val="none"/>
          <w:lang w:val="en-US" w:eastAsia="zh-CN"/>
        </w:rPr>
        <w:t>田老师</w:t>
      </w:r>
    </w:p>
    <w:p w14:paraId="631E9861">
      <w:pPr>
        <w:adjustRightInd w:val="0"/>
        <w:snapToGrid w:val="0"/>
        <w:spacing w:line="288" w:lineRule="auto"/>
        <w:ind w:firstLine="424" w:firstLineChars="202"/>
        <w:rPr>
          <w:color w:val="auto"/>
          <w:sz w:val="21"/>
          <w:szCs w:val="21"/>
        </w:rPr>
      </w:pPr>
      <w:r>
        <w:rPr>
          <w:rFonts w:hint="eastAsia" w:ascii="宋体" w:hAnsi="宋体" w:eastAsia="宋体" w:cs="Times New Roman"/>
          <w:color w:val="auto"/>
          <w:sz w:val="21"/>
          <w:szCs w:val="21"/>
          <w:highlight w:val="none"/>
        </w:rPr>
        <w:t>质疑联系方式：0571-85070191</w:t>
      </w:r>
    </w:p>
    <w:p w14:paraId="7F76E497">
      <w:pPr>
        <w:adjustRightInd w:val="0"/>
        <w:snapToGrid w:val="0"/>
        <w:spacing w:line="288" w:lineRule="auto"/>
        <w:ind w:firstLine="424" w:firstLineChars="202"/>
        <w:rPr>
          <w:color w:val="auto"/>
          <w:sz w:val="21"/>
          <w:szCs w:val="21"/>
        </w:rPr>
      </w:pPr>
    </w:p>
    <w:p w14:paraId="71E0BFF3">
      <w:pPr>
        <w:adjustRightInd w:val="0"/>
        <w:snapToGrid w:val="0"/>
        <w:spacing w:line="288" w:lineRule="auto"/>
        <w:ind w:firstLine="424" w:firstLineChars="202"/>
        <w:rPr>
          <w:color w:val="auto"/>
          <w:sz w:val="21"/>
          <w:szCs w:val="21"/>
        </w:rPr>
      </w:pPr>
      <w:r>
        <w:rPr>
          <w:color w:val="auto"/>
          <w:sz w:val="21"/>
          <w:szCs w:val="21"/>
        </w:rPr>
        <w:t>2.采购代理机构信息</w:t>
      </w:r>
    </w:p>
    <w:p w14:paraId="74AAD1D0">
      <w:pPr>
        <w:adjustRightInd w:val="0"/>
        <w:snapToGrid w:val="0"/>
        <w:spacing w:line="288" w:lineRule="auto"/>
        <w:ind w:firstLine="424" w:firstLineChars="202"/>
        <w:rPr>
          <w:color w:val="auto"/>
          <w:sz w:val="21"/>
          <w:szCs w:val="21"/>
        </w:rPr>
      </w:pPr>
      <w:r>
        <w:rPr>
          <w:rFonts w:hint="eastAsia"/>
          <w:color w:val="auto"/>
          <w:sz w:val="21"/>
          <w:szCs w:val="21"/>
        </w:rPr>
        <w:t>名称：浙江求是招标代理有限公司</w:t>
      </w:r>
    </w:p>
    <w:p w14:paraId="3F0D9AAE">
      <w:pPr>
        <w:adjustRightInd w:val="0"/>
        <w:snapToGrid w:val="0"/>
        <w:spacing w:line="288" w:lineRule="auto"/>
        <w:ind w:firstLine="424" w:firstLineChars="202"/>
        <w:rPr>
          <w:color w:val="auto"/>
          <w:sz w:val="21"/>
          <w:szCs w:val="21"/>
        </w:rPr>
      </w:pPr>
      <w:r>
        <w:rPr>
          <w:rFonts w:hint="eastAsia"/>
          <w:color w:val="auto"/>
          <w:sz w:val="21"/>
          <w:szCs w:val="21"/>
        </w:rPr>
        <w:t>地址：杭州市西湖区玉古路</w:t>
      </w:r>
      <w:r>
        <w:rPr>
          <w:color w:val="auto"/>
          <w:sz w:val="21"/>
          <w:szCs w:val="21"/>
        </w:rPr>
        <w:t>173号中田大厦21楼</w:t>
      </w:r>
    </w:p>
    <w:p w14:paraId="618D9E44">
      <w:pPr>
        <w:adjustRightInd w:val="0"/>
        <w:snapToGrid w:val="0"/>
        <w:spacing w:line="288" w:lineRule="auto"/>
        <w:ind w:firstLine="424" w:firstLineChars="202"/>
        <w:rPr>
          <w:color w:val="auto"/>
          <w:sz w:val="21"/>
          <w:szCs w:val="21"/>
          <w:highlight w:val="none"/>
        </w:rPr>
      </w:pPr>
      <w:r>
        <w:rPr>
          <w:rFonts w:hint="eastAsia"/>
          <w:color w:val="auto"/>
          <w:sz w:val="21"/>
          <w:szCs w:val="21"/>
        </w:rPr>
        <w:t>传真：</w:t>
      </w:r>
      <w:r>
        <w:rPr>
          <w:color w:val="auto"/>
          <w:sz w:val="21"/>
          <w:szCs w:val="21"/>
        </w:rPr>
        <w:t>/</w:t>
      </w:r>
    </w:p>
    <w:p w14:paraId="26F23CB8">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eastAsia="zh-CN"/>
        </w:rPr>
        <w:t>阙家珍、</w:t>
      </w:r>
      <w:r>
        <w:rPr>
          <w:rFonts w:hint="eastAsia"/>
          <w:color w:val="auto"/>
          <w:sz w:val="21"/>
          <w:szCs w:val="21"/>
          <w:highlight w:val="none"/>
          <w:lang w:val="en-US" w:eastAsia="zh-CN"/>
        </w:rPr>
        <w:t>陈应俭</w:t>
      </w:r>
    </w:p>
    <w:p w14:paraId="515045AD">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项目联系方式（询问）：0571-8</w:t>
      </w:r>
      <w:r>
        <w:rPr>
          <w:rFonts w:hint="eastAsia"/>
          <w:color w:val="auto"/>
          <w:sz w:val="21"/>
          <w:szCs w:val="21"/>
          <w:highlight w:val="none"/>
          <w:lang w:eastAsia="zh-CN"/>
        </w:rPr>
        <w:t>7670301</w:t>
      </w:r>
    </w:p>
    <w:p w14:paraId="712786C1">
      <w:pPr>
        <w:adjustRightInd w:val="0"/>
        <w:snapToGrid w:val="0"/>
        <w:spacing w:line="288" w:lineRule="auto"/>
        <w:ind w:firstLine="424" w:firstLineChars="202"/>
        <w:rPr>
          <w:rFonts w:hint="eastAsia" w:eastAsia="宋体"/>
          <w:color w:val="auto"/>
          <w:sz w:val="21"/>
          <w:szCs w:val="21"/>
          <w:highlight w:val="none"/>
          <w:lang w:val="en-US"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DE582F2">
      <w:pPr>
        <w:adjustRightInd w:val="0"/>
        <w:snapToGrid w:val="0"/>
        <w:spacing w:line="288" w:lineRule="auto"/>
        <w:ind w:firstLine="424" w:firstLineChars="202"/>
        <w:rPr>
          <w:color w:val="auto"/>
          <w:sz w:val="21"/>
          <w:szCs w:val="21"/>
        </w:rPr>
      </w:pPr>
      <w:r>
        <w:rPr>
          <w:rFonts w:hint="eastAsia"/>
          <w:color w:val="auto"/>
          <w:sz w:val="21"/>
          <w:szCs w:val="21"/>
        </w:rPr>
        <w:t>质疑联系方式：</w:t>
      </w:r>
      <w:r>
        <w:rPr>
          <w:color w:val="auto"/>
          <w:sz w:val="21"/>
          <w:szCs w:val="21"/>
        </w:rPr>
        <w:t>0571-81110356</w:t>
      </w:r>
    </w:p>
    <w:p w14:paraId="5F101B4A">
      <w:pPr>
        <w:adjustRightInd w:val="0"/>
        <w:snapToGrid w:val="0"/>
        <w:spacing w:line="288" w:lineRule="auto"/>
        <w:ind w:firstLine="424" w:firstLineChars="202"/>
        <w:rPr>
          <w:color w:val="auto"/>
          <w:sz w:val="21"/>
          <w:szCs w:val="21"/>
        </w:rPr>
      </w:pPr>
      <w:r>
        <w:rPr>
          <w:rFonts w:hint="eastAsia"/>
          <w:color w:val="auto"/>
          <w:sz w:val="21"/>
          <w:szCs w:val="21"/>
        </w:rPr>
        <w:t>质疑邮箱：</w:t>
      </w:r>
      <w:r>
        <w:rPr>
          <w:color w:val="auto"/>
          <w:sz w:val="21"/>
          <w:szCs w:val="21"/>
        </w:rPr>
        <w:t>jdkh@qszb.net</w:t>
      </w:r>
    </w:p>
    <w:p w14:paraId="3AB27184">
      <w:pPr>
        <w:adjustRightInd w:val="0"/>
        <w:snapToGrid w:val="0"/>
        <w:spacing w:line="288" w:lineRule="auto"/>
        <w:ind w:firstLine="424" w:firstLineChars="202"/>
        <w:rPr>
          <w:rFonts w:cs="Times New Roman"/>
          <w:color w:val="auto"/>
          <w:sz w:val="21"/>
          <w:szCs w:val="21"/>
        </w:rPr>
      </w:pPr>
    </w:p>
    <w:p w14:paraId="4C395546">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ascii="宋体" w:hAnsi="宋体" w:eastAsia="宋体" w:cs="Times New Roman"/>
          <w:color w:val="auto"/>
          <w:spacing w:val="-6"/>
          <w:sz w:val="21"/>
          <w:szCs w:val="21"/>
          <w:highlight w:val="none"/>
        </w:rPr>
        <w:t>3.</w:t>
      </w:r>
      <w:r>
        <w:rPr>
          <w:rFonts w:hint="eastAsia" w:ascii="宋体" w:hAnsi="宋体" w:eastAsia="宋体" w:cs="Times New Roman"/>
          <w:color w:val="auto"/>
          <w:spacing w:val="-6"/>
          <w:sz w:val="21"/>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联系人：田老师</w:t>
      </w:r>
    </w:p>
    <w:p w14:paraId="5611E086">
      <w:pPr>
        <w:adjustRightInd w:val="0"/>
        <w:snapToGrid w:val="0"/>
        <w:spacing w:line="288" w:lineRule="auto"/>
        <w:ind w:firstLine="425" w:firstLineChars="215"/>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监督投诉电话：0571-85070191</w:t>
      </w:r>
    </w:p>
    <w:p w14:paraId="7365BA7C">
      <w:pPr>
        <w:adjustRightInd w:val="0"/>
        <w:snapToGrid w:val="0"/>
        <w:spacing w:line="288" w:lineRule="auto"/>
        <w:ind w:firstLine="425" w:firstLineChars="215"/>
        <w:rPr>
          <w:rFonts w:ascii="宋体" w:hAnsi="宋体" w:eastAsia="宋体" w:cs="Times New Roman"/>
          <w:color w:val="auto"/>
          <w:spacing w:val="-6"/>
          <w:sz w:val="21"/>
          <w:szCs w:val="21"/>
          <w:highlight w:val="none"/>
        </w:rPr>
      </w:pPr>
    </w:p>
    <w:p w14:paraId="66E49159">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14:paraId="6B091BB3">
      <w:pPr>
        <w:adjustRightInd w:val="0"/>
        <w:snapToGrid w:val="0"/>
        <w:spacing w:line="288" w:lineRule="auto"/>
        <w:rPr>
          <w:rFonts w:cs="Times New Roman"/>
          <w:spacing w:val="-6"/>
          <w:sz w:val="21"/>
          <w:szCs w:val="21"/>
          <w:highlight w:val="none"/>
        </w:rPr>
      </w:pPr>
    </w:p>
    <w:p w14:paraId="4D79E20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DC2EDD">
      <w:pPr>
        <w:adjustRightInd w:val="0"/>
        <w:snapToGrid w:val="0"/>
        <w:spacing w:line="288" w:lineRule="auto"/>
        <w:rPr>
          <w:sz w:val="21"/>
          <w:szCs w:val="21"/>
        </w:rPr>
      </w:pPr>
      <w:r>
        <w:rPr>
          <w:rFonts w:hint="eastAsia"/>
          <w:sz w:val="21"/>
          <w:szCs w:val="21"/>
        </w:rPr>
        <w:br w:type="page"/>
      </w:r>
    </w:p>
    <w:p w14:paraId="0FB512DA">
      <w:pPr>
        <w:adjustRightInd w:val="0"/>
        <w:snapToGrid w:val="0"/>
        <w:spacing w:line="288" w:lineRule="auto"/>
        <w:jc w:val="center"/>
        <w:outlineLvl w:val="0"/>
        <w:rPr>
          <w:b/>
          <w:bCs/>
          <w:sz w:val="32"/>
          <w:szCs w:val="32"/>
        </w:rPr>
      </w:pPr>
      <w:r>
        <w:rPr>
          <w:rFonts w:hint="eastAsia"/>
          <w:b/>
          <w:bCs/>
          <w:sz w:val="32"/>
          <w:szCs w:val="32"/>
        </w:rPr>
        <w:t>第二章  采购需求</w:t>
      </w:r>
    </w:p>
    <w:p w14:paraId="41821904">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14:paraId="42E106D5">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03790114">
            <w:pPr>
              <w:adjustRightInd w:val="0"/>
              <w:snapToGrid w:val="0"/>
              <w:spacing w:line="288" w:lineRule="auto"/>
              <w:jc w:val="left"/>
              <w:rPr>
                <w:b/>
                <w:bCs/>
                <w:sz w:val="21"/>
                <w:szCs w:val="21"/>
              </w:rPr>
            </w:pPr>
            <w:r>
              <w:rPr>
                <w:rFonts w:hint="eastAsia"/>
                <w:b/>
                <w:bCs/>
                <w:sz w:val="21"/>
                <w:szCs w:val="21"/>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adjustRightInd w:val="0"/>
              <w:snapToGrid w:val="0"/>
              <w:spacing w:line="288" w:lineRule="auto"/>
              <w:jc w:val="left"/>
              <w:rPr>
                <w:b/>
                <w:bCs/>
                <w:sz w:val="21"/>
                <w:szCs w:val="21"/>
              </w:rPr>
            </w:pPr>
            <w:r>
              <w:rPr>
                <w:rFonts w:hint="eastAsia"/>
                <w:sz w:val="21"/>
                <w:szCs w:val="21"/>
              </w:rPr>
              <w:t>1</w:t>
            </w:r>
          </w:p>
        </w:tc>
        <w:tc>
          <w:tcPr>
            <w:tcW w:w="3256" w:type="dxa"/>
            <w:vAlign w:val="center"/>
          </w:tcPr>
          <w:p w14:paraId="7FE19C82">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14:paraId="77DFABBD">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adjustRightInd w:val="0"/>
              <w:snapToGrid w:val="0"/>
              <w:spacing w:line="288" w:lineRule="auto"/>
              <w:jc w:val="left"/>
              <w:rPr>
                <w:b/>
                <w:bCs/>
                <w:sz w:val="21"/>
                <w:szCs w:val="21"/>
              </w:rPr>
            </w:pPr>
            <w:r>
              <w:rPr>
                <w:rFonts w:hint="eastAsia"/>
                <w:sz w:val="21"/>
                <w:szCs w:val="21"/>
              </w:rPr>
              <w:t>2</w:t>
            </w:r>
          </w:p>
        </w:tc>
        <w:tc>
          <w:tcPr>
            <w:tcW w:w="3256" w:type="dxa"/>
            <w:vAlign w:val="center"/>
          </w:tcPr>
          <w:p w14:paraId="405A36C7">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14:paraId="327DC957">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adjustRightInd w:val="0"/>
              <w:snapToGrid w:val="0"/>
              <w:spacing w:line="288" w:lineRule="auto"/>
              <w:jc w:val="left"/>
              <w:rPr>
                <w:b/>
                <w:bCs/>
                <w:sz w:val="21"/>
                <w:szCs w:val="21"/>
              </w:rPr>
            </w:pPr>
            <w:r>
              <w:rPr>
                <w:rFonts w:hint="eastAsia"/>
                <w:sz w:val="21"/>
                <w:szCs w:val="21"/>
              </w:rPr>
              <w:t>3</w:t>
            </w:r>
          </w:p>
        </w:tc>
        <w:tc>
          <w:tcPr>
            <w:tcW w:w="3256" w:type="dxa"/>
            <w:vAlign w:val="center"/>
          </w:tcPr>
          <w:p w14:paraId="31B77583">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14:paraId="447018BA">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adjustRightInd w:val="0"/>
              <w:snapToGrid w:val="0"/>
              <w:spacing w:line="288" w:lineRule="auto"/>
              <w:jc w:val="left"/>
              <w:rPr>
                <w:sz w:val="21"/>
                <w:szCs w:val="21"/>
              </w:rPr>
            </w:pPr>
            <w:r>
              <w:rPr>
                <w:rFonts w:hint="eastAsia"/>
                <w:sz w:val="21"/>
                <w:szCs w:val="21"/>
              </w:rPr>
              <w:t>4</w:t>
            </w:r>
          </w:p>
        </w:tc>
        <w:tc>
          <w:tcPr>
            <w:tcW w:w="3256" w:type="dxa"/>
            <w:vAlign w:val="center"/>
          </w:tcPr>
          <w:p w14:paraId="5D375408">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14:paraId="7065847D">
            <w:pPr>
              <w:adjustRightInd w:val="0"/>
              <w:snapToGrid w:val="0"/>
              <w:spacing w:line="288" w:lineRule="auto"/>
              <w:jc w:val="left"/>
              <w:rPr>
                <w:sz w:val="21"/>
                <w:szCs w:val="18"/>
                <w:highlight w:val="yellow"/>
              </w:rPr>
            </w:pPr>
            <w:r>
              <w:rPr>
                <w:rFonts w:hint="eastAsia"/>
                <w:color w:val="auto"/>
                <w:sz w:val="21"/>
                <w:szCs w:val="21"/>
                <w:highlight w:val="none"/>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adjustRightInd w:val="0"/>
              <w:snapToGrid w:val="0"/>
              <w:spacing w:line="288" w:lineRule="auto"/>
              <w:jc w:val="left"/>
              <w:rPr>
                <w:b/>
                <w:bCs/>
                <w:sz w:val="21"/>
                <w:szCs w:val="21"/>
              </w:rPr>
            </w:pPr>
            <w:r>
              <w:rPr>
                <w:rFonts w:hint="eastAsia"/>
                <w:sz w:val="21"/>
                <w:szCs w:val="21"/>
              </w:rPr>
              <w:t>5</w:t>
            </w:r>
          </w:p>
        </w:tc>
        <w:tc>
          <w:tcPr>
            <w:tcW w:w="3256" w:type="dxa"/>
            <w:vAlign w:val="center"/>
          </w:tcPr>
          <w:p w14:paraId="69CCE6FF">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14:paraId="63B3453D">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14:paraId="27F6AF1F">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服务</w:t>
            </w:r>
          </w:p>
          <w:p w14:paraId="2ECE19A5">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w:t>
            </w:r>
            <w:r>
              <w:rPr>
                <w:rFonts w:hint="eastAsia" w:cs="Times New Roman"/>
                <w:b w:val="0"/>
                <w:bCs w:val="0"/>
                <w:color w:val="auto"/>
                <w:sz w:val="21"/>
                <w:szCs w:val="21"/>
                <w:highlight w:val="none"/>
                <w:lang w:val="en-US" w:eastAsia="zh-CN"/>
              </w:rPr>
              <w:t>其</w:t>
            </w:r>
            <w:r>
              <w:rPr>
                <w:rFonts w:hint="eastAsia" w:ascii="宋体" w:hAnsi="宋体" w:eastAsia="宋体" w:cs="宋体"/>
                <w:b w:val="0"/>
                <w:bCs w:val="0"/>
                <w:sz w:val="21"/>
                <w:szCs w:val="21"/>
                <w:highlight w:val="none"/>
              </w:rPr>
              <w:t>他未列明行业</w:t>
            </w:r>
          </w:p>
          <w:p w14:paraId="6449C28F">
            <w:pPr>
              <w:adjustRightInd w:val="0"/>
              <w:snapToGrid w:val="0"/>
              <w:spacing w:line="288" w:lineRule="auto"/>
              <w:jc w:val="left"/>
              <w:rPr>
                <w:b/>
                <w:bCs/>
                <w:sz w:val="21"/>
                <w:szCs w:val="21"/>
                <w:highlight w:val="yellow"/>
              </w:rPr>
            </w:pPr>
            <w:r>
              <w:rPr>
                <w:rFonts w:hint="eastAsia" w:cs="Times New Roman"/>
                <w:b/>
                <w:bCs/>
                <w:color w:val="auto"/>
                <w:sz w:val="21"/>
                <w:szCs w:val="21"/>
                <w:highlight w:val="none"/>
              </w:rPr>
              <w:t>中小企业划型标准：</w:t>
            </w:r>
            <w:r>
              <w:rPr>
                <w:rFonts w:hint="eastAsia" w:cs="Times New Roman"/>
                <w:sz w:val="21"/>
                <w:szCs w:val="21"/>
                <w:highlight w:val="none"/>
              </w:rPr>
              <w:t>从业人员300人以下的为中小微型企业。其中，从业人员100人及以上的为中型企业；从业人员10人及以上的为小型企业；从业人员10人以下的为微型企业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adjustRightInd w:val="0"/>
              <w:snapToGrid w:val="0"/>
              <w:spacing w:line="288" w:lineRule="auto"/>
              <w:jc w:val="left"/>
              <w:rPr>
                <w:sz w:val="21"/>
                <w:szCs w:val="21"/>
              </w:rPr>
            </w:pPr>
            <w:r>
              <w:rPr>
                <w:rFonts w:hint="eastAsia"/>
                <w:sz w:val="21"/>
                <w:szCs w:val="21"/>
              </w:rPr>
              <w:t>6</w:t>
            </w:r>
          </w:p>
        </w:tc>
        <w:tc>
          <w:tcPr>
            <w:tcW w:w="3256" w:type="dxa"/>
            <w:vAlign w:val="center"/>
          </w:tcPr>
          <w:p w14:paraId="2E282D52">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14:paraId="00DBAA74">
            <w:pPr>
              <w:adjustRightInd w:val="0"/>
              <w:snapToGrid w:val="0"/>
              <w:spacing w:line="288" w:lineRule="auto"/>
              <w:jc w:val="left"/>
              <w:rPr>
                <w:rFonts w:cs="Times New Roman"/>
                <w:b/>
                <w:bCs/>
                <w:sz w:val="21"/>
                <w:szCs w:val="21"/>
                <w:highlight w:val="yellow"/>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adjustRightInd w:val="0"/>
              <w:snapToGrid w:val="0"/>
              <w:spacing w:line="288" w:lineRule="auto"/>
              <w:jc w:val="left"/>
              <w:rPr>
                <w:sz w:val="21"/>
                <w:szCs w:val="21"/>
              </w:rPr>
            </w:pPr>
            <w:r>
              <w:rPr>
                <w:rFonts w:hint="eastAsia"/>
                <w:sz w:val="21"/>
                <w:szCs w:val="21"/>
              </w:rPr>
              <w:t>7</w:t>
            </w:r>
          </w:p>
        </w:tc>
        <w:tc>
          <w:tcPr>
            <w:tcW w:w="3256" w:type="dxa"/>
            <w:vAlign w:val="center"/>
          </w:tcPr>
          <w:p w14:paraId="1DC9528C">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14:paraId="4010F74C">
            <w:pPr>
              <w:adjustRightInd w:val="0"/>
              <w:snapToGrid w:val="0"/>
              <w:spacing w:line="288" w:lineRule="auto"/>
              <w:jc w:val="left"/>
              <w:rPr>
                <w:sz w:val="21"/>
                <w:szCs w:val="21"/>
                <w:highlight w:val="yellow"/>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bookmarkEnd w:id="29"/>
    </w:tbl>
    <w:p w14:paraId="22EED783">
      <w:pPr>
        <w:adjustRightInd w:val="0"/>
        <w:snapToGrid w:val="0"/>
        <w:spacing w:line="288" w:lineRule="auto"/>
        <w:jc w:val="left"/>
        <w:rPr>
          <w:sz w:val="21"/>
          <w:szCs w:val="21"/>
        </w:rPr>
      </w:pPr>
    </w:p>
    <w:p w14:paraId="1AD172A7">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7"/>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506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B79E1FA">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D0058BD">
            <w:pPr>
              <w:adjustRightInd w:val="0"/>
              <w:snapToGrid w:val="0"/>
              <w:spacing w:line="288"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1.合同签订后一周内，成交供应商向采购人提交合同总价</w:t>
            </w:r>
            <w:r>
              <w:rPr>
                <w:rFonts w:ascii="宋体" w:hAnsi="宋体" w:cs="宋体"/>
                <w:spacing w:val="-6"/>
                <w:kern w:val="0"/>
                <w:sz w:val="21"/>
                <w:szCs w:val="21"/>
                <w:highlight w:val="none"/>
              </w:rPr>
              <w:t>1</w:t>
            </w:r>
            <w:r>
              <w:rPr>
                <w:rFonts w:hint="eastAsia" w:ascii="宋体" w:hAnsi="宋体" w:cs="宋体"/>
                <w:spacing w:val="-6"/>
                <w:kern w:val="0"/>
                <w:sz w:val="21"/>
                <w:szCs w:val="21"/>
                <w:highlight w:val="none"/>
              </w:rPr>
              <w:t>%的履约保证金，履约保证金在合同履约期间无违约情形的，项目验收结束后，于一周内退还（不计息）；</w:t>
            </w:r>
          </w:p>
          <w:p w14:paraId="267CB641">
            <w:pPr>
              <w:adjustRightInd w:val="0"/>
              <w:snapToGrid w:val="0"/>
              <w:spacing w:line="288" w:lineRule="auto"/>
              <w:ind w:firstLine="396" w:firstLineChars="200"/>
              <w:rPr>
                <w:spacing w:val="-6"/>
                <w:kern w:val="0"/>
                <w:sz w:val="21"/>
                <w:szCs w:val="21"/>
                <w:highlight w:val="yellow"/>
              </w:rPr>
            </w:pPr>
            <w:r>
              <w:rPr>
                <w:rFonts w:hint="eastAsia" w:ascii="宋体" w:hAnsi="宋体" w:cs="宋体"/>
                <w:spacing w:val="-6"/>
                <w:kern w:val="0"/>
                <w:sz w:val="21"/>
                <w:szCs w:val="21"/>
                <w:highlight w:val="none"/>
              </w:rPr>
              <w:t>2.提交方式：支票、汇票、本票或金融机构、担保机构出具的保函等非现金形式。</w:t>
            </w:r>
          </w:p>
        </w:tc>
      </w:tr>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8395FDE">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1.预付款：</w:t>
            </w:r>
          </w:p>
          <w:p w14:paraId="6F51C7D8">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1.1.支付条件：供应商提交银行出具的预付款保函；</w:t>
            </w:r>
          </w:p>
          <w:p w14:paraId="6FDFDF77">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1.2.支付时间、数额：合同生效且供应商出具预付款保函后七个工作日内，采购人向成交供应商支付合同金额</w:t>
            </w:r>
            <w:r>
              <w:rPr>
                <w:rFonts w:hint="eastAsia" w:cs="宋体"/>
                <w:spacing w:val="-6"/>
                <w:kern w:val="0"/>
                <w:sz w:val="21"/>
                <w:szCs w:val="21"/>
                <w:highlight w:val="none"/>
                <w:lang w:val="en-US" w:eastAsia="zh-CN"/>
              </w:rPr>
              <w:t>2</w:t>
            </w:r>
            <w:r>
              <w:rPr>
                <w:rFonts w:hint="eastAsia" w:ascii="宋体" w:hAnsi="宋体" w:cs="宋体"/>
                <w:spacing w:val="-6"/>
                <w:kern w:val="0"/>
                <w:sz w:val="21"/>
                <w:szCs w:val="21"/>
                <w:highlight w:val="none"/>
              </w:rPr>
              <w:t>0%的预付款。</w:t>
            </w:r>
          </w:p>
          <w:p w14:paraId="24CB34A6">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备注：签订合同时，供应商明确表示无需预付款或者主动要求降低预付款比例的，采购单位可不适用前述规定。</w:t>
            </w:r>
          </w:p>
          <w:p w14:paraId="7E14AAFA">
            <w:pPr>
              <w:autoSpaceDE w:val="0"/>
              <w:autoSpaceDN w:val="0"/>
              <w:adjustRightInd w:val="0"/>
              <w:snapToGrid w:val="0"/>
              <w:spacing w:line="288" w:lineRule="auto"/>
              <w:ind w:firstLine="396" w:firstLineChars="200"/>
              <w:jc w:val="left"/>
              <w:rPr>
                <w:rFonts w:hint="eastAsia" w:cs="宋体"/>
                <w:spacing w:val="-6"/>
                <w:kern w:val="0"/>
                <w:sz w:val="21"/>
                <w:szCs w:val="21"/>
                <w:highlight w:val="none"/>
                <w:lang w:val="en-US" w:eastAsia="zh-CN"/>
              </w:rPr>
            </w:pPr>
            <w:r>
              <w:rPr>
                <w:rFonts w:hint="eastAsia" w:ascii="宋体" w:hAnsi="宋体" w:cs="宋体"/>
                <w:spacing w:val="-6"/>
                <w:kern w:val="0"/>
                <w:sz w:val="21"/>
                <w:szCs w:val="21"/>
                <w:highlight w:val="none"/>
              </w:rPr>
              <w:t>2.</w:t>
            </w:r>
            <w:r>
              <w:rPr>
                <w:rFonts w:hint="eastAsia" w:cs="宋体"/>
                <w:spacing w:val="-6"/>
                <w:kern w:val="0"/>
                <w:sz w:val="21"/>
                <w:szCs w:val="21"/>
                <w:highlight w:val="none"/>
                <w:lang w:val="en-US" w:eastAsia="zh-CN"/>
              </w:rPr>
              <w:t>付款：</w:t>
            </w:r>
          </w:p>
          <w:p w14:paraId="6A968CD7">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cs="宋体"/>
                <w:spacing w:val="-6"/>
                <w:kern w:val="0"/>
                <w:sz w:val="21"/>
                <w:szCs w:val="21"/>
                <w:highlight w:val="none"/>
                <w:lang w:eastAsia="zh-CN"/>
              </w:rPr>
              <w:t>（</w:t>
            </w:r>
            <w:r>
              <w:rPr>
                <w:rFonts w:hint="eastAsia" w:cs="宋体"/>
                <w:spacing w:val="-6"/>
                <w:kern w:val="0"/>
                <w:sz w:val="21"/>
                <w:szCs w:val="21"/>
                <w:highlight w:val="none"/>
                <w:lang w:val="en-US" w:eastAsia="zh-CN"/>
              </w:rPr>
              <w:t>1</w:t>
            </w:r>
            <w:r>
              <w:rPr>
                <w:rFonts w:hint="eastAsia" w:cs="宋体"/>
                <w:spacing w:val="-6"/>
                <w:kern w:val="0"/>
                <w:sz w:val="21"/>
                <w:szCs w:val="21"/>
                <w:highlight w:val="none"/>
                <w:lang w:eastAsia="zh-CN"/>
              </w:rPr>
              <w:t>）</w:t>
            </w:r>
            <w:r>
              <w:rPr>
                <w:rFonts w:hint="eastAsia" w:ascii="宋体" w:hAnsi="宋体" w:cs="宋体"/>
                <w:spacing w:val="-6"/>
                <w:kern w:val="0"/>
                <w:sz w:val="21"/>
                <w:szCs w:val="21"/>
                <w:highlight w:val="none"/>
              </w:rPr>
              <w:t>完成施工图预算编制审核并出具成果报告后7个工作日内，采购人支付至合同总额的40%；</w:t>
            </w:r>
          </w:p>
          <w:p w14:paraId="12787292">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cs="宋体"/>
                <w:spacing w:val="-6"/>
                <w:kern w:val="0"/>
                <w:sz w:val="21"/>
                <w:szCs w:val="21"/>
                <w:highlight w:val="none"/>
                <w:lang w:eastAsia="zh-CN"/>
              </w:rPr>
              <w:t>（</w:t>
            </w:r>
            <w:r>
              <w:rPr>
                <w:rFonts w:hint="eastAsia" w:cs="宋体"/>
                <w:spacing w:val="-6"/>
                <w:kern w:val="0"/>
                <w:sz w:val="21"/>
                <w:szCs w:val="21"/>
                <w:highlight w:val="none"/>
                <w:lang w:val="en-US" w:eastAsia="zh-CN"/>
              </w:rPr>
              <w:t>2</w:t>
            </w:r>
            <w:r>
              <w:rPr>
                <w:rFonts w:hint="eastAsia" w:cs="宋体"/>
                <w:spacing w:val="-6"/>
                <w:kern w:val="0"/>
                <w:sz w:val="21"/>
                <w:szCs w:val="21"/>
                <w:highlight w:val="none"/>
                <w:lang w:eastAsia="zh-CN"/>
              </w:rPr>
              <w:t>）</w:t>
            </w:r>
            <w:r>
              <w:rPr>
                <w:rFonts w:hint="eastAsia" w:ascii="宋体" w:hAnsi="宋体" w:cs="宋体"/>
                <w:spacing w:val="-6"/>
                <w:kern w:val="0"/>
                <w:sz w:val="21"/>
                <w:szCs w:val="21"/>
                <w:highlight w:val="none"/>
              </w:rPr>
              <w:t>项目进度款支付（或施工进度）达50%后7个工作日内，采购人支付至合同总额的60%；</w:t>
            </w:r>
          </w:p>
          <w:p w14:paraId="47C81334">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cs="宋体"/>
                <w:spacing w:val="-6"/>
                <w:kern w:val="0"/>
                <w:sz w:val="21"/>
                <w:szCs w:val="21"/>
                <w:highlight w:val="none"/>
                <w:lang w:eastAsia="zh-CN"/>
              </w:rPr>
              <w:t>（</w:t>
            </w:r>
            <w:r>
              <w:rPr>
                <w:rFonts w:hint="eastAsia" w:cs="宋体"/>
                <w:spacing w:val="-6"/>
                <w:kern w:val="0"/>
                <w:sz w:val="21"/>
                <w:szCs w:val="21"/>
                <w:highlight w:val="none"/>
                <w:lang w:val="en-US" w:eastAsia="zh-CN"/>
              </w:rPr>
              <w:t>3</w:t>
            </w:r>
            <w:r>
              <w:rPr>
                <w:rFonts w:hint="eastAsia" w:cs="宋体"/>
                <w:spacing w:val="-6"/>
                <w:kern w:val="0"/>
                <w:sz w:val="21"/>
                <w:szCs w:val="21"/>
                <w:highlight w:val="none"/>
                <w:lang w:eastAsia="zh-CN"/>
              </w:rPr>
              <w:t>）</w:t>
            </w:r>
            <w:r>
              <w:rPr>
                <w:rFonts w:hint="eastAsia" w:ascii="宋体" w:hAnsi="宋体" w:cs="宋体"/>
                <w:spacing w:val="-6"/>
                <w:kern w:val="0"/>
                <w:sz w:val="21"/>
                <w:szCs w:val="21"/>
                <w:highlight w:val="none"/>
              </w:rPr>
              <w:t>工程竣工并通过验收且全部跟审咨询服务完成提交全过程跟踪审计报告后7个工作日内，支付至合同总额的80%；</w:t>
            </w:r>
          </w:p>
          <w:p w14:paraId="3A91FA97">
            <w:pPr>
              <w:autoSpaceDE w:val="0"/>
              <w:autoSpaceDN w:val="0"/>
              <w:adjustRightInd w:val="0"/>
              <w:snapToGrid w:val="0"/>
              <w:spacing w:line="288" w:lineRule="auto"/>
              <w:ind w:firstLine="396" w:firstLineChars="200"/>
              <w:jc w:val="left"/>
              <w:rPr>
                <w:spacing w:val="-6"/>
                <w:kern w:val="0"/>
                <w:sz w:val="21"/>
                <w:szCs w:val="21"/>
                <w:highlight w:val="yellow"/>
              </w:rPr>
            </w:pPr>
            <w:r>
              <w:rPr>
                <w:rFonts w:hint="eastAsia" w:cs="宋体"/>
                <w:spacing w:val="-6"/>
                <w:kern w:val="0"/>
                <w:sz w:val="21"/>
                <w:szCs w:val="21"/>
                <w:highlight w:val="none"/>
                <w:lang w:eastAsia="zh-CN"/>
              </w:rPr>
              <w:t>（</w:t>
            </w:r>
            <w:r>
              <w:rPr>
                <w:rFonts w:hint="eastAsia" w:cs="宋体"/>
                <w:spacing w:val="-6"/>
                <w:kern w:val="0"/>
                <w:sz w:val="21"/>
                <w:szCs w:val="21"/>
                <w:highlight w:val="none"/>
                <w:lang w:val="en-US" w:eastAsia="zh-CN"/>
              </w:rPr>
              <w:t>4</w:t>
            </w:r>
            <w:r>
              <w:rPr>
                <w:rFonts w:hint="eastAsia" w:cs="宋体"/>
                <w:spacing w:val="-6"/>
                <w:kern w:val="0"/>
                <w:sz w:val="21"/>
                <w:szCs w:val="21"/>
                <w:highlight w:val="none"/>
                <w:lang w:eastAsia="zh-CN"/>
              </w:rPr>
              <w:t>）</w:t>
            </w:r>
            <w:r>
              <w:rPr>
                <w:rFonts w:hint="eastAsia" w:ascii="宋体" w:hAnsi="宋体" w:cs="宋体"/>
                <w:spacing w:val="-6"/>
                <w:kern w:val="0"/>
                <w:sz w:val="21"/>
                <w:szCs w:val="21"/>
                <w:highlight w:val="none"/>
              </w:rPr>
              <w:t>结算审核服务经采购人确认完成后7个工作日内，支付剩余全部咨询费用。</w:t>
            </w:r>
          </w:p>
        </w:tc>
      </w:tr>
      <w:bookmarkEnd w:id="30"/>
    </w:tbl>
    <w:p w14:paraId="30B6B5F1">
      <w:pPr>
        <w:adjustRightInd w:val="0"/>
        <w:snapToGrid w:val="0"/>
        <w:spacing w:line="288" w:lineRule="auto"/>
        <w:rPr>
          <w:sz w:val="21"/>
          <w:szCs w:val="21"/>
        </w:rPr>
      </w:pPr>
    </w:p>
    <w:p w14:paraId="0C69BA3F">
      <w:pPr>
        <w:adjustRightInd w:val="0"/>
        <w:snapToGrid w:val="0"/>
        <w:spacing w:line="288" w:lineRule="auto"/>
        <w:outlineLvl w:val="1"/>
        <w:rPr>
          <w:b/>
          <w:bCs/>
          <w:sz w:val="21"/>
          <w:szCs w:val="21"/>
        </w:rPr>
      </w:pPr>
      <w:r>
        <w:rPr>
          <w:rFonts w:hint="eastAsia"/>
          <w:b/>
          <w:bCs/>
          <w:sz w:val="21"/>
          <w:szCs w:val="21"/>
        </w:rPr>
        <w:t>三、服务要求：</w:t>
      </w:r>
    </w:p>
    <w:p w14:paraId="49DB46B3">
      <w:pPr>
        <w:adjustRightInd w:val="0"/>
        <w:snapToGrid w:val="0"/>
        <w:spacing w:line="288" w:lineRule="auto"/>
        <w:rPr>
          <w:b/>
          <w:bCs/>
          <w:sz w:val="21"/>
          <w:szCs w:val="21"/>
          <w:highlight w:val="none"/>
        </w:rPr>
      </w:pPr>
      <w:r>
        <w:rPr>
          <w:rFonts w:hint="eastAsia"/>
          <w:b/>
          <w:bCs/>
          <w:sz w:val="21"/>
          <w:szCs w:val="21"/>
          <w:lang w:val="en-US" w:eastAsia="zh-CN"/>
        </w:rPr>
        <w:t>注：</w:t>
      </w:r>
      <w:r>
        <w:rPr>
          <w:rFonts w:hint="eastAsia"/>
          <w:b/>
          <w:bCs/>
          <w:sz w:val="21"/>
          <w:szCs w:val="21"/>
        </w:rPr>
        <w:t>需执行</w:t>
      </w:r>
      <w:r>
        <w:rPr>
          <w:rFonts w:hint="eastAsia"/>
          <w:b/>
          <w:bCs/>
          <w:sz w:val="21"/>
          <w:szCs w:val="21"/>
          <w:highlight w:val="none"/>
        </w:rPr>
        <w:t>的国家相关标准、行业标准、地方标准或者其他标准、规范：</w:t>
      </w:r>
      <w:bookmarkStart w:id="31" w:name="_Hlk97039652"/>
      <w:r>
        <w:rPr>
          <w:rFonts w:hint="eastAsia"/>
          <w:sz w:val="21"/>
          <w:szCs w:val="21"/>
          <w:highlight w:val="none"/>
        </w:rPr>
        <w:t>如技术要求中未注明需执行的国家相关标准、行业标准、地方标准或者其他标准、规范的，执行最新标准、规范。</w:t>
      </w:r>
      <w:bookmarkEnd w:id="31"/>
    </w:p>
    <w:p w14:paraId="1A128A0E">
      <w:pPr>
        <w:adjustRightInd w:val="0"/>
        <w:snapToGrid w:val="0"/>
        <w:spacing w:line="288" w:lineRule="auto"/>
        <w:ind w:firstLine="422" w:firstLineChars="200"/>
        <w:rPr>
          <w:rFonts w:ascii="宋体" w:hAnsi="宋体"/>
          <w:b/>
          <w:bCs/>
          <w:sz w:val="21"/>
          <w:szCs w:val="21"/>
        </w:rPr>
      </w:pPr>
      <w:bookmarkStart w:id="32" w:name="_Toc122965761"/>
      <w:bookmarkStart w:id="33" w:name="_Toc122364732"/>
      <w:r>
        <w:rPr>
          <w:rFonts w:hint="eastAsia" w:ascii="宋体" w:hAnsi="宋体"/>
          <w:b/>
          <w:bCs/>
          <w:sz w:val="21"/>
          <w:szCs w:val="21"/>
          <w:lang w:eastAsia="zh-CN"/>
        </w:rPr>
        <w:t>（</w:t>
      </w:r>
      <w:r>
        <w:rPr>
          <w:rFonts w:hint="eastAsia" w:ascii="宋体" w:hAnsi="宋体"/>
          <w:b/>
          <w:bCs/>
          <w:sz w:val="21"/>
          <w:szCs w:val="21"/>
          <w:lang w:val="en-US" w:eastAsia="zh-CN"/>
        </w:rPr>
        <w:t>一）</w:t>
      </w:r>
      <w:r>
        <w:rPr>
          <w:rFonts w:hint="eastAsia" w:ascii="宋体" w:hAnsi="宋体"/>
          <w:b/>
          <w:bCs/>
          <w:sz w:val="21"/>
          <w:szCs w:val="21"/>
        </w:rPr>
        <w:t>主要服务内容</w:t>
      </w:r>
    </w:p>
    <w:p w14:paraId="5446FD3F">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sz w:val="21"/>
          <w:szCs w:val="21"/>
          <w:highlight w:val="none"/>
          <w:lang w:eastAsia="zh-CN"/>
        </w:rPr>
        <w:t>本项目工程概算22024.58万元，其中建安工程造价14695.31万元，项目总工期：810日历天（其中：施工</w:t>
      </w:r>
      <w:r>
        <w:rPr>
          <w:rFonts w:hint="eastAsia" w:ascii="宋体" w:hAnsi="宋体" w:eastAsia="宋体" w:cs="宋体"/>
          <w:sz w:val="21"/>
          <w:szCs w:val="21"/>
          <w:highlight w:val="none"/>
          <w:lang w:eastAsia="zh-CN"/>
        </w:rPr>
        <w:t>750日历天，设计60日历天）。建设规模：项目新建一幢实训楼，总建筑面积28367平方米，其中地上建筑面积22467平方米，为实验实训用房，地下面积 5900 平方米，为地下车库、人防工程及设备用房。</w:t>
      </w:r>
    </w:p>
    <w:bookmarkEnd w:id="32"/>
    <w:bookmarkEnd w:id="33"/>
    <w:p w14:paraId="2D5D5DED">
      <w:pPr>
        <w:pStyle w:val="2"/>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kern w:val="2"/>
          <w:sz w:val="21"/>
          <w:szCs w:val="21"/>
          <w:highlight w:val="none"/>
          <w:shd w:val="clear" w:color="auto" w:fill="auto"/>
          <w:lang w:val="en-US" w:eastAsia="zh-CN" w:bidi="ar-SA"/>
        </w:rPr>
      </w:pPr>
      <w:r>
        <w:rPr>
          <w:rFonts w:hint="eastAsia" w:ascii="宋体" w:hAnsi="宋体" w:eastAsia="宋体" w:cs="宋体"/>
          <w:b/>
          <w:bCs/>
          <w:kern w:val="2"/>
          <w:sz w:val="21"/>
          <w:szCs w:val="21"/>
          <w:highlight w:val="none"/>
          <w:shd w:val="clear" w:color="auto" w:fill="auto"/>
          <w:lang w:val="en-US" w:eastAsia="zh-CN" w:bidi="ar-SA"/>
        </w:rPr>
        <w:t>1.造价咨询服务内容及范围：</w:t>
      </w:r>
    </w:p>
    <w:p w14:paraId="2FD94FB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本工程及相应范围内的施工阶段全过程跟踪审计及造价咨询服务：EPC设计图工程预算编制及审核，变更联系单审核，工程进度款审核，现场工程涉及造价的台账建立，涉及造价的影像资料收集等咨询服务。具体服务内容如下：</w:t>
      </w:r>
    </w:p>
    <w:p w14:paraId="12DEFD8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（1）施工阶段全过程工程造价控制包含工程联系单的审核（含设计变更）及阶段性工程款支付审核等，具体包括但不仅限于以下服务内容：</w:t>
      </w:r>
    </w:p>
    <w:p w14:paraId="32AC8DF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1）检查工程设计变更、施工现场签证手续是否合理、合规、及时、完整、真实，对变更内容和过程进行鉴证；</w:t>
      </w:r>
    </w:p>
    <w:p w14:paraId="555D130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根据采购人要求对施工单位申报的变更金额进行审核，并视需要或根据采购人要求出具书面咨询报告，对具体涉及联系单进行备案。并根据采购人要求进行有关费用的测算，提出方案的选择，相应调整造价控制目标；</w:t>
      </w:r>
    </w:p>
    <w:p w14:paraId="4F232841">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3）参与工程联系单审核签发会、工程例会、现场协调会等有关的工程会议，对于重点事项及时向采购人汇报；</w:t>
      </w:r>
    </w:p>
    <w:p w14:paraId="1966098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4）协助采购人对重要隐蔽工程、交叉工程、临时工程等工程量进行抽查核实，并做好现场记录和取证工作，关键部位应拍下照片作为证据，妥善保存和移交；</w:t>
      </w:r>
    </w:p>
    <w:p w14:paraId="7FC5D4A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5）提前测定特殊材料和工艺费用。对新材料、无价材料、特种材料、新工艺、特种工艺的性能、价格、消耗量等进行跟踪记录，作为编制计价依据的基础资料。根据工程的实际需要，会同相关参建单位对新工艺、特种工艺所用人工、材料、机械的实际消耗量进行试验、测定、计量，以便后期结算时对单价的核定；</w:t>
      </w:r>
    </w:p>
    <w:p w14:paraId="1F1CB20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6）鉴证补充合同情况。掌握补充合同签订原因和过程，分析补充合同价格水平和合同条款的明确性、严密性，并与主合同比较，提出审计意见或建议；</w:t>
      </w:r>
    </w:p>
    <w:p w14:paraId="3FF48DF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7）鉴证影响工程造价的其它项目，做好必要的现场文字记录和影像记录；</w:t>
      </w:r>
    </w:p>
    <w:p w14:paraId="53E9EB0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8）协助计量与支付审核。在跟踪审计期间，对每一笔计量支付情况进行审核，检查此计量支付是否符合程序，参建各方有无按照自身职责审核当期工程款。若申报数量与审计现场验收记录不符或计价不准确时，审计可以修正或自行编制审计联系单，并报告采购人；</w:t>
      </w:r>
    </w:p>
    <w:p w14:paraId="3D53EC8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9）协助监控建设成本。密切注意施工阶段建设成本控制情况和整个建设过程中的资金使用情况。根据实际工程需要，对设计变更提供工程造价费用影响建议，作为设计变更造价控制上的依据和参考。定期评估工程成本控制情况及趋势，预估工程造价发生超概情况的可能性，并及时向采购人报告；</w:t>
      </w:r>
    </w:p>
    <w:p w14:paraId="2001070F">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10）协助工程变更测算与建议。对图纸以外工程特别是重要隐蔽工程的经济签证协同建设管理单位进行审核与监督，作相应的取证，并根据采购人的要求进行有关费用的测算。协助采购人和设计单位评估设计变更的成本价值效应。参与对工程造价影响较大及图纸以外或与设计不符部位的隐蔽项目的测算与审核。发生工程变更时，若需重新确定结算单价，先由施工单位申报，监理签证，采购人审查后，再交审计组测算和审定；</w:t>
      </w:r>
    </w:p>
    <w:p w14:paraId="6025303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11）协助审查补充合同。协助审核补充合同报价，当发生合同外报价事项或签订补充合同时，应要求采购人即时提供相关资料，并对影响工程造价的因素进行调查研究，提出代表咨询单位的意见或建议；</w:t>
      </w:r>
    </w:p>
    <w:p w14:paraId="72A557C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12）协助索赔。协助采购人审查、评估承包商提出的索赔和索赔所需单据证明；</w:t>
      </w:r>
    </w:p>
    <w:p w14:paraId="65BF54A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13）协助无价材料、特种材料的询价和咨询工作。协助采购人查询、分析、测算无价材料等的市场价格，了解采购渠道、技术前景等其他情况；</w:t>
      </w:r>
    </w:p>
    <w:p w14:paraId="5D512EC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14）协助投资控制和造价管理的建议。向采购人提供造价管理、经济法规方面的咨询服务。提供咨询的范围包括：工程量计量规则、计价办法、市场信息等方面的专业知识及涉及的法律法规，降低成本、加强管理的可行性方案和建设性意见。提供咨询的方式：一般的工程造价专业问题，可以口头或电话提供咨询；影响工程造价较大的问题或建议、方案等，在充分调研的基础上，以书面形式答复或提交采购人，为采购人决策提供参考；</w:t>
      </w:r>
    </w:p>
    <w:p w14:paraId="117482CA">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15）协助做好与工程造价相关的对外衔接或谈判工作。在采购人就可能涉及工程造价相关的事宜进行对外衔接或谈判时，跟踪审计人员应做好相关造价情况的分析和资料的准备等基础性工作，必要时相关审计人员应参与现场的衔接或谈判工作；</w:t>
      </w:r>
    </w:p>
    <w:p w14:paraId="4C8552B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16）出具预算审核阶段审计报告、全过程跟踪审计总报告、对于全过程审计过程中发现的问题不定期出具审计意见和建议报告；</w:t>
      </w:r>
    </w:p>
    <w:p w14:paraId="47E3E34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17）提出本工程全过程造价控制及内控制度咨询总体方案。</w:t>
      </w:r>
    </w:p>
    <w:p w14:paraId="02B80AC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工程竣工结算审核服务，包括但不仅限于以下服务内容：协助业主做好竣工结算审计工作，包括：对整个跟踪审计阶段的所有资料进行整合分析；对施工单位递交资料的真实性、完整性、系统性进行审核；对工程量价及取费的准确性进行审核；对结算的真实性、合法性与效益性进行审核等工作，出具工程竣工结算审核报告。</w:t>
      </w:r>
    </w:p>
    <w:p w14:paraId="3129FC7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工程资料的收集、保管、移交：建立完善的造价控制台帐，规范工程进度款台帐、工程变更联系单台帐、造价例会台帐、与造价有关会议台帐、与造价有关的隐蔽工程的施工资料、图片及文字记录等。收集和保管签证单、合同、摄像、照片、文字记录、会议纪录等建设工程全过程记录资料，跟踪审计结束后，向采购人移交完整的全套档案。</w:t>
      </w:r>
    </w:p>
    <w:p w14:paraId="3471B68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（4）全力配合并协助解决与本次建设项目的其他技术造价咨询问题。</w:t>
      </w:r>
    </w:p>
    <w:p w14:paraId="778B73E4">
      <w:pPr>
        <w:pStyle w:val="2"/>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kern w:val="2"/>
          <w:sz w:val="21"/>
          <w:szCs w:val="21"/>
          <w:highlight w:val="none"/>
          <w:shd w:val="clear" w:color="auto" w:fill="auto"/>
          <w:lang w:val="en-US" w:eastAsia="zh-CN" w:bidi="ar-SA"/>
        </w:rPr>
      </w:pPr>
      <w:r>
        <w:rPr>
          <w:rFonts w:hint="eastAsia" w:ascii="宋体" w:hAnsi="宋体" w:eastAsia="宋体" w:cs="宋体"/>
          <w:b/>
          <w:bCs/>
          <w:kern w:val="2"/>
          <w:sz w:val="21"/>
          <w:szCs w:val="21"/>
          <w:highlight w:val="none"/>
          <w:shd w:val="clear" w:color="auto" w:fill="auto"/>
          <w:lang w:val="en-US" w:eastAsia="zh-CN" w:bidi="ar-SA"/>
        </w:rPr>
        <w:t>2.实施阶段跟踪审计内容及范围：</w:t>
      </w:r>
    </w:p>
    <w:p w14:paraId="02A8A24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（1）项目前期立项情况。重点检查建设工程前期是否有项目建议书、可行研究报告、国家有关部门批准的投资估算，审核项目立项程序是否合规，审批手续是否完备、合法。</w:t>
      </w:r>
    </w:p>
    <w:p w14:paraId="126B457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（2）检查内控制度执行情况。检查建设单位是否认真执行各项内控制度。</w:t>
      </w:r>
    </w:p>
    <w:p w14:paraId="670B5FA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（3）检查各项经济合同的履行情况。重点应检查：</w:t>
      </w:r>
    </w:p>
    <w:p w14:paraId="3A877107">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1）检查建设项目相关单位是否认真履行合同条款，有无违规转包、分包等问题，重点关注发生变更、增补、转让或终止情况的真实性、合法性；</w:t>
      </w:r>
    </w:p>
    <w:p w14:paraId="7B40E573">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2）检查各类签证、纪要和补充协议的真实性、合法性和效益性，是否存在与招标文件、合同中实质性内容不一致等问题；</w:t>
      </w:r>
    </w:p>
    <w:p w14:paraId="107E2E7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3）检查总监理工程师和施工项目经理的到位情况、设计和监理单位的履职情况等。</w:t>
      </w:r>
    </w:p>
    <w:p w14:paraId="6792B572">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（4）检查项目概算执行情况。重点应检查：</w:t>
      </w:r>
    </w:p>
    <w:p w14:paraId="5C2B541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1）有无概算外项目、超概算投资和擅自提高建设标准，扩大建设规模等问题；</w:t>
      </w:r>
    </w:p>
    <w:p w14:paraId="55B9474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2）概算调整是否按政府文件规定程序进行报批；</w:t>
      </w:r>
    </w:p>
    <w:p w14:paraId="48714131">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3）有无不按概算批复的规定购置自用固定资产，挤占或者虚列工程成本等问题。</w:t>
      </w:r>
    </w:p>
    <w:p w14:paraId="77D2D27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（5）检查施工图设计深化情况。重点应检查：</w:t>
      </w:r>
    </w:p>
    <w:p w14:paraId="10FACC97">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1）施工图设计深度是否符合初步设计要求，内容是否完整；</w:t>
      </w:r>
    </w:p>
    <w:p w14:paraId="7DAF8CC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2）施工图在材料品牌、设计工艺、设施配置等方面是否达到初步设计要求。</w:t>
      </w:r>
    </w:p>
    <w:p w14:paraId="52CF6479">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（6）检查工程变更情况。重点应检查：</w:t>
      </w:r>
    </w:p>
    <w:p w14:paraId="381EEB22">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1）工程变更是否合理、合规、真实，相应签证手续是否及时、完整；</w:t>
      </w:r>
    </w:p>
    <w:p w14:paraId="44BEFEC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2）工程变更审批手续是否符合相关文件规定；</w:t>
      </w:r>
    </w:p>
    <w:p w14:paraId="1487C64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3）有无将合同范围外应进行重新招投标的内容，以工程变更联系单形式直接交由原施工单位实施的问题；</w:t>
      </w:r>
    </w:p>
    <w:p w14:paraId="2CB51D4F">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4）有无因决策失误、设计失误、工程质量事故等原因造成的损失浪费问题。</w:t>
      </w:r>
    </w:p>
    <w:p w14:paraId="20F7D51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（7）检查在项目实施过程中，对于前期因“特事特办”而未到位的各种程序、手续是否按“特事特办、手续照办”原则及时予以补办完整。</w:t>
      </w:r>
    </w:p>
    <w:p w14:paraId="6B536B7D">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（8）检查建设资金到位情况。重点应检查：资金实际到位情况是否与资金筹集计划或投资进度相衔接，有无大量资金闲置、或因资金不到位而造成停工待料等损失浪费现象。</w:t>
      </w:r>
    </w:p>
    <w:p w14:paraId="7DBF1883">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9）检查建设资金专款专用情况。重点应检查：建设单位是否严格按照合同约定支付工程进度款，有无挤占、挪用建设项目资金等问题；对往来资金数额较大且长时间不结转的预付工程款、预付备料款要查明原因，防止出现超付工程款现象。</w:t>
      </w:r>
    </w:p>
    <w:p w14:paraId="7A7E33E2">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（10）检查建设单位管理费的计取和使用情况。重点应检查：建设单位管理费的计取范围和标准是否符合有关规定，费用支出是否符合“必须、节约”的原则，有无超出概算控制金额的情况。</w:t>
      </w:r>
    </w:p>
    <w:p w14:paraId="6BD03520">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（11）检查项目甲供设备、材料情况。重点应检查：</w:t>
      </w:r>
    </w:p>
    <w:p w14:paraId="2ADD2CC1">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1）甲供设备、材料采购的方式是否合理、合法、合规，是否按规定程序进行招投标或比价采购，价格是否符合市场情况；</w:t>
      </w:r>
    </w:p>
    <w:p w14:paraId="616C3BCD">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设备、材料采购的价格、规格、型号、数量与合同要求是否一致，评审时要根据建设单位提供的设备、材料采购计划进行核对。评审人员应重点关注特殊规格材料、非标设备的采购情况。对已购设备、材料因故不能使用的，要分析原因，分清责任，并督促建设单位及时处理，避免造成更大的损失。</w:t>
      </w:r>
    </w:p>
    <w:p w14:paraId="4ECEACD1">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（12）甲定乙供设备材料情况，重点检查甲定方案、程序是否合理、合法、合规。</w:t>
      </w:r>
    </w:p>
    <w:p w14:paraId="4011943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（13）检查相关责任单位对工程质量管理的履职情况，如主要人员、安全措施是否到位、各种检验检测设备是否齐全，验收程序是否符合要求。</w:t>
      </w:r>
    </w:p>
    <w:p w14:paraId="26B3E8F3">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（14）检查工程进度情况。在跟踪审计汇报中应对工程进度进行形象的表述(应附有影像资料)，并分析与合同工期有无出入、主要原因和责任确定。</w:t>
      </w:r>
    </w:p>
    <w:p w14:paraId="6E084533">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（15）检查建设单位工程成本核算及账务处理是否符合《基本建设财务管理规定》的要求，是否有利于建设项目的管理及竣工财务决算的需要。</w:t>
      </w:r>
    </w:p>
    <w:p w14:paraId="2B39986A">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（16）审计认为政府投资项目实施阶段需要进行跟踪评审的其他内容。</w:t>
      </w:r>
    </w:p>
    <w:p w14:paraId="6BF496D9">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进度和质量要求</w:t>
      </w:r>
    </w:p>
    <w:p w14:paraId="6F41241B">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w:t>
      </w:r>
      <w:r>
        <w:rPr>
          <w:rFonts w:hint="eastAsia"/>
          <w:sz w:val="21"/>
          <w:szCs w:val="21"/>
          <w:highlight w:val="none"/>
          <w:lang w:val="en-US" w:eastAsia="zh-CN"/>
        </w:rPr>
        <w:t>1</w:t>
      </w:r>
      <w:r>
        <w:rPr>
          <w:rFonts w:hint="eastAsia" w:ascii="宋体" w:hAnsi="宋体"/>
          <w:sz w:val="21"/>
          <w:szCs w:val="21"/>
          <w:highlight w:val="none"/>
        </w:rPr>
        <w:t>）自收到</w:t>
      </w:r>
      <w:r>
        <w:rPr>
          <w:rFonts w:hint="eastAsia"/>
          <w:sz w:val="21"/>
          <w:szCs w:val="21"/>
          <w:highlight w:val="none"/>
          <w:lang w:val="en-US" w:eastAsia="zh-CN"/>
        </w:rPr>
        <w:t>工程概算清单</w:t>
      </w:r>
      <w:r>
        <w:rPr>
          <w:rFonts w:hint="eastAsia" w:ascii="宋体" w:hAnsi="宋体"/>
          <w:sz w:val="21"/>
          <w:szCs w:val="21"/>
          <w:highlight w:val="none"/>
        </w:rPr>
        <w:t>之日起，9个工作日内提出意见；</w:t>
      </w:r>
    </w:p>
    <w:p w14:paraId="2693FEE6">
      <w:pPr>
        <w:adjustRightInd w:val="0"/>
        <w:snapToGrid w:val="0"/>
        <w:spacing w:line="288" w:lineRule="auto"/>
        <w:ind w:firstLine="420" w:firstLineChars="200"/>
        <w:rPr>
          <w:rFonts w:hint="default" w:eastAsia="宋体"/>
          <w:highlight w:val="none"/>
          <w:lang w:val="en-US" w:eastAsia="zh-CN"/>
        </w:rPr>
      </w:pPr>
      <w:r>
        <w:rPr>
          <w:rFonts w:hint="eastAsia"/>
          <w:sz w:val="21"/>
          <w:szCs w:val="21"/>
          <w:highlight w:val="none"/>
          <w:lang w:val="en-US" w:eastAsia="zh-CN"/>
        </w:rPr>
        <w:t>（2）自收到EPC施工设计图之日起，14个工作日内出具工程量清单及控制价咨询意见；</w:t>
      </w:r>
    </w:p>
    <w:p w14:paraId="22EF7765">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w:t>
      </w:r>
      <w:r>
        <w:rPr>
          <w:rFonts w:hint="eastAsia"/>
          <w:sz w:val="21"/>
          <w:szCs w:val="21"/>
          <w:highlight w:val="none"/>
          <w:lang w:val="en-US" w:eastAsia="zh-CN"/>
        </w:rPr>
        <w:t>3</w:t>
      </w:r>
      <w:r>
        <w:rPr>
          <w:rFonts w:hint="eastAsia" w:ascii="宋体" w:hAnsi="宋体"/>
          <w:sz w:val="21"/>
          <w:szCs w:val="21"/>
          <w:highlight w:val="none"/>
        </w:rPr>
        <w:t>）自收到工程变更估价资料之日起2个工作日内提出意见；</w:t>
      </w:r>
    </w:p>
    <w:p w14:paraId="21E919E6">
      <w:pPr>
        <w:adjustRightInd w:val="0"/>
        <w:snapToGrid w:val="0"/>
        <w:spacing w:line="288" w:lineRule="auto"/>
        <w:ind w:firstLine="420" w:firstLineChars="200"/>
        <w:rPr>
          <w:rFonts w:ascii="宋体" w:hAnsi="宋体"/>
          <w:sz w:val="21"/>
          <w:szCs w:val="21"/>
          <w:highlight w:val="none"/>
        </w:rPr>
      </w:pPr>
      <w:r>
        <w:rPr>
          <w:rFonts w:hint="eastAsia"/>
          <w:sz w:val="21"/>
          <w:szCs w:val="21"/>
          <w:highlight w:val="none"/>
          <w:lang w:eastAsia="zh-CN"/>
        </w:rPr>
        <w:t>（</w:t>
      </w:r>
      <w:r>
        <w:rPr>
          <w:rFonts w:hint="eastAsia"/>
          <w:sz w:val="21"/>
          <w:szCs w:val="21"/>
          <w:highlight w:val="none"/>
          <w:lang w:val="en-US" w:eastAsia="zh-CN"/>
        </w:rPr>
        <w:t>4</w:t>
      </w:r>
      <w:r>
        <w:rPr>
          <w:rFonts w:hint="eastAsia" w:ascii="宋体" w:hAnsi="宋体"/>
          <w:sz w:val="21"/>
          <w:szCs w:val="21"/>
          <w:highlight w:val="none"/>
        </w:rPr>
        <w:t>）自收到进度款资料之日起3个工作日内提出意见；</w:t>
      </w:r>
    </w:p>
    <w:p w14:paraId="24DF44BF">
      <w:pPr>
        <w:adjustRightInd w:val="0"/>
        <w:snapToGrid w:val="0"/>
        <w:spacing w:line="288" w:lineRule="auto"/>
        <w:ind w:firstLine="420" w:firstLineChars="200"/>
        <w:rPr>
          <w:rFonts w:ascii="宋体" w:hAnsi="宋体"/>
          <w:sz w:val="21"/>
          <w:szCs w:val="21"/>
          <w:highlight w:val="none"/>
        </w:rPr>
      </w:pPr>
      <w:r>
        <w:rPr>
          <w:rFonts w:hint="eastAsia"/>
          <w:sz w:val="21"/>
          <w:szCs w:val="21"/>
          <w:highlight w:val="none"/>
          <w:lang w:eastAsia="zh-CN"/>
        </w:rPr>
        <w:t>（</w:t>
      </w:r>
      <w:r>
        <w:rPr>
          <w:rFonts w:hint="eastAsia"/>
          <w:sz w:val="21"/>
          <w:szCs w:val="21"/>
          <w:highlight w:val="none"/>
          <w:lang w:val="en-US" w:eastAsia="zh-CN"/>
        </w:rPr>
        <w:t>5</w:t>
      </w:r>
      <w:r>
        <w:rPr>
          <w:rFonts w:hint="eastAsia"/>
          <w:sz w:val="21"/>
          <w:szCs w:val="21"/>
          <w:highlight w:val="none"/>
          <w:lang w:eastAsia="zh-CN"/>
        </w:rPr>
        <w:t>）</w:t>
      </w:r>
      <w:r>
        <w:rPr>
          <w:rFonts w:hint="eastAsia" w:ascii="宋体" w:hAnsi="宋体"/>
          <w:sz w:val="21"/>
          <w:szCs w:val="21"/>
          <w:highlight w:val="none"/>
        </w:rPr>
        <w:t>自收到完整、有效的竣工结算资料之日起，3个月内出具竣工结算初稿；自收到完整的竣工结算资料之日起，6个月内出具竣工结算报告。</w:t>
      </w:r>
    </w:p>
    <w:p w14:paraId="0C55E6A2">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w:t>
      </w:r>
      <w:r>
        <w:rPr>
          <w:rFonts w:hint="eastAsia"/>
          <w:sz w:val="21"/>
          <w:szCs w:val="21"/>
          <w:highlight w:val="none"/>
          <w:lang w:val="en-US" w:eastAsia="zh-CN"/>
        </w:rPr>
        <w:t>6</w:t>
      </w:r>
      <w:r>
        <w:rPr>
          <w:rFonts w:hint="eastAsia" w:ascii="宋体" w:hAnsi="宋体"/>
          <w:sz w:val="21"/>
          <w:szCs w:val="21"/>
          <w:highlight w:val="none"/>
        </w:rPr>
        <w:t>）所有咨询成果文件在签发前必须经过复核程序，其中审计报告需经过三级复核。</w:t>
      </w:r>
    </w:p>
    <w:p w14:paraId="1E8E9594">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上述时间要求是对应采购人提供完整造价所需资料的情况，如果采购人提供的资料不齐全，</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应在收到资料之日起2日内提出，否则将视首次资料移交日为工作时间的开始日，以此对</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进行考核。同时采购人可根据项目大小合理调整咨询服务时间。</w:t>
      </w:r>
    </w:p>
    <w:p w14:paraId="418D0DE9">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三</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审计成果及过程要求</w:t>
      </w:r>
    </w:p>
    <w:p w14:paraId="054B2C25">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（1）审计实施前，项目负责人</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配合采购人编制跟踪审计实施方案；</w:t>
      </w:r>
    </w:p>
    <w:p w14:paraId="58986F9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（2）审计实施过程中，</w:t>
      </w:r>
      <w:r>
        <w:rPr>
          <w:rFonts w:hint="eastAsia" w:ascii="宋体" w:hAnsi="宋体" w:eastAsia="宋体" w:cs="宋体"/>
          <w:sz w:val="21"/>
          <w:szCs w:val="21"/>
          <w:highlight w:val="none"/>
          <w:lang w:val="en-US" w:eastAsia="zh-CN"/>
        </w:rPr>
        <w:t>供应商须</w:t>
      </w:r>
      <w:r>
        <w:rPr>
          <w:rFonts w:hint="eastAsia" w:ascii="宋体" w:hAnsi="宋体" w:eastAsia="宋体" w:cs="宋体"/>
          <w:sz w:val="21"/>
          <w:szCs w:val="21"/>
          <w:highlight w:val="none"/>
        </w:rPr>
        <w:t>编制审计意见工作底稿；审计期间需根据采购人需求出具</w:t>
      </w:r>
      <w:r>
        <w:rPr>
          <w:rFonts w:hint="eastAsia" w:ascii="宋体" w:hAnsi="宋体" w:eastAsia="宋体" w:cs="宋体"/>
          <w:sz w:val="21"/>
          <w:szCs w:val="21"/>
          <w:highlight w:val="none"/>
          <w:lang w:val="en-US" w:eastAsia="zh-CN"/>
        </w:rPr>
        <w:t>全过程咨询跟踪</w:t>
      </w:r>
      <w:r>
        <w:rPr>
          <w:rFonts w:hint="eastAsia" w:ascii="宋体" w:hAnsi="宋体" w:eastAsia="宋体" w:cs="宋体"/>
          <w:sz w:val="21"/>
          <w:szCs w:val="21"/>
          <w:highlight w:val="none"/>
        </w:rPr>
        <w:t>报告；</w:t>
      </w:r>
    </w:p>
    <w:p w14:paraId="5BDB2D1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（3）审计</w:t>
      </w:r>
      <w:r>
        <w:rPr>
          <w:rFonts w:hint="eastAsia" w:ascii="宋体" w:hAnsi="宋体" w:eastAsia="宋体" w:cs="宋体"/>
          <w:sz w:val="21"/>
          <w:szCs w:val="21"/>
          <w:highlight w:val="none"/>
          <w:lang w:val="en-US" w:eastAsia="zh-CN"/>
        </w:rPr>
        <w:t>终结时，供应商须出具审计综合报告；</w:t>
      </w:r>
    </w:p>
    <w:p w14:paraId="4A8D6447">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（4）供应商需与采购人签署《廉洁自律承诺书》。</w:t>
      </w:r>
    </w:p>
    <w:p w14:paraId="6B7A5C6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（5）供应商需派至少有两名（一名土建、一名安装）人员常驻现场，驻场工作时间为开工之日起</w:t>
      </w:r>
      <w:r>
        <w:rPr>
          <w:rStyle w:val="21"/>
          <w:rFonts w:hint="eastAsia" w:ascii="宋体" w:hAnsi="宋体" w:eastAsia="宋体" w:cs="宋体"/>
          <w:sz w:val="21"/>
          <w:szCs w:val="21"/>
          <w:highlight w:val="none"/>
          <w:lang w:val="en-US" w:eastAsia="zh-CN"/>
        </w:rPr>
        <w:t>至工程竣工验收之日止</w:t>
      </w:r>
      <w:r>
        <w:rPr>
          <w:rFonts w:hint="eastAsia" w:ascii="宋体" w:hAnsi="宋体" w:eastAsia="宋体" w:cs="宋体"/>
          <w:color w:val="auto"/>
          <w:kern w:val="2"/>
          <w:sz w:val="21"/>
          <w:szCs w:val="21"/>
          <w:highlight w:val="none"/>
          <w:lang w:val="en-US" w:eastAsia="zh-CN" w:bidi="ar-SA"/>
        </w:rPr>
        <w:t>每周不少于3天</w:t>
      </w:r>
      <w:r>
        <w:rPr>
          <w:rFonts w:hint="eastAsia" w:ascii="宋体" w:hAnsi="宋体" w:eastAsia="宋体" w:cs="宋体"/>
          <w:sz w:val="21"/>
          <w:szCs w:val="21"/>
          <w:highlight w:val="none"/>
          <w:lang w:val="en-US" w:eastAsia="zh-CN"/>
        </w:rPr>
        <w:t>及根据现场施工需要；</w:t>
      </w:r>
    </w:p>
    <w:p w14:paraId="140D050B">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（6）供应商须参加工程例</w:t>
      </w:r>
      <w:r>
        <w:rPr>
          <w:rFonts w:hint="eastAsia" w:ascii="宋体" w:hAnsi="宋体" w:eastAsia="宋体" w:cs="宋体"/>
          <w:sz w:val="21"/>
          <w:szCs w:val="21"/>
          <w:highlight w:val="none"/>
        </w:rPr>
        <w:t>会；</w:t>
      </w:r>
    </w:p>
    <w:p w14:paraId="423499E3">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供应商须</w:t>
      </w:r>
      <w:r>
        <w:rPr>
          <w:rFonts w:hint="eastAsia" w:ascii="宋体" w:hAnsi="宋体" w:eastAsia="宋体" w:cs="宋体"/>
          <w:sz w:val="21"/>
          <w:szCs w:val="21"/>
          <w:highlight w:val="none"/>
        </w:rPr>
        <w:t>完成采购人要求的其他审计咨询服务。</w:t>
      </w:r>
    </w:p>
    <w:p w14:paraId="3F29F807">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Style w:val="21"/>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四</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需配合采购人使用工程审计数字化平台</w:t>
      </w:r>
    </w:p>
    <w:p w14:paraId="173016DC">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 xml:space="preserve">  1、全过程审计方案、跟踪审计记录（包括日志、月报）、年度工作报告、阶段性报告、综合报告等的线上操作；</w:t>
      </w:r>
    </w:p>
    <w:p w14:paraId="27A88435">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2、设计概算、招标文件、合同、施工图预算、变更联系单、进度款的审计意见等的线上操作；</w:t>
      </w:r>
    </w:p>
    <w:p w14:paraId="6B7CCF7F">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3、审计过程中的协调会会议纪要的线上操作；</w:t>
      </w:r>
    </w:p>
    <w:p w14:paraId="25356FD2">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4、竣工结算审计的踏勘现场记录、审计初稿、审计报告等的线上操作。</w:t>
      </w:r>
    </w:p>
    <w:p w14:paraId="72E6082D">
      <w:pPr>
        <w:keepNext w:val="0"/>
        <w:keepLines w:val="0"/>
        <w:pageBreakBefore w:val="0"/>
        <w:widowControl w:val="0"/>
        <w:kinsoku/>
        <w:wordWrap/>
        <w:overflowPunct/>
        <w:topLinePunct w:val="0"/>
        <w:autoSpaceDE/>
        <w:autoSpaceDN/>
        <w:bidi w:val="0"/>
        <w:adjustRightInd w:val="0"/>
        <w:spacing w:before="0" w:after="0" w:line="288" w:lineRule="auto"/>
        <w:ind w:firstLine="422" w:firstLineChars="200"/>
        <w:contextualSpacing/>
        <w:jc w:val="both"/>
        <w:textAlignment w:val="auto"/>
        <w:outlineLvl w:val="9"/>
        <w:rPr>
          <w:rFonts w:hint="eastAsia"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（五）人员配备及时间要求：</w:t>
      </w:r>
    </w:p>
    <w:p w14:paraId="74445414">
      <w:pPr>
        <w:keepNext w:val="0"/>
        <w:keepLines w:val="0"/>
        <w:pageBreakBefore w:val="0"/>
        <w:widowControl/>
        <w:kinsoku/>
        <w:wordWrap/>
        <w:overflowPunct/>
        <w:topLinePunct w:val="0"/>
        <w:autoSpaceDE/>
        <w:autoSpaceDN/>
        <w:bidi w:val="0"/>
        <w:adjustRightInd w:val="0"/>
        <w:snapToGrid w:val="0"/>
        <w:spacing w:before="0" w:after="0" w:line="288" w:lineRule="auto"/>
        <w:ind w:firstLine="420" w:firstLineChars="200"/>
        <w:contextualSpacing/>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1.人员配备要求：</w:t>
      </w:r>
    </w:p>
    <w:p w14:paraId="37E7AE04">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团队（包括项目负责人）不少于5人，项目负责人具有国家一级注册造价工程师资质及中级以上职称，拟派人员均具有国家二级（含）以上造价工程师资质及中级以上职称。项目团队所有成员应具有类似项目业绩，且相关人员应为投标人企业自有人员，注册造价师执业资格证书均注册于投标人本单位。</w:t>
      </w:r>
    </w:p>
    <w:p w14:paraId="4A39E57C">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服务期间，投标人的项目组人员必须与投标承诺一致，须明确分工和承担的任务，未经采购人允许不得更换项目组人员，并必须达到投标承诺的到岗率和到位率。投标人必须至少派驻两名（1名土建、一名安装）具有国家二级（含）以上造价工程师资质的造价咨询人员驻守建设地点，且现场驻点到位率在</w:t>
      </w:r>
      <w:r>
        <w:rPr>
          <w:rStyle w:val="21"/>
          <w:rFonts w:hint="eastAsia" w:ascii="宋体" w:hAnsi="宋体" w:eastAsia="宋体" w:cs="宋体"/>
          <w:sz w:val="21"/>
          <w:szCs w:val="21"/>
          <w:highlight w:val="none"/>
          <w:lang w:val="en-US" w:eastAsia="zh-CN"/>
        </w:rPr>
        <w:t>驻场时间自工程开工之日起至工程竣工验收之日止</w:t>
      </w:r>
      <w:r>
        <w:rPr>
          <w:rFonts w:hint="eastAsia" w:ascii="宋体" w:hAnsi="宋体" w:eastAsia="宋体" w:cs="宋体"/>
          <w:color w:val="auto"/>
          <w:kern w:val="2"/>
          <w:sz w:val="21"/>
          <w:szCs w:val="21"/>
          <w:highlight w:val="none"/>
          <w:lang w:val="en-US" w:eastAsia="zh-CN" w:bidi="ar-SA"/>
        </w:rPr>
        <w:t>每周不少于3天，其余人员必须随叫随到（2小时内响应）实时控制造价。跟踪审计人员驻现场办公期间住宿、伙食及办公费用自理。未经采购人同意，投标人不得更换项目组负责人和主要咨询人员；因不可抗力原因确实需要更换项目负责人时，必须征得采购人同意并不得降低人员资格标准。</w:t>
      </w:r>
    </w:p>
    <w:p w14:paraId="60C0B0DB">
      <w:pPr>
        <w:keepNext w:val="0"/>
        <w:keepLines w:val="0"/>
        <w:pageBreakBefore w:val="0"/>
        <w:widowControl w:val="0"/>
        <w:kinsoku/>
        <w:wordWrap/>
        <w:overflowPunct/>
        <w:topLinePunct w:val="0"/>
        <w:autoSpaceDE/>
        <w:autoSpaceDN/>
        <w:bidi w:val="0"/>
        <w:adjustRightInd w:val="0"/>
        <w:spacing w:before="0" w:after="0" w:line="288" w:lineRule="auto"/>
        <w:ind w:firstLine="422" w:firstLineChars="200"/>
        <w:contextualSpacing/>
        <w:jc w:val="both"/>
        <w:textAlignment w:val="auto"/>
        <w:outlineLvl w:val="9"/>
        <w:rPr>
          <w:rFonts w:hint="eastAsia" w:ascii="宋体" w:hAnsi="宋体" w:eastAsia="宋体" w:cs="宋体"/>
          <w:b/>
          <w:bCs/>
          <w:color w:val="auto"/>
          <w:kern w:val="44"/>
          <w:sz w:val="21"/>
          <w:szCs w:val="21"/>
          <w:highlight w:val="none"/>
          <w:lang w:val="en-US" w:eastAsia="zh-CN" w:bidi="ar-SA"/>
        </w:rPr>
      </w:pPr>
      <w:bookmarkStart w:id="34" w:name="_Toc122965762"/>
      <w:bookmarkStart w:id="35" w:name="_Toc122364733"/>
      <w:r>
        <w:rPr>
          <w:rFonts w:hint="eastAsia" w:ascii="宋体" w:hAnsi="宋体" w:eastAsia="宋体" w:cs="宋体"/>
          <w:b/>
          <w:bCs/>
          <w:color w:val="auto"/>
          <w:kern w:val="44"/>
          <w:sz w:val="21"/>
          <w:szCs w:val="21"/>
          <w:highlight w:val="none"/>
          <w:lang w:val="en-US" w:eastAsia="zh-CN" w:bidi="ar-SA"/>
        </w:rPr>
        <w:t>（六）服务期</w:t>
      </w:r>
      <w:bookmarkEnd w:id="34"/>
      <w:bookmarkEnd w:id="35"/>
      <w:r>
        <w:rPr>
          <w:rFonts w:hint="eastAsia" w:ascii="宋体" w:hAnsi="宋体" w:eastAsia="宋体" w:cs="宋体"/>
          <w:b/>
          <w:bCs/>
          <w:color w:val="auto"/>
          <w:kern w:val="44"/>
          <w:sz w:val="21"/>
          <w:szCs w:val="21"/>
          <w:highlight w:val="none"/>
          <w:lang w:val="en-US" w:eastAsia="zh-CN" w:bidi="ar-SA"/>
        </w:rPr>
        <w:t>：</w:t>
      </w:r>
    </w:p>
    <w:p w14:paraId="59D6E976">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en-US" w:eastAsia="zh-CN" w:bidi="ar-SA"/>
        </w:rPr>
        <w:t>自合同签订之日起开始实施，至提交完整全过程跟踪审计报告及工程竣工结算报告等咨询材料之日止。</w:t>
      </w:r>
    </w:p>
    <w:p w14:paraId="780A24CD">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Style w:val="21"/>
          <w:rFonts w:hint="eastAsia" w:ascii="宋体" w:hAnsi="宋体" w:eastAsia="宋体" w:cs="宋体"/>
          <w:b/>
          <w:bCs/>
          <w:sz w:val="21"/>
          <w:szCs w:val="21"/>
          <w:highlight w:val="none"/>
        </w:rPr>
      </w:pPr>
      <w:r>
        <w:rPr>
          <w:rStyle w:val="21"/>
          <w:rFonts w:hint="eastAsia" w:ascii="宋体" w:hAnsi="宋体" w:eastAsia="宋体" w:cs="宋体"/>
          <w:b/>
          <w:bCs/>
          <w:sz w:val="21"/>
          <w:szCs w:val="21"/>
          <w:highlight w:val="none"/>
          <w:lang w:eastAsia="zh-CN"/>
        </w:rPr>
        <w:t>（</w:t>
      </w:r>
      <w:r>
        <w:rPr>
          <w:rStyle w:val="21"/>
          <w:rFonts w:hint="eastAsia" w:ascii="宋体" w:hAnsi="宋体" w:eastAsia="宋体" w:cs="宋体"/>
          <w:b/>
          <w:bCs/>
          <w:sz w:val="21"/>
          <w:szCs w:val="21"/>
          <w:highlight w:val="none"/>
          <w:lang w:val="en-US" w:eastAsia="zh-CN"/>
        </w:rPr>
        <w:t>七）</w:t>
      </w:r>
      <w:r>
        <w:rPr>
          <w:rStyle w:val="21"/>
          <w:rFonts w:hint="eastAsia" w:ascii="宋体" w:hAnsi="宋体" w:eastAsia="宋体" w:cs="宋体"/>
          <w:b/>
          <w:bCs/>
          <w:sz w:val="21"/>
          <w:szCs w:val="21"/>
          <w:highlight w:val="none"/>
        </w:rPr>
        <w:t>违约处理</w:t>
      </w:r>
    </w:p>
    <w:p w14:paraId="023A0C79">
      <w:pPr>
        <w:keepNext w:val="0"/>
        <w:keepLines w:val="0"/>
        <w:pageBreakBefore w:val="0"/>
        <w:kinsoku/>
        <w:wordWrap/>
        <w:overflowPunct/>
        <w:topLinePunct w:val="0"/>
        <w:autoSpaceDE/>
        <w:autoSpaceDN/>
        <w:bidi w:val="0"/>
        <w:adjustRightInd w:val="0"/>
        <w:snapToGrid/>
        <w:spacing w:line="288" w:lineRule="auto"/>
        <w:ind w:firstLine="420" w:firstLineChars="200"/>
        <w:contextualSpacing/>
        <w:textAlignment w:val="auto"/>
        <w:outlineLvl w:val="9"/>
        <w:rPr>
          <w:rStyle w:val="21"/>
          <w:rFonts w:hint="eastAsia" w:ascii="宋体" w:hAnsi="宋体" w:eastAsia="宋体" w:cs="宋体"/>
          <w:sz w:val="21"/>
          <w:szCs w:val="21"/>
          <w:highlight w:val="none"/>
          <w:lang w:val="en-US" w:eastAsia="zh-CN"/>
        </w:rPr>
      </w:pPr>
      <w:r>
        <w:rPr>
          <w:rStyle w:val="21"/>
          <w:rFonts w:hint="eastAsia" w:ascii="宋体" w:hAnsi="宋体" w:eastAsia="宋体" w:cs="宋体"/>
          <w:sz w:val="21"/>
          <w:szCs w:val="21"/>
          <w:highlight w:val="none"/>
        </w:rPr>
        <w:t>1.</w:t>
      </w:r>
      <w:r>
        <w:rPr>
          <w:rStyle w:val="21"/>
          <w:rFonts w:hint="eastAsia" w:ascii="宋体" w:hAnsi="宋体" w:eastAsia="宋体" w:cs="宋体"/>
          <w:sz w:val="21"/>
          <w:szCs w:val="21"/>
          <w:highlight w:val="none"/>
          <w:lang w:val="en-US" w:eastAsia="zh-CN"/>
        </w:rPr>
        <w:t>驻场时间自工程开工之日起至工程竣工验收之日止</w:t>
      </w:r>
      <w:r>
        <w:rPr>
          <w:rStyle w:val="21"/>
          <w:rFonts w:hint="eastAsia" w:ascii="宋体" w:hAnsi="宋体" w:eastAsia="宋体" w:cs="宋体"/>
          <w:sz w:val="21"/>
          <w:szCs w:val="21"/>
          <w:highlight w:val="none"/>
        </w:rPr>
        <w:t>；</w:t>
      </w:r>
      <w:r>
        <w:rPr>
          <w:rFonts w:hint="eastAsia" w:ascii="宋体" w:hAnsi="宋体" w:eastAsia="宋体" w:cs="宋体"/>
          <w:b w:val="0"/>
          <w:bCs w:val="0"/>
          <w:color w:val="auto"/>
          <w:kern w:val="44"/>
          <w:sz w:val="21"/>
          <w:szCs w:val="21"/>
          <w:highlight w:val="none"/>
          <w:lang w:val="en-US" w:eastAsia="zh-CN" w:bidi="ar-SA"/>
        </w:rPr>
        <w:t>供应商在正式入场前需将派驻人员基本资料提交至采购人审核通过，采购人有权根据项目需要调整驻场人员专业要求。采购人对供应商驻现场代表实行考勤签到制度，考勤以周为单位，每周不少于3天，驻现场代表应在考勤日9：00前在驻场现场签到，晚于签到时间的每人每次罚款500元，应于17：00后在驻场现场签到后下班，早于签到时间的每人每次罚款500元，由采购人在合同最终结算时扣除。供应商驻现场代表未按要求完成签到累计达到3次以上的，采购人有权要求更换驻现场人员（第一次更换），第一次更换驻现场人员后仍未能完成考勤签到指标的，采购人有权再次要求更换驻现场人员（第二次更换），第二次更换驻现场人员后未能完成考勤签到指标的，采购人有权在最终结算时扣除合同结算价的1%作为对咨询单位的惩罚，同时采购人有权第三次更换驻现场人员，第三次更换驻现场人员后未能完成考勤签到指标的，采购人有权在最终结算时累计扣除合同结算价3%作为对咨询单位的惩罚，同时采购人有权第四次（含以上）更换驻现场人员，第四次（含以上）更换驻现场人员后仍未能完成考勤签到指标的，采购人有权解除合同，由此造成的损失由供应商自行承担。</w:t>
      </w:r>
    </w:p>
    <w:p w14:paraId="2E5624F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lang w:eastAsia="zh-CN"/>
        </w:rPr>
      </w:pPr>
      <w:r>
        <w:rPr>
          <w:rStyle w:val="21"/>
          <w:rFonts w:hint="eastAsia" w:ascii="宋体" w:hAnsi="宋体" w:eastAsia="宋体" w:cs="宋体"/>
          <w:sz w:val="21"/>
          <w:szCs w:val="21"/>
          <w:highlight w:val="none"/>
        </w:rPr>
        <w:t>2.若发现未经委托人书面同意擅自更换审计服务人员，每次扣3000元</w:t>
      </w:r>
      <w:r>
        <w:rPr>
          <w:rStyle w:val="21"/>
          <w:rFonts w:hint="eastAsia" w:ascii="宋体" w:hAnsi="宋体" w:eastAsia="宋体" w:cs="宋体"/>
          <w:sz w:val="21"/>
          <w:szCs w:val="21"/>
          <w:highlight w:val="none"/>
          <w:lang w:eastAsia="zh-CN"/>
        </w:rPr>
        <w:t>。</w:t>
      </w:r>
    </w:p>
    <w:p w14:paraId="105FED9F">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3.若发现未按工作进度完成，每次扣除1000元。</w:t>
      </w:r>
    </w:p>
    <w:p w14:paraId="4C33428D">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4.若发现出现重大质量失误，每次扣除10000元。</w:t>
      </w:r>
    </w:p>
    <w:p w14:paraId="1BE5E7EB">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5.若工作月报、年度工作报告、阶段性报告、综合报告等报告撰写质量不符合采购人要求，返回修改超过3次的，超出的次数按每次扣除500元。</w:t>
      </w:r>
    </w:p>
    <w:p w14:paraId="13538DB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lang w:val="en-US" w:eastAsia="zh-CN"/>
        </w:rPr>
      </w:pPr>
      <w:r>
        <w:rPr>
          <w:rStyle w:val="21"/>
          <w:rFonts w:hint="eastAsia" w:ascii="宋体" w:hAnsi="宋体" w:eastAsia="宋体" w:cs="宋体"/>
          <w:sz w:val="21"/>
          <w:szCs w:val="21"/>
          <w:highlight w:val="none"/>
          <w:lang w:val="en-US" w:eastAsia="zh-CN"/>
        </w:rPr>
        <w:t>6.以上造价咨询人员违约处罚累计最高不超过合同结算价的5%，若超出违约，采购人有权终止合同并要求供应商承担相关违约责任。</w:t>
      </w:r>
    </w:p>
    <w:p w14:paraId="451434BF">
      <w:pPr>
        <w:rPr>
          <w:rFonts w:hint="default" w:eastAsia="宋体" w:cs="Times New Roman"/>
          <w:sz w:val="21"/>
          <w:szCs w:val="21"/>
          <w:highlight w:val="none"/>
          <w:lang w:val="en-US" w:eastAsia="zh-CN"/>
        </w:rPr>
      </w:pPr>
      <w:r>
        <w:rPr>
          <w:rFonts w:hint="default" w:eastAsia="宋体" w:cs="Times New Roman"/>
          <w:sz w:val="21"/>
          <w:szCs w:val="21"/>
          <w:highlight w:val="none"/>
          <w:lang w:val="en-US" w:eastAsia="zh-CN"/>
        </w:rPr>
        <w:br w:type="page"/>
      </w:r>
    </w:p>
    <w:p w14:paraId="2560735A">
      <w:pPr>
        <w:pStyle w:val="2"/>
        <w:rPr>
          <w:rFonts w:hint="default"/>
          <w:highlight w:val="none"/>
          <w:lang w:val="en-US" w:eastAsia="zh-CN"/>
        </w:rPr>
      </w:pPr>
    </w:p>
    <w:p w14:paraId="2D4DE496">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14:paraId="74AA3697">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725"/>
        <w:gridCol w:w="6756"/>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51022EFE">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896" w:type="pct"/>
            <w:vAlign w:val="center"/>
          </w:tcPr>
          <w:p w14:paraId="7C1E1B46">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内容</w:t>
            </w:r>
          </w:p>
        </w:tc>
        <w:tc>
          <w:tcPr>
            <w:tcW w:w="3509" w:type="pct"/>
            <w:vAlign w:val="center"/>
          </w:tcPr>
          <w:p w14:paraId="2BAE7546">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74C2DCB8">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tc>
        <w:tc>
          <w:tcPr>
            <w:tcW w:w="896" w:type="pct"/>
            <w:vAlign w:val="center"/>
          </w:tcPr>
          <w:p w14:paraId="41081B9C">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适用范围</w:t>
            </w:r>
          </w:p>
        </w:tc>
        <w:tc>
          <w:tcPr>
            <w:tcW w:w="3509" w:type="pct"/>
            <w:vAlign w:val="center"/>
          </w:tcPr>
          <w:p w14:paraId="4BFD00F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本磋商文件适用于</w:t>
            </w:r>
            <w:r>
              <w:rPr>
                <w:rFonts w:hint="eastAsia" w:cs="宋体"/>
                <w:sz w:val="21"/>
                <w:szCs w:val="21"/>
                <w:highlight w:val="none"/>
                <w:lang w:eastAsia="zh-CN"/>
              </w:rPr>
              <w:t>浙江科技大学数字化技术与智能制造产教融合实训基地（中德科创中心）EPC项目全过程跟踪审计</w:t>
            </w:r>
            <w:r>
              <w:rPr>
                <w:rFonts w:hint="eastAsia" w:ascii="宋体" w:hAnsi="宋体" w:eastAsia="宋体" w:cs="宋体"/>
                <w:sz w:val="21"/>
                <w:szCs w:val="21"/>
                <w:highlight w:val="none"/>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73E7E57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896" w:type="pct"/>
            <w:vAlign w:val="center"/>
          </w:tcPr>
          <w:p w14:paraId="3D2512E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3509" w:type="pct"/>
            <w:vAlign w:val="center"/>
          </w:tcPr>
          <w:p w14:paraId="426CE48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29C05E1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（三）</w:t>
            </w:r>
          </w:p>
        </w:tc>
        <w:tc>
          <w:tcPr>
            <w:tcW w:w="896" w:type="pct"/>
            <w:vAlign w:val="center"/>
          </w:tcPr>
          <w:p w14:paraId="5ECA1B4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竞争性磋商委托</w:t>
            </w:r>
          </w:p>
        </w:tc>
        <w:tc>
          <w:tcPr>
            <w:tcW w:w="3509" w:type="pct"/>
            <w:vAlign w:val="center"/>
          </w:tcPr>
          <w:p w14:paraId="1DA48F18">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rPr>
              <w:t>▲2.供应商代表不是法定代表人（单位负责人、自然人本人）的，须提供</w:t>
            </w:r>
            <w:r>
              <w:rPr>
                <w:rFonts w:hint="eastAsia" w:ascii="宋体" w:hAnsi="宋体" w:eastAsia="宋体" w:cs="宋体"/>
                <w:bCs/>
                <w:sz w:val="21"/>
                <w:szCs w:val="21"/>
              </w:rPr>
              <w:t>授权委托书</w:t>
            </w:r>
            <w:r>
              <w:rPr>
                <w:rFonts w:hint="eastAsia" w:ascii="宋体" w:hAnsi="宋体" w:eastAsia="宋体" w:cs="宋体"/>
                <w:sz w:val="21"/>
                <w:szCs w:val="21"/>
              </w:rPr>
              <w:t>（格式详</w:t>
            </w:r>
            <w:r>
              <w:rPr>
                <w:rFonts w:hint="eastAsia" w:ascii="宋体" w:hAnsi="宋体" w:eastAsia="宋体" w:cs="宋体"/>
                <w:sz w:val="21"/>
                <w:szCs w:val="21"/>
                <w:highlight w:val="none"/>
              </w:rPr>
              <w:t>见磋商文件第六章）和授权代表社保缴纳证明（</w:t>
            </w:r>
            <w:r>
              <w:rPr>
                <w:rFonts w:hint="eastAsia" w:cs="宋体"/>
                <w:sz w:val="21"/>
                <w:szCs w:val="21"/>
                <w:highlight w:val="none"/>
                <w:lang w:eastAsia="zh-CN"/>
              </w:rPr>
              <w:t>2024年06月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highlight w:val="none"/>
              </w:rPr>
              <w:t>▲3.供应商委派不在本单位缴纳社保的人员作为授权代表的，应当在响应文件中，说明具体原因、授权代表</w:t>
            </w:r>
            <w:r>
              <w:rPr>
                <w:rFonts w:hint="eastAsia" w:ascii="宋体" w:hAnsi="宋体" w:eastAsia="宋体" w:cs="宋体"/>
                <w:sz w:val="21"/>
                <w:szCs w:val="21"/>
              </w:rPr>
              <w:t>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3D693D8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（四）</w:t>
            </w:r>
          </w:p>
        </w:tc>
        <w:tc>
          <w:tcPr>
            <w:tcW w:w="896" w:type="pct"/>
            <w:vAlign w:val="center"/>
          </w:tcPr>
          <w:p w14:paraId="702884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磋商费用</w:t>
            </w:r>
          </w:p>
        </w:tc>
        <w:tc>
          <w:tcPr>
            <w:tcW w:w="3509" w:type="pct"/>
            <w:vAlign w:val="center"/>
          </w:tcPr>
          <w:p w14:paraId="6398DC2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BE22442">
            <w:pPr>
              <w:adjustRightInd w:val="0"/>
              <w:snapToGrid w:val="0"/>
              <w:spacing w:line="288" w:lineRule="auto"/>
              <w:rPr>
                <w:rFonts w:hint="eastAsia" w:ascii="宋体" w:hAnsi="宋体" w:eastAsia="宋体" w:cs="宋体"/>
                <w:sz w:val="21"/>
                <w:szCs w:val="21"/>
                <w:highlight w:val="none"/>
              </w:rPr>
            </w:pPr>
            <w:bookmarkStart w:id="36" w:name="_Hlk71808378"/>
            <w:r>
              <w:rPr>
                <w:rFonts w:hint="eastAsia" w:ascii="宋体" w:hAnsi="宋体" w:eastAsia="宋体" w:cs="宋体"/>
                <w:sz w:val="21"/>
                <w:szCs w:val="21"/>
              </w:rPr>
              <w:t>4.代理服务费收费标准</w:t>
            </w:r>
            <w:bookmarkEnd w:id="36"/>
            <w:r>
              <w:rPr>
                <w:rFonts w:hint="eastAsia" w:cs="宋体"/>
                <w:sz w:val="21"/>
                <w:szCs w:val="21"/>
                <w:lang w:eastAsia="zh-CN"/>
              </w:rPr>
              <w:t>（</w:t>
            </w:r>
            <w:r>
              <w:rPr>
                <w:rFonts w:hint="eastAsia" w:ascii="宋体" w:hAnsi="宋体" w:eastAsia="宋体" w:cs="宋体"/>
                <w:sz w:val="21"/>
                <w:szCs w:val="21"/>
                <w:highlight w:val="none"/>
              </w:rPr>
              <w:t>差额累进）：</w:t>
            </w:r>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551"/>
              <w:gridCol w:w="2901"/>
            </w:tblGrid>
            <w:tr w14:paraId="5DF69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23CD99E">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lang w:val="en-US" w:eastAsia="zh-CN"/>
                    </w:rPr>
                    <w:t>成交</w:t>
                  </w:r>
                  <w:r>
                    <w:rPr>
                      <w:rFonts w:hint="eastAsia" w:ascii="宋体" w:hAnsi="宋体" w:eastAsia="宋体" w:cs="Times New Roman"/>
                      <w:b/>
                      <w:bCs/>
                      <w:spacing w:val="-6"/>
                      <w:sz w:val="21"/>
                      <w:szCs w:val="21"/>
                    </w:rPr>
                    <w:t>金额（万元）</w:t>
                  </w:r>
                </w:p>
              </w:tc>
              <w:tc>
                <w:tcPr>
                  <w:tcW w:w="2901" w:type="dxa"/>
                  <w:tcMar>
                    <w:top w:w="0" w:type="dxa"/>
                    <w:left w:w="108" w:type="dxa"/>
                    <w:bottom w:w="0" w:type="dxa"/>
                    <w:right w:w="108" w:type="dxa"/>
                  </w:tcMar>
                  <w:vAlign w:val="center"/>
                </w:tcPr>
                <w:p w14:paraId="52FBCFAC">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rPr>
                    <w:t>收费标准（费率，%）</w:t>
                  </w:r>
                </w:p>
              </w:tc>
            </w:tr>
            <w:tr w14:paraId="6751B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DA3A28A">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100以下</w:t>
                  </w:r>
                </w:p>
              </w:tc>
              <w:tc>
                <w:tcPr>
                  <w:tcW w:w="2901" w:type="dxa"/>
                  <w:tcMar>
                    <w:top w:w="0" w:type="dxa"/>
                    <w:left w:w="108" w:type="dxa"/>
                    <w:bottom w:w="0" w:type="dxa"/>
                    <w:right w:w="108" w:type="dxa"/>
                  </w:tcMar>
                  <w:vAlign w:val="center"/>
                </w:tcPr>
                <w:p w14:paraId="53BF285A">
                  <w:pPr>
                    <w:adjustRightInd w:val="0"/>
                    <w:snapToGrid w:val="0"/>
                    <w:spacing w:line="288" w:lineRule="auto"/>
                    <w:jc w:val="center"/>
                    <w:rPr>
                      <w:rFonts w:hint="default" w:ascii="宋体" w:hAnsi="宋体" w:eastAsia="宋体" w:cs="Times New Roman"/>
                      <w:b w:val="0"/>
                      <w:bCs w:val="0"/>
                      <w:spacing w:val="-6"/>
                      <w:sz w:val="21"/>
                      <w:szCs w:val="21"/>
                      <w:lang w:val="en-US"/>
                    </w:rPr>
                  </w:pPr>
                  <w:r>
                    <w:rPr>
                      <w:rFonts w:hint="eastAsia" w:ascii="宋体" w:hAnsi="宋体" w:eastAsia="宋体" w:cs="Times New Roman"/>
                      <w:b w:val="0"/>
                      <w:bCs w:val="0"/>
                      <w:spacing w:val="-6"/>
                      <w:sz w:val="21"/>
                      <w:szCs w:val="21"/>
                    </w:rPr>
                    <w:t>1.</w:t>
                  </w:r>
                  <w:r>
                    <w:rPr>
                      <w:rFonts w:hint="eastAsia" w:cs="Times New Roman"/>
                      <w:b w:val="0"/>
                      <w:bCs w:val="0"/>
                      <w:spacing w:val="-6"/>
                      <w:sz w:val="21"/>
                      <w:szCs w:val="21"/>
                      <w:lang w:val="en-US" w:eastAsia="zh-CN"/>
                    </w:rPr>
                    <w:t>05</w:t>
                  </w:r>
                </w:p>
              </w:tc>
            </w:tr>
          </w:tbl>
          <w:p w14:paraId="06B01323">
            <w:pPr>
              <w:adjustRightInd w:val="0"/>
              <w:snapToGrid w:val="0"/>
              <w:spacing w:line="288" w:lineRule="auto"/>
              <w:rPr>
                <w:rFonts w:hint="eastAsia" w:ascii="宋体" w:hAnsi="宋体" w:eastAsia="宋体" w:cs="宋体"/>
                <w:sz w:val="21"/>
                <w:szCs w:val="21"/>
              </w:rPr>
            </w:pPr>
            <w:r>
              <w:rPr>
                <w:rFonts w:hint="eastAsia" w:ascii="宋体" w:hAnsi="宋体" w:eastAsia="宋体"/>
                <w:sz w:val="21"/>
                <w:szCs w:val="21"/>
              </w:rPr>
              <w:t>备注：代理服务费不足叁仟元的按叁仟元计算</w:t>
            </w: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11CE5CB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896" w:type="pct"/>
            <w:vAlign w:val="center"/>
          </w:tcPr>
          <w:p w14:paraId="435B6D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pacing w:val="-6"/>
                <w:sz w:val="21"/>
                <w:szCs w:val="21"/>
              </w:rPr>
              <w:t>磋商保证金（元）</w:t>
            </w:r>
          </w:p>
        </w:tc>
        <w:tc>
          <w:tcPr>
            <w:tcW w:w="3509" w:type="pct"/>
            <w:vAlign w:val="center"/>
          </w:tcPr>
          <w:p w14:paraId="51E2BE82">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7CC3B2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896" w:type="pct"/>
            <w:vAlign w:val="center"/>
          </w:tcPr>
          <w:p w14:paraId="181B205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3509" w:type="pct"/>
            <w:vAlign w:val="center"/>
          </w:tcPr>
          <w:p w14:paraId="7CCBF89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27C68BB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896" w:type="pct"/>
            <w:vAlign w:val="center"/>
          </w:tcPr>
          <w:p w14:paraId="507D84C7">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转包与分包</w:t>
            </w:r>
          </w:p>
        </w:tc>
        <w:tc>
          <w:tcPr>
            <w:tcW w:w="3509" w:type="pct"/>
            <w:vAlign w:val="center"/>
          </w:tcPr>
          <w:p w14:paraId="3DF6640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7610D28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ascii="宋体" w:hAnsi="宋体" w:eastAsia="宋体" w:cs="宋体"/>
                <w:color w:val="auto"/>
                <w:sz w:val="21"/>
                <w:szCs w:val="21"/>
                <w:highlight w:val="none"/>
                <w:u w:val="single"/>
              </w:rPr>
              <w:t xml:space="preserve"> 本项以人工服务为主，供应商</w:t>
            </w:r>
            <w:r>
              <w:rPr>
                <w:rFonts w:hint="eastAsia" w:cs="宋体"/>
                <w:color w:val="auto"/>
                <w:sz w:val="21"/>
                <w:szCs w:val="21"/>
                <w:highlight w:val="none"/>
                <w:u w:val="single"/>
                <w:lang w:val="en-US" w:eastAsia="zh-CN"/>
              </w:rPr>
              <w:t>及项目组人员</w:t>
            </w:r>
            <w:r>
              <w:rPr>
                <w:rFonts w:hint="eastAsia" w:ascii="宋体" w:hAnsi="宋体" w:eastAsia="宋体" w:cs="宋体"/>
                <w:color w:val="auto"/>
                <w:sz w:val="21"/>
                <w:szCs w:val="21"/>
                <w:highlight w:val="none"/>
                <w:u w:val="single"/>
              </w:rPr>
              <w:t>需具备履行合同能力，工作内容整体不可分割</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 xml:space="preserve">不宜分包 </w:t>
            </w:r>
            <w:r>
              <w:rPr>
                <w:rFonts w:hint="eastAsia" w:ascii="宋体" w:hAnsi="宋体" w:eastAsia="宋体" w:cs="宋体"/>
                <w:color w:val="auto"/>
                <w:sz w:val="21"/>
                <w:szCs w:val="21"/>
                <w:highlight w:val="none"/>
                <w:u w:val="single"/>
              </w:rPr>
              <w:t>。</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0E127F7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896" w:type="pct"/>
            <w:vAlign w:val="center"/>
          </w:tcPr>
          <w:p w14:paraId="6086F7E4">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3509" w:type="pct"/>
            <w:vAlign w:val="center"/>
          </w:tcPr>
          <w:p w14:paraId="75692FF7">
            <w:pPr>
              <w:adjustRightInd w:val="0"/>
              <w:snapToGrid w:val="0"/>
              <w:spacing w:line="288" w:lineRule="auto"/>
              <w:rPr>
                <w:rFonts w:hint="eastAsia" w:ascii="宋体" w:hAnsi="宋体" w:eastAsia="宋体" w:cs="宋体"/>
                <w:bCs/>
                <w:sz w:val="21"/>
                <w:szCs w:val="21"/>
              </w:rPr>
            </w:pPr>
            <w:bookmarkStart w:id="37" w:name="_Hlk71808489"/>
            <w:r>
              <w:rPr>
                <w:rFonts w:hint="eastAsia" w:ascii="宋体" w:hAnsi="宋体" w:eastAsia="宋体" w:cs="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sz w:val="21"/>
                <w:szCs w:val="21"/>
              </w:rPr>
              <w:t>信息查询的截止时点：响应截止时间；</w:t>
            </w:r>
          </w:p>
          <w:p w14:paraId="41E5AE90">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（1）查询渠道：“信用中国”（www.creditchina.gov.cn）、“中国政府采购网”（www.ccgp.gov.cn）；</w:t>
            </w:r>
          </w:p>
          <w:p w14:paraId="1B1AF8D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）信用信息的使用规则：供应商被列入失信被执行人、重大税收违法案件当事人名单、政府采购严重违法失信行为记录名单的，拒绝其参与政府采购活动。</w:t>
            </w:r>
            <w:bookmarkEnd w:id="37"/>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5249420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（九）</w:t>
            </w:r>
          </w:p>
        </w:tc>
        <w:tc>
          <w:tcPr>
            <w:tcW w:w="896" w:type="pct"/>
            <w:vAlign w:val="center"/>
          </w:tcPr>
          <w:p w14:paraId="2C18E65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资格审查要求的资格证明材料</w:t>
            </w:r>
          </w:p>
        </w:tc>
        <w:tc>
          <w:tcPr>
            <w:tcW w:w="3509" w:type="pct"/>
            <w:vAlign w:val="center"/>
          </w:tcPr>
          <w:p w14:paraId="3521C7A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15E7024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（3）落实政府采购政策需满足的资格要求：</w:t>
            </w:r>
          </w:p>
          <w:p w14:paraId="118EAC9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1）中小企业声明函（若属于中小企业）</w:t>
            </w:r>
          </w:p>
          <w:p w14:paraId="2B12442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2）属于监狱企业的证明文件（若属于监狱企业）</w:t>
            </w:r>
          </w:p>
          <w:p w14:paraId="39E088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3）残疾人福利性单位声明函（若属于残疾人福利性单位）</w:t>
            </w:r>
          </w:p>
          <w:p w14:paraId="113E171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4）联合协议、分包意向协议（如有）</w:t>
            </w:r>
          </w:p>
          <w:p w14:paraId="6C7367C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30579F6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p>
        </w:tc>
        <w:tc>
          <w:tcPr>
            <w:tcW w:w="896" w:type="pct"/>
            <w:vAlign w:val="center"/>
          </w:tcPr>
          <w:p w14:paraId="0439679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响应文件份数</w:t>
            </w:r>
          </w:p>
        </w:tc>
        <w:tc>
          <w:tcPr>
            <w:tcW w:w="3509" w:type="pct"/>
            <w:vAlign w:val="center"/>
          </w:tcPr>
          <w:p w14:paraId="3658792E">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阙家珍</w:t>
            </w:r>
            <w:r>
              <w:rPr>
                <w:rFonts w:hint="eastAsia" w:ascii="宋体" w:hAnsi="宋体" w:eastAsia="宋体" w:cs="宋体"/>
                <w:b/>
                <w:bCs/>
                <w:color w:val="auto"/>
                <w:sz w:val="21"/>
                <w:szCs w:val="21"/>
                <w:highlight w:val="none"/>
              </w:rPr>
              <w:t>）收，电话：0571-8</w:t>
            </w:r>
            <w:r>
              <w:rPr>
                <w:rFonts w:hint="eastAsia" w:cs="宋体"/>
                <w:b/>
                <w:bCs/>
                <w:color w:val="auto"/>
                <w:sz w:val="21"/>
                <w:szCs w:val="21"/>
                <w:highlight w:val="none"/>
                <w:lang w:eastAsia="zh-CN"/>
              </w:rPr>
              <w:t>7670301</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zb02</w:t>
            </w:r>
            <w:r>
              <w:rPr>
                <w:rFonts w:hint="eastAsia" w:ascii="宋体" w:hAnsi="宋体" w:eastAsia="宋体" w:cs="宋体"/>
                <w:b/>
                <w:bCs/>
                <w:color w:val="auto"/>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498D2A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（十一）</w:t>
            </w:r>
          </w:p>
        </w:tc>
        <w:tc>
          <w:tcPr>
            <w:tcW w:w="896" w:type="pct"/>
            <w:vAlign w:val="center"/>
          </w:tcPr>
          <w:p w14:paraId="20F8203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磋商报价</w:t>
            </w:r>
          </w:p>
        </w:tc>
        <w:tc>
          <w:tcPr>
            <w:tcW w:w="3509" w:type="pct"/>
            <w:vAlign w:val="center"/>
          </w:tcPr>
          <w:p w14:paraId="1D5F01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C48B00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p w14:paraId="722876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.供应商不得进行影响产品质量或者诚信履约的恶意报价。供应商报价低于项目预算50%的，应当在报价文件中提供</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说明，详细阐述不影响产品质量或者诚信履约的具体原因。</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771D09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896" w:type="pct"/>
            <w:vAlign w:val="center"/>
          </w:tcPr>
          <w:p w14:paraId="5BF189B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3509" w:type="pct"/>
            <w:vAlign w:val="center"/>
          </w:tcPr>
          <w:p w14:paraId="5FF07706">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5A3C2B1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896" w:type="pct"/>
            <w:vAlign w:val="center"/>
          </w:tcPr>
          <w:p w14:paraId="6A40C5A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评审方法和评审标准</w:t>
            </w:r>
          </w:p>
        </w:tc>
        <w:tc>
          <w:tcPr>
            <w:tcW w:w="3509" w:type="pct"/>
            <w:vAlign w:val="center"/>
          </w:tcPr>
          <w:p w14:paraId="263ADEEE">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14695B6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896" w:type="pct"/>
            <w:vAlign w:val="center"/>
          </w:tcPr>
          <w:p w14:paraId="2A84328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3509" w:type="pct"/>
            <w:vAlign w:val="center"/>
          </w:tcPr>
          <w:p w14:paraId="3DF1CEC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7C4E0A7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（十五）</w:t>
            </w:r>
          </w:p>
        </w:tc>
        <w:tc>
          <w:tcPr>
            <w:tcW w:w="896" w:type="pct"/>
            <w:vAlign w:val="center"/>
          </w:tcPr>
          <w:p w14:paraId="30B0066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3509" w:type="pct"/>
            <w:vAlign w:val="center"/>
          </w:tcPr>
          <w:p w14:paraId="5B4E90FF">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14:paraId="1F939093">
      <w:pPr>
        <w:adjustRightInd w:val="0"/>
        <w:snapToGrid w:val="0"/>
        <w:spacing w:line="288" w:lineRule="auto"/>
        <w:rPr>
          <w:sz w:val="21"/>
          <w:szCs w:val="21"/>
        </w:rPr>
      </w:pPr>
      <w:r>
        <w:rPr>
          <w:rFonts w:hint="eastAsia"/>
          <w:sz w:val="21"/>
          <w:szCs w:val="21"/>
        </w:rPr>
        <w:br w:type="page"/>
      </w:r>
    </w:p>
    <w:p w14:paraId="076E8810">
      <w:pPr>
        <w:adjustRightInd w:val="0"/>
        <w:snapToGrid w:val="0"/>
        <w:spacing w:line="288" w:lineRule="auto"/>
        <w:jc w:val="center"/>
        <w:outlineLvl w:val="1"/>
        <w:rPr>
          <w:b/>
          <w:bCs/>
          <w:sz w:val="21"/>
          <w:szCs w:val="21"/>
        </w:rPr>
      </w:pPr>
      <w:r>
        <w:rPr>
          <w:rFonts w:hint="eastAsia"/>
          <w:b/>
          <w:bCs/>
          <w:sz w:val="21"/>
          <w:szCs w:val="21"/>
        </w:rPr>
        <w:t>一、总则</w:t>
      </w:r>
    </w:p>
    <w:p w14:paraId="1F9D7B1E">
      <w:pPr>
        <w:adjustRightInd w:val="0"/>
        <w:snapToGrid w:val="0"/>
        <w:spacing w:line="288" w:lineRule="auto"/>
        <w:ind w:firstLine="420" w:firstLineChars="200"/>
        <w:rPr>
          <w:sz w:val="21"/>
          <w:szCs w:val="21"/>
        </w:rPr>
      </w:pPr>
      <w:bookmarkStart w:id="38" w:name="_Hlk97039780"/>
      <w:r>
        <w:rPr>
          <w:rFonts w:hint="eastAsia"/>
          <w:sz w:val="21"/>
          <w:szCs w:val="21"/>
        </w:rPr>
        <w:t>供应商应仔细阅读磋商文件的所有内容，按照磋商文件的要求提交响应文件，并对所提供的全部资料的真实性承担法律责任。</w:t>
      </w:r>
    </w:p>
    <w:bookmarkEnd w:id="38"/>
    <w:p w14:paraId="084BCB51">
      <w:pPr>
        <w:adjustRightInd w:val="0"/>
        <w:snapToGrid w:val="0"/>
        <w:spacing w:line="288" w:lineRule="auto"/>
        <w:rPr>
          <w:b/>
          <w:bCs/>
          <w:sz w:val="21"/>
          <w:szCs w:val="21"/>
        </w:rPr>
      </w:pPr>
      <w:r>
        <w:rPr>
          <w:rFonts w:hint="eastAsia"/>
          <w:b/>
          <w:bCs/>
          <w:sz w:val="21"/>
          <w:szCs w:val="21"/>
        </w:rPr>
        <w:t>（一）适用范围</w:t>
      </w:r>
    </w:p>
    <w:p w14:paraId="1F03E283">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浙江科技大学数字化技术与智能制造产教融合实训基地（中德科创中心）EPC项目全过程跟踪造价咨询</w:t>
      </w:r>
      <w:r>
        <w:rPr>
          <w:rFonts w:hint="eastAsia"/>
          <w:sz w:val="21"/>
          <w:szCs w:val="21"/>
        </w:rPr>
        <w:t>的磋商、评审、成交、验收、合同履约、付款等（法律、法规另有规定的，从其规定）。</w:t>
      </w:r>
    </w:p>
    <w:p w14:paraId="244B9A43">
      <w:pPr>
        <w:adjustRightInd w:val="0"/>
        <w:snapToGrid w:val="0"/>
        <w:spacing w:line="288" w:lineRule="auto"/>
        <w:rPr>
          <w:b/>
          <w:bCs/>
          <w:sz w:val="21"/>
          <w:szCs w:val="21"/>
        </w:rPr>
      </w:pPr>
      <w:r>
        <w:rPr>
          <w:rFonts w:hint="eastAsia"/>
          <w:b/>
          <w:bCs/>
          <w:sz w:val="21"/>
          <w:szCs w:val="21"/>
        </w:rPr>
        <w:t>（二）定义</w:t>
      </w:r>
    </w:p>
    <w:p w14:paraId="697AA3B3">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浙江科技大学</w:t>
      </w:r>
      <w:r>
        <w:rPr>
          <w:rFonts w:hint="eastAsia"/>
          <w:sz w:val="21"/>
          <w:szCs w:val="21"/>
        </w:rPr>
        <w:t>；</w:t>
      </w:r>
    </w:p>
    <w:p w14:paraId="40BE9E08">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14:paraId="56850EEB">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14:paraId="665753F5">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rPr>
      </w:pPr>
      <w:bookmarkStart w:id="39"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9"/>
    <w:p w14:paraId="59725C7A">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14:paraId="560A08BA">
      <w:pPr>
        <w:adjustRightInd w:val="0"/>
        <w:snapToGrid w:val="0"/>
        <w:spacing w:line="288" w:lineRule="auto"/>
        <w:rPr>
          <w:b/>
          <w:bCs/>
          <w:sz w:val="21"/>
          <w:szCs w:val="21"/>
        </w:rPr>
      </w:pPr>
      <w:r>
        <w:rPr>
          <w:rFonts w:hint="eastAsia"/>
          <w:b/>
          <w:bCs/>
          <w:sz w:val="21"/>
          <w:szCs w:val="21"/>
        </w:rPr>
        <w:t>（三）采购方式</w:t>
      </w:r>
    </w:p>
    <w:p w14:paraId="023E1194">
      <w:pPr>
        <w:adjustRightInd w:val="0"/>
        <w:snapToGrid w:val="0"/>
        <w:spacing w:line="288" w:lineRule="auto"/>
        <w:ind w:firstLine="420" w:firstLineChars="200"/>
        <w:rPr>
          <w:sz w:val="21"/>
          <w:szCs w:val="21"/>
          <w:highlight w:val="none"/>
        </w:rPr>
      </w:pPr>
      <w:r>
        <w:rPr>
          <w:rFonts w:hint="eastAsia"/>
          <w:sz w:val="21"/>
          <w:szCs w:val="21"/>
        </w:rPr>
        <w:t>本次采购采用</w:t>
      </w:r>
      <w:r>
        <w:rPr>
          <w:rFonts w:hint="eastAsia"/>
          <w:sz w:val="21"/>
          <w:szCs w:val="21"/>
          <w:highlight w:val="none"/>
        </w:rPr>
        <w:t>竞争性磋商（线上电子交易）方式进行。</w:t>
      </w:r>
    </w:p>
    <w:p w14:paraId="1D021387">
      <w:pPr>
        <w:adjustRightInd w:val="0"/>
        <w:snapToGrid w:val="0"/>
        <w:spacing w:line="288" w:lineRule="auto"/>
        <w:rPr>
          <w:b/>
          <w:bCs/>
          <w:sz w:val="21"/>
          <w:szCs w:val="21"/>
          <w:highlight w:val="none"/>
        </w:rPr>
      </w:pPr>
      <w:r>
        <w:rPr>
          <w:rFonts w:hint="eastAsia"/>
          <w:b/>
          <w:bCs/>
          <w:sz w:val="21"/>
          <w:szCs w:val="21"/>
          <w:highlight w:val="none"/>
        </w:rPr>
        <w:t>（四）竞争性磋商委托</w:t>
      </w:r>
    </w:p>
    <w:p w14:paraId="47AB57E7">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2.供应商代表不是法定代表人（单位负责人、自然人本人）的，须提供授权委托书（格式详见磋商文件第六章）</w:t>
      </w:r>
      <w:r>
        <w:rPr>
          <w:rFonts w:hint="eastAsia"/>
          <w:sz w:val="21"/>
          <w:szCs w:val="21"/>
          <w:highlight w:val="none"/>
        </w:rPr>
        <w:t>和授权代表社保缴纳证明（</w:t>
      </w:r>
      <w:r>
        <w:rPr>
          <w:rFonts w:hint="eastAsia"/>
          <w:sz w:val="21"/>
          <w:szCs w:val="21"/>
          <w:highlight w:val="none"/>
          <w:lang w:eastAsia="zh-CN"/>
        </w:rPr>
        <w:t>2024年06月</w:t>
      </w:r>
      <w:r>
        <w:rPr>
          <w:sz w:val="21"/>
          <w:szCs w:val="21"/>
          <w:highlight w:val="none"/>
        </w:rPr>
        <w:t>（含）以后任意一月）；</w:t>
      </w:r>
    </w:p>
    <w:p w14:paraId="0795EB0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sz w:val="21"/>
          <w:szCs w:val="21"/>
          <w:highlight w:val="none"/>
        </w:rPr>
      </w:pPr>
      <w:r>
        <w:rPr>
          <w:rFonts w:hint="eastAsia"/>
          <w:b/>
          <w:bCs/>
          <w:sz w:val="21"/>
          <w:szCs w:val="21"/>
          <w:highlight w:val="none"/>
        </w:rPr>
        <w:t>（五）磋商费用</w:t>
      </w:r>
    </w:p>
    <w:p w14:paraId="3A57547C">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14:paraId="5B577199">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14:paraId="483799FB">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DAD3889">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767B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0D7654D">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lang w:val="en-US" w:eastAsia="zh-CN"/>
              </w:rPr>
              <w:t>成交</w:t>
            </w:r>
            <w:r>
              <w:rPr>
                <w:rFonts w:hint="eastAsia" w:ascii="宋体" w:hAnsi="宋体" w:eastAsia="宋体" w:cs="Times New Roman"/>
                <w:b/>
                <w:bCs/>
                <w:spacing w:val="-6"/>
                <w:sz w:val="21"/>
                <w:szCs w:val="21"/>
                <w:highlight w:val="none"/>
              </w:rPr>
              <w:t>金额（万元）</w:t>
            </w:r>
          </w:p>
        </w:tc>
        <w:tc>
          <w:tcPr>
            <w:tcW w:w="2901" w:type="dxa"/>
            <w:tcMar>
              <w:top w:w="0" w:type="dxa"/>
              <w:left w:w="108" w:type="dxa"/>
              <w:bottom w:w="0" w:type="dxa"/>
              <w:right w:w="108" w:type="dxa"/>
            </w:tcMar>
            <w:vAlign w:val="center"/>
          </w:tcPr>
          <w:p w14:paraId="64597FC0">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rPr>
              <w:t>收费标准（费率，%）</w:t>
            </w:r>
          </w:p>
        </w:tc>
      </w:tr>
      <w:tr w14:paraId="24D5F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A272411">
            <w:pPr>
              <w:adjustRightInd w:val="0"/>
              <w:snapToGrid w:val="0"/>
              <w:spacing w:line="288" w:lineRule="auto"/>
              <w:jc w:val="center"/>
              <w:rPr>
                <w:rFonts w:hint="eastAsia" w:ascii="宋体" w:hAnsi="宋体" w:eastAsia="宋体" w:cs="Times New Roman"/>
                <w:b w:val="0"/>
                <w:bCs w:val="0"/>
                <w:spacing w:val="-6"/>
                <w:sz w:val="21"/>
                <w:szCs w:val="21"/>
                <w:highlight w:val="none"/>
              </w:rPr>
            </w:pPr>
            <w:r>
              <w:rPr>
                <w:rFonts w:hint="eastAsia" w:ascii="宋体" w:hAnsi="宋体" w:eastAsia="宋体" w:cs="Times New Roman"/>
                <w:b w:val="0"/>
                <w:bCs w:val="0"/>
                <w:spacing w:val="-6"/>
                <w:sz w:val="21"/>
                <w:szCs w:val="21"/>
                <w:highlight w:val="none"/>
              </w:rPr>
              <w:t>100以下</w:t>
            </w:r>
          </w:p>
        </w:tc>
        <w:tc>
          <w:tcPr>
            <w:tcW w:w="2901" w:type="dxa"/>
            <w:tcMar>
              <w:top w:w="0" w:type="dxa"/>
              <w:left w:w="108" w:type="dxa"/>
              <w:bottom w:w="0" w:type="dxa"/>
              <w:right w:w="108" w:type="dxa"/>
            </w:tcMar>
            <w:vAlign w:val="center"/>
          </w:tcPr>
          <w:p w14:paraId="713B7E0C">
            <w:pPr>
              <w:adjustRightInd w:val="0"/>
              <w:snapToGrid w:val="0"/>
              <w:spacing w:line="288" w:lineRule="auto"/>
              <w:jc w:val="center"/>
              <w:rPr>
                <w:rFonts w:hint="default" w:ascii="宋体" w:hAnsi="宋体" w:eastAsia="宋体" w:cs="Times New Roman"/>
                <w:b w:val="0"/>
                <w:bCs w:val="0"/>
                <w:spacing w:val="-6"/>
                <w:sz w:val="21"/>
                <w:szCs w:val="21"/>
                <w:highlight w:val="none"/>
                <w:lang w:val="en-US"/>
              </w:rPr>
            </w:pPr>
            <w:r>
              <w:rPr>
                <w:rFonts w:hint="eastAsia" w:ascii="宋体" w:hAnsi="宋体" w:eastAsia="宋体" w:cs="Times New Roman"/>
                <w:b w:val="0"/>
                <w:bCs w:val="0"/>
                <w:spacing w:val="-6"/>
                <w:sz w:val="21"/>
                <w:szCs w:val="21"/>
                <w:highlight w:val="none"/>
              </w:rPr>
              <w:t>1.</w:t>
            </w:r>
            <w:r>
              <w:rPr>
                <w:rFonts w:hint="eastAsia" w:cs="Times New Roman"/>
                <w:b w:val="0"/>
                <w:bCs w:val="0"/>
                <w:spacing w:val="-6"/>
                <w:sz w:val="21"/>
                <w:szCs w:val="21"/>
                <w:highlight w:val="none"/>
                <w:lang w:val="en-US" w:eastAsia="zh-CN"/>
              </w:rPr>
              <w:t>05</w:t>
            </w:r>
          </w:p>
        </w:tc>
      </w:tr>
    </w:tbl>
    <w:p w14:paraId="5BB76510">
      <w:pPr>
        <w:adjustRightInd w:val="0"/>
        <w:snapToGrid w:val="0"/>
        <w:spacing w:line="288"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备注：代理服务费不足叁仟元的按叁仟元计算</w:t>
      </w:r>
    </w:p>
    <w:p w14:paraId="1A282F7E">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14:paraId="1FB87386">
      <w:pPr>
        <w:adjustRightInd w:val="0"/>
        <w:snapToGrid w:val="0"/>
        <w:spacing w:line="288" w:lineRule="auto"/>
        <w:rPr>
          <w:b/>
          <w:bCs/>
          <w:sz w:val="21"/>
          <w:szCs w:val="21"/>
        </w:rPr>
      </w:pPr>
      <w:r>
        <w:rPr>
          <w:rFonts w:hint="eastAsia"/>
          <w:b/>
          <w:bCs/>
          <w:sz w:val="21"/>
          <w:szCs w:val="21"/>
        </w:rPr>
        <w:t>（六）联合体响应</w:t>
      </w:r>
    </w:p>
    <w:p w14:paraId="444BAFEB">
      <w:pPr>
        <w:adjustRightInd w:val="0"/>
        <w:snapToGrid w:val="0"/>
        <w:spacing w:line="288" w:lineRule="auto"/>
        <w:ind w:firstLine="420" w:firstLineChars="200"/>
        <w:rPr>
          <w:color w:val="auto"/>
          <w:sz w:val="21"/>
          <w:szCs w:val="21"/>
          <w:highlight w:val="none"/>
        </w:rPr>
      </w:pPr>
      <w:r>
        <w:rPr>
          <w:rFonts w:hint="eastAsia"/>
          <w:sz w:val="21"/>
          <w:szCs w:val="21"/>
        </w:rPr>
        <w:t>本项目（</w:t>
      </w:r>
      <w:r>
        <w:rPr>
          <w:rFonts w:hint="eastAsia"/>
          <w:color w:val="auto"/>
          <w:sz w:val="21"/>
          <w:szCs w:val="21"/>
          <w:highlight w:val="none"/>
        </w:rPr>
        <w:t>是）接受联合体响应。</w:t>
      </w:r>
    </w:p>
    <w:p w14:paraId="7B971553">
      <w:pPr>
        <w:spacing w:line="288" w:lineRule="auto"/>
        <w:ind w:firstLine="420" w:firstLineChars="200"/>
        <w:rPr>
          <w:rFonts w:cs="Times New Roman"/>
          <w:color w:val="auto"/>
          <w:sz w:val="21"/>
          <w:szCs w:val="22"/>
          <w:highlight w:val="none"/>
        </w:rPr>
      </w:pPr>
      <w:bookmarkStart w:id="40"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0"/>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D86280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74EB19B3">
      <w:pPr>
        <w:adjustRightInd w:val="0"/>
        <w:snapToGrid w:val="0"/>
        <w:spacing w:line="288" w:lineRule="auto"/>
        <w:ind w:firstLine="424" w:firstLineChars="202"/>
        <w:jc w:val="left"/>
        <w:rPr>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w:t>
      </w:r>
      <w:r>
        <w:rPr>
          <w:rFonts w:hint="eastAsia" w:ascii="宋体" w:hAnsi="宋体" w:eastAsia="宋体" w:cs="宋体"/>
          <w:color w:val="auto"/>
          <w:sz w:val="21"/>
          <w:szCs w:val="21"/>
          <w:highlight w:val="none"/>
        </w:rPr>
        <w:t>不适宜分包的理由是：</w:t>
      </w:r>
      <w:r>
        <w:rPr>
          <w:rFonts w:hint="eastAsia" w:ascii="宋体" w:hAnsi="宋体" w:eastAsia="宋体" w:cs="宋体"/>
          <w:color w:val="auto"/>
          <w:sz w:val="21"/>
          <w:szCs w:val="21"/>
          <w:highlight w:val="none"/>
          <w:u w:val="single"/>
        </w:rPr>
        <w:t xml:space="preserve"> 本项以人工服务为主，供应商</w:t>
      </w:r>
      <w:r>
        <w:rPr>
          <w:rFonts w:hint="eastAsia" w:cs="宋体"/>
          <w:color w:val="auto"/>
          <w:sz w:val="21"/>
          <w:szCs w:val="21"/>
          <w:highlight w:val="none"/>
          <w:u w:val="single"/>
          <w:lang w:val="en-US" w:eastAsia="zh-CN"/>
        </w:rPr>
        <w:t>及项目组人员</w:t>
      </w:r>
      <w:r>
        <w:rPr>
          <w:rFonts w:hint="eastAsia" w:ascii="宋体" w:hAnsi="宋体" w:eastAsia="宋体" w:cs="宋体"/>
          <w:color w:val="auto"/>
          <w:sz w:val="21"/>
          <w:szCs w:val="21"/>
          <w:highlight w:val="none"/>
          <w:u w:val="single"/>
        </w:rPr>
        <w:t>需具备履行合同能力，工作内容整体不可分割</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 xml:space="preserve">不宜分包 </w:t>
      </w:r>
      <w:r>
        <w:rPr>
          <w:rFonts w:hint="eastAsia" w:ascii="宋体" w:hAnsi="宋体" w:eastAsia="宋体" w:cs="宋体"/>
          <w:color w:val="auto"/>
          <w:sz w:val="21"/>
          <w:szCs w:val="21"/>
          <w:highlight w:val="none"/>
          <w:u w:val="single"/>
        </w:rPr>
        <w:t>。</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41" w:name="_Hlk92273406"/>
      <w:bookmarkStart w:id="42"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41"/>
    </w:p>
    <w:p w14:paraId="73E8DD1F">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681A0411">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14:paraId="6321E495">
      <w:pPr>
        <w:adjustRightInd w:val="0"/>
        <w:snapToGrid w:val="0"/>
        <w:spacing w:line="288" w:lineRule="auto"/>
        <w:ind w:firstLine="420" w:firstLineChars="200"/>
        <w:rPr>
          <w:sz w:val="21"/>
          <w:szCs w:val="21"/>
        </w:rPr>
      </w:pPr>
      <w:r>
        <w:rPr>
          <w:rFonts w:hint="eastAsia"/>
          <w:sz w:val="21"/>
          <w:szCs w:val="21"/>
        </w:rPr>
        <w:t>（2）质疑项目的名称、编号；</w:t>
      </w:r>
    </w:p>
    <w:p w14:paraId="3EF3A20B">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14:paraId="2B7663D4">
      <w:pPr>
        <w:adjustRightInd w:val="0"/>
        <w:snapToGrid w:val="0"/>
        <w:spacing w:line="288" w:lineRule="auto"/>
        <w:ind w:firstLine="420" w:firstLineChars="200"/>
        <w:rPr>
          <w:sz w:val="21"/>
          <w:szCs w:val="21"/>
        </w:rPr>
      </w:pPr>
      <w:r>
        <w:rPr>
          <w:rFonts w:hint="eastAsia"/>
          <w:sz w:val="21"/>
          <w:szCs w:val="21"/>
        </w:rPr>
        <w:t>（4）事实依据；</w:t>
      </w:r>
    </w:p>
    <w:p w14:paraId="0D9FDA37">
      <w:pPr>
        <w:adjustRightInd w:val="0"/>
        <w:snapToGrid w:val="0"/>
        <w:spacing w:line="288" w:lineRule="auto"/>
        <w:ind w:firstLine="420" w:firstLineChars="200"/>
        <w:rPr>
          <w:sz w:val="21"/>
          <w:szCs w:val="21"/>
        </w:rPr>
      </w:pPr>
      <w:r>
        <w:rPr>
          <w:rFonts w:hint="eastAsia"/>
          <w:sz w:val="21"/>
          <w:szCs w:val="21"/>
        </w:rPr>
        <w:t>（5）必要的法律依据；</w:t>
      </w:r>
    </w:p>
    <w:p w14:paraId="0C1EC2D7">
      <w:pPr>
        <w:adjustRightInd w:val="0"/>
        <w:snapToGrid w:val="0"/>
        <w:spacing w:line="288" w:lineRule="auto"/>
        <w:ind w:firstLine="420" w:firstLineChars="200"/>
        <w:rPr>
          <w:sz w:val="21"/>
          <w:szCs w:val="21"/>
        </w:rPr>
      </w:pPr>
      <w:r>
        <w:rPr>
          <w:rFonts w:hint="eastAsia"/>
          <w:sz w:val="21"/>
          <w:szCs w:val="21"/>
        </w:rPr>
        <w:t>（6）提出质疑的日期。</w:t>
      </w:r>
    </w:p>
    <w:p w14:paraId="23902AA5">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A39E74C">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rPr>
      </w:pPr>
      <w:r>
        <w:rPr>
          <w:rFonts w:hint="eastAsia"/>
          <w:sz w:val="21"/>
          <w:szCs w:val="21"/>
        </w:rPr>
        <w:t>（1）捏造事实；</w:t>
      </w:r>
    </w:p>
    <w:p w14:paraId="4C317D6C">
      <w:pPr>
        <w:adjustRightInd w:val="0"/>
        <w:snapToGrid w:val="0"/>
        <w:spacing w:line="288" w:lineRule="auto"/>
        <w:ind w:firstLine="420" w:firstLineChars="200"/>
        <w:rPr>
          <w:sz w:val="21"/>
          <w:szCs w:val="21"/>
        </w:rPr>
      </w:pPr>
      <w:r>
        <w:rPr>
          <w:rFonts w:hint="eastAsia"/>
          <w:sz w:val="21"/>
          <w:szCs w:val="21"/>
        </w:rPr>
        <w:t>（2）提供虚假材料；</w:t>
      </w:r>
    </w:p>
    <w:p w14:paraId="38B0CE70">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42"/>
    <w:p w14:paraId="3F57D67E">
      <w:pPr>
        <w:adjustRightInd w:val="0"/>
        <w:snapToGrid w:val="0"/>
        <w:spacing w:line="288" w:lineRule="auto"/>
        <w:outlineLvl w:val="9"/>
        <w:rPr>
          <w:b/>
          <w:spacing w:val="-6"/>
          <w:kern w:val="0"/>
          <w:sz w:val="21"/>
          <w:szCs w:val="21"/>
        </w:rPr>
      </w:pPr>
      <w:bookmarkStart w:id="43"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43"/>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本项目原则上采购本国生产的货物、服务，不允许采购进口产品。优先采购向我国企业转让技术、与我国企业签</w:t>
      </w:r>
      <w:r>
        <w:rPr>
          <w:rFonts w:hint="eastAsia" w:ascii="宋体" w:hAnsi="宋体" w:eastAsia="宋体" w:cs="宋体"/>
          <w:i w:val="0"/>
          <w:iCs w:val="0"/>
          <w:color w:val="auto"/>
          <w:sz w:val="21"/>
          <w:szCs w:val="21"/>
          <w:highlight w:val="none"/>
        </w:rPr>
        <w:t>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3C291A6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6A6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组成联合体或者接受分包的小微企业与联合体内其他企业、分包企业之间存在直接控股、管理关系的，不享受价格扣除优惠政策。</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B206B3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4ADB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76548C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r>
        <w:rPr>
          <w:rFonts w:hint="eastAsia"/>
          <w:sz w:val="21"/>
          <w:szCs w:val="21"/>
        </w:rPr>
        <w:br w:type="page"/>
      </w:r>
    </w:p>
    <w:p w14:paraId="2A29A3BE">
      <w:pPr>
        <w:adjustRightInd w:val="0"/>
        <w:snapToGrid w:val="0"/>
        <w:spacing w:line="288" w:lineRule="auto"/>
        <w:jc w:val="center"/>
        <w:outlineLvl w:val="1"/>
        <w:rPr>
          <w:b/>
          <w:bCs/>
          <w:sz w:val="21"/>
          <w:szCs w:val="21"/>
        </w:rPr>
      </w:pPr>
      <w:r>
        <w:rPr>
          <w:rFonts w:hint="eastAsia"/>
          <w:b/>
          <w:bCs/>
          <w:sz w:val="21"/>
          <w:szCs w:val="21"/>
        </w:rPr>
        <w:t>二、磋商文件</w:t>
      </w:r>
    </w:p>
    <w:p w14:paraId="66F4888B">
      <w:pPr>
        <w:adjustRightInd w:val="0"/>
        <w:snapToGrid w:val="0"/>
        <w:spacing w:line="288" w:lineRule="auto"/>
        <w:rPr>
          <w:b/>
          <w:bCs/>
          <w:sz w:val="21"/>
          <w:szCs w:val="21"/>
        </w:rPr>
      </w:pPr>
      <w:r>
        <w:rPr>
          <w:rFonts w:hint="eastAsia"/>
          <w:b/>
          <w:bCs/>
          <w:sz w:val="21"/>
          <w:szCs w:val="21"/>
        </w:rPr>
        <w:t>（一）磋商文件的构成</w:t>
      </w:r>
    </w:p>
    <w:p w14:paraId="0B61EF39">
      <w:pPr>
        <w:adjustRightInd w:val="0"/>
        <w:snapToGrid w:val="0"/>
        <w:spacing w:line="288" w:lineRule="auto"/>
        <w:ind w:firstLine="420" w:firstLineChars="200"/>
        <w:rPr>
          <w:sz w:val="21"/>
          <w:szCs w:val="21"/>
        </w:rPr>
      </w:pPr>
      <w:r>
        <w:rPr>
          <w:rFonts w:hint="eastAsia"/>
          <w:sz w:val="21"/>
          <w:szCs w:val="21"/>
        </w:rPr>
        <w:t>本磋商文件由以下部分组成：</w:t>
      </w:r>
    </w:p>
    <w:p w14:paraId="318168B2">
      <w:pPr>
        <w:adjustRightInd w:val="0"/>
        <w:snapToGrid w:val="0"/>
        <w:spacing w:line="288" w:lineRule="auto"/>
        <w:ind w:firstLine="420" w:firstLineChars="200"/>
        <w:rPr>
          <w:sz w:val="21"/>
          <w:szCs w:val="21"/>
        </w:rPr>
      </w:pPr>
      <w:r>
        <w:rPr>
          <w:rFonts w:hint="eastAsia"/>
          <w:sz w:val="21"/>
          <w:szCs w:val="21"/>
        </w:rPr>
        <w:t>1.采购邀请</w:t>
      </w:r>
    </w:p>
    <w:p w14:paraId="17618673">
      <w:pPr>
        <w:adjustRightInd w:val="0"/>
        <w:snapToGrid w:val="0"/>
        <w:spacing w:line="288" w:lineRule="auto"/>
        <w:ind w:firstLine="420" w:firstLineChars="200"/>
        <w:rPr>
          <w:sz w:val="21"/>
          <w:szCs w:val="21"/>
        </w:rPr>
      </w:pPr>
      <w:r>
        <w:rPr>
          <w:rFonts w:hint="eastAsia"/>
          <w:sz w:val="21"/>
          <w:szCs w:val="21"/>
        </w:rPr>
        <w:t>2.采购需求</w:t>
      </w:r>
    </w:p>
    <w:p w14:paraId="23C8C4AB">
      <w:pPr>
        <w:adjustRightInd w:val="0"/>
        <w:snapToGrid w:val="0"/>
        <w:spacing w:line="288" w:lineRule="auto"/>
        <w:ind w:firstLine="420" w:firstLineChars="200"/>
        <w:rPr>
          <w:sz w:val="21"/>
          <w:szCs w:val="21"/>
        </w:rPr>
      </w:pPr>
      <w:r>
        <w:rPr>
          <w:rFonts w:hint="eastAsia"/>
          <w:sz w:val="21"/>
          <w:szCs w:val="21"/>
        </w:rPr>
        <w:t>3.供应商须知</w:t>
      </w:r>
    </w:p>
    <w:p w14:paraId="6DCC49A4">
      <w:pPr>
        <w:adjustRightInd w:val="0"/>
        <w:snapToGrid w:val="0"/>
        <w:spacing w:line="288" w:lineRule="auto"/>
        <w:ind w:firstLine="420" w:firstLineChars="200"/>
        <w:rPr>
          <w:sz w:val="21"/>
          <w:szCs w:val="21"/>
        </w:rPr>
      </w:pPr>
      <w:r>
        <w:rPr>
          <w:rFonts w:hint="eastAsia"/>
          <w:sz w:val="21"/>
          <w:szCs w:val="21"/>
        </w:rPr>
        <w:t>4.评审方法和评审标准</w:t>
      </w:r>
    </w:p>
    <w:p w14:paraId="34B77419">
      <w:pPr>
        <w:adjustRightInd w:val="0"/>
        <w:snapToGrid w:val="0"/>
        <w:spacing w:line="288" w:lineRule="auto"/>
        <w:ind w:firstLine="420" w:firstLineChars="200"/>
        <w:rPr>
          <w:sz w:val="21"/>
          <w:szCs w:val="21"/>
        </w:rPr>
      </w:pPr>
      <w:r>
        <w:rPr>
          <w:rFonts w:hint="eastAsia"/>
          <w:sz w:val="21"/>
          <w:szCs w:val="21"/>
        </w:rPr>
        <w:t>5.拟签订的合同文本</w:t>
      </w:r>
    </w:p>
    <w:p w14:paraId="6C4E918F">
      <w:pPr>
        <w:adjustRightInd w:val="0"/>
        <w:snapToGrid w:val="0"/>
        <w:spacing w:line="288" w:lineRule="auto"/>
        <w:ind w:firstLine="420" w:firstLineChars="200"/>
        <w:rPr>
          <w:sz w:val="21"/>
          <w:szCs w:val="21"/>
        </w:rPr>
      </w:pPr>
      <w:r>
        <w:rPr>
          <w:rFonts w:hint="eastAsia"/>
          <w:sz w:val="21"/>
          <w:szCs w:val="21"/>
        </w:rPr>
        <w:t>6.响应文件格式</w:t>
      </w:r>
    </w:p>
    <w:p w14:paraId="57081AB3">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14:paraId="3C86CB2A">
      <w:pPr>
        <w:adjustRightInd w:val="0"/>
        <w:snapToGrid w:val="0"/>
        <w:spacing w:line="288" w:lineRule="auto"/>
        <w:rPr>
          <w:b/>
          <w:bCs/>
          <w:sz w:val="21"/>
          <w:szCs w:val="21"/>
        </w:rPr>
      </w:pPr>
      <w:r>
        <w:rPr>
          <w:rFonts w:hint="eastAsia"/>
          <w:b/>
          <w:bCs/>
          <w:sz w:val="21"/>
          <w:szCs w:val="21"/>
        </w:rPr>
        <w:t>（二）供应商的风险</w:t>
      </w:r>
    </w:p>
    <w:p w14:paraId="39B9A4EF">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rPr>
      </w:pPr>
      <w:r>
        <w:rPr>
          <w:rFonts w:hint="eastAsia"/>
          <w:b/>
          <w:bCs/>
          <w:sz w:val="21"/>
          <w:szCs w:val="21"/>
        </w:rPr>
        <w:t>（三）磋商文件的澄清与修改</w:t>
      </w:r>
    </w:p>
    <w:p w14:paraId="2EA1CF9E">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rPr>
      </w:pPr>
      <w:r>
        <w:rPr>
          <w:rFonts w:hint="eastAsia"/>
          <w:sz w:val="21"/>
          <w:szCs w:val="21"/>
        </w:rPr>
        <w:br w:type="page"/>
      </w:r>
    </w:p>
    <w:p w14:paraId="0CBEC2FC">
      <w:pPr>
        <w:adjustRightInd w:val="0"/>
        <w:snapToGrid w:val="0"/>
        <w:spacing w:line="288" w:lineRule="auto"/>
        <w:jc w:val="center"/>
        <w:outlineLvl w:val="1"/>
        <w:rPr>
          <w:b/>
          <w:bCs/>
          <w:sz w:val="21"/>
          <w:szCs w:val="21"/>
        </w:rPr>
      </w:pPr>
      <w:r>
        <w:rPr>
          <w:rFonts w:hint="eastAsia"/>
          <w:b/>
          <w:bCs/>
          <w:sz w:val="21"/>
          <w:szCs w:val="21"/>
        </w:rPr>
        <w:t>三、响应文件的编制</w:t>
      </w:r>
    </w:p>
    <w:p w14:paraId="1D044DB9">
      <w:pPr>
        <w:adjustRightInd w:val="0"/>
        <w:snapToGrid w:val="0"/>
        <w:spacing w:line="288" w:lineRule="auto"/>
        <w:rPr>
          <w:b/>
          <w:bCs/>
          <w:sz w:val="21"/>
          <w:szCs w:val="21"/>
        </w:rPr>
      </w:pPr>
      <w:r>
        <w:rPr>
          <w:rFonts w:hint="eastAsia"/>
          <w:b/>
          <w:bCs/>
          <w:sz w:val="21"/>
          <w:szCs w:val="21"/>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w:t>
      </w:r>
      <w:r>
        <w:rPr>
          <w:rFonts w:hint="eastAsia" w:cs="Times New Roman"/>
          <w:bCs/>
          <w:spacing w:val="-6"/>
          <w:sz w:val="21"/>
          <w:szCs w:val="21"/>
          <w:highlight w:val="none"/>
        </w:rPr>
        <w:t>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4"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4"/>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5" w:name="_Hlk96329193"/>
      <w:r>
        <w:rPr>
          <w:rFonts w:hint="eastAsia"/>
          <w:sz w:val="21"/>
          <w:szCs w:val="21"/>
          <w:highlight w:val="none"/>
        </w:rPr>
        <w:t>，供应商应写全称。</w:t>
      </w:r>
      <w:bookmarkEnd w:id="45"/>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w:t>
      </w:r>
      <w:r>
        <w:rPr>
          <w:rFonts w:hint="eastAsia"/>
          <w:b/>
          <w:bCs/>
          <w:sz w:val="21"/>
          <w:szCs w:val="21"/>
          <w:highlight w:val="none"/>
          <w:lang w:eastAsia="zh-CN"/>
        </w:rPr>
        <w:t>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sz w:val="21"/>
          <w:szCs w:val="21"/>
        </w:rPr>
      </w:pPr>
      <w:r>
        <w:rPr>
          <w:rFonts w:hint="eastAsia"/>
          <w:sz w:val="21"/>
          <w:szCs w:val="21"/>
          <w:highlight w:val="none"/>
        </w:rPr>
        <w:t>b.电子加密响应文件成功上传后，供应商可自行打</w:t>
      </w:r>
      <w:r>
        <w:rPr>
          <w:rFonts w:hint="eastAsia"/>
          <w:sz w:val="21"/>
          <w:szCs w:val="21"/>
        </w:rPr>
        <w:t>印响应文件接收回执。</w:t>
      </w:r>
    </w:p>
    <w:p w14:paraId="0BE1DE5C">
      <w:pPr>
        <w:adjustRightInd w:val="0"/>
        <w:snapToGrid w:val="0"/>
        <w:spacing w:line="288" w:lineRule="auto"/>
        <w:ind w:firstLine="420" w:firstLineChars="200"/>
        <w:rPr>
          <w:sz w:val="21"/>
          <w:szCs w:val="21"/>
        </w:rPr>
      </w:pPr>
      <w:r>
        <w:rPr>
          <w:rFonts w:hint="eastAsia"/>
          <w:sz w:val="21"/>
          <w:szCs w:val="21"/>
        </w:rPr>
        <w:t>（2）备份响应文件的密封包装、递交：</w:t>
      </w:r>
    </w:p>
    <w:p w14:paraId="6AF1E08B">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208CF158">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03141D63">
      <w:pPr>
        <w:adjustRightInd w:val="0"/>
        <w:snapToGrid w:val="0"/>
        <w:spacing w:line="288" w:lineRule="auto"/>
        <w:ind w:firstLine="422" w:firstLineChars="200"/>
        <w:rPr>
          <w:b/>
          <w:bCs/>
          <w:sz w:val="21"/>
          <w:szCs w:val="21"/>
        </w:rPr>
      </w:pPr>
      <w:r>
        <w:rPr>
          <w:rFonts w:hint="eastAsia"/>
          <w:b/>
          <w:bCs/>
          <w:sz w:val="21"/>
          <w:szCs w:val="21"/>
        </w:rPr>
        <w:t>备注：</w:t>
      </w:r>
    </w:p>
    <w:p w14:paraId="7A091152">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rPr>
      </w:pPr>
      <w:r>
        <w:rPr>
          <w:rFonts w:hint="eastAsia"/>
          <w:b/>
          <w:bCs/>
          <w:sz w:val="21"/>
          <w:szCs w:val="21"/>
        </w:rPr>
        <w:t>（四）响应文件的语言及计量</w:t>
      </w:r>
    </w:p>
    <w:p w14:paraId="736DCB9F">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sz w:val="21"/>
          <w:szCs w:val="21"/>
        </w:rPr>
      </w:pPr>
      <w:r>
        <w:rPr>
          <w:rFonts w:hint="eastAsia"/>
          <w:b/>
          <w:bCs/>
          <w:sz w:val="21"/>
          <w:szCs w:val="21"/>
        </w:rPr>
        <w:t>（五）磋商报价</w:t>
      </w:r>
    </w:p>
    <w:p w14:paraId="12874C21">
      <w:pPr>
        <w:adjustRightInd w:val="0"/>
        <w:snapToGrid w:val="0"/>
        <w:spacing w:line="288" w:lineRule="auto"/>
        <w:ind w:firstLine="420" w:firstLineChars="200"/>
        <w:jc w:val="left"/>
        <w:rPr>
          <w:rFonts w:hint="eastAsia" w:cs="Times New Roman"/>
          <w:color w:val="auto"/>
          <w:sz w:val="21"/>
          <w:szCs w:val="21"/>
        </w:rPr>
      </w:pPr>
      <w:r>
        <w:rPr>
          <w:rFonts w:hint="eastAsia" w:cs="Times New Roman"/>
          <w:sz w:val="21"/>
          <w:szCs w:val="21"/>
        </w:rPr>
        <w:t>1.报价应按磋商文件要求的格式编制、填写报价内容（可自行增行），未按磋商文件要求编制、填写的响应文件可能被</w:t>
      </w:r>
      <w:r>
        <w:rPr>
          <w:rFonts w:hint="eastAsia" w:cs="Times New Roman"/>
          <w:color w:val="auto"/>
          <w:sz w:val="21"/>
          <w:szCs w:val="21"/>
        </w:rPr>
        <w:t>拒绝；</w:t>
      </w:r>
    </w:p>
    <w:p w14:paraId="097B15AD">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3.最后磋商报价是履行合同的最终价格，有关本项目实施所涉及的一切费用均计入报价。总价不为零，分项报价中部分产品、服务单价为零的，视作已包含在总价中。</w:t>
      </w:r>
    </w:p>
    <w:p w14:paraId="39E75665">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▲4.采购人将以合同形式有偿取得货物、工程和服务，不接受供应商给予的赠品、回扣或者与采购无关的其他商品、服务。</w:t>
      </w:r>
    </w:p>
    <w:p w14:paraId="6C723700">
      <w:pPr>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5.供应商不得进行影响产品质量或者诚信履约的恶意报价。供应商报价低于项目预算50%的，应当在报价文件中提供书面说明，详细阐述不影响产品质量或者诚信履约的具体原因。</w:t>
      </w:r>
    </w:p>
    <w:p w14:paraId="7C41B0C0">
      <w:pPr>
        <w:adjustRightInd w:val="0"/>
        <w:snapToGrid w:val="0"/>
        <w:spacing w:line="288" w:lineRule="auto"/>
        <w:rPr>
          <w:b/>
          <w:bCs/>
          <w:color w:val="auto"/>
          <w:sz w:val="21"/>
          <w:szCs w:val="21"/>
        </w:rPr>
      </w:pPr>
      <w:r>
        <w:rPr>
          <w:rFonts w:hint="eastAsia"/>
          <w:b/>
          <w:bCs/>
          <w:color w:val="auto"/>
          <w:sz w:val="21"/>
          <w:szCs w:val="21"/>
        </w:rPr>
        <w:t>（六）响应有效期</w:t>
      </w:r>
    </w:p>
    <w:p w14:paraId="4546009F">
      <w:pPr>
        <w:adjustRightInd w:val="0"/>
        <w:snapToGrid w:val="0"/>
        <w:spacing w:line="288" w:lineRule="auto"/>
        <w:ind w:firstLine="420" w:firstLineChars="200"/>
        <w:rPr>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rPr>
      </w:pPr>
      <w:r>
        <w:rPr>
          <w:b/>
          <w:bCs/>
          <w:color w:val="auto"/>
          <w:sz w:val="21"/>
          <w:szCs w:val="21"/>
        </w:rPr>
        <w:br w:type="page"/>
      </w:r>
    </w:p>
    <w:p w14:paraId="7B5CD10C">
      <w:pPr>
        <w:adjustRightInd w:val="0"/>
        <w:snapToGrid w:val="0"/>
        <w:spacing w:line="288" w:lineRule="auto"/>
        <w:jc w:val="center"/>
        <w:outlineLvl w:val="1"/>
        <w:rPr>
          <w:b/>
          <w:bCs/>
          <w:sz w:val="21"/>
          <w:szCs w:val="21"/>
        </w:rPr>
      </w:pPr>
      <w:r>
        <w:rPr>
          <w:rFonts w:hint="eastAsia"/>
          <w:b/>
          <w:bCs/>
          <w:sz w:val="21"/>
          <w:szCs w:val="21"/>
        </w:rPr>
        <w:t>四、响应无效的情形</w:t>
      </w:r>
    </w:p>
    <w:p w14:paraId="5EC1B2AE">
      <w:pPr>
        <w:adjustRightInd w:val="0"/>
        <w:snapToGrid w:val="0"/>
        <w:spacing w:line="288" w:lineRule="auto"/>
        <w:ind w:firstLine="420" w:firstLineChars="200"/>
        <w:rPr>
          <w:sz w:val="21"/>
          <w:szCs w:val="21"/>
        </w:rPr>
      </w:pPr>
      <w:bookmarkStart w:id="46" w:name="_Hlk97039899"/>
      <w:r>
        <w:rPr>
          <w:rFonts w:hint="eastAsia"/>
          <w:sz w:val="21"/>
          <w:szCs w:val="21"/>
        </w:rPr>
        <w:t>未响应磋商文件“▲”标记条款要求的，响应无效。</w:t>
      </w:r>
    </w:p>
    <w:bookmarkEnd w:id="46"/>
    <w:p w14:paraId="28BBECF9">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14:paraId="09641733">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14:paraId="799EBAB3">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26078977">
      <w:pPr>
        <w:adjustRightInd w:val="0"/>
        <w:snapToGrid w:val="0"/>
        <w:spacing w:line="288" w:lineRule="auto"/>
        <w:ind w:firstLine="420" w:firstLineChars="200"/>
        <w:rPr>
          <w:sz w:val="21"/>
          <w:szCs w:val="21"/>
        </w:rPr>
      </w:pPr>
      <w:bookmarkStart w:id="47" w:name="_Hlk97039841"/>
      <w:r>
        <w:rPr>
          <w:rFonts w:hint="eastAsia"/>
          <w:sz w:val="21"/>
          <w:szCs w:val="21"/>
        </w:rPr>
        <w:t>（3）资格文件未按要求签署、盖章。</w:t>
      </w:r>
    </w:p>
    <w:bookmarkEnd w:id="47"/>
    <w:p w14:paraId="5604DC84">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rPr>
      </w:pPr>
      <w:r>
        <w:rPr>
          <w:rFonts w:hint="eastAsia"/>
          <w:sz w:val="21"/>
          <w:szCs w:val="21"/>
        </w:rPr>
        <w:t>（1）商务和技术文件未按要求签署、盖章；</w:t>
      </w:r>
    </w:p>
    <w:p w14:paraId="10AEBE39">
      <w:pPr>
        <w:adjustRightInd w:val="0"/>
        <w:snapToGrid w:val="0"/>
        <w:spacing w:line="288" w:lineRule="auto"/>
        <w:ind w:firstLine="420" w:firstLineChars="200"/>
        <w:jc w:val="left"/>
        <w:rPr>
          <w:color w:val="auto"/>
          <w:sz w:val="21"/>
          <w:szCs w:val="21"/>
          <w:highlight w:val="none"/>
        </w:rPr>
      </w:pPr>
      <w:r>
        <w:rPr>
          <w:rFonts w:hint="eastAsia"/>
          <w:sz w:val="21"/>
          <w:szCs w:val="21"/>
        </w:rPr>
        <w:t>（</w:t>
      </w:r>
      <w:r>
        <w:rPr>
          <w:sz w:val="21"/>
          <w:szCs w:val="21"/>
        </w:rPr>
        <w:t>2）未提供或未按</w:t>
      </w:r>
      <w:r>
        <w:rPr>
          <w:color w:val="auto"/>
          <w:sz w:val="21"/>
          <w:szCs w:val="21"/>
          <w:highlight w:val="none"/>
        </w:rPr>
        <w:t>要求提供响应函、授权委托书；</w:t>
      </w:r>
    </w:p>
    <w:p w14:paraId="58EB2F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5D938FAA">
      <w:pPr>
        <w:widowControl/>
        <w:adjustRightInd w:val="0"/>
        <w:snapToGrid w:val="0"/>
        <w:spacing w:line="288" w:lineRule="auto"/>
        <w:ind w:firstLine="398" w:firstLineChars="200"/>
        <w:jc w:val="left"/>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5.参与同一个采购包（标项）的供应商存在下列情形之一的，其响应文件无效：</w:t>
      </w:r>
    </w:p>
    <w:p w14:paraId="3410CBA5">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（1）不同供应商的电子响应文件上传计算机的网卡MAC地址、CPU序列号或硬盘序列号等硬件信息相同的；</w:t>
      </w:r>
    </w:p>
    <w:p w14:paraId="2ADD84F4">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（2）上传的电子响应文件若出现使用本项目其他响应供应商的数字证书加密的，或者加盖本项目其他响应供应商的电子印章的；</w:t>
      </w:r>
    </w:p>
    <w:p w14:paraId="5EA1854F">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（3）不同供应商的响应文件的内容存在三处（含）以上错误一致，且无法合理解释的；</w:t>
      </w:r>
    </w:p>
    <w:p w14:paraId="674F67C9">
      <w:pPr>
        <w:adjustRightInd w:val="0"/>
        <w:snapToGrid w:val="0"/>
        <w:spacing w:line="288" w:lineRule="auto"/>
        <w:ind w:firstLine="396" w:firstLineChars="200"/>
        <w:rPr>
          <w:rFonts w:hint="eastAsia"/>
          <w:color w:val="auto"/>
          <w:sz w:val="21"/>
          <w:szCs w:val="21"/>
          <w:highlight w:val="none"/>
        </w:rPr>
      </w:pPr>
      <w:r>
        <w:rPr>
          <w:rFonts w:hint="eastAsia" w:ascii="宋体" w:hAnsi="宋体" w:eastAsia="宋体" w:cs="宋体"/>
          <w:color w:val="auto"/>
          <w:spacing w:val="-6"/>
          <w:sz w:val="21"/>
          <w:szCs w:val="21"/>
          <w:highlight w:val="none"/>
          <w:lang w:val="en-US" w:eastAsia="zh-CN"/>
        </w:rPr>
        <w:t>（4）不同供应商联系人为同一人或不同联系人的联系电话一致，且无法合理解释的。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sz w:val="21"/>
          <w:szCs w:val="21"/>
        </w:rPr>
      </w:pPr>
      <w:r>
        <w:rPr>
          <w:rFonts w:hint="eastAsia"/>
          <w:b/>
          <w:bCs/>
          <w:sz w:val="21"/>
          <w:szCs w:val="21"/>
        </w:rPr>
        <w:t>五、响应文件开启</w:t>
      </w:r>
    </w:p>
    <w:p w14:paraId="5E45837B">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rPr>
      </w:pPr>
    </w:p>
    <w:p w14:paraId="4551C518">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7FEA0448">
      <w:pPr>
        <w:adjustRightInd w:val="0"/>
        <w:snapToGrid w:val="0"/>
        <w:spacing w:line="288" w:lineRule="auto"/>
        <w:rPr>
          <w:sz w:val="21"/>
          <w:szCs w:val="21"/>
        </w:rPr>
      </w:pPr>
      <w:r>
        <w:rPr>
          <w:rFonts w:hint="eastAsia"/>
          <w:sz w:val="21"/>
          <w:szCs w:val="21"/>
        </w:rPr>
        <w:br w:type="page"/>
      </w:r>
    </w:p>
    <w:p w14:paraId="607B1CAC">
      <w:pPr>
        <w:adjustRightInd w:val="0"/>
        <w:snapToGrid w:val="0"/>
        <w:spacing w:line="288" w:lineRule="auto"/>
        <w:jc w:val="center"/>
        <w:outlineLvl w:val="1"/>
        <w:rPr>
          <w:b/>
          <w:bCs/>
          <w:sz w:val="21"/>
          <w:szCs w:val="21"/>
        </w:rPr>
      </w:pPr>
      <w:r>
        <w:rPr>
          <w:rFonts w:hint="eastAsia"/>
          <w:b/>
          <w:bCs/>
          <w:sz w:val="21"/>
          <w:szCs w:val="21"/>
        </w:rPr>
        <w:t>六、评审程序</w:t>
      </w:r>
    </w:p>
    <w:p w14:paraId="6BBB1F53">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14:paraId="1B7B5EB3">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6BDB7CC5">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14:paraId="7ED6C477">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14:paraId="2AABE554">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B75B459">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243CEBD4">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14:paraId="58830D8A">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14:paraId="36CF2FCA">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20C88F78">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rPr>
        <w:t>供应商应当按照磋商</w:t>
      </w:r>
      <w:r>
        <w:rPr>
          <w:rFonts w:hint="eastAsia" w:cs="Arial"/>
          <w:color w:val="auto"/>
          <w:kern w:val="0"/>
          <w:sz w:val="21"/>
          <w:szCs w:val="21"/>
          <w:highlight w:val="none"/>
        </w:rPr>
        <w:t>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67CD4FE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w:t>
      </w:r>
      <w:r>
        <w:rPr>
          <w:color w:val="auto"/>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87C167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628136F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42B41983">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8"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r>
        <w:rPr>
          <w:rFonts w:hint="eastAsia" w:cs="Arial"/>
          <w:color w:val="auto"/>
          <w:kern w:val="0"/>
          <w:sz w:val="21"/>
          <w:szCs w:val="21"/>
          <w:highlight w:val="none"/>
        </w:rPr>
        <w:t>。</w:t>
      </w:r>
    </w:p>
    <w:bookmarkEnd w:id="48"/>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73A3B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3ABE732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highlight w:val="none"/>
        </w:rPr>
      </w:pPr>
      <w:bookmarkStart w:id="49"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9"/>
    <w:p w14:paraId="2D1D18D5">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14:paraId="74FE5DA9">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14:paraId="4B2EB3BA">
      <w:pPr>
        <w:adjustRightInd w:val="0"/>
        <w:snapToGrid w:val="0"/>
        <w:spacing w:line="288" w:lineRule="auto"/>
        <w:rPr>
          <w:b/>
          <w:bCs/>
          <w:sz w:val="21"/>
          <w:szCs w:val="21"/>
        </w:rPr>
      </w:pPr>
      <w:r>
        <w:rPr>
          <w:rFonts w:hint="eastAsia"/>
          <w:b/>
          <w:bCs/>
          <w:sz w:val="21"/>
          <w:szCs w:val="21"/>
        </w:rPr>
        <w:t>（一）成交</w:t>
      </w:r>
    </w:p>
    <w:p w14:paraId="0796D2E9">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17754630">
      <w:pPr>
        <w:adjustRightInd w:val="0"/>
        <w:snapToGrid w:val="0"/>
        <w:spacing w:line="288" w:lineRule="auto"/>
        <w:jc w:val="left"/>
        <w:rPr>
          <w:b/>
          <w:bCs/>
          <w:sz w:val="21"/>
          <w:szCs w:val="21"/>
        </w:rPr>
      </w:pPr>
      <w:r>
        <w:rPr>
          <w:rFonts w:hint="eastAsia"/>
          <w:b/>
          <w:bCs/>
          <w:sz w:val="21"/>
          <w:szCs w:val="21"/>
        </w:rPr>
        <w:t>（二）合同授予</w:t>
      </w:r>
    </w:p>
    <w:p w14:paraId="1AB5EC2B">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rPr>
      </w:pPr>
    </w:p>
    <w:p w14:paraId="2B2A8A55">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55BB0C6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rPr>
      </w:pPr>
    </w:p>
    <w:p w14:paraId="324AF1A1">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7555B6DB">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14:paraId="16AD1988">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14:paraId="1964A622">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14:paraId="624173F2">
      <w:pPr>
        <w:adjustRightInd w:val="0"/>
        <w:snapToGrid w:val="0"/>
        <w:spacing w:line="288" w:lineRule="auto"/>
        <w:ind w:firstLine="420" w:firstLineChars="200"/>
        <w:rPr>
          <w:sz w:val="21"/>
          <w:szCs w:val="21"/>
        </w:rPr>
      </w:pPr>
      <w:r>
        <w:rPr>
          <w:rFonts w:hint="eastAsia"/>
          <w:sz w:val="21"/>
          <w:szCs w:val="21"/>
        </w:rPr>
        <w:t>4.病毒发作导致不能进行正常操作的；</w:t>
      </w:r>
    </w:p>
    <w:p w14:paraId="4AF68FA2">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14:paraId="09C8C7F7">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44156D9F">
      <w:pPr>
        <w:adjustRightInd w:val="0"/>
        <w:snapToGrid w:val="0"/>
        <w:spacing w:line="288" w:lineRule="auto"/>
        <w:jc w:val="center"/>
        <w:outlineLvl w:val="0"/>
        <w:rPr>
          <w:b/>
          <w:bCs/>
          <w:sz w:val="32"/>
          <w:szCs w:val="32"/>
        </w:rPr>
      </w:pPr>
      <w:r>
        <w:rPr>
          <w:rFonts w:hint="eastAsia"/>
          <w:b/>
          <w:bCs/>
          <w:sz w:val="32"/>
          <w:szCs w:val="32"/>
        </w:rPr>
        <w:t>第四章  评审方法和评审标准</w:t>
      </w:r>
    </w:p>
    <w:p w14:paraId="06722A57">
      <w:pPr>
        <w:adjustRightInd w:val="0"/>
        <w:snapToGrid w:val="0"/>
        <w:spacing w:line="288" w:lineRule="auto"/>
        <w:rPr>
          <w:b/>
          <w:bCs/>
          <w:sz w:val="21"/>
          <w:szCs w:val="21"/>
        </w:rPr>
      </w:pPr>
      <w:r>
        <w:rPr>
          <w:rFonts w:hint="eastAsia"/>
          <w:b/>
          <w:bCs/>
          <w:sz w:val="21"/>
          <w:szCs w:val="21"/>
        </w:rPr>
        <w:t>一、评审方法</w:t>
      </w:r>
    </w:p>
    <w:p w14:paraId="36B88E97">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14:paraId="07A66979">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sz w:val="21"/>
          <w:szCs w:val="21"/>
        </w:rPr>
      </w:pPr>
      <w:r>
        <w:rPr>
          <w:rFonts w:hint="eastAsia"/>
          <w:b/>
          <w:bCs/>
          <w:sz w:val="21"/>
          <w:szCs w:val="21"/>
        </w:rPr>
        <w:t>二、评审标准</w:t>
      </w:r>
    </w:p>
    <w:tbl>
      <w:tblPr>
        <w:tblStyle w:val="18"/>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700"/>
        <w:gridCol w:w="6896"/>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Align w:val="center"/>
          </w:tcPr>
          <w:p w14:paraId="31A04DA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评审因素</w:t>
            </w:r>
          </w:p>
        </w:tc>
        <w:tc>
          <w:tcPr>
            <w:tcW w:w="700" w:type="dxa"/>
            <w:vAlign w:val="center"/>
          </w:tcPr>
          <w:p w14:paraId="3ABC465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分值</w:t>
            </w:r>
          </w:p>
        </w:tc>
        <w:tc>
          <w:tcPr>
            <w:tcW w:w="6896" w:type="dxa"/>
            <w:vAlign w:val="center"/>
          </w:tcPr>
          <w:p w14:paraId="359215D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价格分（</w:t>
            </w:r>
            <w:r>
              <w:rPr>
                <w:rFonts w:hint="eastAsia" w:ascii="宋体" w:hAnsi="宋体" w:eastAsia="宋体" w:cs="宋体"/>
                <w:b/>
                <w:bCs/>
                <w:color w:val="auto"/>
                <w:kern w:val="0"/>
                <w:sz w:val="21"/>
                <w:szCs w:val="21"/>
                <w:lang w:val="en-US" w:eastAsia="zh-CN"/>
              </w:rPr>
              <w:t>2</w:t>
            </w:r>
            <w:r>
              <w:rPr>
                <w:rFonts w:hint="eastAsia" w:ascii="宋体" w:hAnsi="宋体" w:eastAsia="宋体" w:cs="宋体"/>
                <w:b/>
                <w:bCs/>
                <w:color w:val="auto"/>
                <w:kern w:val="0"/>
                <w:sz w:val="21"/>
                <w:szCs w:val="21"/>
              </w:rPr>
              <w:t>0）</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Align w:val="center"/>
          </w:tcPr>
          <w:p w14:paraId="320E0A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最后磋商报价</w:t>
            </w:r>
          </w:p>
        </w:tc>
        <w:tc>
          <w:tcPr>
            <w:tcW w:w="700" w:type="dxa"/>
            <w:vAlign w:val="center"/>
          </w:tcPr>
          <w:p w14:paraId="453841E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w:t>
            </w:r>
            <w:r>
              <w:rPr>
                <w:rFonts w:hint="eastAsia" w:ascii="宋体" w:hAnsi="宋体" w:eastAsia="宋体" w:cs="宋体"/>
                <w:b/>
                <w:bCs/>
                <w:color w:val="auto"/>
                <w:kern w:val="0"/>
                <w:sz w:val="21"/>
                <w:szCs w:val="21"/>
              </w:rPr>
              <w:t>0</w:t>
            </w:r>
          </w:p>
        </w:tc>
        <w:tc>
          <w:tcPr>
            <w:tcW w:w="6896" w:type="dxa"/>
            <w:vAlign w:val="center"/>
          </w:tcPr>
          <w:p w14:paraId="259B99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价格分统一采用低价优先法计算，即满足磋商文件要求且最后报价最低的供应商的价格为磋商基准价，其价格分为满分。其他供应商的价格分统一按照下</w:t>
            </w:r>
            <w:r>
              <w:rPr>
                <w:rFonts w:hint="eastAsia" w:ascii="宋体" w:hAnsi="宋体" w:eastAsia="宋体" w:cs="宋体"/>
                <w:color w:val="auto"/>
                <w:kern w:val="0"/>
                <w:sz w:val="21"/>
                <w:szCs w:val="21"/>
                <w:highlight w:val="none"/>
              </w:rPr>
              <w:t>列公式计算：</w:t>
            </w:r>
          </w:p>
          <w:p w14:paraId="24A28B9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磋商报价得分=（磋商基准价/最后磋商报价）×</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0%×100</w:t>
            </w:r>
          </w:p>
          <w:p w14:paraId="536C5FA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pacing w:val="-6"/>
                <w:sz w:val="21"/>
                <w:szCs w:val="21"/>
                <w:highlight w:val="none"/>
                <w:u w:val="none"/>
                <w:lang w:val="en-US" w:eastAsia="zh-CN"/>
              </w:rPr>
              <w:t>本</w:t>
            </w:r>
            <w:r>
              <w:rPr>
                <w:rFonts w:hint="eastAsia" w:ascii="宋体" w:hAnsi="宋体" w:eastAsia="宋体" w:cs="宋体"/>
                <w:b/>
                <w:bCs/>
                <w:color w:val="auto"/>
                <w:spacing w:val="-6"/>
                <w:sz w:val="21"/>
                <w:szCs w:val="21"/>
                <w:highlight w:val="none"/>
                <w:u w:val="none"/>
                <w:lang w:eastAsia="zh-CN"/>
              </w:rPr>
              <w:t>项目专门面向中小企业采购，不再执行价格评审优惠的扶持政策</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商务分（</w:t>
            </w:r>
            <w:r>
              <w:rPr>
                <w:rFonts w:hint="eastAsia" w:ascii="宋体" w:hAnsi="宋体" w:eastAsia="宋体" w:cs="宋体"/>
                <w:b/>
                <w:bCs/>
                <w:color w:val="auto"/>
                <w:kern w:val="0"/>
                <w:sz w:val="21"/>
                <w:szCs w:val="21"/>
                <w:lang w:val="en-US" w:eastAsia="zh-CN"/>
              </w:rPr>
              <w:t>2</w:t>
            </w:r>
            <w:r>
              <w:rPr>
                <w:rFonts w:hint="eastAsia" w:ascii="宋体" w:hAnsi="宋体" w:eastAsia="宋体" w:cs="宋体"/>
                <w:b/>
                <w:bCs/>
                <w:color w:val="auto"/>
                <w:kern w:val="0"/>
                <w:sz w:val="21"/>
                <w:szCs w:val="21"/>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Align w:val="center"/>
          </w:tcPr>
          <w:p w14:paraId="3CCED9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业绩</w:t>
            </w:r>
          </w:p>
        </w:tc>
        <w:tc>
          <w:tcPr>
            <w:tcW w:w="700" w:type="dxa"/>
            <w:vAlign w:val="center"/>
          </w:tcPr>
          <w:p w14:paraId="3E1534F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2</w:t>
            </w:r>
          </w:p>
        </w:tc>
        <w:tc>
          <w:tcPr>
            <w:tcW w:w="6896" w:type="dxa"/>
            <w:vAlign w:val="center"/>
          </w:tcPr>
          <w:p w14:paraId="4598ABF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p w14:paraId="71AEEEC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供应商自20</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rPr>
              <w:t>年1月1日以来（以合同签订时间为准）同类合同业绩（以提供的合同扫描件为准）：每提供1份合同业绩得</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分，最高得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技术分（</w:t>
            </w:r>
            <w:r>
              <w:rPr>
                <w:rFonts w:hint="eastAsia" w:ascii="宋体" w:hAnsi="宋体" w:eastAsia="宋体" w:cs="宋体"/>
                <w:b/>
                <w:bCs/>
                <w:color w:val="auto"/>
                <w:kern w:val="0"/>
                <w:sz w:val="21"/>
                <w:szCs w:val="21"/>
                <w:lang w:val="en-US" w:eastAsia="zh-CN"/>
              </w:rPr>
              <w:t>78</w:t>
            </w:r>
            <w:r>
              <w:rPr>
                <w:rFonts w:hint="eastAsia" w:ascii="宋体" w:hAnsi="宋体" w:eastAsia="宋体" w:cs="宋体"/>
                <w:b/>
                <w:bCs/>
                <w:color w:val="auto"/>
                <w:kern w:val="0"/>
                <w:sz w:val="21"/>
                <w:szCs w:val="21"/>
              </w:rPr>
              <w:t>）</w:t>
            </w:r>
          </w:p>
        </w:tc>
      </w:tr>
      <w:tr w14:paraId="2375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Align w:val="center"/>
          </w:tcPr>
          <w:p w14:paraId="1C8D17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lang w:val="en-US"/>
              </w:rPr>
            </w:pPr>
            <w:r>
              <w:rPr>
                <w:rFonts w:hint="eastAsia" w:ascii="宋体" w:hAnsi="宋体" w:eastAsia="宋体" w:cs="宋体"/>
                <w:b/>
                <w:bCs/>
                <w:kern w:val="0"/>
                <w:sz w:val="21"/>
                <w:szCs w:val="21"/>
                <w:highlight w:val="none"/>
              </w:rPr>
              <w:t>响应程度</w:t>
            </w:r>
          </w:p>
        </w:tc>
        <w:tc>
          <w:tcPr>
            <w:tcW w:w="700" w:type="dxa"/>
            <w:shd w:val="clear" w:color="auto" w:fill="auto"/>
            <w:vAlign w:val="center"/>
          </w:tcPr>
          <w:p w14:paraId="484F9A4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kern w:val="0"/>
                <w:sz w:val="21"/>
                <w:szCs w:val="21"/>
                <w:highlight w:val="none"/>
                <w:lang w:val="en-US" w:eastAsia="zh-CN"/>
              </w:rPr>
              <w:t>12</w:t>
            </w:r>
          </w:p>
        </w:tc>
        <w:tc>
          <w:tcPr>
            <w:tcW w:w="6896" w:type="dxa"/>
            <w:shd w:val="clear" w:color="auto" w:fill="auto"/>
            <w:vAlign w:val="center"/>
          </w:tcPr>
          <w:p w14:paraId="34AF494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14:paraId="74EEAA3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不符合（负偏离）</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要求中标注“▲”条款（不可偏离）的</w:t>
            </w:r>
            <w:r>
              <w:rPr>
                <w:rFonts w:hint="eastAsia" w:ascii="宋体" w:hAnsi="宋体" w:eastAsia="宋体" w:cs="宋体"/>
                <w:kern w:val="0"/>
                <w:sz w:val="21"/>
                <w:szCs w:val="21"/>
                <w:highlight w:val="none"/>
                <w:lang w:val="en-US" w:eastAsia="zh-CN"/>
              </w:rPr>
              <w:t>投标</w:t>
            </w:r>
            <w:r>
              <w:rPr>
                <w:rFonts w:hint="eastAsia" w:ascii="宋体" w:hAnsi="宋体" w:eastAsia="宋体" w:cs="宋体"/>
                <w:kern w:val="0"/>
                <w:sz w:val="21"/>
                <w:szCs w:val="21"/>
                <w:highlight w:val="none"/>
              </w:rPr>
              <w:t>文件无效，满足或明显优于</w:t>
            </w:r>
            <w:r>
              <w:rPr>
                <w:rFonts w:hint="eastAsia" w:ascii="宋体" w:hAnsi="宋体" w:eastAsia="宋体" w:cs="宋体"/>
                <w:kern w:val="0"/>
                <w:sz w:val="21"/>
                <w:szCs w:val="21"/>
                <w:highlight w:val="none"/>
                <w:lang w:val="en-US" w:eastAsia="zh-CN"/>
              </w:rPr>
              <w:t>招标</w:t>
            </w:r>
            <w:r>
              <w:rPr>
                <w:rFonts w:hint="eastAsia" w:ascii="宋体" w:hAnsi="宋体" w:eastAsia="宋体" w:cs="宋体"/>
                <w:kern w:val="0"/>
                <w:sz w:val="21"/>
                <w:szCs w:val="21"/>
                <w:highlight w:val="none"/>
              </w:rPr>
              <w:t>文件明确的全部</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条款要求的该项得满分；</w:t>
            </w:r>
          </w:p>
          <w:p w14:paraId="0B22D79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条款低于</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要求（负偏离）的每项扣</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w:t>
            </w:r>
          </w:p>
          <w:p w14:paraId="5A42CBF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rPr>
              <w:t>负偏离</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项及以上的，视为采购人不能接受的附加条件。</w:t>
            </w:r>
          </w:p>
        </w:tc>
      </w:tr>
      <w:tr w14:paraId="7CD9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902" w:type="dxa"/>
            <w:vMerge w:val="restart"/>
            <w:vAlign w:val="center"/>
          </w:tcPr>
          <w:p w14:paraId="1223FD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项目实施方案</w:t>
            </w:r>
          </w:p>
        </w:tc>
        <w:tc>
          <w:tcPr>
            <w:tcW w:w="700" w:type="dxa"/>
            <w:shd w:val="clear" w:color="auto" w:fill="auto"/>
            <w:vAlign w:val="center"/>
          </w:tcPr>
          <w:p w14:paraId="5071E1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4</w:t>
            </w:r>
          </w:p>
        </w:tc>
        <w:tc>
          <w:tcPr>
            <w:tcW w:w="6896" w:type="dxa"/>
            <w:shd w:val="clear" w:color="auto" w:fill="auto"/>
            <w:vAlign w:val="center"/>
          </w:tcPr>
          <w:p w14:paraId="77C0ADF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1560D6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整体分析：针对本项目的认识、服务步骤和服务策略认识情形，重难点分析到位，针对重难点提供相应解决方案或合理建议，要求内容合理容易实现、措施内容有针对性、完善、详细且可行。（评分范围：4,3,2,1,0）</w:t>
            </w:r>
          </w:p>
        </w:tc>
      </w:tr>
      <w:tr w14:paraId="624A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02" w:type="dxa"/>
            <w:vMerge w:val="continue"/>
            <w:vAlign w:val="center"/>
          </w:tcPr>
          <w:p w14:paraId="0D3EEA4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2182DD0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78506EF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44268F8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质量控制服务方案：针对本项目提供的质量控制，包括提交的咨询意见、报告内容等质量保证措施，要求措施内容有针对性、完善、详细且可行。（评分范围：3,2,1,0）</w:t>
            </w:r>
          </w:p>
        </w:tc>
      </w:tr>
      <w:tr w14:paraId="5AFF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02" w:type="dxa"/>
            <w:vMerge w:val="continue"/>
            <w:vAlign w:val="center"/>
          </w:tcPr>
          <w:p w14:paraId="5EB89AC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6145463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719ADEC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12A013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针对本项目实施过程中与采购人、设计院和施工单位等各方沟通协调措施：要求措施全面可行、针对性强。（评分范围：3,2,1,0）</w:t>
            </w:r>
          </w:p>
        </w:tc>
      </w:tr>
      <w:tr w14:paraId="42B8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vAlign w:val="center"/>
          </w:tcPr>
          <w:p w14:paraId="3093A80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2771FFC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065B770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A49BD4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动态造价管理措施：针对本项目在造价管理和成本核算中应对的动态造价管理措施，措施内容有针对性、完善、详细且可行。（评分范围：3,2,1,0）</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restart"/>
            <w:shd w:val="clear" w:color="auto" w:fill="auto"/>
            <w:vAlign w:val="center"/>
          </w:tcPr>
          <w:p w14:paraId="28E7A12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施工图预算编制和审核方案</w:t>
            </w:r>
          </w:p>
        </w:tc>
        <w:tc>
          <w:tcPr>
            <w:tcW w:w="700" w:type="dxa"/>
            <w:shd w:val="clear" w:color="auto" w:fill="auto"/>
            <w:vAlign w:val="center"/>
          </w:tcPr>
          <w:p w14:paraId="7872F6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611B16C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19A7DC0">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施工图预算编制和审核效率保障：响应时间、完成时间的保证措施针对性强。</w:t>
            </w:r>
            <w:r>
              <w:rPr>
                <w:rFonts w:hint="eastAsia" w:ascii="宋体" w:hAnsi="宋体" w:eastAsia="宋体" w:cs="宋体"/>
                <w:color w:val="auto"/>
                <w:sz w:val="21"/>
                <w:szCs w:val="21"/>
                <w:highlight w:val="none"/>
                <w:lang w:val="en-US" w:eastAsia="zh-CN"/>
              </w:rPr>
              <w:t>（评分范围：3,2,1,0）</w:t>
            </w:r>
          </w:p>
        </w:tc>
      </w:tr>
      <w:tr w14:paraId="796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vAlign w:val="center"/>
          </w:tcPr>
          <w:p w14:paraId="4F19667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25D52B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7DB679E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71034230">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施工图预算编制和审核影响进度的解决措施：针对影响进度问题的主要因素提供相应解决措施与方案</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要求措施合理可行，具备针对性，有利于采购人项目实施</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1BE0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restart"/>
            <w:vAlign w:val="center"/>
          </w:tcPr>
          <w:p w14:paraId="43F9C9B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施工阶段全过程跟踪审计服务方案</w:t>
            </w:r>
          </w:p>
        </w:tc>
        <w:tc>
          <w:tcPr>
            <w:tcW w:w="700" w:type="dxa"/>
            <w:shd w:val="clear" w:color="auto" w:fill="auto"/>
            <w:vAlign w:val="center"/>
          </w:tcPr>
          <w:p w14:paraId="628587C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6981840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0AB82791">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施工阶段全过程跟踪审计</w:t>
            </w:r>
            <w:r>
              <w:rPr>
                <w:rFonts w:hint="eastAsia" w:ascii="宋体" w:hAnsi="宋体" w:eastAsia="宋体" w:cs="宋体"/>
                <w:color w:val="auto"/>
                <w:spacing w:val="0"/>
                <w:kern w:val="2"/>
                <w:sz w:val="21"/>
                <w:szCs w:val="21"/>
                <w:lang w:val="en-US" w:eastAsia="zh-CN"/>
              </w:rPr>
              <w:t>服务整体</w:t>
            </w:r>
            <w:r>
              <w:rPr>
                <w:rFonts w:hint="eastAsia" w:ascii="宋体" w:hAnsi="宋体" w:eastAsia="宋体" w:cs="宋体"/>
                <w:color w:val="auto"/>
                <w:spacing w:val="0"/>
                <w:kern w:val="2"/>
                <w:sz w:val="21"/>
                <w:szCs w:val="21"/>
              </w:rPr>
              <w:t>实施方案：方案内容完善、可行具有针对性</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满足采购人项目实施要求</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0DCE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vAlign w:val="center"/>
          </w:tcPr>
          <w:p w14:paraId="5A0E34B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248060E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19DBFDA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FF8A020">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效率保障：响应时间、完成时间的保证措施针对性强</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能有效保障各项目有序推进，满足采购人项目实施要求</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51C7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vAlign w:val="center"/>
          </w:tcPr>
          <w:p w14:paraId="33DA200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42BA4D9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125D0FD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1D6BE5EF">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影响进度的解决措施：针对影响进度问题的主要因素提供相应解决措施与方案</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要求措施合理可行，具备针对性，有利于采购人项目实施</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427A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restart"/>
            <w:vAlign w:val="center"/>
          </w:tcPr>
          <w:p w14:paraId="50F7580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工程竣工结算审核服务方案</w:t>
            </w:r>
          </w:p>
        </w:tc>
        <w:tc>
          <w:tcPr>
            <w:tcW w:w="700" w:type="dxa"/>
            <w:shd w:val="clear" w:color="auto" w:fill="auto"/>
            <w:vAlign w:val="center"/>
          </w:tcPr>
          <w:p w14:paraId="2D01998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536F85D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0AE1D9E">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工程竣工结算</w:t>
            </w:r>
            <w:r>
              <w:rPr>
                <w:rFonts w:hint="eastAsia" w:ascii="宋体" w:hAnsi="宋体" w:eastAsia="宋体" w:cs="宋体"/>
                <w:color w:val="auto"/>
                <w:spacing w:val="0"/>
                <w:kern w:val="2"/>
                <w:sz w:val="21"/>
                <w:szCs w:val="21"/>
                <w:lang w:eastAsia="zh-CN"/>
              </w:rPr>
              <w:t>审核</w:t>
            </w:r>
            <w:r>
              <w:rPr>
                <w:rFonts w:hint="eastAsia" w:ascii="宋体" w:hAnsi="宋体" w:eastAsia="宋体" w:cs="宋体"/>
                <w:color w:val="auto"/>
                <w:spacing w:val="0"/>
                <w:kern w:val="2"/>
                <w:sz w:val="21"/>
                <w:szCs w:val="21"/>
                <w:lang w:val="en-US" w:eastAsia="zh-CN"/>
              </w:rPr>
              <w:t>服务整体</w:t>
            </w:r>
            <w:r>
              <w:rPr>
                <w:rFonts w:hint="eastAsia" w:ascii="宋体" w:hAnsi="宋体" w:eastAsia="宋体" w:cs="宋体"/>
                <w:color w:val="auto"/>
                <w:spacing w:val="0"/>
                <w:kern w:val="2"/>
                <w:sz w:val="21"/>
                <w:szCs w:val="21"/>
              </w:rPr>
              <w:t>实施方案：方案内容完善、可行具有针对性</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满足采购人项目实施要求</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3FE9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vAlign w:val="center"/>
          </w:tcPr>
          <w:p w14:paraId="34AC987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p>
        </w:tc>
        <w:tc>
          <w:tcPr>
            <w:tcW w:w="700" w:type="dxa"/>
            <w:shd w:val="clear" w:color="auto" w:fill="auto"/>
            <w:vAlign w:val="center"/>
          </w:tcPr>
          <w:p w14:paraId="4C9E4DC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241D6C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F31FB74">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效率保障：响应时间、完成时间的保证措施针对性强</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能有效保障各项目有序推进，满足采购人项目实施要求</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5C65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vAlign w:val="center"/>
          </w:tcPr>
          <w:p w14:paraId="556DE23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p>
        </w:tc>
        <w:tc>
          <w:tcPr>
            <w:tcW w:w="700" w:type="dxa"/>
            <w:shd w:val="clear" w:color="auto" w:fill="auto"/>
            <w:vAlign w:val="center"/>
          </w:tcPr>
          <w:p w14:paraId="4CF223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5F90EF1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EF430D7">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0"/>
                <w:kern w:val="2"/>
                <w:sz w:val="21"/>
                <w:szCs w:val="21"/>
              </w:rPr>
              <w:t>影响进度的解决措施：针对影响进度问题的主要因素提供相应解决措施与方案</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要求措施合理可行，具备针对性，有利于采购人项目实施</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2BBF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restart"/>
            <w:shd w:val="clear" w:color="auto" w:fill="auto"/>
            <w:vAlign w:val="center"/>
          </w:tcPr>
          <w:p w14:paraId="293EED9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拟投入人员</w:t>
            </w:r>
          </w:p>
          <w:p w14:paraId="207D760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需提供人员配置清单</w:t>
            </w:r>
            <w:r>
              <w:rPr>
                <w:rFonts w:hint="eastAsia" w:ascii="宋体" w:hAnsi="宋体" w:eastAsia="宋体" w:cs="宋体"/>
                <w:b/>
                <w:bCs/>
                <w:color w:val="auto"/>
                <w:sz w:val="21"/>
                <w:szCs w:val="21"/>
                <w:highlight w:val="none"/>
                <w:lang w:val="en-US" w:eastAsia="zh-CN"/>
              </w:rPr>
              <w:t>）</w:t>
            </w:r>
          </w:p>
        </w:tc>
        <w:tc>
          <w:tcPr>
            <w:tcW w:w="700" w:type="dxa"/>
            <w:shd w:val="clear" w:color="auto" w:fill="auto"/>
            <w:vAlign w:val="center"/>
          </w:tcPr>
          <w:p w14:paraId="0984E7D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5</w:t>
            </w:r>
          </w:p>
        </w:tc>
        <w:tc>
          <w:tcPr>
            <w:tcW w:w="6896" w:type="dxa"/>
            <w:shd w:val="clear" w:color="auto" w:fill="auto"/>
            <w:vAlign w:val="center"/>
          </w:tcPr>
          <w:p w14:paraId="7A410DC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p w14:paraId="6A59CB5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拟派项目负责人同时具备一级注册造价师及高级职称资格的得5分；具有一级注册造价师及中级职称资格的得2分。仅具备一级注册造价师或仅具备中级及以上职称的不得分。</w:t>
            </w:r>
          </w:p>
          <w:p w14:paraId="4944B7C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证书扫描件及社保缴纳证明（或劳动合同），未提供或者证明材料不全的不得分。</w:t>
            </w:r>
          </w:p>
        </w:tc>
      </w:tr>
      <w:tr w14:paraId="69E4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shd w:val="clear" w:color="auto" w:fill="auto"/>
            <w:vAlign w:val="center"/>
          </w:tcPr>
          <w:p w14:paraId="66CF1A3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23D29DC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4</w:t>
            </w:r>
          </w:p>
        </w:tc>
        <w:tc>
          <w:tcPr>
            <w:tcW w:w="6896" w:type="dxa"/>
            <w:shd w:val="clear" w:color="auto" w:fill="auto"/>
            <w:vAlign w:val="center"/>
          </w:tcPr>
          <w:p w14:paraId="2951462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p w14:paraId="3C33622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拟派驻点服务人员同时具备二注册造价师及中级及以上职称资格的，每提供1人份证书得2分，最高得4分。仅具备二级注册造价师或仅具备中级及以上职称的不得分。</w:t>
            </w:r>
          </w:p>
          <w:p w14:paraId="268CE1B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证书扫描件及社保缴纳证明（或劳动合同），未提供或者证明材料不全的不得分。</w:t>
            </w:r>
          </w:p>
        </w:tc>
      </w:tr>
      <w:tr w14:paraId="7981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shd w:val="clear" w:color="auto" w:fill="auto"/>
            <w:vAlign w:val="center"/>
          </w:tcPr>
          <w:p w14:paraId="791F852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35CB5F8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6</w:t>
            </w:r>
          </w:p>
        </w:tc>
        <w:tc>
          <w:tcPr>
            <w:tcW w:w="6896" w:type="dxa"/>
            <w:shd w:val="clear" w:color="auto" w:fill="auto"/>
            <w:vAlign w:val="center"/>
          </w:tcPr>
          <w:p w14:paraId="1DB8BAA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p w14:paraId="7222553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拟派项目团队服务人员（除上述人员外）具备二级及以上注册造价师的，每提供1类证书得2</w:t>
            </w:r>
            <w:r>
              <w:rPr>
                <w:rFonts w:hint="eastAsia"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，最高得6分。（如一人有多种专业的仅算其中一种，不得重复计算）</w:t>
            </w:r>
          </w:p>
          <w:p w14:paraId="238CA97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证书扫描件及社保缴纳证明（或劳动合同），未提供或者证明材料不全的不得分。</w:t>
            </w:r>
          </w:p>
        </w:tc>
      </w:tr>
      <w:tr w14:paraId="20AB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shd w:val="clear" w:color="auto" w:fill="auto"/>
            <w:vAlign w:val="center"/>
          </w:tcPr>
          <w:p w14:paraId="66271C1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5C5C03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7DE3BF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p>
          <w:p w14:paraId="517BAB3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年1月1日以来（以合同签订时间为准）同类建筑工程总承包项目造价咨询（含全过程审计）业绩：每提供1份合同业绩得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82B1FA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pacing w:val="-6"/>
                <w:kern w:val="2"/>
                <w:sz w:val="21"/>
                <w:szCs w:val="21"/>
                <w:highlight w:val="none"/>
                <w:lang w:val="en-US" w:eastAsia="zh-CN" w:bidi="ar"/>
              </w:rPr>
            </w:pPr>
            <w:r>
              <w:rPr>
                <w:rFonts w:hint="eastAsia" w:ascii="宋体" w:hAnsi="宋体" w:eastAsia="宋体" w:cs="宋体"/>
                <w:b w:val="0"/>
                <w:bCs w:val="0"/>
                <w:color w:val="auto"/>
                <w:sz w:val="21"/>
                <w:szCs w:val="21"/>
                <w:highlight w:val="none"/>
              </w:rPr>
              <w:t>（以提供的合同扫描件为准。委托合同中不能反映审计服务负责人姓名的，还需投标人提供证明并盖公章，该证明必须含：项目名称、委托人名称、受托人名称、委托内容、审计服务负责人姓名，要素信息不全的不计；若合同与上述投标人业绩的合同重复，不计分）</w:t>
            </w:r>
          </w:p>
        </w:tc>
      </w:tr>
      <w:tr w14:paraId="51F7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shd w:val="clear" w:color="auto" w:fill="auto"/>
            <w:vAlign w:val="center"/>
          </w:tcPr>
          <w:p w14:paraId="5E341CF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4849B0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5C72A2A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p>
          <w:p w14:paraId="3127D01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年1月1日以来起草过建筑工程项目综合审计报告（综合审计报告指对建设管理业务活动及其内部控制的监督、建议、评价的成果，该报告中至少包括发现的问题、审计意见或建议）的，每提供1份报告得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BE19AA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需提供委托合同和综合审计报告，时间以提供报告的时间为得准，报告可进行脱密处理。委托合同中不能反映审计服务负责人姓名的，还需投标人提供证明并盖公章，该证明必须含：项目名称、委托人名称、受托人名称、委托内容、审计服务负责人姓名，要素信息不全的不计；）</w:t>
            </w:r>
          </w:p>
        </w:tc>
      </w:tr>
      <w:tr w14:paraId="5939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shd w:val="clear" w:color="auto" w:fill="auto"/>
            <w:vAlign w:val="center"/>
          </w:tcPr>
          <w:p w14:paraId="4E52D4D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7D2DF0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5</w:t>
            </w:r>
          </w:p>
        </w:tc>
        <w:tc>
          <w:tcPr>
            <w:tcW w:w="6896" w:type="dxa"/>
            <w:shd w:val="clear" w:color="auto" w:fill="auto"/>
            <w:vAlign w:val="center"/>
          </w:tcPr>
          <w:p w14:paraId="4644B95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客</w:t>
            </w:r>
            <w:r>
              <w:rPr>
                <w:rFonts w:hint="eastAsia" w:ascii="宋体" w:hAnsi="宋体" w:eastAsia="宋体" w:cs="宋体"/>
                <w:color w:val="auto"/>
                <w:sz w:val="21"/>
                <w:szCs w:val="21"/>
                <w:highlight w:val="none"/>
              </w:rPr>
              <w:t>观分】</w:t>
            </w:r>
          </w:p>
          <w:p w14:paraId="7599D5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拟派</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服务人员（除</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负责人</w:t>
            </w:r>
            <w:r>
              <w:rPr>
                <w:rFonts w:hint="eastAsia" w:ascii="宋体" w:hAnsi="宋体" w:eastAsia="宋体" w:cs="宋体"/>
                <w:color w:val="auto"/>
                <w:sz w:val="21"/>
                <w:szCs w:val="21"/>
                <w:lang w:val="en-US" w:eastAsia="zh-CN"/>
              </w:rPr>
              <w:t>外</w:t>
            </w:r>
            <w:r>
              <w:rPr>
                <w:rFonts w:hint="eastAsia" w:ascii="宋体" w:hAnsi="宋体" w:eastAsia="宋体" w:cs="宋体"/>
                <w:color w:val="auto"/>
                <w:sz w:val="21"/>
                <w:szCs w:val="21"/>
              </w:rPr>
              <w:t>）自202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年1月1日以来（以合同签订时间为准）参与同类建筑工程总承包项目全过程造价咨询（含全过程审计），每位人员得1分，最高得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4250E53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以提供的合同扫描件为准。委托合同中不能反映审计服务人员姓名的，还需投标单位提供证明并盖公章，该证明必须含：项目名称、委托人名称、受托人名称、委托内容、审计服务人员姓名，要素信息不全的不计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若合同与上述投标人业绩的合同重复，不计分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pacing w:val="-6"/>
                <w:kern w:val="2"/>
                <w:sz w:val="21"/>
                <w:szCs w:val="21"/>
                <w:highlight w:val="none"/>
                <w:lang w:val="en-US" w:eastAsia="zh-CN" w:bidi="ar"/>
              </w:rPr>
              <w:t>1份证明材料体现多人信息的按人数得分，未提供相关材料的不得分。</w:t>
            </w:r>
            <w:r>
              <w:rPr>
                <w:rFonts w:hint="eastAsia" w:ascii="宋体" w:hAnsi="宋体" w:eastAsia="宋体" w:cs="宋体"/>
                <w:b/>
                <w:bCs/>
                <w:color w:val="auto"/>
                <w:sz w:val="21"/>
                <w:szCs w:val="21"/>
              </w:rPr>
              <w:t>）</w:t>
            </w:r>
          </w:p>
        </w:tc>
      </w:tr>
      <w:tr w14:paraId="62FF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shd w:val="clear" w:color="auto" w:fill="auto"/>
            <w:vAlign w:val="center"/>
          </w:tcPr>
          <w:p w14:paraId="12A232A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7C99AD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754AF34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3D48A08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lang w:val="en-US"/>
              </w:rPr>
            </w:pPr>
            <w:r>
              <w:rPr>
                <w:rFonts w:hint="eastAsia" w:ascii="宋体" w:hAnsi="宋体" w:eastAsia="宋体" w:cs="宋体"/>
                <w:color w:val="auto"/>
                <w:sz w:val="21"/>
                <w:szCs w:val="21"/>
                <w:highlight w:val="none"/>
                <w:lang w:val="en-US" w:eastAsia="zh-CN"/>
              </w:rPr>
              <w:t>人员保障措施：针对本项目拟投入人员廉洁建设、到位率及相关服务的保证方案，要求各岗位人员均不得违法廉洁承诺，能及时响应采购人需求，具备明确的服务标准，有利于本项目合同履约。（评分范围：3,2,1,0）</w:t>
            </w:r>
          </w:p>
        </w:tc>
      </w:tr>
    </w:tbl>
    <w:p w14:paraId="7181E07D">
      <w:pPr>
        <w:adjustRightInd w:val="0"/>
        <w:snapToGrid w:val="0"/>
        <w:spacing w:line="288" w:lineRule="auto"/>
        <w:rPr>
          <w:sz w:val="21"/>
          <w:szCs w:val="21"/>
        </w:rPr>
      </w:pPr>
      <w:r>
        <w:rPr>
          <w:rFonts w:hint="eastAsia"/>
          <w:sz w:val="21"/>
          <w:szCs w:val="21"/>
        </w:rPr>
        <w:br w:type="page"/>
      </w:r>
    </w:p>
    <w:p w14:paraId="1AC747CA">
      <w:pPr>
        <w:adjustRightInd w:val="0"/>
        <w:snapToGrid w:val="0"/>
        <w:spacing w:line="288" w:lineRule="auto"/>
        <w:jc w:val="center"/>
        <w:outlineLvl w:val="0"/>
        <w:rPr>
          <w:b/>
          <w:bCs/>
          <w:sz w:val="32"/>
          <w:szCs w:val="32"/>
        </w:rPr>
      </w:pPr>
      <w:r>
        <w:rPr>
          <w:rFonts w:hint="eastAsia"/>
          <w:b/>
          <w:bCs/>
          <w:sz w:val="32"/>
          <w:szCs w:val="32"/>
        </w:rPr>
        <w:t>第五章  拟签订的合同文本</w:t>
      </w:r>
    </w:p>
    <w:p w14:paraId="65BAFEDC">
      <w:pPr>
        <w:adjustRightInd w:val="0"/>
        <w:snapToGrid w:val="0"/>
        <w:spacing w:line="288" w:lineRule="auto"/>
        <w:jc w:val="center"/>
        <w:rPr>
          <w:b/>
          <w:bCs/>
          <w:sz w:val="21"/>
          <w:szCs w:val="21"/>
        </w:rPr>
      </w:pPr>
      <w:r>
        <w:rPr>
          <w:rFonts w:hint="eastAsia"/>
          <w:b/>
          <w:spacing w:val="-6"/>
          <w:sz w:val="21"/>
          <w:szCs w:val="21"/>
          <w:lang w:eastAsia="zh-CN"/>
        </w:rPr>
        <w:t>浙江科技大学</w:t>
      </w:r>
      <w:r>
        <w:rPr>
          <w:rFonts w:hint="eastAsia"/>
          <w:b/>
          <w:spacing w:val="-6"/>
          <w:sz w:val="21"/>
          <w:szCs w:val="21"/>
        </w:rPr>
        <w:t xml:space="preserve"> 政府采购合同</w:t>
      </w:r>
    </w:p>
    <w:p w14:paraId="56E4BA12">
      <w:pPr>
        <w:jc w:val="center"/>
        <w:rPr>
          <w:rFonts w:hint="eastAsia" w:ascii="宋体" w:hAnsi="宋体"/>
          <w:b/>
          <w:bCs/>
          <w:sz w:val="21"/>
          <w:szCs w:val="21"/>
        </w:rPr>
      </w:pPr>
    </w:p>
    <w:p w14:paraId="659D3E2A">
      <w:pPr>
        <w:jc w:val="center"/>
        <w:rPr>
          <w:rFonts w:ascii="宋体" w:hAnsi="宋体"/>
          <w:b/>
          <w:bCs/>
          <w:sz w:val="21"/>
          <w:szCs w:val="21"/>
        </w:rPr>
      </w:pPr>
      <w:r>
        <w:rPr>
          <w:rFonts w:hint="eastAsia" w:ascii="宋体" w:hAnsi="宋体"/>
          <w:b/>
          <w:bCs/>
          <w:sz w:val="21"/>
          <w:szCs w:val="21"/>
        </w:rPr>
        <w:t>第一部分　协议书</w:t>
      </w:r>
    </w:p>
    <w:p w14:paraId="65C0CEF1">
      <w:pPr>
        <w:adjustRightInd w:val="0"/>
        <w:snapToGrid w:val="0"/>
        <w:spacing w:line="288" w:lineRule="auto"/>
        <w:rPr>
          <w:sz w:val="21"/>
          <w:szCs w:val="21"/>
        </w:rPr>
      </w:pPr>
    </w:p>
    <w:p w14:paraId="56599D2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sz w:val="21"/>
          <w:szCs w:val="21"/>
          <w:u w:val="single"/>
          <w:lang w:eastAsia="zh-CN"/>
        </w:rPr>
      </w:pPr>
      <w:r>
        <w:rPr>
          <w:rFonts w:hint="eastAsia" w:ascii="宋体" w:hAnsi="宋体" w:eastAsia="宋体" w:cs="宋体"/>
          <w:bCs/>
          <w:sz w:val="21"/>
          <w:szCs w:val="21"/>
        </w:rPr>
        <w:t>委托人（全称）：</w:t>
      </w:r>
      <w:r>
        <w:rPr>
          <w:rFonts w:hint="eastAsia" w:ascii="宋体" w:hAnsi="宋体" w:cs="宋体"/>
          <w:bCs/>
          <w:sz w:val="21"/>
          <w:szCs w:val="21"/>
          <w:u w:val="single"/>
          <w:lang w:eastAsia="zh-CN"/>
        </w:rPr>
        <w:t>浙江科技大学</w:t>
      </w:r>
    </w:p>
    <w:p w14:paraId="30B7E24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sz w:val="21"/>
          <w:szCs w:val="21"/>
          <w:u w:val="single"/>
        </w:rPr>
      </w:pPr>
      <w:r>
        <w:rPr>
          <w:rFonts w:hint="eastAsia" w:ascii="宋体" w:hAnsi="宋体" w:eastAsia="宋体" w:cs="宋体"/>
          <w:bCs/>
          <w:sz w:val="21"/>
          <w:szCs w:val="21"/>
        </w:rPr>
        <w:t>咨询人（全称）：</w:t>
      </w:r>
      <w:r>
        <w:rPr>
          <w:rFonts w:hint="eastAsia" w:ascii="宋体" w:hAnsi="宋体" w:eastAsia="宋体" w:cs="宋体"/>
          <w:bCs/>
          <w:sz w:val="21"/>
          <w:szCs w:val="21"/>
          <w:u w:val="single"/>
        </w:rPr>
        <w:t xml:space="preserve">                      </w:t>
      </w:r>
    </w:p>
    <w:p w14:paraId="4513445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根据《中华人民共和国民法典》及其他有关法律、法规，遵循平等、自愿、公平和诚实信用的原则，双方就下述建设工程委托造价咨询与其他服务事项协商一致，订立本合同。</w:t>
      </w:r>
    </w:p>
    <w:p w14:paraId="078DCCCE">
      <w:pPr>
        <w:adjustRightInd w:val="0"/>
        <w:snapToGrid w:val="0"/>
        <w:spacing w:line="288" w:lineRule="auto"/>
        <w:rPr>
          <w:rFonts w:hint="eastAsia"/>
          <w:b/>
          <w:spacing w:val="-6"/>
          <w:sz w:val="21"/>
          <w:szCs w:val="21"/>
          <w:highlight w:val="none"/>
        </w:rPr>
      </w:pPr>
    </w:p>
    <w:p w14:paraId="1C0302A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bookmarkStart w:id="50" w:name="_Toc422322471"/>
      <w:bookmarkStart w:id="51" w:name="_Toc419045056"/>
      <w:r>
        <w:rPr>
          <w:rFonts w:hint="eastAsia" w:ascii="宋体" w:hAnsi="宋体" w:eastAsia="宋体" w:cs="宋体"/>
          <w:b/>
          <w:bCs/>
          <w:sz w:val="21"/>
          <w:szCs w:val="21"/>
        </w:rPr>
        <w:t>一、工程概况</w:t>
      </w:r>
      <w:bookmarkEnd w:id="50"/>
    </w:p>
    <w:p w14:paraId="3A898EA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1.工程名称：</w:t>
      </w:r>
      <w:r>
        <w:rPr>
          <w:rFonts w:hint="eastAsia" w:ascii="宋体" w:hAnsi="宋体" w:eastAsia="宋体" w:cs="宋体"/>
          <w:sz w:val="21"/>
          <w:szCs w:val="21"/>
          <w:u w:val="single"/>
        </w:rPr>
        <w:t>数字化技术与智能制造产教融合实训基地（中德科创中心）EPC项目全过程跟踪审计</w:t>
      </w:r>
    </w:p>
    <w:bookmarkEnd w:id="51"/>
    <w:p w14:paraId="38C6646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bookmarkStart w:id="52" w:name="_Toc419045059"/>
      <w:bookmarkStart w:id="53" w:name="_Toc422322472"/>
      <w:r>
        <w:rPr>
          <w:rFonts w:hint="eastAsia" w:ascii="宋体" w:hAnsi="宋体" w:eastAsia="宋体" w:cs="宋体"/>
          <w:sz w:val="21"/>
          <w:szCs w:val="21"/>
        </w:rPr>
        <w:t>2.工程地点：</w:t>
      </w:r>
      <w:r>
        <w:rPr>
          <w:rFonts w:hint="eastAsia" w:ascii="宋体" w:hAnsi="宋体" w:eastAsia="宋体" w:cs="宋体"/>
          <w:sz w:val="21"/>
          <w:szCs w:val="21"/>
          <w:u w:val="single"/>
        </w:rPr>
        <w:t>杭州市留和路318号</w:t>
      </w:r>
      <w:r>
        <w:rPr>
          <w:rFonts w:hint="eastAsia" w:ascii="宋体" w:hAnsi="宋体" w:eastAsia="宋体" w:cs="宋体"/>
          <w:sz w:val="21"/>
          <w:szCs w:val="21"/>
          <w:u w:val="single"/>
          <w:lang w:eastAsia="zh-CN"/>
        </w:rPr>
        <w:t>浙江科技</w:t>
      </w:r>
      <w:r>
        <w:rPr>
          <w:rFonts w:hint="eastAsia" w:ascii="宋体" w:hAnsi="宋体" w:eastAsia="宋体" w:cs="宋体"/>
          <w:sz w:val="21"/>
          <w:szCs w:val="21"/>
          <w:u w:val="single"/>
          <w:lang w:val="en-US" w:eastAsia="zh-CN"/>
        </w:rPr>
        <w:t>大</w:t>
      </w:r>
      <w:r>
        <w:rPr>
          <w:rFonts w:hint="eastAsia" w:ascii="宋体" w:hAnsi="宋体" w:eastAsia="宋体" w:cs="宋体"/>
          <w:sz w:val="21"/>
          <w:szCs w:val="21"/>
          <w:u w:val="single"/>
          <w:lang w:eastAsia="zh-CN"/>
        </w:rPr>
        <w:t>学</w:t>
      </w:r>
      <w:r>
        <w:rPr>
          <w:rFonts w:hint="eastAsia" w:ascii="宋体" w:hAnsi="宋体" w:eastAsia="宋体" w:cs="宋体"/>
          <w:sz w:val="21"/>
          <w:szCs w:val="21"/>
          <w:u w:val="single"/>
        </w:rPr>
        <w:t>内</w:t>
      </w:r>
    </w:p>
    <w:p w14:paraId="76D6BB7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3.工程规模：</w:t>
      </w:r>
      <w:r>
        <w:rPr>
          <w:rFonts w:hint="eastAsia" w:ascii="宋体" w:hAnsi="宋体" w:eastAsia="宋体" w:cs="宋体"/>
          <w:sz w:val="21"/>
          <w:szCs w:val="21"/>
          <w:u w:val="single"/>
        </w:rPr>
        <w:t xml:space="preserve"> 项目新建一幢实训楼，总建筑面积28367平方米，其中地上建筑面积22467平方米，为实验实训用房，地下面积 5900 平方米，为地下车库、人防工程及设备用房</w:t>
      </w:r>
    </w:p>
    <w:p w14:paraId="1E708DA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4.施工合同金额：</w:t>
      </w:r>
      <w:r>
        <w:rPr>
          <w:rFonts w:hint="eastAsia" w:ascii="宋体" w:hAnsi="宋体" w:eastAsia="宋体" w:cs="宋体"/>
          <w:sz w:val="21"/>
          <w:szCs w:val="21"/>
          <w:u w:val="single"/>
        </w:rPr>
        <w:t xml:space="preserve"> 工程概算22024.58万元，其中建安工程造价14695.31万元</w:t>
      </w:r>
    </w:p>
    <w:p w14:paraId="53D44B8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5.资金来源：</w:t>
      </w:r>
      <w:r>
        <w:rPr>
          <w:rFonts w:hint="eastAsia" w:ascii="宋体" w:hAnsi="宋体" w:eastAsia="宋体" w:cs="宋体"/>
          <w:sz w:val="21"/>
          <w:szCs w:val="21"/>
          <w:u w:val="single"/>
          <w:lang w:val="en-US" w:eastAsia="zh-CN"/>
        </w:rPr>
        <w:t xml:space="preserve">          </w:t>
      </w:r>
    </w:p>
    <w:p w14:paraId="1AFF021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6.建设工期或周期：</w:t>
      </w:r>
      <w:r>
        <w:rPr>
          <w:rFonts w:hint="eastAsia" w:ascii="宋体" w:hAnsi="宋体" w:eastAsia="宋体" w:cs="宋体"/>
          <w:sz w:val="21"/>
          <w:szCs w:val="21"/>
          <w:u w:val="single"/>
        </w:rPr>
        <w:t xml:space="preserve"> 810日历天（其中：施工750日历天，设计60日历天）</w:t>
      </w:r>
    </w:p>
    <w:bookmarkEnd w:id="52"/>
    <w:bookmarkEnd w:id="53"/>
    <w:p w14:paraId="6B32D85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bookmarkStart w:id="54" w:name="_Toc419045058"/>
      <w:bookmarkStart w:id="55" w:name="_Toc422322476"/>
      <w:bookmarkStart w:id="56" w:name="12"/>
      <w:r>
        <w:rPr>
          <w:rFonts w:hint="eastAsia" w:ascii="宋体" w:hAnsi="宋体" w:eastAsia="宋体" w:cs="宋体"/>
          <w:sz w:val="21"/>
          <w:szCs w:val="21"/>
        </w:rPr>
        <w:t>7.其他：</w:t>
      </w:r>
      <w:r>
        <w:rPr>
          <w:rFonts w:hint="eastAsia" w:ascii="宋体" w:hAnsi="宋体" w:eastAsia="宋体" w:cs="宋体"/>
          <w:sz w:val="21"/>
          <w:szCs w:val="21"/>
          <w:u w:val="single"/>
        </w:rPr>
        <w:t xml:space="preserve"> /</w:t>
      </w:r>
    </w:p>
    <w:p w14:paraId="38C0B62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二、服务范围及工作内容</w:t>
      </w:r>
    </w:p>
    <w:p w14:paraId="5866B1C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bookmarkStart w:id="57" w:name="_Toc419045060"/>
      <w:bookmarkStart w:id="58" w:name="9"/>
      <w:r>
        <w:rPr>
          <w:rFonts w:hint="eastAsia" w:ascii="宋体" w:hAnsi="宋体" w:eastAsia="宋体" w:cs="宋体"/>
          <w:sz w:val="21"/>
          <w:szCs w:val="21"/>
        </w:rPr>
        <w:t>双方约定的服务范围及工作内容：</w:t>
      </w:r>
      <w:r>
        <w:rPr>
          <w:rFonts w:hint="eastAsia" w:ascii="宋体" w:hAnsi="宋体" w:eastAsia="宋体" w:cs="宋体"/>
          <w:sz w:val="21"/>
          <w:szCs w:val="21"/>
          <w:u w:val="single"/>
        </w:rPr>
        <w:t>详见“附录 A 服务范围及工作内容”</w:t>
      </w:r>
      <w:r>
        <w:rPr>
          <w:rFonts w:hint="eastAsia" w:ascii="宋体" w:hAnsi="宋体" w:eastAsia="宋体" w:cs="宋体"/>
          <w:sz w:val="21"/>
          <w:szCs w:val="21"/>
        </w:rPr>
        <w:t>。</w:t>
      </w:r>
    </w:p>
    <w:p w14:paraId="29185F5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服务范围及工作内容详见附录 A。</w:t>
      </w:r>
    </w:p>
    <w:p w14:paraId="3CD0689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highlight w:val="none"/>
        </w:rPr>
      </w:pPr>
      <w:bookmarkStart w:id="59" w:name="_Toc422322473"/>
      <w:r>
        <w:rPr>
          <w:rFonts w:hint="eastAsia" w:ascii="宋体" w:hAnsi="宋体" w:eastAsia="宋体" w:cs="宋体"/>
          <w:b/>
          <w:bCs/>
          <w:sz w:val="21"/>
          <w:szCs w:val="21"/>
        </w:rPr>
        <w:t>三、服务期</w:t>
      </w:r>
      <w:r>
        <w:rPr>
          <w:rFonts w:hint="eastAsia" w:ascii="宋体" w:hAnsi="宋体" w:eastAsia="宋体" w:cs="宋体"/>
          <w:b/>
          <w:bCs/>
          <w:sz w:val="21"/>
          <w:szCs w:val="21"/>
          <w:highlight w:val="none"/>
        </w:rPr>
        <w:t>限</w:t>
      </w:r>
      <w:bookmarkEnd w:id="57"/>
      <w:bookmarkEnd w:id="59"/>
    </w:p>
    <w:p w14:paraId="02B368E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本合同约定的建设咨询服务自____年_____月____</w:t>
      </w:r>
      <w:r>
        <w:rPr>
          <w:rFonts w:hint="eastAsia" w:ascii="宋体" w:hAnsi="宋体" w:eastAsia="宋体" w:cs="宋体"/>
          <w:sz w:val="21"/>
          <w:szCs w:val="21"/>
        </w:rPr>
        <w:t>__日开始实施，至____年  _月_日终结。</w:t>
      </w:r>
      <w:bookmarkEnd w:id="58"/>
    </w:p>
    <w:p w14:paraId="5313C7C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bookmarkStart w:id="60" w:name="_Toc419045061"/>
      <w:bookmarkStart w:id="61" w:name="_Toc422322474"/>
      <w:r>
        <w:rPr>
          <w:rFonts w:hint="eastAsia" w:ascii="宋体" w:hAnsi="宋体" w:eastAsia="宋体" w:cs="宋体"/>
          <w:b/>
          <w:bCs/>
          <w:sz w:val="21"/>
          <w:szCs w:val="21"/>
        </w:rPr>
        <w:t>四、质量标准</w:t>
      </w:r>
      <w:bookmarkEnd w:id="60"/>
      <w:bookmarkEnd w:id="61"/>
    </w:p>
    <w:p w14:paraId="0342382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bookmarkStart w:id="62" w:name="_Toc419045062"/>
      <w:bookmarkStart w:id="63" w:name="_Toc422322475"/>
      <w:r>
        <w:rPr>
          <w:rFonts w:hint="eastAsia" w:ascii="宋体" w:hAnsi="宋体" w:eastAsia="宋体" w:cs="宋体"/>
          <w:sz w:val="21"/>
          <w:szCs w:val="21"/>
        </w:rPr>
        <w:t>工程造价咨询成果文件应符合：</w:t>
      </w:r>
      <w:r>
        <w:rPr>
          <w:rFonts w:hint="eastAsia" w:ascii="宋体" w:hAnsi="宋体" w:eastAsia="宋体" w:cs="宋体"/>
          <w:sz w:val="21"/>
          <w:szCs w:val="21"/>
          <w:u w:val="single"/>
        </w:rPr>
        <w:t>建设工程造价咨询成果文件质量标准</w:t>
      </w:r>
      <w:r>
        <w:rPr>
          <w:rFonts w:hint="eastAsia" w:ascii="宋体" w:hAnsi="宋体" w:eastAsia="宋体" w:cs="宋体"/>
          <w:sz w:val="21"/>
          <w:szCs w:val="21"/>
        </w:rPr>
        <w:t>。</w:t>
      </w:r>
    </w:p>
    <w:p w14:paraId="72C7217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五、酬金或计取方式</w:t>
      </w:r>
      <w:bookmarkEnd w:id="62"/>
      <w:bookmarkEnd w:id="63"/>
    </w:p>
    <w:p w14:paraId="5A6F254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本合同价：本合同价为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元整）。</w:t>
      </w:r>
    </w:p>
    <w:p w14:paraId="427E67B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合同形式：固定总价，投标报价一次性包干，不做调整。</w:t>
      </w:r>
    </w:p>
    <w:p w14:paraId="72AD1C4A">
      <w:pPr>
        <w:keepNext w:val="0"/>
        <w:keepLines w:val="0"/>
        <w:pageBreakBefore w:val="0"/>
        <w:widowControl w:val="0"/>
        <w:kinsoku/>
        <w:wordWrap/>
        <w:overflowPunct/>
        <w:topLinePunct w:val="0"/>
        <w:autoSpaceDE/>
        <w:autoSpaceDN/>
        <w:bidi w:val="0"/>
        <w:adjustRightInd/>
        <w:snapToGrid/>
        <w:spacing w:line="288" w:lineRule="auto"/>
        <w:ind w:left="422" w:hanging="422" w:hanging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rPr>
        <w:t>六、合同文件的构成</w:t>
      </w:r>
      <w:r>
        <w:rPr>
          <w:rFonts w:hint="eastAsia" w:ascii="宋体" w:hAnsi="宋体" w:eastAsia="宋体" w:cs="宋体"/>
          <w:sz w:val="21"/>
          <w:szCs w:val="21"/>
        </w:rPr>
        <w:br w:type="textWrapping"/>
      </w:r>
      <w:r>
        <w:rPr>
          <w:rFonts w:hint="eastAsia" w:ascii="宋体" w:hAnsi="宋体" w:eastAsia="宋体" w:cs="宋体"/>
          <w:sz w:val="21"/>
          <w:szCs w:val="21"/>
        </w:rPr>
        <w:t>本协议书与下列文件一起构成合同文件</w:t>
      </w:r>
      <w:r>
        <w:rPr>
          <w:rFonts w:hint="eastAsia" w:ascii="宋体" w:hAnsi="宋体" w:eastAsia="宋体" w:cs="宋体"/>
          <w:sz w:val="21"/>
          <w:szCs w:val="21"/>
          <w:lang w:eastAsia="zh-CN"/>
        </w:rPr>
        <w:t>：</w:t>
      </w:r>
    </w:p>
    <w:p w14:paraId="4F108E0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1.中标通知书或委托书；</w:t>
      </w:r>
    </w:p>
    <w:bookmarkEnd w:id="54"/>
    <w:bookmarkEnd w:id="55"/>
    <w:p w14:paraId="7ABD879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2.投标函及投标函附录或造价咨询服务建议书（如果有）；</w:t>
      </w:r>
    </w:p>
    <w:p w14:paraId="5408931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3.专用条件及附录；</w:t>
      </w:r>
    </w:p>
    <w:p w14:paraId="67FE9E8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4.通用条件；</w:t>
      </w:r>
    </w:p>
    <w:p w14:paraId="2E15B44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5.其他合同文件。</w:t>
      </w:r>
    </w:p>
    <w:p w14:paraId="11B304C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上述各项合同文件包括合同当事人就该项合同文件所作出的补充和修改，属于同一类内容的文件，应以最新签署的为准。</w:t>
      </w:r>
    </w:p>
    <w:p w14:paraId="1BCC1EF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在合同订立及履行过程中形成的与合同有关的文件（包括补充协议）均构成合同文件的组成部分。</w:t>
      </w:r>
    </w:p>
    <w:p w14:paraId="00CCB23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bookmarkStart w:id="64" w:name="_Toc419045057"/>
      <w:bookmarkStart w:id="65" w:name="_Toc422322477"/>
      <w:r>
        <w:rPr>
          <w:rFonts w:hint="eastAsia" w:ascii="宋体" w:hAnsi="宋体" w:eastAsia="宋体" w:cs="宋体"/>
          <w:b/>
          <w:bCs/>
          <w:sz w:val="21"/>
          <w:szCs w:val="21"/>
        </w:rPr>
        <w:t>七、</w:t>
      </w:r>
      <w:bookmarkStart w:id="66" w:name="8"/>
      <w:r>
        <w:rPr>
          <w:rFonts w:hint="eastAsia" w:ascii="宋体" w:hAnsi="宋体" w:eastAsia="宋体" w:cs="宋体"/>
          <w:b/>
          <w:bCs/>
          <w:sz w:val="21"/>
          <w:szCs w:val="21"/>
        </w:rPr>
        <w:t>词语</w:t>
      </w:r>
      <w:bookmarkEnd w:id="64"/>
      <w:r>
        <w:rPr>
          <w:rFonts w:hint="eastAsia" w:ascii="宋体" w:hAnsi="宋体" w:eastAsia="宋体" w:cs="宋体"/>
          <w:b/>
          <w:bCs/>
          <w:sz w:val="21"/>
          <w:szCs w:val="21"/>
        </w:rPr>
        <w:t>定义</w:t>
      </w:r>
      <w:bookmarkEnd w:id="65"/>
    </w:p>
    <w:p w14:paraId="47DCA7B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协议书中相关词语的含义与通用条件中的定义与解释相同。</w:t>
      </w:r>
      <w:bookmarkEnd w:id="66"/>
    </w:p>
    <w:p w14:paraId="771AEDD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bookmarkStart w:id="67" w:name="_Toc422322478"/>
      <w:bookmarkStart w:id="68" w:name="_Toc419045063"/>
      <w:r>
        <w:rPr>
          <w:rFonts w:hint="eastAsia" w:ascii="宋体" w:hAnsi="宋体" w:eastAsia="宋体" w:cs="宋体"/>
          <w:b/>
          <w:bCs/>
          <w:sz w:val="21"/>
          <w:szCs w:val="21"/>
        </w:rPr>
        <w:t>八、合同订立</w:t>
      </w:r>
      <w:bookmarkEnd w:id="67"/>
      <w:bookmarkEnd w:id="68"/>
    </w:p>
    <w:p w14:paraId="5F2479D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1.订立时间：_______年___   月_______日</w:t>
      </w:r>
    </w:p>
    <w:p w14:paraId="1564559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2.订立地点：</w:t>
      </w:r>
      <w:r>
        <w:rPr>
          <w:rFonts w:hint="eastAsia" w:ascii="宋体" w:hAnsi="宋体" w:eastAsia="宋体" w:cs="宋体"/>
          <w:sz w:val="21"/>
          <w:szCs w:val="21"/>
          <w:u w:val="single"/>
          <w:lang w:val="en-US" w:eastAsia="zh-CN"/>
        </w:rPr>
        <w:t xml:space="preserve">           </w:t>
      </w:r>
    </w:p>
    <w:p w14:paraId="4533C20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bookmarkStart w:id="69" w:name="_Toc419045064"/>
      <w:bookmarkStart w:id="70" w:name="_Toc422322479"/>
      <w:r>
        <w:rPr>
          <w:rFonts w:hint="eastAsia" w:ascii="宋体" w:hAnsi="宋体" w:eastAsia="宋体" w:cs="宋体"/>
          <w:b/>
          <w:bCs/>
          <w:sz w:val="21"/>
          <w:szCs w:val="21"/>
        </w:rPr>
        <w:t>九、合同生效</w:t>
      </w:r>
      <w:bookmarkEnd w:id="69"/>
      <w:bookmarkEnd w:id="70"/>
    </w:p>
    <w:p w14:paraId="6DA6F69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本合同自</w:t>
      </w:r>
      <w:r>
        <w:rPr>
          <w:rFonts w:hint="eastAsia" w:ascii="宋体" w:hAnsi="宋体" w:eastAsia="宋体" w:cs="宋体"/>
          <w:sz w:val="21"/>
          <w:szCs w:val="21"/>
          <w:lang w:val="en-US" w:eastAsia="zh-CN"/>
        </w:rPr>
        <w:t>甲、乙</w:t>
      </w:r>
      <w:r>
        <w:rPr>
          <w:rFonts w:hint="eastAsia" w:ascii="宋体" w:hAnsi="宋体" w:eastAsia="宋体" w:cs="宋体"/>
          <w:sz w:val="21"/>
          <w:szCs w:val="21"/>
        </w:rPr>
        <w:t>双方签字盖章之日起生效。</w:t>
      </w:r>
    </w:p>
    <w:p w14:paraId="394E97E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bookmarkStart w:id="71" w:name="_Toc422322480"/>
      <w:bookmarkStart w:id="72" w:name="_Toc419045065"/>
      <w:r>
        <w:rPr>
          <w:rFonts w:hint="eastAsia" w:ascii="宋体" w:hAnsi="宋体" w:eastAsia="宋体" w:cs="宋体"/>
          <w:b/>
          <w:bCs/>
          <w:sz w:val="21"/>
          <w:szCs w:val="21"/>
        </w:rPr>
        <w:t>十、合同份数</w:t>
      </w:r>
      <w:bookmarkEnd w:id="71"/>
      <w:bookmarkEnd w:id="72"/>
    </w:p>
    <w:p w14:paraId="1725865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 w:val="21"/>
          <w:szCs w:val="21"/>
        </w:rPr>
      </w:pPr>
      <w:r>
        <w:rPr>
          <w:rFonts w:hint="eastAsia" w:ascii="宋体" w:hAnsi="宋体" w:eastAsia="宋体" w:cs="宋体"/>
          <w:sz w:val="21"/>
          <w:szCs w:val="21"/>
        </w:rPr>
        <w:t>本合同一式____份，具有同等法律效力，其中委托人执____份，咨询人执_____份。</w:t>
      </w:r>
    </w:p>
    <w:p w14:paraId="5A50612C">
      <w:pPr>
        <w:pStyle w:val="7"/>
        <w:keepNext w:val="0"/>
        <w:keepLines w:val="0"/>
        <w:pageBreakBefore w:val="0"/>
        <w:widowControl w:val="0"/>
        <w:tabs>
          <w:tab w:val="left" w:pos="3384"/>
          <w:tab w:val="left" w:pos="5179"/>
          <w:tab w:val="left" w:pos="7723"/>
        </w:tabs>
        <w:kinsoku/>
        <w:wordWrap/>
        <w:overflowPunct/>
        <w:topLinePunct w:val="0"/>
        <w:autoSpaceDE w:val="0"/>
        <w:autoSpaceDN w:val="0"/>
        <w:bidi w:val="0"/>
        <w:adjustRightInd w:val="0"/>
        <w:snapToGrid/>
        <w:spacing w:line="360" w:lineRule="auto"/>
        <w:ind w:left="862" w:right="417"/>
        <w:textAlignment w:val="auto"/>
        <w:rPr>
          <w:rFonts w:hint="eastAsia" w:ascii="宋体" w:hAnsi="宋体" w:eastAsia="宋体" w:cs="宋体"/>
          <w:sz w:val="21"/>
          <w:szCs w:val="21"/>
        </w:rPr>
      </w:pPr>
    </w:p>
    <w:p w14:paraId="0F108C6D">
      <w:pPr>
        <w:pStyle w:val="7"/>
        <w:keepNext w:val="0"/>
        <w:keepLines w:val="0"/>
        <w:pageBreakBefore w:val="0"/>
        <w:widowControl w:val="0"/>
        <w:tabs>
          <w:tab w:val="left" w:pos="3384"/>
          <w:tab w:val="left" w:pos="5179"/>
          <w:tab w:val="left" w:pos="7723"/>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pacing w:val="-16"/>
          <w:sz w:val="21"/>
          <w:szCs w:val="21"/>
        </w:rPr>
      </w:pPr>
      <w:r>
        <w:rPr>
          <w:rFonts w:hint="eastAsia" w:ascii="宋体" w:hAnsi="宋体" w:eastAsia="宋体" w:cs="宋体"/>
          <w:sz w:val="21"/>
          <w:szCs w:val="21"/>
        </w:rPr>
        <w:t>委 托</w:t>
      </w:r>
      <w:r>
        <w:rPr>
          <w:rFonts w:hint="eastAsia" w:ascii="宋体" w:hAnsi="宋体" w:eastAsia="宋体" w:cs="宋体"/>
          <w:spacing w:val="3"/>
          <w:sz w:val="21"/>
          <w:szCs w:val="21"/>
        </w:rPr>
        <w:t xml:space="preserve"> </w:t>
      </w:r>
      <w:r>
        <w:rPr>
          <w:rFonts w:hint="eastAsia" w:ascii="宋体" w:hAnsi="宋体" w:eastAsia="宋体" w:cs="宋体"/>
          <w:sz w:val="21"/>
          <w:szCs w:val="21"/>
        </w:rPr>
        <w:t>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（盖章）</w:t>
      </w:r>
      <w:r>
        <w:rPr>
          <w:rFonts w:hint="eastAsia" w:ascii="宋体" w:hAnsi="宋体" w:eastAsia="宋体" w:cs="宋体"/>
          <w:sz w:val="21"/>
          <w:szCs w:val="21"/>
        </w:rPr>
        <w:tab/>
      </w:r>
      <w:r>
        <w:rPr>
          <w:rFonts w:hint="eastAsia" w:ascii="宋体" w:hAnsi="宋体" w:eastAsia="宋体" w:cs="宋体"/>
          <w:sz w:val="21"/>
          <w:szCs w:val="21"/>
        </w:rPr>
        <w:t>咨 询</w:t>
      </w:r>
      <w:r>
        <w:rPr>
          <w:rFonts w:hint="eastAsia" w:ascii="宋体" w:hAnsi="宋体" w:eastAsia="宋体" w:cs="宋体"/>
          <w:spacing w:val="3"/>
          <w:sz w:val="21"/>
          <w:szCs w:val="21"/>
        </w:rPr>
        <w:t xml:space="preserve"> </w:t>
      </w:r>
      <w:r>
        <w:rPr>
          <w:rFonts w:hint="eastAsia" w:ascii="宋体" w:hAnsi="宋体" w:eastAsia="宋体" w:cs="宋体"/>
          <w:sz w:val="21"/>
          <w:szCs w:val="21"/>
        </w:rPr>
        <w:t>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（盖章</w:t>
      </w:r>
      <w:r>
        <w:rPr>
          <w:rFonts w:hint="eastAsia" w:ascii="宋体" w:hAnsi="宋体" w:eastAsia="宋体" w:cs="宋体"/>
          <w:spacing w:val="-16"/>
          <w:sz w:val="21"/>
          <w:szCs w:val="21"/>
        </w:rPr>
        <w:t xml:space="preserve">） </w:t>
      </w:r>
    </w:p>
    <w:p w14:paraId="333056C1">
      <w:pPr>
        <w:pStyle w:val="7"/>
        <w:keepNext w:val="0"/>
        <w:keepLines w:val="0"/>
        <w:pageBreakBefore w:val="0"/>
        <w:widowControl w:val="0"/>
        <w:tabs>
          <w:tab w:val="left" w:pos="3384"/>
          <w:tab w:val="left" w:pos="5179"/>
          <w:tab w:val="left" w:pos="7723"/>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法定代表人或其授权的</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法定代表人或其授权的</w:t>
      </w:r>
    </w:p>
    <w:p w14:paraId="62401FB5">
      <w:pPr>
        <w:pStyle w:val="7"/>
        <w:keepNext w:val="0"/>
        <w:keepLines w:val="0"/>
        <w:pageBreakBefore w:val="0"/>
        <w:widowControl w:val="0"/>
        <w:tabs>
          <w:tab w:val="left" w:pos="3216"/>
          <w:tab w:val="left" w:pos="5172"/>
          <w:tab w:val="left" w:pos="752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pacing w:val="-13"/>
          <w:sz w:val="21"/>
          <w:szCs w:val="21"/>
        </w:rPr>
      </w:pPr>
      <w:r>
        <w:rPr>
          <w:rFonts w:hint="eastAsia" w:ascii="宋体" w:hAnsi="宋体" w:eastAsia="宋体" w:cs="宋体"/>
          <w:sz w:val="21"/>
          <w:szCs w:val="21"/>
        </w:rPr>
        <w:t>代</w:t>
      </w:r>
      <w:r>
        <w:rPr>
          <w:rFonts w:hint="eastAsia" w:ascii="宋体" w:hAnsi="宋体" w:eastAsia="宋体" w:cs="宋体"/>
          <w:spacing w:val="-56"/>
          <w:sz w:val="21"/>
          <w:szCs w:val="21"/>
        </w:rPr>
        <w:t xml:space="preserve"> </w:t>
      </w:r>
      <w:r>
        <w:rPr>
          <w:rFonts w:hint="eastAsia" w:ascii="宋体" w:hAnsi="宋体" w:eastAsia="宋体" w:cs="宋体"/>
          <w:sz w:val="21"/>
          <w:szCs w:val="21"/>
        </w:rPr>
        <w:t>理</w:t>
      </w:r>
      <w:r>
        <w:rPr>
          <w:rFonts w:hint="eastAsia" w:ascii="宋体" w:hAnsi="宋体" w:eastAsia="宋体" w:cs="宋体"/>
          <w:spacing w:val="-58"/>
          <w:sz w:val="21"/>
          <w:szCs w:val="21"/>
        </w:rPr>
        <w:t xml:space="preserve"> </w:t>
      </w:r>
      <w:r>
        <w:rPr>
          <w:rFonts w:hint="eastAsia" w:ascii="宋体" w:hAnsi="宋体" w:eastAsia="宋体" w:cs="宋体"/>
          <w:sz w:val="21"/>
          <w:szCs w:val="21"/>
        </w:rPr>
        <w:t>人</w:t>
      </w:r>
      <w:r>
        <w:rPr>
          <w:rFonts w:hint="eastAsia" w:ascii="宋体" w:hAnsi="宋体" w:eastAsia="宋体" w:cs="宋体"/>
          <w:spacing w:val="-56"/>
          <w:sz w:val="21"/>
          <w:szCs w:val="21"/>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w:t>
      </w:r>
      <w:r>
        <w:rPr>
          <w:rFonts w:hint="eastAsia" w:ascii="宋体" w:hAnsi="宋体" w:eastAsia="宋体" w:cs="宋体"/>
          <w:spacing w:val="-56"/>
          <w:sz w:val="21"/>
          <w:szCs w:val="21"/>
        </w:rPr>
        <w:t xml:space="preserve"> </w:t>
      </w:r>
      <w:r>
        <w:rPr>
          <w:rFonts w:hint="eastAsia" w:ascii="宋体" w:hAnsi="宋体" w:eastAsia="宋体" w:cs="宋体"/>
          <w:sz w:val="21"/>
          <w:szCs w:val="21"/>
        </w:rPr>
        <w:t>签</w:t>
      </w:r>
      <w:r>
        <w:rPr>
          <w:rFonts w:hint="eastAsia" w:ascii="宋体" w:hAnsi="宋体" w:eastAsia="宋体" w:cs="宋体"/>
          <w:spacing w:val="-58"/>
          <w:sz w:val="21"/>
          <w:szCs w:val="21"/>
        </w:rPr>
        <w:t xml:space="preserve"> </w:t>
      </w:r>
      <w:r>
        <w:rPr>
          <w:rFonts w:hint="eastAsia" w:ascii="宋体" w:hAnsi="宋体" w:eastAsia="宋体" w:cs="宋体"/>
          <w:sz w:val="21"/>
          <w:szCs w:val="21"/>
        </w:rPr>
        <w:t>字</w:t>
      </w:r>
      <w:r>
        <w:rPr>
          <w:rFonts w:hint="eastAsia" w:ascii="宋体" w:hAnsi="宋体" w:eastAsia="宋体" w:cs="宋体"/>
          <w:spacing w:val="-56"/>
          <w:sz w:val="21"/>
          <w:szCs w:val="21"/>
        </w:rPr>
        <w:t xml:space="preserve"> </w:t>
      </w:r>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eastAsia="宋体" w:cs="宋体"/>
          <w:sz w:val="21"/>
          <w:szCs w:val="21"/>
        </w:rPr>
        <w:t>代</w:t>
      </w:r>
      <w:r>
        <w:rPr>
          <w:rFonts w:hint="eastAsia" w:ascii="宋体" w:hAnsi="宋体" w:eastAsia="宋体" w:cs="宋体"/>
          <w:spacing w:val="-56"/>
          <w:sz w:val="21"/>
          <w:szCs w:val="21"/>
        </w:rPr>
        <w:t xml:space="preserve"> </w:t>
      </w:r>
      <w:r>
        <w:rPr>
          <w:rFonts w:hint="eastAsia" w:ascii="宋体" w:hAnsi="宋体" w:eastAsia="宋体" w:cs="宋体"/>
          <w:sz w:val="21"/>
          <w:szCs w:val="21"/>
        </w:rPr>
        <w:t>理</w:t>
      </w:r>
      <w:r>
        <w:rPr>
          <w:rFonts w:hint="eastAsia" w:ascii="宋体" w:hAnsi="宋体" w:eastAsia="宋体" w:cs="宋体"/>
          <w:spacing w:val="-58"/>
          <w:sz w:val="21"/>
          <w:szCs w:val="21"/>
        </w:rPr>
        <w:t xml:space="preserve"> </w:t>
      </w:r>
      <w:r>
        <w:rPr>
          <w:rFonts w:hint="eastAsia" w:ascii="宋体" w:hAnsi="宋体" w:eastAsia="宋体" w:cs="宋体"/>
          <w:sz w:val="21"/>
          <w:szCs w:val="21"/>
        </w:rPr>
        <w:t>人</w:t>
      </w:r>
      <w:r>
        <w:rPr>
          <w:rFonts w:hint="eastAsia" w:ascii="宋体" w:hAnsi="宋体" w:eastAsia="宋体" w:cs="宋体"/>
          <w:spacing w:val="-56"/>
          <w:sz w:val="21"/>
          <w:szCs w:val="21"/>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w:t>
      </w:r>
      <w:r>
        <w:rPr>
          <w:rFonts w:hint="eastAsia" w:ascii="宋体" w:hAnsi="宋体" w:eastAsia="宋体" w:cs="宋体"/>
          <w:spacing w:val="-56"/>
          <w:sz w:val="21"/>
          <w:szCs w:val="21"/>
        </w:rPr>
        <w:t xml:space="preserve"> </w:t>
      </w:r>
      <w:r>
        <w:rPr>
          <w:rFonts w:hint="eastAsia" w:ascii="宋体" w:hAnsi="宋体" w:eastAsia="宋体" w:cs="宋体"/>
          <w:sz w:val="21"/>
          <w:szCs w:val="21"/>
        </w:rPr>
        <w:t>签</w:t>
      </w:r>
      <w:r>
        <w:rPr>
          <w:rFonts w:hint="eastAsia" w:ascii="宋体" w:hAnsi="宋体" w:eastAsia="宋体" w:cs="宋体"/>
          <w:spacing w:val="-58"/>
          <w:sz w:val="21"/>
          <w:szCs w:val="21"/>
        </w:rPr>
        <w:t xml:space="preserve"> </w:t>
      </w:r>
      <w:r>
        <w:rPr>
          <w:rFonts w:hint="eastAsia" w:ascii="宋体" w:hAnsi="宋体" w:eastAsia="宋体" w:cs="宋体"/>
          <w:sz w:val="21"/>
          <w:szCs w:val="21"/>
        </w:rPr>
        <w:t>字</w:t>
      </w:r>
      <w:r>
        <w:rPr>
          <w:rFonts w:hint="eastAsia" w:ascii="宋体" w:hAnsi="宋体" w:eastAsia="宋体" w:cs="宋体"/>
          <w:spacing w:val="-56"/>
          <w:sz w:val="21"/>
          <w:szCs w:val="21"/>
        </w:rPr>
        <w:t xml:space="preserve"> </w:t>
      </w:r>
      <w:r>
        <w:rPr>
          <w:rFonts w:hint="eastAsia" w:ascii="宋体" w:hAnsi="宋体" w:eastAsia="宋体" w:cs="宋体"/>
          <w:spacing w:val="-13"/>
          <w:sz w:val="21"/>
          <w:szCs w:val="21"/>
        </w:rPr>
        <w:t xml:space="preserve">） </w:t>
      </w:r>
    </w:p>
    <w:p w14:paraId="2D7E2F22">
      <w:pPr>
        <w:pStyle w:val="7"/>
        <w:keepNext w:val="0"/>
        <w:keepLines w:val="0"/>
        <w:pageBreakBefore w:val="0"/>
        <w:widowControl w:val="0"/>
        <w:tabs>
          <w:tab w:val="left" w:pos="3216"/>
          <w:tab w:val="left" w:pos="5172"/>
          <w:tab w:val="left" w:pos="752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组织机构代码：</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组织机构代码：</w:t>
      </w:r>
    </w:p>
    <w:p w14:paraId="322B8A3D">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纳税人识别码：</w:t>
      </w:r>
      <w:r>
        <w:rPr>
          <w:rFonts w:hint="eastAsia" w:ascii="宋体" w:hAnsi="宋体" w:eastAsia="宋体" w:cs="宋体"/>
          <w:sz w:val="21"/>
          <w:szCs w:val="21"/>
        </w:rPr>
        <w:tab/>
      </w:r>
      <w:r>
        <w:rPr>
          <w:rFonts w:hint="eastAsia" w:ascii="宋体" w:hAnsi="宋体" w:eastAsia="宋体" w:cs="宋体"/>
          <w:sz w:val="21"/>
          <w:szCs w:val="21"/>
        </w:rPr>
        <w:t>纳税人识别码：</w:t>
      </w:r>
    </w:p>
    <w:p w14:paraId="712F250A">
      <w:pPr>
        <w:pStyle w:val="7"/>
        <w:keepNext w:val="0"/>
        <w:keepLines w:val="0"/>
        <w:pageBreakBefore w:val="0"/>
        <w:widowControl w:val="0"/>
        <w:tabs>
          <w:tab w:val="left" w:pos="1579"/>
          <w:tab w:val="left" w:pos="5179"/>
          <w:tab w:val="left" w:pos="589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住</w:t>
      </w:r>
      <w:r>
        <w:rPr>
          <w:rFonts w:hint="eastAsia" w:ascii="宋体" w:hAnsi="宋体" w:eastAsia="宋体" w:cs="宋体"/>
          <w:sz w:val="21"/>
          <w:szCs w:val="21"/>
        </w:rPr>
        <w:tab/>
      </w:r>
      <w:r>
        <w:rPr>
          <w:rFonts w:hint="eastAsia" w:ascii="宋体" w:hAnsi="宋体" w:eastAsia="宋体" w:cs="宋体"/>
          <w:sz w:val="21"/>
          <w:szCs w:val="21"/>
        </w:rPr>
        <w:t>所：</w:t>
      </w:r>
      <w:r>
        <w:rPr>
          <w:rFonts w:hint="eastAsia" w:ascii="宋体" w:hAnsi="宋体" w:eastAsia="宋体" w:cs="宋体"/>
          <w:sz w:val="21"/>
          <w:szCs w:val="21"/>
        </w:rPr>
        <w:tab/>
      </w:r>
      <w:r>
        <w:rPr>
          <w:rFonts w:hint="eastAsia" w:ascii="宋体" w:hAnsi="宋体" w:eastAsia="宋体" w:cs="宋体"/>
          <w:sz w:val="21"/>
          <w:szCs w:val="21"/>
        </w:rPr>
        <w:t>住</w:t>
      </w:r>
      <w:r>
        <w:rPr>
          <w:rFonts w:hint="eastAsia" w:ascii="宋体" w:hAnsi="宋体" w:eastAsia="宋体" w:cs="宋体"/>
          <w:sz w:val="21"/>
          <w:szCs w:val="21"/>
        </w:rPr>
        <w:tab/>
      </w:r>
      <w:r>
        <w:rPr>
          <w:rFonts w:hint="eastAsia" w:ascii="宋体" w:hAnsi="宋体" w:eastAsia="宋体" w:cs="宋体"/>
          <w:sz w:val="21"/>
          <w:szCs w:val="21"/>
        </w:rPr>
        <w:t>所：</w:t>
      </w:r>
    </w:p>
    <w:p w14:paraId="58D13A03">
      <w:pPr>
        <w:pStyle w:val="7"/>
        <w:keepNext w:val="0"/>
        <w:keepLines w:val="0"/>
        <w:pageBreakBefore w:val="0"/>
        <w:widowControl w:val="0"/>
        <w:tabs>
          <w:tab w:val="left" w:pos="1579"/>
          <w:tab w:val="left" w:pos="5179"/>
          <w:tab w:val="left" w:pos="589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账</w:t>
      </w:r>
      <w:r>
        <w:rPr>
          <w:rFonts w:hint="eastAsia" w:ascii="宋体" w:hAnsi="宋体" w:eastAsia="宋体" w:cs="宋体"/>
          <w:sz w:val="21"/>
          <w:szCs w:val="21"/>
        </w:rPr>
        <w:tab/>
      </w:r>
      <w:r>
        <w:rPr>
          <w:rFonts w:hint="eastAsia" w:ascii="宋体" w:hAnsi="宋体" w:eastAsia="宋体" w:cs="宋体"/>
          <w:sz w:val="21"/>
          <w:szCs w:val="21"/>
        </w:rPr>
        <w:t>号：</w:t>
      </w:r>
      <w:r>
        <w:rPr>
          <w:rFonts w:hint="eastAsia" w:ascii="宋体" w:hAnsi="宋体" w:eastAsia="宋体" w:cs="宋体"/>
          <w:sz w:val="21"/>
          <w:szCs w:val="21"/>
        </w:rPr>
        <w:tab/>
      </w:r>
      <w:r>
        <w:rPr>
          <w:rFonts w:hint="eastAsia" w:ascii="宋体" w:hAnsi="宋体" w:eastAsia="宋体" w:cs="宋体"/>
          <w:sz w:val="21"/>
          <w:szCs w:val="21"/>
        </w:rPr>
        <w:t>账</w:t>
      </w:r>
      <w:r>
        <w:rPr>
          <w:rFonts w:hint="eastAsia" w:ascii="宋体" w:hAnsi="宋体" w:eastAsia="宋体" w:cs="宋体"/>
          <w:sz w:val="21"/>
          <w:szCs w:val="21"/>
        </w:rPr>
        <w:tab/>
      </w:r>
      <w:r>
        <w:rPr>
          <w:rFonts w:hint="eastAsia" w:ascii="宋体" w:hAnsi="宋体" w:eastAsia="宋体" w:cs="宋体"/>
          <w:sz w:val="21"/>
          <w:szCs w:val="21"/>
        </w:rPr>
        <w:t>号：</w:t>
      </w:r>
    </w:p>
    <w:p w14:paraId="009A4EFC">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bookmarkStart w:id="73" w:name="_bookmark5"/>
      <w:bookmarkEnd w:id="73"/>
      <w:bookmarkStart w:id="74" w:name="_bookmark6"/>
      <w:bookmarkEnd w:id="74"/>
      <w:r>
        <w:rPr>
          <w:rFonts w:hint="eastAsia" w:ascii="宋体" w:hAnsi="宋体" w:eastAsia="宋体" w:cs="宋体"/>
          <w:sz w:val="21"/>
          <w:szCs w:val="21"/>
        </w:rPr>
        <w:t>开户银行：</w:t>
      </w:r>
      <w:r>
        <w:rPr>
          <w:rFonts w:hint="eastAsia" w:ascii="宋体" w:hAnsi="宋体" w:eastAsia="宋体" w:cs="宋体"/>
          <w:sz w:val="21"/>
          <w:szCs w:val="21"/>
        </w:rPr>
        <w:tab/>
      </w:r>
      <w:bookmarkStart w:id="75" w:name="_bookmark4"/>
      <w:bookmarkEnd w:id="75"/>
      <w:r>
        <w:rPr>
          <w:rFonts w:hint="eastAsia" w:ascii="宋体" w:hAnsi="宋体" w:eastAsia="宋体" w:cs="宋体"/>
          <w:sz w:val="21"/>
          <w:szCs w:val="21"/>
        </w:rPr>
        <w:t>开户银行：</w:t>
      </w:r>
    </w:p>
    <w:p w14:paraId="7AF2D27F">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rPr>
        <w:tab/>
      </w:r>
      <w:r>
        <w:rPr>
          <w:rFonts w:hint="eastAsia" w:ascii="宋体" w:hAnsi="宋体" w:eastAsia="宋体" w:cs="宋体"/>
          <w:sz w:val="21"/>
          <w:szCs w:val="21"/>
        </w:rPr>
        <w:t>邮政编码：</w:t>
      </w:r>
    </w:p>
    <w:p w14:paraId="195453D4">
      <w:pPr>
        <w:pStyle w:val="7"/>
        <w:keepNext w:val="0"/>
        <w:keepLines w:val="0"/>
        <w:pageBreakBefore w:val="0"/>
        <w:widowControl w:val="0"/>
        <w:tabs>
          <w:tab w:val="left" w:pos="1579"/>
          <w:tab w:val="left" w:pos="5179"/>
          <w:tab w:val="left" w:pos="589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电</w:t>
      </w:r>
      <w:r>
        <w:rPr>
          <w:rFonts w:hint="eastAsia" w:ascii="宋体" w:hAnsi="宋体" w:eastAsia="宋体" w:cs="宋体"/>
          <w:sz w:val="21"/>
          <w:szCs w:val="21"/>
        </w:rPr>
        <w:tab/>
      </w:r>
      <w:r>
        <w:rPr>
          <w:rFonts w:hint="eastAsia" w:ascii="宋体" w:hAnsi="宋体" w:eastAsia="宋体" w:cs="宋体"/>
          <w:sz w:val="21"/>
          <w:szCs w:val="21"/>
        </w:rPr>
        <w:t>话：</w:t>
      </w:r>
      <w:r>
        <w:rPr>
          <w:rFonts w:hint="eastAsia" w:ascii="宋体" w:hAnsi="宋体" w:eastAsia="宋体" w:cs="宋体"/>
          <w:sz w:val="21"/>
          <w:szCs w:val="21"/>
        </w:rPr>
        <w:tab/>
      </w:r>
      <w:r>
        <w:rPr>
          <w:rFonts w:hint="eastAsia" w:ascii="宋体" w:hAnsi="宋体" w:eastAsia="宋体" w:cs="宋体"/>
          <w:sz w:val="21"/>
          <w:szCs w:val="21"/>
        </w:rPr>
        <w:t>电</w:t>
      </w:r>
      <w:r>
        <w:rPr>
          <w:rFonts w:hint="eastAsia" w:ascii="宋体" w:hAnsi="宋体" w:eastAsia="宋体" w:cs="宋体"/>
          <w:sz w:val="21"/>
          <w:szCs w:val="21"/>
        </w:rPr>
        <w:tab/>
      </w:r>
      <w:r>
        <w:rPr>
          <w:rFonts w:hint="eastAsia" w:ascii="宋体" w:hAnsi="宋体" w:eastAsia="宋体" w:cs="宋体"/>
          <w:sz w:val="21"/>
          <w:szCs w:val="21"/>
        </w:rPr>
        <w:t>话：</w:t>
      </w:r>
    </w:p>
    <w:p w14:paraId="6E544CB2">
      <w:pPr>
        <w:pStyle w:val="7"/>
        <w:keepNext w:val="0"/>
        <w:keepLines w:val="0"/>
        <w:pageBreakBefore w:val="0"/>
        <w:widowControl w:val="0"/>
        <w:tabs>
          <w:tab w:val="left" w:pos="1579"/>
          <w:tab w:val="left" w:pos="5179"/>
          <w:tab w:val="left" w:pos="589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传</w:t>
      </w:r>
      <w:r>
        <w:rPr>
          <w:rFonts w:hint="eastAsia" w:ascii="宋体" w:hAnsi="宋体" w:eastAsia="宋体" w:cs="宋体"/>
          <w:sz w:val="21"/>
          <w:szCs w:val="21"/>
        </w:rPr>
        <w:tab/>
      </w:r>
      <w:r>
        <w:rPr>
          <w:rFonts w:hint="eastAsia" w:ascii="宋体" w:hAnsi="宋体" w:eastAsia="宋体" w:cs="宋体"/>
          <w:sz w:val="21"/>
          <w:szCs w:val="21"/>
        </w:rPr>
        <w:t>真：</w:t>
      </w:r>
      <w:r>
        <w:rPr>
          <w:rFonts w:hint="eastAsia" w:ascii="宋体" w:hAnsi="宋体" w:eastAsia="宋体" w:cs="宋体"/>
          <w:sz w:val="21"/>
          <w:szCs w:val="21"/>
        </w:rPr>
        <w:tab/>
      </w:r>
      <w:r>
        <w:rPr>
          <w:rFonts w:hint="eastAsia" w:ascii="宋体" w:hAnsi="宋体" w:eastAsia="宋体" w:cs="宋体"/>
          <w:sz w:val="21"/>
          <w:szCs w:val="21"/>
        </w:rPr>
        <w:t>传</w:t>
      </w:r>
      <w:r>
        <w:rPr>
          <w:rFonts w:hint="eastAsia" w:ascii="宋体" w:hAnsi="宋体" w:eastAsia="宋体" w:cs="宋体"/>
          <w:sz w:val="21"/>
          <w:szCs w:val="21"/>
        </w:rPr>
        <w:tab/>
      </w:r>
      <w:r>
        <w:rPr>
          <w:rFonts w:hint="eastAsia" w:ascii="宋体" w:hAnsi="宋体" w:eastAsia="宋体" w:cs="宋体"/>
          <w:sz w:val="21"/>
          <w:szCs w:val="21"/>
        </w:rPr>
        <w:t>真：</w:t>
      </w:r>
    </w:p>
    <w:p w14:paraId="74CA168F">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rPr>
        <w:tab/>
      </w:r>
      <w:r>
        <w:rPr>
          <w:rFonts w:hint="eastAsia" w:ascii="宋体" w:hAnsi="宋体" w:eastAsia="宋体" w:cs="宋体"/>
          <w:sz w:val="21"/>
          <w:szCs w:val="21"/>
        </w:rPr>
        <w:t>电子信箱：</w:t>
      </w:r>
    </w:p>
    <w:p w14:paraId="1CF499E0">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left="1134" w:right="0"/>
        <w:textAlignment w:val="auto"/>
        <w:rPr>
          <w:rFonts w:hint="eastAsia" w:ascii="宋体" w:hAnsi="宋体" w:eastAsia="宋体" w:cs="宋体"/>
          <w:sz w:val="21"/>
          <w:szCs w:val="21"/>
        </w:rPr>
      </w:pPr>
    </w:p>
    <w:p w14:paraId="18BCEDA9">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left="1134" w:right="0"/>
        <w:textAlignment w:val="auto"/>
        <w:rPr>
          <w:rFonts w:hint="eastAsia" w:ascii="宋体" w:hAnsi="宋体" w:eastAsia="宋体" w:cs="宋体"/>
          <w:sz w:val="21"/>
          <w:szCs w:val="21"/>
        </w:rPr>
      </w:pPr>
    </w:p>
    <w:p w14:paraId="752A061E">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 xml:space="preserve">合同鉴证方（鉴证章）： </w:t>
      </w:r>
    </w:p>
    <w:p w14:paraId="100E409A">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法定代表人或其委托代理人：</w:t>
      </w:r>
    </w:p>
    <w:p w14:paraId="513A76FD">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签字）</w:t>
      </w:r>
    </w:p>
    <w:p w14:paraId="5E7B02F6">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鉴证时间：    年   月   日</w:t>
      </w:r>
    </w:p>
    <w:p w14:paraId="5ED9665F">
      <w:r>
        <w:br w:type="page"/>
      </w:r>
    </w:p>
    <w:bookmarkEnd w:id="56"/>
    <w:p w14:paraId="553939EE">
      <w:pPr>
        <w:adjustRightInd w:val="0"/>
        <w:snapToGrid w:val="0"/>
        <w:spacing w:line="276" w:lineRule="auto"/>
        <w:ind w:firstLine="422" w:firstLineChars="200"/>
        <w:jc w:val="center"/>
        <w:rPr>
          <w:rFonts w:ascii="宋体" w:hAnsi="宋体"/>
          <w:b/>
          <w:bCs/>
          <w:sz w:val="21"/>
          <w:szCs w:val="21"/>
        </w:rPr>
      </w:pPr>
      <w:bookmarkStart w:id="76" w:name="_Toc419045066"/>
      <w:bookmarkStart w:id="77" w:name="_Toc422322481"/>
    </w:p>
    <w:p w14:paraId="0F703D20">
      <w:pPr>
        <w:adjustRightInd w:val="0"/>
        <w:snapToGrid w:val="0"/>
        <w:spacing w:line="276" w:lineRule="auto"/>
        <w:ind w:firstLine="422" w:firstLineChars="200"/>
        <w:jc w:val="center"/>
        <w:rPr>
          <w:rFonts w:ascii="宋体" w:hAnsi="宋体"/>
          <w:b/>
          <w:bCs/>
          <w:sz w:val="21"/>
          <w:szCs w:val="21"/>
        </w:rPr>
      </w:pPr>
      <w:r>
        <w:rPr>
          <w:rFonts w:hint="eastAsia" w:ascii="宋体" w:hAnsi="宋体"/>
          <w:b/>
          <w:bCs/>
          <w:sz w:val="21"/>
          <w:szCs w:val="21"/>
        </w:rPr>
        <w:t>第二部分　通用条件</w:t>
      </w:r>
      <w:bookmarkEnd w:id="76"/>
      <w:bookmarkEnd w:id="77"/>
    </w:p>
    <w:p w14:paraId="5FE5AA0C">
      <w:pPr>
        <w:adjustRightInd w:val="0"/>
        <w:snapToGrid w:val="0"/>
        <w:spacing w:line="276" w:lineRule="auto"/>
        <w:ind w:firstLine="420" w:firstLineChars="200"/>
        <w:rPr>
          <w:rFonts w:ascii="宋体" w:hAnsi="宋体"/>
          <w:sz w:val="21"/>
          <w:szCs w:val="21"/>
        </w:rPr>
      </w:pPr>
      <w:bookmarkStart w:id="78" w:name="_Toc422322482"/>
      <w:bookmarkStart w:id="79" w:name="_Toc419045067"/>
      <w:r>
        <w:rPr>
          <w:rFonts w:hint="eastAsia" w:ascii="宋体" w:hAnsi="宋体"/>
          <w:sz w:val="21"/>
          <w:szCs w:val="21"/>
        </w:rPr>
        <w:t>1.词语定义、语言、解释顺序与适用法律</w:t>
      </w:r>
      <w:bookmarkEnd w:id="78"/>
      <w:bookmarkEnd w:id="79"/>
    </w:p>
    <w:p w14:paraId="08B97BC2">
      <w:pPr>
        <w:adjustRightInd w:val="0"/>
        <w:snapToGrid w:val="0"/>
        <w:spacing w:line="276" w:lineRule="auto"/>
        <w:ind w:firstLine="420" w:firstLineChars="200"/>
        <w:rPr>
          <w:rFonts w:ascii="宋体" w:hAnsi="宋体"/>
          <w:sz w:val="21"/>
          <w:szCs w:val="21"/>
        </w:rPr>
      </w:pPr>
      <w:bookmarkStart w:id="80" w:name="_Toc419045068"/>
      <w:bookmarkStart w:id="81" w:name="_Toc422322483"/>
      <w:r>
        <w:rPr>
          <w:rFonts w:hint="eastAsia" w:ascii="宋体" w:hAnsi="宋体"/>
          <w:sz w:val="21"/>
          <w:szCs w:val="21"/>
        </w:rPr>
        <w:t>1.1词语定义</w:t>
      </w:r>
      <w:bookmarkEnd w:id="80"/>
      <w:bookmarkEnd w:id="81"/>
    </w:p>
    <w:p w14:paraId="4ECD7C72">
      <w:pPr>
        <w:adjustRightInd w:val="0"/>
        <w:snapToGrid w:val="0"/>
        <w:spacing w:line="276" w:lineRule="auto"/>
        <w:ind w:firstLine="420" w:firstLineChars="200"/>
        <w:rPr>
          <w:rFonts w:ascii="宋体" w:hAnsi="宋体"/>
          <w:sz w:val="21"/>
          <w:szCs w:val="21"/>
        </w:rPr>
      </w:pPr>
      <w:r>
        <w:rPr>
          <w:rFonts w:hint="eastAsia" w:ascii="宋体" w:hAnsi="宋体"/>
          <w:sz w:val="21"/>
          <w:szCs w:val="21"/>
        </w:rPr>
        <w:t>组成本合同的全部文件中的下列名词和用语应具有本款所赋予的含义：</w:t>
      </w:r>
    </w:p>
    <w:p w14:paraId="3C2BF961">
      <w:pPr>
        <w:adjustRightInd w:val="0"/>
        <w:snapToGrid w:val="0"/>
        <w:spacing w:line="276" w:lineRule="auto"/>
        <w:ind w:firstLine="420" w:firstLineChars="200"/>
        <w:rPr>
          <w:rFonts w:ascii="宋体" w:hAnsi="宋体"/>
          <w:sz w:val="21"/>
          <w:szCs w:val="21"/>
        </w:rPr>
      </w:pPr>
      <w:r>
        <w:rPr>
          <w:rFonts w:hint="eastAsia" w:ascii="宋体" w:hAnsi="宋体"/>
          <w:sz w:val="21"/>
          <w:szCs w:val="21"/>
        </w:rPr>
        <w:t>1.1.1“工程”是指按照本合同约定实施造价咨询与其他服务的建设工程。</w:t>
      </w:r>
    </w:p>
    <w:p w14:paraId="7E0AE184">
      <w:pPr>
        <w:adjustRightInd w:val="0"/>
        <w:snapToGrid w:val="0"/>
        <w:spacing w:line="276" w:lineRule="auto"/>
        <w:ind w:firstLine="420" w:firstLineChars="200"/>
        <w:rPr>
          <w:rFonts w:ascii="宋体" w:hAnsi="宋体"/>
          <w:sz w:val="21"/>
          <w:szCs w:val="21"/>
        </w:rPr>
      </w:pPr>
      <w:r>
        <w:rPr>
          <w:rFonts w:hint="eastAsia" w:ascii="宋体" w:hAnsi="宋体"/>
          <w:sz w:val="21"/>
          <w:szCs w:val="21"/>
        </w:rPr>
        <w:t>1.1.2“工程造价”是指工程项目建设过程中预计或实际支出的全部费用。</w:t>
      </w:r>
    </w:p>
    <w:p w14:paraId="027A78A6">
      <w:pPr>
        <w:adjustRightInd w:val="0"/>
        <w:snapToGrid w:val="0"/>
        <w:spacing w:line="276"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.1.3“委托人”是指本合同中委托造价咨询与其他服务的一方，及其合法的继承人或受让人。</w:t>
      </w:r>
    </w:p>
    <w:p w14:paraId="2F7316CD">
      <w:pPr>
        <w:adjustRightInd w:val="0"/>
        <w:snapToGrid w:val="0"/>
        <w:spacing w:line="276" w:lineRule="auto"/>
        <w:ind w:firstLine="420" w:firstLineChars="200"/>
        <w:rPr>
          <w:rFonts w:ascii="宋体" w:hAnsi="宋体"/>
          <w:sz w:val="21"/>
          <w:szCs w:val="21"/>
        </w:rPr>
      </w:pPr>
      <w:r>
        <w:rPr>
          <w:rFonts w:hint="eastAsia" w:ascii="宋体" w:hAnsi="宋体"/>
          <w:sz w:val="21"/>
          <w:szCs w:val="21"/>
        </w:rPr>
        <w:t>1.1.4</w:t>
      </w:r>
      <w:r>
        <w:rPr>
          <w:rFonts w:ascii="宋体" w:hAnsi="宋体"/>
          <w:sz w:val="21"/>
          <w:szCs w:val="21"/>
        </w:rPr>
        <w:t>“咨询人”是指</w:t>
      </w:r>
      <w:r>
        <w:rPr>
          <w:rFonts w:hint="eastAsia" w:ascii="宋体" w:hAnsi="宋体"/>
          <w:sz w:val="21"/>
          <w:szCs w:val="21"/>
        </w:rPr>
        <w:t>本合同中提供造价咨询与其他服务的一方，及其合法的继承人。</w:t>
      </w:r>
      <w:r>
        <w:rPr>
          <w:rFonts w:ascii="宋体" w:hAnsi="宋体"/>
          <w:sz w:val="21"/>
          <w:szCs w:val="21"/>
        </w:rPr>
        <w:br w:type="textWrapping"/>
      </w:r>
      <w:r>
        <w:rPr>
          <w:rFonts w:hint="eastAsia" w:ascii="宋体" w:hAnsi="宋体"/>
          <w:sz w:val="21"/>
          <w:szCs w:val="21"/>
        </w:rPr>
        <w:t>1.1.5</w:t>
      </w:r>
      <w:r>
        <w:rPr>
          <w:rFonts w:ascii="宋体" w:hAnsi="宋体"/>
          <w:sz w:val="21"/>
          <w:szCs w:val="21"/>
        </w:rPr>
        <w:t>“第三人”是指除委托人、咨询人以外与本咨询业务有关的当事人。</w:t>
      </w:r>
    </w:p>
    <w:p w14:paraId="6D3E8D8A">
      <w:pPr>
        <w:adjustRightInd w:val="0"/>
        <w:snapToGrid w:val="0"/>
        <w:spacing w:line="276" w:lineRule="auto"/>
        <w:ind w:firstLine="420" w:firstLineChars="200"/>
        <w:rPr>
          <w:rFonts w:ascii="宋体" w:hAnsi="宋体"/>
          <w:sz w:val="21"/>
          <w:szCs w:val="21"/>
        </w:rPr>
      </w:pPr>
      <w:r>
        <w:rPr>
          <w:rFonts w:hint="eastAsia" w:ascii="宋体" w:hAnsi="宋体"/>
          <w:sz w:val="21"/>
          <w:szCs w:val="21"/>
        </w:rPr>
        <w:t>1.1.6“正常工作”是指本合同订立时通用条件和专用条件中约定的咨询人的工作。</w:t>
      </w:r>
    </w:p>
    <w:p w14:paraId="13C8DA87">
      <w:pPr>
        <w:adjustRightInd w:val="0"/>
        <w:snapToGrid w:val="0"/>
        <w:spacing w:line="276" w:lineRule="auto"/>
        <w:ind w:firstLine="420" w:firstLineChars="200"/>
        <w:rPr>
          <w:rFonts w:ascii="宋体" w:hAnsi="宋体"/>
          <w:sz w:val="21"/>
          <w:szCs w:val="21"/>
        </w:rPr>
      </w:pPr>
      <w:r>
        <w:rPr>
          <w:rFonts w:hint="eastAsia" w:ascii="宋体" w:hAnsi="宋体"/>
          <w:sz w:val="21"/>
          <w:szCs w:val="21"/>
        </w:rPr>
        <w:t>1.1.7“附加工作”是指咨询人根据合同条件完成的正常工作以外的工作。</w:t>
      </w:r>
    </w:p>
    <w:p w14:paraId="1B741608">
      <w:pPr>
        <w:adjustRightInd w:val="0"/>
        <w:snapToGrid w:val="0"/>
        <w:spacing w:line="276" w:lineRule="auto"/>
        <w:ind w:firstLine="420" w:firstLineChars="200"/>
        <w:rPr>
          <w:rFonts w:ascii="宋体" w:hAnsi="宋体"/>
          <w:sz w:val="21"/>
          <w:szCs w:val="21"/>
        </w:rPr>
      </w:pPr>
      <w:r>
        <w:rPr>
          <w:rFonts w:hint="eastAsia" w:ascii="宋体" w:hAnsi="宋体"/>
          <w:sz w:val="21"/>
          <w:szCs w:val="21"/>
        </w:rPr>
        <w:t>1.1.8“项目咨询团队”是指咨询人指派负责履行本合同的团队，其团队成员为本合同的项目咨询人员。</w:t>
      </w:r>
    </w:p>
    <w:p w14:paraId="4F7DF218">
      <w:pPr>
        <w:adjustRightInd w:val="0"/>
        <w:snapToGrid w:val="0"/>
        <w:spacing w:line="276" w:lineRule="auto"/>
        <w:ind w:firstLine="420" w:firstLineChars="200"/>
        <w:rPr>
          <w:rFonts w:ascii="宋体" w:hAnsi="宋体"/>
          <w:sz w:val="21"/>
          <w:szCs w:val="21"/>
        </w:rPr>
      </w:pPr>
      <w:r>
        <w:rPr>
          <w:rFonts w:hint="eastAsia" w:ascii="宋体" w:hAnsi="宋体"/>
          <w:sz w:val="21"/>
          <w:szCs w:val="21"/>
        </w:rPr>
        <w:t>1.1.9“项目负责人”是指由咨询人的法定代表人书面授权，在授权范围内负责履行本合同、主持项目咨询团队工作的负责人。</w:t>
      </w:r>
    </w:p>
    <w:p w14:paraId="2DBD5D9C">
      <w:pPr>
        <w:adjustRightInd w:val="0"/>
        <w:snapToGrid w:val="0"/>
        <w:spacing w:line="276" w:lineRule="auto"/>
        <w:ind w:firstLine="420" w:firstLineChars="200"/>
        <w:rPr>
          <w:rFonts w:ascii="宋体" w:hAnsi="宋体"/>
          <w:sz w:val="21"/>
          <w:szCs w:val="21"/>
        </w:rPr>
      </w:pPr>
      <w:r>
        <w:rPr>
          <w:rFonts w:hint="eastAsia" w:ascii="宋体" w:hAnsi="宋体"/>
          <w:sz w:val="21"/>
          <w:szCs w:val="21"/>
        </w:rPr>
        <w:t>1.1.10“委托人代表”是指由委托人的法定代表人书面授权，在授权范围内行使委托人权利的人。</w:t>
      </w:r>
    </w:p>
    <w:p w14:paraId="54BCE9CF">
      <w:pPr>
        <w:adjustRightInd w:val="0"/>
        <w:snapToGrid w:val="0"/>
        <w:spacing w:line="276" w:lineRule="auto"/>
        <w:ind w:firstLine="420" w:firstLineChars="200"/>
        <w:rPr>
          <w:rFonts w:ascii="宋体" w:hAnsi="宋体"/>
          <w:sz w:val="21"/>
          <w:szCs w:val="21"/>
        </w:rPr>
      </w:pPr>
      <w:r>
        <w:rPr>
          <w:rFonts w:hint="eastAsia" w:ascii="宋体" w:hAnsi="宋体"/>
          <w:sz w:val="21"/>
          <w:szCs w:val="21"/>
        </w:rPr>
        <w:t>1.1.11“酬金”是指咨询人履行本合同义务，委托人按照本合同约定给付咨询人的金额。</w:t>
      </w:r>
    </w:p>
    <w:p w14:paraId="6E62969E">
      <w:pPr>
        <w:adjustRightInd w:val="0"/>
        <w:snapToGrid w:val="0"/>
        <w:spacing w:line="276" w:lineRule="auto"/>
        <w:ind w:firstLine="420" w:firstLineChars="200"/>
        <w:rPr>
          <w:rFonts w:ascii="宋体" w:hAnsi="宋体"/>
          <w:sz w:val="21"/>
          <w:szCs w:val="21"/>
        </w:rPr>
      </w:pPr>
      <w:r>
        <w:rPr>
          <w:rFonts w:hint="eastAsia" w:ascii="宋体" w:hAnsi="宋体"/>
          <w:sz w:val="21"/>
          <w:szCs w:val="21"/>
        </w:rPr>
        <w:t>1.1.12“正常工作酬金”是指在协议书中载明的，咨询人完成正常工作，委托人应给付咨询人的酬金。</w:t>
      </w:r>
      <w:r>
        <w:rPr>
          <w:rFonts w:hint="eastAsia" w:ascii="宋体" w:hAnsi="宋体"/>
          <w:sz w:val="21"/>
          <w:szCs w:val="21"/>
        </w:rPr>
        <w:br w:type="textWrapping"/>
      </w:r>
      <w:r>
        <w:rPr>
          <w:rFonts w:hint="eastAsia" w:ascii="宋体" w:hAnsi="宋体"/>
          <w:sz w:val="21"/>
          <w:szCs w:val="21"/>
        </w:rPr>
        <w:t xml:space="preserve">    1.1.13“附加工作酬金”是指咨询人完成附加工作，委托人应给付咨询人的酬金。</w:t>
      </w:r>
    </w:p>
    <w:p w14:paraId="5739253B">
      <w:pPr>
        <w:adjustRightInd w:val="0"/>
        <w:snapToGrid w:val="0"/>
        <w:spacing w:line="276" w:lineRule="auto"/>
        <w:ind w:firstLine="420" w:firstLineChars="200"/>
        <w:rPr>
          <w:rFonts w:ascii="宋体" w:hAnsi="宋体"/>
          <w:sz w:val="21"/>
          <w:szCs w:val="21"/>
        </w:rPr>
      </w:pPr>
      <w:r>
        <w:rPr>
          <w:rFonts w:hint="eastAsia" w:ascii="宋体" w:hAnsi="宋体"/>
          <w:sz w:val="21"/>
          <w:szCs w:val="21"/>
        </w:rPr>
        <w:t>1.1.14 “书面形式”是指合同书、信件和数据电文（包括电报、电传、传真、电子数据交换和电子邮件）等可以有形地表现所载内容的形式。</w:t>
      </w:r>
    </w:p>
    <w:p w14:paraId="46562FC2">
      <w:pPr>
        <w:adjustRightInd w:val="0"/>
        <w:snapToGrid w:val="0"/>
        <w:spacing w:line="276" w:lineRule="auto"/>
        <w:ind w:firstLine="420" w:firstLineChars="200"/>
        <w:rPr>
          <w:rFonts w:ascii="宋体" w:hAnsi="宋体"/>
          <w:sz w:val="21"/>
          <w:szCs w:val="21"/>
        </w:rPr>
      </w:pPr>
      <w:r>
        <w:rPr>
          <w:rFonts w:hint="eastAsia" w:ascii="宋体" w:hAnsi="宋体"/>
          <w:sz w:val="21"/>
          <w:szCs w:val="21"/>
        </w:rPr>
        <w:t>1.1.15 “不可抗力”是指委托人和咨询人在订立本合同时不可预见，在合同履行过程中不可避免并不能克服的自然灾害和社会性突发事件，如地震、海啸、瘟疫、水灾、骚乱、暴动、战争等情形。</w:t>
      </w:r>
    </w:p>
    <w:p w14:paraId="737311D2">
      <w:pPr>
        <w:adjustRightInd w:val="0"/>
        <w:snapToGrid w:val="0"/>
        <w:spacing w:line="276" w:lineRule="auto"/>
        <w:ind w:firstLine="420" w:firstLineChars="200"/>
        <w:rPr>
          <w:rFonts w:ascii="宋体" w:hAnsi="宋体"/>
          <w:sz w:val="21"/>
          <w:szCs w:val="21"/>
        </w:rPr>
      </w:pPr>
      <w:bookmarkStart w:id="82" w:name="_Toc419045069"/>
      <w:bookmarkStart w:id="83" w:name="_Toc422322484"/>
      <w:r>
        <w:rPr>
          <w:rFonts w:hint="eastAsia" w:ascii="宋体" w:hAnsi="宋体"/>
          <w:sz w:val="21"/>
          <w:szCs w:val="21"/>
        </w:rPr>
        <w:t>1.2语言</w:t>
      </w:r>
      <w:bookmarkEnd w:id="82"/>
      <w:bookmarkEnd w:id="83"/>
    </w:p>
    <w:p w14:paraId="207F9828">
      <w:pPr>
        <w:adjustRightInd w:val="0"/>
        <w:snapToGrid w:val="0"/>
        <w:spacing w:line="276" w:lineRule="auto"/>
        <w:ind w:firstLine="420" w:firstLineChars="200"/>
        <w:rPr>
          <w:rFonts w:ascii="宋体" w:hAnsi="宋体"/>
          <w:sz w:val="21"/>
          <w:szCs w:val="21"/>
        </w:rPr>
      </w:pPr>
      <w:r>
        <w:rPr>
          <w:rFonts w:hint="eastAsia" w:ascii="宋体" w:hAnsi="宋体"/>
          <w:sz w:val="21"/>
          <w:szCs w:val="21"/>
        </w:rPr>
        <w:t>本合同使用中文书写、解释和说明。如专用条件约定使用两种及以上语言文字时，应以中文为准。</w:t>
      </w:r>
    </w:p>
    <w:p w14:paraId="59FCFB8A">
      <w:pPr>
        <w:adjustRightInd w:val="0"/>
        <w:snapToGrid w:val="0"/>
        <w:spacing w:line="276" w:lineRule="auto"/>
        <w:ind w:firstLine="420" w:firstLineChars="200"/>
        <w:rPr>
          <w:rFonts w:ascii="宋体" w:hAnsi="宋体"/>
          <w:sz w:val="21"/>
          <w:szCs w:val="21"/>
        </w:rPr>
      </w:pPr>
      <w:bookmarkStart w:id="84" w:name="_Toc422322485"/>
      <w:bookmarkStart w:id="85" w:name="_Toc419045070"/>
      <w:r>
        <w:rPr>
          <w:rFonts w:hint="eastAsia" w:ascii="宋体" w:hAnsi="宋体"/>
          <w:sz w:val="21"/>
          <w:szCs w:val="21"/>
        </w:rPr>
        <w:t>1.3合同文件的优先顺序</w:t>
      </w:r>
      <w:bookmarkEnd w:id="84"/>
      <w:bookmarkEnd w:id="85"/>
    </w:p>
    <w:p w14:paraId="594AC223">
      <w:pPr>
        <w:adjustRightInd w:val="0"/>
        <w:snapToGrid w:val="0"/>
        <w:spacing w:line="276" w:lineRule="auto"/>
        <w:ind w:firstLine="420" w:firstLineChars="200"/>
        <w:rPr>
          <w:rFonts w:ascii="宋体" w:hAnsi="宋体"/>
          <w:sz w:val="21"/>
          <w:szCs w:val="21"/>
        </w:rPr>
      </w:pPr>
      <w:r>
        <w:rPr>
          <w:rFonts w:hint="eastAsia" w:ascii="宋体" w:hAnsi="宋体"/>
          <w:sz w:val="21"/>
          <w:szCs w:val="21"/>
        </w:rPr>
        <w:t>组成本合同的下列文件彼此应能相互解释、互为说明。除专用条件另有约定外，本合同文件的解释顺序如下：</w:t>
      </w:r>
    </w:p>
    <w:p w14:paraId="24068CDD">
      <w:pPr>
        <w:adjustRightInd w:val="0"/>
        <w:snapToGrid w:val="0"/>
        <w:spacing w:line="276" w:lineRule="auto"/>
        <w:ind w:firstLine="420" w:firstLineChars="200"/>
        <w:rPr>
          <w:rFonts w:ascii="宋体" w:hAnsi="宋体"/>
          <w:sz w:val="21"/>
          <w:szCs w:val="21"/>
        </w:rPr>
      </w:pPr>
      <w:r>
        <w:rPr>
          <w:rFonts w:hint="eastAsia" w:ascii="宋体" w:hAnsi="宋体"/>
          <w:sz w:val="21"/>
          <w:szCs w:val="21"/>
        </w:rPr>
        <w:t>1.协议书</w:t>
      </w:r>
    </w:p>
    <w:p w14:paraId="2A56AD17">
      <w:pPr>
        <w:adjustRightInd w:val="0"/>
        <w:snapToGrid w:val="0"/>
        <w:spacing w:line="276" w:lineRule="auto"/>
        <w:ind w:firstLine="420" w:firstLineChars="200"/>
        <w:rPr>
          <w:rFonts w:ascii="宋体" w:hAnsi="宋体"/>
          <w:sz w:val="21"/>
          <w:szCs w:val="21"/>
        </w:rPr>
      </w:pPr>
      <w:r>
        <w:rPr>
          <w:rFonts w:hint="eastAsia" w:ascii="宋体" w:hAnsi="宋体"/>
          <w:sz w:val="21"/>
          <w:szCs w:val="21"/>
        </w:rPr>
        <w:t>2.中标通知书或委托书（如果有）；</w:t>
      </w:r>
    </w:p>
    <w:p w14:paraId="5A3B04AD">
      <w:pPr>
        <w:adjustRightInd w:val="0"/>
        <w:snapToGrid w:val="0"/>
        <w:spacing w:line="276" w:lineRule="auto"/>
        <w:ind w:firstLine="420" w:firstLineChars="200"/>
        <w:rPr>
          <w:rFonts w:ascii="宋体" w:hAnsi="宋体"/>
          <w:sz w:val="21"/>
          <w:szCs w:val="21"/>
        </w:rPr>
      </w:pPr>
      <w:r>
        <w:rPr>
          <w:rFonts w:hint="eastAsia" w:ascii="宋体" w:hAnsi="宋体"/>
          <w:sz w:val="21"/>
          <w:szCs w:val="21"/>
        </w:rPr>
        <w:t>3.专用条件及附录；</w:t>
      </w:r>
    </w:p>
    <w:p w14:paraId="252F38F7">
      <w:pPr>
        <w:adjustRightInd w:val="0"/>
        <w:snapToGrid w:val="0"/>
        <w:spacing w:line="276" w:lineRule="auto"/>
        <w:ind w:firstLine="420" w:firstLineChars="200"/>
        <w:rPr>
          <w:rFonts w:ascii="宋体" w:hAnsi="宋体"/>
          <w:sz w:val="21"/>
          <w:szCs w:val="21"/>
        </w:rPr>
      </w:pPr>
      <w:r>
        <w:rPr>
          <w:rFonts w:hint="eastAsia" w:ascii="宋体" w:hAnsi="宋体"/>
          <w:sz w:val="21"/>
          <w:szCs w:val="21"/>
        </w:rPr>
        <w:t>4.通用条件；</w:t>
      </w:r>
    </w:p>
    <w:p w14:paraId="1FA92696">
      <w:pPr>
        <w:adjustRightInd w:val="0"/>
        <w:snapToGrid w:val="0"/>
        <w:spacing w:line="276" w:lineRule="auto"/>
        <w:ind w:firstLine="420" w:firstLineChars="200"/>
        <w:rPr>
          <w:rFonts w:ascii="宋体" w:hAnsi="宋体"/>
          <w:sz w:val="21"/>
          <w:szCs w:val="21"/>
        </w:rPr>
      </w:pPr>
      <w:r>
        <w:rPr>
          <w:rFonts w:hint="eastAsia" w:ascii="宋体" w:hAnsi="宋体"/>
          <w:sz w:val="21"/>
          <w:szCs w:val="21"/>
        </w:rPr>
        <w:t>5.投标函及投标函附录或造价咨询服务建议书（如果有）；</w:t>
      </w:r>
    </w:p>
    <w:p w14:paraId="373A0D94">
      <w:pPr>
        <w:adjustRightInd w:val="0"/>
        <w:snapToGrid w:val="0"/>
        <w:spacing w:line="276" w:lineRule="auto"/>
        <w:ind w:firstLine="420" w:firstLineChars="200"/>
        <w:rPr>
          <w:rFonts w:ascii="宋体" w:hAnsi="宋体"/>
          <w:sz w:val="21"/>
          <w:szCs w:val="21"/>
        </w:rPr>
      </w:pPr>
      <w:r>
        <w:rPr>
          <w:rFonts w:hint="eastAsia" w:ascii="宋体" w:hAnsi="宋体"/>
          <w:sz w:val="21"/>
          <w:szCs w:val="21"/>
        </w:rPr>
        <w:t>6.其他合同文件。</w:t>
      </w:r>
    </w:p>
    <w:p w14:paraId="4927AC60">
      <w:pPr>
        <w:adjustRightInd w:val="0"/>
        <w:snapToGrid w:val="0"/>
        <w:spacing w:line="276" w:lineRule="auto"/>
        <w:ind w:firstLine="420" w:firstLineChars="200"/>
        <w:rPr>
          <w:rFonts w:ascii="宋体" w:hAnsi="宋体"/>
          <w:sz w:val="21"/>
          <w:szCs w:val="21"/>
        </w:rPr>
      </w:pPr>
      <w:r>
        <w:rPr>
          <w:rFonts w:ascii="宋体" w:hAnsi="宋体"/>
          <w:sz w:val="21"/>
          <w:szCs w:val="21"/>
        </w:rPr>
        <w:t>上述各项合同文件包括合同当事人就该项合同文件所作出的补充和修改</w:t>
      </w:r>
      <w:r>
        <w:rPr>
          <w:rFonts w:hint="eastAsia" w:ascii="宋体" w:hAnsi="宋体"/>
          <w:sz w:val="21"/>
          <w:szCs w:val="21"/>
        </w:rPr>
        <w:t>，</w:t>
      </w:r>
      <w:r>
        <w:rPr>
          <w:rFonts w:ascii="宋体" w:hAnsi="宋体"/>
          <w:sz w:val="21"/>
          <w:szCs w:val="21"/>
        </w:rPr>
        <w:t>属于同一类内容的文件，应以最新签署的为准。</w:t>
      </w:r>
    </w:p>
    <w:p w14:paraId="120CAEE7">
      <w:pPr>
        <w:adjustRightInd w:val="0"/>
        <w:snapToGrid w:val="0"/>
        <w:spacing w:line="276" w:lineRule="auto"/>
        <w:ind w:firstLine="420" w:firstLineChars="200"/>
        <w:rPr>
          <w:rFonts w:ascii="宋体" w:hAnsi="宋体"/>
          <w:sz w:val="21"/>
          <w:szCs w:val="21"/>
        </w:rPr>
      </w:pPr>
      <w:r>
        <w:rPr>
          <w:rFonts w:hint="eastAsia" w:ascii="宋体" w:hAnsi="宋体"/>
          <w:sz w:val="21"/>
          <w:szCs w:val="21"/>
        </w:rPr>
        <w:t>在合同订立及履行过程中形成的与合同有关的文件均构成合同文件的组成部分。</w:t>
      </w:r>
    </w:p>
    <w:p w14:paraId="0B9E8719">
      <w:pPr>
        <w:adjustRightInd w:val="0"/>
        <w:snapToGrid w:val="0"/>
        <w:spacing w:line="276" w:lineRule="auto"/>
        <w:ind w:firstLine="420" w:firstLineChars="200"/>
        <w:rPr>
          <w:rFonts w:ascii="宋体" w:hAnsi="宋体"/>
          <w:sz w:val="21"/>
          <w:szCs w:val="21"/>
        </w:rPr>
      </w:pPr>
      <w:bookmarkStart w:id="86" w:name="_Toc422322486"/>
      <w:bookmarkStart w:id="87" w:name="_Toc419045071"/>
      <w:r>
        <w:rPr>
          <w:rFonts w:hint="eastAsia" w:ascii="宋体" w:hAnsi="宋体"/>
          <w:sz w:val="21"/>
          <w:szCs w:val="21"/>
        </w:rPr>
        <w:t>1.4适用法律</w:t>
      </w:r>
      <w:bookmarkEnd w:id="86"/>
      <w:bookmarkEnd w:id="87"/>
    </w:p>
    <w:p w14:paraId="5BB17FE1">
      <w:pPr>
        <w:adjustRightInd w:val="0"/>
        <w:snapToGrid w:val="0"/>
        <w:spacing w:line="276" w:lineRule="auto"/>
        <w:ind w:firstLine="420" w:firstLineChars="200"/>
        <w:rPr>
          <w:rFonts w:ascii="宋体" w:hAnsi="宋体"/>
          <w:sz w:val="21"/>
          <w:szCs w:val="21"/>
        </w:rPr>
      </w:pPr>
      <w:r>
        <w:rPr>
          <w:rFonts w:hint="eastAsia" w:ascii="宋体" w:hAnsi="宋体"/>
          <w:sz w:val="21"/>
          <w:szCs w:val="21"/>
        </w:rPr>
        <w:t>本合同适用中华人民共和国法律、行政法规、部门规章以及工程所在地的地方性法规、自治条例、单行条例和地方政府规章等。</w:t>
      </w:r>
    </w:p>
    <w:p w14:paraId="4383C49D">
      <w:pPr>
        <w:adjustRightInd w:val="0"/>
        <w:snapToGrid w:val="0"/>
        <w:spacing w:line="276" w:lineRule="auto"/>
        <w:ind w:firstLine="420" w:firstLineChars="200"/>
        <w:rPr>
          <w:rFonts w:ascii="宋体" w:hAnsi="宋体"/>
          <w:sz w:val="21"/>
          <w:szCs w:val="21"/>
        </w:rPr>
      </w:pPr>
      <w:r>
        <w:rPr>
          <w:rFonts w:hint="eastAsia" w:ascii="宋体" w:hAnsi="宋体"/>
          <w:sz w:val="21"/>
          <w:szCs w:val="21"/>
        </w:rPr>
        <w:t>合同当事人可以在专用条件中约定本合同适用的其他规范、规程、定额、技术标准等规范性文件。</w:t>
      </w:r>
    </w:p>
    <w:p w14:paraId="311A87C3">
      <w:pPr>
        <w:adjustRightInd w:val="0"/>
        <w:snapToGrid w:val="0"/>
        <w:spacing w:line="276" w:lineRule="auto"/>
        <w:ind w:firstLine="420" w:firstLineChars="200"/>
        <w:rPr>
          <w:rFonts w:ascii="宋体" w:hAnsi="宋体"/>
          <w:sz w:val="21"/>
          <w:szCs w:val="21"/>
        </w:rPr>
      </w:pPr>
      <w:bookmarkStart w:id="88" w:name="_Toc422322487"/>
      <w:r>
        <w:rPr>
          <w:rFonts w:hint="eastAsia" w:ascii="宋体" w:hAnsi="宋体"/>
          <w:sz w:val="21"/>
          <w:szCs w:val="21"/>
        </w:rPr>
        <w:t>2.委托人</w:t>
      </w:r>
      <w:r>
        <w:rPr>
          <w:rFonts w:ascii="宋体" w:hAnsi="宋体"/>
          <w:sz w:val="21"/>
          <w:szCs w:val="21"/>
        </w:rPr>
        <w:t>的义务</w:t>
      </w:r>
      <w:bookmarkEnd w:id="88"/>
    </w:p>
    <w:p w14:paraId="61D71DAD">
      <w:pPr>
        <w:adjustRightInd w:val="0"/>
        <w:snapToGrid w:val="0"/>
        <w:spacing w:line="276" w:lineRule="auto"/>
        <w:ind w:firstLine="420" w:firstLineChars="200"/>
        <w:rPr>
          <w:rFonts w:ascii="宋体" w:hAnsi="宋体"/>
          <w:sz w:val="21"/>
          <w:szCs w:val="21"/>
        </w:rPr>
      </w:pPr>
      <w:bookmarkStart w:id="89" w:name="_Toc422322488"/>
      <w:bookmarkStart w:id="90" w:name="_Toc419045072"/>
      <w:r>
        <w:rPr>
          <w:rFonts w:hint="eastAsia" w:ascii="宋体" w:hAnsi="宋体"/>
          <w:sz w:val="21"/>
          <w:szCs w:val="21"/>
        </w:rPr>
        <w:t>2.1提供资料</w:t>
      </w:r>
      <w:bookmarkEnd w:id="89"/>
      <w:bookmarkEnd w:id="90"/>
    </w:p>
    <w:p w14:paraId="149A6DE3">
      <w:pPr>
        <w:adjustRightInd w:val="0"/>
        <w:snapToGrid w:val="0"/>
        <w:spacing w:line="276" w:lineRule="auto"/>
        <w:ind w:firstLine="420" w:firstLineChars="200"/>
        <w:rPr>
          <w:rFonts w:ascii="宋体" w:hAnsi="宋体"/>
          <w:sz w:val="21"/>
          <w:szCs w:val="21"/>
        </w:rPr>
      </w:pPr>
      <w:r>
        <w:rPr>
          <w:rFonts w:hint="eastAsia" w:ascii="宋体" w:hAnsi="宋体"/>
          <w:sz w:val="21"/>
          <w:szCs w:val="21"/>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0376507F">
      <w:pPr>
        <w:adjustRightInd w:val="0"/>
        <w:snapToGrid w:val="0"/>
        <w:spacing w:line="276" w:lineRule="auto"/>
        <w:ind w:firstLine="420" w:firstLineChars="200"/>
        <w:rPr>
          <w:rFonts w:ascii="宋体" w:hAnsi="宋体"/>
          <w:sz w:val="21"/>
          <w:szCs w:val="21"/>
        </w:rPr>
      </w:pPr>
      <w:bookmarkStart w:id="91" w:name="_Toc419045073"/>
      <w:bookmarkStart w:id="92" w:name="_Toc422322489"/>
      <w:r>
        <w:rPr>
          <w:rFonts w:hint="eastAsia" w:ascii="宋体" w:hAnsi="宋体"/>
          <w:sz w:val="21"/>
          <w:szCs w:val="21"/>
        </w:rPr>
        <w:t>2.2提供工作条件</w:t>
      </w:r>
      <w:bookmarkEnd w:id="91"/>
      <w:bookmarkEnd w:id="92"/>
    </w:p>
    <w:p w14:paraId="6CFABFFF">
      <w:pPr>
        <w:adjustRightInd w:val="0"/>
        <w:snapToGrid w:val="0"/>
        <w:spacing w:line="276" w:lineRule="auto"/>
        <w:ind w:firstLine="420" w:firstLineChars="200"/>
        <w:rPr>
          <w:rFonts w:ascii="宋体" w:hAnsi="宋体"/>
          <w:sz w:val="21"/>
          <w:szCs w:val="21"/>
        </w:rPr>
      </w:pPr>
      <w:r>
        <w:rPr>
          <w:rFonts w:hint="eastAsia" w:ascii="宋体" w:hAnsi="宋体"/>
          <w:sz w:val="21"/>
          <w:szCs w:val="21"/>
        </w:rPr>
        <w:t>委托人应为咨询人完成造价咨询提供必要的条件。</w:t>
      </w:r>
    </w:p>
    <w:p w14:paraId="6AA48BC0">
      <w:pPr>
        <w:adjustRightInd w:val="0"/>
        <w:snapToGrid w:val="0"/>
        <w:spacing w:line="276" w:lineRule="auto"/>
        <w:ind w:firstLine="420" w:firstLineChars="200"/>
        <w:rPr>
          <w:rFonts w:ascii="宋体" w:hAnsi="宋体"/>
          <w:sz w:val="21"/>
          <w:szCs w:val="21"/>
        </w:rPr>
      </w:pPr>
      <w:r>
        <w:rPr>
          <w:rFonts w:hint="eastAsia" w:ascii="宋体" w:hAnsi="宋体"/>
          <w:sz w:val="21"/>
          <w:szCs w:val="21"/>
        </w:rPr>
        <w:t>2.2.1委托人需要咨询人派驻项目现场咨询人员的，除专用条件另有约定外，项目咨询人员有权无偿使用附录D中由委托人提供的房屋及设备。</w:t>
      </w:r>
    </w:p>
    <w:p w14:paraId="4592372A">
      <w:pPr>
        <w:adjustRightInd w:val="0"/>
        <w:snapToGrid w:val="0"/>
        <w:spacing w:line="276" w:lineRule="auto"/>
        <w:ind w:firstLine="420" w:firstLineChars="200"/>
        <w:rPr>
          <w:rFonts w:ascii="宋体" w:hAnsi="宋体"/>
          <w:sz w:val="21"/>
          <w:szCs w:val="21"/>
        </w:rPr>
      </w:pPr>
      <w:r>
        <w:rPr>
          <w:rFonts w:hint="eastAsia" w:ascii="宋体" w:hAnsi="宋体"/>
          <w:sz w:val="21"/>
          <w:szCs w:val="21"/>
        </w:rPr>
        <w:t>2.2.2委托人应负责与本工程造价咨询业务有关的所有外部关系的协调，为咨询人履行本合同提供必要的外部条件。</w:t>
      </w:r>
    </w:p>
    <w:p w14:paraId="155B2E1D">
      <w:pPr>
        <w:adjustRightInd w:val="0"/>
        <w:snapToGrid w:val="0"/>
        <w:spacing w:line="276" w:lineRule="auto"/>
        <w:ind w:firstLine="420" w:firstLineChars="200"/>
        <w:rPr>
          <w:rFonts w:ascii="宋体" w:hAnsi="宋体"/>
          <w:sz w:val="21"/>
          <w:szCs w:val="21"/>
        </w:rPr>
      </w:pPr>
      <w:bookmarkStart w:id="93" w:name="_Toc419045074"/>
      <w:bookmarkStart w:id="94" w:name="_Toc422322490"/>
      <w:r>
        <w:rPr>
          <w:rFonts w:hint="eastAsia" w:ascii="宋体" w:hAnsi="宋体"/>
          <w:sz w:val="21"/>
          <w:szCs w:val="21"/>
        </w:rPr>
        <w:t>2.3合理工作时限</w:t>
      </w:r>
      <w:bookmarkEnd w:id="93"/>
      <w:bookmarkEnd w:id="94"/>
    </w:p>
    <w:p w14:paraId="6604B891">
      <w:pPr>
        <w:adjustRightInd w:val="0"/>
        <w:snapToGrid w:val="0"/>
        <w:spacing w:line="276" w:lineRule="auto"/>
        <w:ind w:firstLine="420" w:firstLineChars="200"/>
        <w:rPr>
          <w:rFonts w:ascii="宋体" w:hAnsi="宋体"/>
          <w:sz w:val="21"/>
          <w:szCs w:val="21"/>
        </w:rPr>
      </w:pPr>
      <w:r>
        <w:rPr>
          <w:rFonts w:hint="eastAsia" w:ascii="宋体" w:hAnsi="宋体"/>
          <w:sz w:val="21"/>
          <w:szCs w:val="21"/>
        </w:rPr>
        <w:t>委托人应当为咨询人完成其咨询工作，设定合理的工作时限。</w:t>
      </w:r>
    </w:p>
    <w:p w14:paraId="5E298F0E">
      <w:pPr>
        <w:adjustRightInd w:val="0"/>
        <w:snapToGrid w:val="0"/>
        <w:spacing w:line="276" w:lineRule="auto"/>
        <w:ind w:firstLine="420" w:firstLineChars="200"/>
        <w:rPr>
          <w:rFonts w:ascii="宋体" w:hAnsi="宋体"/>
          <w:sz w:val="21"/>
          <w:szCs w:val="21"/>
        </w:rPr>
      </w:pPr>
      <w:bookmarkStart w:id="95" w:name="_Toc422322491"/>
      <w:bookmarkStart w:id="96" w:name="_Toc419045075"/>
      <w:r>
        <w:rPr>
          <w:rFonts w:hint="eastAsia" w:ascii="宋体" w:hAnsi="宋体"/>
          <w:sz w:val="21"/>
          <w:szCs w:val="21"/>
        </w:rPr>
        <w:t>2.4委托人代表</w:t>
      </w:r>
      <w:bookmarkEnd w:id="95"/>
      <w:bookmarkEnd w:id="96"/>
    </w:p>
    <w:p w14:paraId="7B61FA01">
      <w:pPr>
        <w:adjustRightInd w:val="0"/>
        <w:snapToGrid w:val="0"/>
        <w:spacing w:line="276" w:lineRule="auto"/>
        <w:ind w:firstLine="420" w:firstLineChars="200"/>
        <w:rPr>
          <w:rFonts w:ascii="宋体" w:hAnsi="宋体"/>
          <w:sz w:val="21"/>
          <w:szCs w:val="21"/>
        </w:rPr>
      </w:pPr>
      <w:r>
        <w:rPr>
          <w:rFonts w:hint="eastAsia" w:ascii="宋体" w:hAnsi="宋体"/>
          <w:sz w:val="21"/>
          <w:szCs w:val="21"/>
        </w:rPr>
        <w:t>委托人应授权一名代表负责本合同的履行。委托人应在双方签订本合同7日内，将委托人代表的姓名和权限范围书面告知咨询人。委托人更换委托人代表时，应提前7日书面通知咨询人。</w:t>
      </w:r>
    </w:p>
    <w:p w14:paraId="78C0E41B">
      <w:pPr>
        <w:adjustRightInd w:val="0"/>
        <w:snapToGrid w:val="0"/>
        <w:spacing w:line="276" w:lineRule="auto"/>
        <w:ind w:firstLine="420" w:firstLineChars="200"/>
        <w:rPr>
          <w:rFonts w:ascii="宋体" w:hAnsi="宋体"/>
          <w:sz w:val="21"/>
          <w:szCs w:val="21"/>
        </w:rPr>
      </w:pPr>
      <w:bookmarkStart w:id="97" w:name="_Toc419045076"/>
      <w:bookmarkStart w:id="98" w:name="_Toc422322492"/>
      <w:r>
        <w:rPr>
          <w:rFonts w:hint="eastAsia" w:ascii="宋体" w:hAnsi="宋体"/>
          <w:sz w:val="21"/>
          <w:szCs w:val="21"/>
        </w:rPr>
        <w:t>2.5答复</w:t>
      </w:r>
      <w:bookmarkEnd w:id="97"/>
      <w:bookmarkEnd w:id="98"/>
    </w:p>
    <w:p w14:paraId="1AFBE7CE">
      <w:pPr>
        <w:adjustRightInd w:val="0"/>
        <w:snapToGrid w:val="0"/>
        <w:spacing w:line="276" w:lineRule="auto"/>
        <w:ind w:firstLine="420" w:firstLineChars="200"/>
        <w:rPr>
          <w:rFonts w:ascii="宋体" w:hAnsi="宋体"/>
          <w:sz w:val="21"/>
          <w:szCs w:val="21"/>
        </w:rPr>
      </w:pPr>
      <w:r>
        <w:rPr>
          <w:rFonts w:hint="eastAsia" w:ascii="宋体" w:hAnsi="宋体"/>
          <w:sz w:val="21"/>
          <w:szCs w:val="21"/>
        </w:rPr>
        <w:t>委托人应当在专用条件约定的时间内就咨询人以书面形式提交并要求做出答复的事宜给予书面答复。逾期未答复的，由此造成的工作延误和损失由委托人承担。</w:t>
      </w:r>
    </w:p>
    <w:p w14:paraId="4CF89763">
      <w:pPr>
        <w:adjustRightInd w:val="0"/>
        <w:snapToGrid w:val="0"/>
        <w:spacing w:line="276" w:lineRule="auto"/>
        <w:ind w:firstLine="420" w:firstLineChars="200"/>
        <w:rPr>
          <w:rFonts w:ascii="宋体" w:hAnsi="宋体"/>
          <w:sz w:val="21"/>
          <w:szCs w:val="21"/>
        </w:rPr>
      </w:pPr>
      <w:bookmarkStart w:id="99" w:name="_Toc422322493"/>
      <w:bookmarkStart w:id="100" w:name="_Toc419045077"/>
      <w:r>
        <w:rPr>
          <w:rFonts w:hint="eastAsia" w:ascii="宋体" w:hAnsi="宋体"/>
          <w:sz w:val="21"/>
          <w:szCs w:val="21"/>
        </w:rPr>
        <w:t>2.6支付</w:t>
      </w:r>
      <w:bookmarkEnd w:id="99"/>
      <w:bookmarkEnd w:id="100"/>
    </w:p>
    <w:p w14:paraId="77D48ABA">
      <w:pPr>
        <w:adjustRightInd w:val="0"/>
        <w:snapToGrid w:val="0"/>
        <w:spacing w:line="276" w:lineRule="auto"/>
        <w:ind w:firstLine="420" w:firstLineChars="200"/>
        <w:rPr>
          <w:rFonts w:ascii="宋体" w:hAnsi="宋体"/>
          <w:sz w:val="21"/>
          <w:szCs w:val="21"/>
        </w:rPr>
      </w:pPr>
      <w:r>
        <w:rPr>
          <w:rFonts w:hint="eastAsia" w:ascii="宋体" w:hAnsi="宋体"/>
          <w:sz w:val="21"/>
          <w:szCs w:val="21"/>
        </w:rPr>
        <w:t>委托人应当按照合同的约定，向咨询人支付酬金。</w:t>
      </w:r>
    </w:p>
    <w:p w14:paraId="2FDAF2A3">
      <w:pPr>
        <w:adjustRightInd w:val="0"/>
        <w:snapToGrid w:val="0"/>
        <w:spacing w:line="276" w:lineRule="auto"/>
        <w:ind w:firstLine="420" w:firstLineChars="200"/>
        <w:rPr>
          <w:rFonts w:ascii="宋体" w:hAnsi="宋体"/>
          <w:sz w:val="21"/>
          <w:szCs w:val="21"/>
        </w:rPr>
      </w:pPr>
      <w:bookmarkStart w:id="101" w:name="_Toc419045078"/>
      <w:bookmarkStart w:id="102" w:name="_Toc422322494"/>
      <w:r>
        <w:rPr>
          <w:rFonts w:hint="eastAsia" w:ascii="宋体" w:hAnsi="宋体"/>
          <w:sz w:val="21"/>
          <w:szCs w:val="21"/>
        </w:rPr>
        <w:t>3.咨询人的义务</w:t>
      </w:r>
      <w:bookmarkEnd w:id="101"/>
      <w:bookmarkEnd w:id="102"/>
    </w:p>
    <w:p w14:paraId="7D9B34CC">
      <w:pPr>
        <w:adjustRightInd w:val="0"/>
        <w:snapToGrid w:val="0"/>
        <w:spacing w:line="276" w:lineRule="auto"/>
        <w:ind w:firstLine="420" w:firstLineChars="200"/>
        <w:rPr>
          <w:rFonts w:ascii="宋体" w:hAnsi="宋体"/>
          <w:sz w:val="21"/>
          <w:szCs w:val="21"/>
        </w:rPr>
      </w:pPr>
      <w:bookmarkStart w:id="103" w:name="_Toc422322495"/>
      <w:bookmarkStart w:id="104" w:name="_Toc419045080"/>
      <w:bookmarkStart w:id="105" w:name="16"/>
      <w:r>
        <w:rPr>
          <w:rFonts w:hint="eastAsia" w:ascii="宋体" w:hAnsi="宋体"/>
          <w:sz w:val="21"/>
          <w:szCs w:val="21"/>
        </w:rPr>
        <w:t>3.1 项目咨询团队及人员</w:t>
      </w:r>
      <w:bookmarkEnd w:id="103"/>
      <w:bookmarkEnd w:id="104"/>
    </w:p>
    <w:p w14:paraId="4645714B">
      <w:pPr>
        <w:adjustRightInd w:val="0"/>
        <w:snapToGrid w:val="0"/>
        <w:spacing w:line="276" w:lineRule="auto"/>
        <w:ind w:firstLine="420" w:firstLineChars="200"/>
        <w:rPr>
          <w:rFonts w:ascii="宋体" w:hAnsi="宋体"/>
          <w:sz w:val="21"/>
          <w:szCs w:val="21"/>
        </w:rPr>
      </w:pPr>
      <w:r>
        <w:rPr>
          <w:rFonts w:hint="eastAsia" w:ascii="宋体" w:hAnsi="宋体"/>
          <w:sz w:val="21"/>
          <w:szCs w:val="21"/>
        </w:rPr>
        <w:t>3.1.1项目咨询团队的主要人员应具有专用条件约定的资格条件，团队人员的数量应符合专用条件的约定。</w:t>
      </w:r>
    </w:p>
    <w:p w14:paraId="71181566">
      <w:pPr>
        <w:adjustRightInd w:val="0"/>
        <w:snapToGrid w:val="0"/>
        <w:spacing w:line="276" w:lineRule="auto"/>
        <w:ind w:firstLine="420" w:firstLineChars="200"/>
        <w:rPr>
          <w:rFonts w:ascii="宋体" w:hAnsi="宋体"/>
          <w:sz w:val="21"/>
          <w:szCs w:val="21"/>
        </w:rPr>
      </w:pPr>
      <w:r>
        <w:rPr>
          <w:rFonts w:hint="eastAsia" w:ascii="宋体" w:hAnsi="宋体"/>
          <w:sz w:val="21"/>
          <w:szCs w:val="21"/>
        </w:rPr>
        <w:t>3.1.2项目负责人</w:t>
      </w:r>
    </w:p>
    <w:p w14:paraId="43F9CB03">
      <w:pPr>
        <w:adjustRightInd w:val="0"/>
        <w:snapToGrid w:val="0"/>
        <w:spacing w:line="276" w:lineRule="auto"/>
        <w:ind w:firstLine="420" w:firstLineChars="200"/>
        <w:rPr>
          <w:rFonts w:ascii="宋体" w:hAnsi="宋体"/>
          <w:sz w:val="21"/>
          <w:szCs w:val="21"/>
        </w:rPr>
      </w:pPr>
      <w:r>
        <w:rPr>
          <w:rFonts w:hint="eastAsia" w:ascii="宋体" w:hAnsi="宋体"/>
          <w:sz w:val="21"/>
          <w:szCs w:val="21"/>
        </w:rPr>
        <w:t>咨询人应以书面形式授权一名项目负责人负责履行本合同、主持项目咨询团队工作。采用招标程序签署本合同的，项目负责人应当与投标文件载明的一致。</w:t>
      </w:r>
    </w:p>
    <w:p w14:paraId="60EE0DBA">
      <w:pPr>
        <w:adjustRightInd w:val="0"/>
        <w:snapToGrid w:val="0"/>
        <w:spacing w:line="276" w:lineRule="auto"/>
        <w:ind w:firstLine="420" w:firstLineChars="200"/>
        <w:rPr>
          <w:rFonts w:ascii="宋体" w:hAnsi="宋体"/>
          <w:sz w:val="21"/>
          <w:szCs w:val="21"/>
        </w:rPr>
      </w:pPr>
      <w:r>
        <w:rPr>
          <w:rFonts w:hint="eastAsia" w:ascii="宋体" w:hAnsi="宋体"/>
          <w:sz w:val="21"/>
          <w:szCs w:val="21"/>
        </w:rPr>
        <w:t>3.1.3在本合同履行过程中，咨询人员应保持相对稳定，以保证咨询工作正常进行。</w:t>
      </w:r>
    </w:p>
    <w:p w14:paraId="27917808">
      <w:pPr>
        <w:adjustRightInd w:val="0"/>
        <w:snapToGrid w:val="0"/>
        <w:spacing w:line="276" w:lineRule="auto"/>
        <w:ind w:firstLine="420" w:firstLineChars="200"/>
        <w:rPr>
          <w:rFonts w:ascii="宋体" w:hAnsi="宋体"/>
          <w:sz w:val="21"/>
          <w:szCs w:val="21"/>
        </w:rPr>
      </w:pPr>
      <w:r>
        <w:rPr>
          <w:rFonts w:hint="eastAsia" w:ascii="宋体" w:hAnsi="宋体"/>
          <w:sz w:val="21"/>
          <w:szCs w:val="21"/>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12B68E1F">
      <w:pPr>
        <w:adjustRightInd w:val="0"/>
        <w:snapToGrid w:val="0"/>
        <w:spacing w:line="276" w:lineRule="auto"/>
        <w:ind w:firstLine="420" w:firstLineChars="200"/>
        <w:rPr>
          <w:rFonts w:ascii="宋体" w:hAnsi="宋体"/>
          <w:sz w:val="21"/>
          <w:szCs w:val="21"/>
        </w:rPr>
      </w:pPr>
      <w:r>
        <w:rPr>
          <w:rFonts w:hint="eastAsia" w:ascii="宋体" w:hAnsi="宋体"/>
          <w:sz w:val="21"/>
          <w:szCs w:val="21"/>
        </w:rPr>
        <w:t>3.1.4咨询人员有下列情形之一，委托人要求咨询人更换的，咨询人应当更换：</w:t>
      </w:r>
    </w:p>
    <w:p w14:paraId="0076EC1F">
      <w:pPr>
        <w:adjustRightInd w:val="0"/>
        <w:snapToGrid w:val="0"/>
        <w:spacing w:line="276" w:lineRule="auto"/>
        <w:ind w:firstLine="420" w:firstLineChars="200"/>
        <w:rPr>
          <w:rFonts w:ascii="宋体" w:hAnsi="宋体"/>
          <w:sz w:val="21"/>
          <w:szCs w:val="21"/>
        </w:rPr>
      </w:pPr>
      <w:r>
        <w:rPr>
          <w:rFonts w:hint="eastAsia" w:ascii="宋体" w:hAnsi="宋体"/>
          <w:sz w:val="21"/>
          <w:szCs w:val="21"/>
        </w:rPr>
        <w:t>（1）存在严重过失行为的；</w:t>
      </w:r>
    </w:p>
    <w:p w14:paraId="6D4CFEDB">
      <w:pPr>
        <w:adjustRightInd w:val="0"/>
        <w:snapToGrid w:val="0"/>
        <w:spacing w:line="276" w:lineRule="auto"/>
        <w:ind w:firstLine="420" w:firstLineChars="200"/>
        <w:rPr>
          <w:rFonts w:ascii="宋体" w:hAnsi="宋体"/>
          <w:sz w:val="21"/>
          <w:szCs w:val="21"/>
        </w:rPr>
      </w:pPr>
      <w:r>
        <w:rPr>
          <w:rFonts w:hint="eastAsia" w:ascii="宋体" w:hAnsi="宋体"/>
          <w:sz w:val="21"/>
          <w:szCs w:val="21"/>
        </w:rPr>
        <w:t>（2）存在违法行为不能履行职责的；</w:t>
      </w:r>
    </w:p>
    <w:p w14:paraId="3DDA0E19">
      <w:pPr>
        <w:adjustRightInd w:val="0"/>
        <w:snapToGrid w:val="0"/>
        <w:spacing w:line="276" w:lineRule="auto"/>
        <w:ind w:firstLine="420" w:firstLineChars="200"/>
        <w:rPr>
          <w:rFonts w:ascii="宋体" w:hAnsi="宋体"/>
          <w:sz w:val="21"/>
          <w:szCs w:val="21"/>
        </w:rPr>
      </w:pPr>
      <w:r>
        <w:rPr>
          <w:rFonts w:hint="eastAsia" w:ascii="宋体" w:hAnsi="宋体"/>
          <w:sz w:val="21"/>
          <w:szCs w:val="21"/>
        </w:rPr>
        <w:t>（3）涉嫌犯罪的；</w:t>
      </w:r>
    </w:p>
    <w:p w14:paraId="715BA1BB">
      <w:pPr>
        <w:adjustRightInd w:val="0"/>
        <w:snapToGrid w:val="0"/>
        <w:spacing w:line="276" w:lineRule="auto"/>
        <w:ind w:firstLine="420" w:firstLineChars="200"/>
        <w:rPr>
          <w:rFonts w:ascii="宋体" w:hAnsi="宋体"/>
          <w:sz w:val="21"/>
          <w:szCs w:val="21"/>
        </w:rPr>
      </w:pPr>
      <w:r>
        <w:rPr>
          <w:rFonts w:hint="eastAsia" w:ascii="宋体" w:hAnsi="宋体"/>
          <w:sz w:val="21"/>
          <w:szCs w:val="21"/>
        </w:rPr>
        <w:t>（4）不能胜任岗位职责的；</w:t>
      </w:r>
    </w:p>
    <w:p w14:paraId="63587C2A">
      <w:pPr>
        <w:adjustRightInd w:val="0"/>
        <w:snapToGrid w:val="0"/>
        <w:spacing w:line="276" w:lineRule="auto"/>
        <w:ind w:firstLine="420" w:firstLineChars="200"/>
        <w:rPr>
          <w:rFonts w:ascii="宋体" w:hAnsi="宋体"/>
          <w:sz w:val="21"/>
          <w:szCs w:val="21"/>
        </w:rPr>
      </w:pPr>
      <w:r>
        <w:rPr>
          <w:rFonts w:hint="eastAsia" w:ascii="宋体" w:hAnsi="宋体"/>
          <w:sz w:val="21"/>
          <w:szCs w:val="21"/>
        </w:rPr>
        <w:t>（5）严重违反职业道德的；</w:t>
      </w:r>
    </w:p>
    <w:p w14:paraId="54A05390">
      <w:pPr>
        <w:adjustRightInd w:val="0"/>
        <w:snapToGrid w:val="0"/>
        <w:spacing w:line="276" w:lineRule="auto"/>
        <w:ind w:firstLine="420" w:firstLineChars="200"/>
        <w:rPr>
          <w:rFonts w:ascii="宋体" w:hAnsi="宋体"/>
          <w:sz w:val="21"/>
          <w:szCs w:val="21"/>
        </w:rPr>
      </w:pPr>
      <w:r>
        <w:rPr>
          <w:rFonts w:hint="eastAsia" w:ascii="宋体" w:hAnsi="宋体"/>
          <w:sz w:val="21"/>
          <w:szCs w:val="21"/>
        </w:rPr>
        <w:t>（6）专用条件约定的其他情形。</w:t>
      </w:r>
    </w:p>
    <w:p w14:paraId="25B2A244">
      <w:pPr>
        <w:adjustRightInd w:val="0"/>
        <w:snapToGrid w:val="0"/>
        <w:spacing w:line="276" w:lineRule="auto"/>
        <w:ind w:firstLine="420" w:firstLineChars="200"/>
        <w:rPr>
          <w:rFonts w:ascii="宋体" w:hAnsi="宋体"/>
          <w:sz w:val="21"/>
          <w:szCs w:val="21"/>
        </w:rPr>
      </w:pPr>
      <w:bookmarkStart w:id="106" w:name="_Toc422322496"/>
      <w:r>
        <w:rPr>
          <w:rFonts w:hint="eastAsia" w:ascii="宋体" w:hAnsi="宋体"/>
          <w:sz w:val="21"/>
          <w:szCs w:val="21"/>
        </w:rPr>
        <w:t>3.2 咨询人</w:t>
      </w:r>
      <w:r>
        <w:rPr>
          <w:rFonts w:ascii="宋体" w:hAnsi="宋体"/>
          <w:sz w:val="21"/>
          <w:szCs w:val="21"/>
        </w:rPr>
        <w:t>的工作要求</w:t>
      </w:r>
      <w:bookmarkEnd w:id="106"/>
    </w:p>
    <w:p w14:paraId="5107D435">
      <w:pPr>
        <w:adjustRightInd w:val="0"/>
        <w:snapToGrid w:val="0"/>
        <w:spacing w:line="276" w:lineRule="auto"/>
        <w:ind w:firstLine="420" w:firstLineChars="200"/>
        <w:rPr>
          <w:rFonts w:ascii="宋体" w:hAnsi="宋体"/>
          <w:sz w:val="21"/>
          <w:szCs w:val="21"/>
        </w:rPr>
      </w:pPr>
      <w:r>
        <w:rPr>
          <w:rFonts w:hint="eastAsia" w:ascii="宋体" w:hAnsi="宋体"/>
          <w:sz w:val="21"/>
          <w:szCs w:val="21"/>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3464D65D">
      <w:pPr>
        <w:adjustRightInd w:val="0"/>
        <w:snapToGrid w:val="0"/>
        <w:spacing w:line="276" w:lineRule="auto"/>
        <w:ind w:firstLine="420" w:firstLineChars="200"/>
        <w:rPr>
          <w:rFonts w:ascii="宋体" w:hAnsi="宋体"/>
          <w:sz w:val="21"/>
          <w:szCs w:val="21"/>
        </w:rPr>
      </w:pPr>
      <w:r>
        <w:rPr>
          <w:rFonts w:hint="eastAsia" w:ascii="宋体" w:hAnsi="宋体"/>
          <w:sz w:val="21"/>
          <w:szCs w:val="21"/>
        </w:rPr>
        <w:t>3.2.2咨询人应当在专用条件约定的时间内，按照专用条件约定的份数、组成向委托人提交咨询成果文件。</w:t>
      </w:r>
    </w:p>
    <w:p w14:paraId="1B8070D9">
      <w:pPr>
        <w:adjustRightInd w:val="0"/>
        <w:snapToGrid w:val="0"/>
        <w:spacing w:line="276" w:lineRule="auto"/>
        <w:ind w:firstLine="420" w:firstLineChars="200"/>
        <w:rPr>
          <w:rFonts w:ascii="宋体" w:hAnsi="宋体"/>
          <w:sz w:val="21"/>
          <w:szCs w:val="21"/>
        </w:rPr>
      </w:pPr>
      <w:r>
        <w:rPr>
          <w:rFonts w:hint="eastAsia" w:ascii="宋体" w:hAnsi="宋体"/>
          <w:sz w:val="21"/>
          <w:szCs w:val="21"/>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2975FE1D">
      <w:pPr>
        <w:adjustRightInd w:val="0"/>
        <w:snapToGrid w:val="0"/>
        <w:spacing w:line="276" w:lineRule="auto"/>
        <w:ind w:firstLine="420" w:firstLineChars="200"/>
        <w:rPr>
          <w:rFonts w:ascii="宋体" w:hAnsi="宋体"/>
          <w:sz w:val="21"/>
          <w:szCs w:val="21"/>
        </w:rPr>
      </w:pPr>
      <w:r>
        <w:rPr>
          <w:rFonts w:hint="eastAsia" w:ascii="宋体" w:hAnsi="宋体"/>
          <w:sz w:val="21"/>
          <w:szCs w:val="21"/>
        </w:rPr>
        <w:t>3.2.3咨询人提交的工程造价咨询成果文件，除加盖咨询人单位公章、工程造价咨询企业执业印章外，还必须按要求加盖参加咨询工作人员的执业（从业）资格印章。</w:t>
      </w:r>
    </w:p>
    <w:p w14:paraId="2EA26ABD">
      <w:pPr>
        <w:adjustRightInd w:val="0"/>
        <w:snapToGrid w:val="0"/>
        <w:spacing w:line="276" w:lineRule="auto"/>
        <w:ind w:firstLine="420" w:firstLineChars="200"/>
        <w:rPr>
          <w:rFonts w:ascii="宋体" w:hAnsi="宋体"/>
          <w:sz w:val="21"/>
          <w:szCs w:val="21"/>
        </w:rPr>
      </w:pPr>
      <w:r>
        <w:rPr>
          <w:rFonts w:hint="eastAsia" w:ascii="宋体" w:hAnsi="宋体"/>
          <w:sz w:val="21"/>
          <w:szCs w:val="21"/>
        </w:rPr>
        <w:t>3.2.4咨询人应在专用条件约定的时间内，对委托人以书面形式提出的建议或者异议给予书面答复。</w:t>
      </w:r>
    </w:p>
    <w:p w14:paraId="27E5A416">
      <w:pPr>
        <w:adjustRightInd w:val="0"/>
        <w:snapToGrid w:val="0"/>
        <w:spacing w:line="276" w:lineRule="auto"/>
        <w:ind w:firstLine="420" w:firstLineChars="200"/>
        <w:rPr>
          <w:rFonts w:ascii="宋体" w:hAnsi="宋体"/>
          <w:sz w:val="21"/>
          <w:szCs w:val="21"/>
        </w:rPr>
      </w:pPr>
      <w:r>
        <w:rPr>
          <w:rFonts w:hint="eastAsia" w:ascii="宋体" w:hAnsi="宋体"/>
          <w:sz w:val="21"/>
          <w:szCs w:val="21"/>
        </w:rPr>
        <w:t>3.2.5咨询人从事工程造价咨询活动，应当遵循独立、客观、公正、诚实信用的原则，不得损害社会公共利益和他人的合法权益。</w:t>
      </w:r>
    </w:p>
    <w:p w14:paraId="2FD4A826">
      <w:pPr>
        <w:adjustRightInd w:val="0"/>
        <w:snapToGrid w:val="0"/>
        <w:spacing w:line="276" w:lineRule="auto"/>
        <w:ind w:firstLine="420" w:firstLineChars="200"/>
        <w:rPr>
          <w:rFonts w:ascii="宋体" w:hAnsi="宋体"/>
          <w:sz w:val="21"/>
          <w:szCs w:val="21"/>
        </w:rPr>
      </w:pPr>
      <w:r>
        <w:rPr>
          <w:rFonts w:hint="eastAsia" w:ascii="宋体" w:hAnsi="宋体"/>
          <w:sz w:val="21"/>
          <w:szCs w:val="21"/>
        </w:rPr>
        <w:t>3.2.6咨询人承诺按照法律规定及合同约定，完成合同范围内的建设工程造价咨询服务，不转包承接的造价咨询服务业务。</w:t>
      </w:r>
    </w:p>
    <w:p w14:paraId="0C439093">
      <w:pPr>
        <w:adjustRightInd w:val="0"/>
        <w:snapToGrid w:val="0"/>
        <w:spacing w:line="276" w:lineRule="auto"/>
        <w:ind w:firstLine="420" w:firstLineChars="200"/>
        <w:rPr>
          <w:rFonts w:ascii="宋体" w:hAnsi="宋体"/>
          <w:sz w:val="21"/>
          <w:szCs w:val="21"/>
        </w:rPr>
      </w:pPr>
      <w:bookmarkStart w:id="107" w:name="_Toc422322497"/>
      <w:bookmarkStart w:id="108" w:name="_Toc419045081"/>
      <w:r>
        <w:rPr>
          <w:rFonts w:hint="eastAsia" w:ascii="宋体" w:hAnsi="宋体"/>
          <w:sz w:val="21"/>
          <w:szCs w:val="21"/>
        </w:rPr>
        <w:t>3.3咨询人的工作依据</w:t>
      </w:r>
      <w:bookmarkEnd w:id="107"/>
      <w:bookmarkEnd w:id="108"/>
    </w:p>
    <w:p w14:paraId="170E17EB">
      <w:pPr>
        <w:adjustRightInd w:val="0"/>
        <w:snapToGrid w:val="0"/>
        <w:spacing w:line="276" w:lineRule="auto"/>
        <w:ind w:firstLine="420" w:firstLineChars="200"/>
        <w:rPr>
          <w:rFonts w:ascii="宋体" w:hAnsi="宋体"/>
          <w:sz w:val="21"/>
          <w:szCs w:val="21"/>
        </w:rPr>
      </w:pPr>
      <w:r>
        <w:rPr>
          <w:rFonts w:hint="eastAsia" w:ascii="宋体" w:hAnsi="宋体"/>
          <w:sz w:val="21"/>
          <w:szCs w:val="21"/>
        </w:rPr>
        <w:t>咨询人应在专用条件内与委托人协商明确履行本合同约定的咨询服务需要适用的技术标准、规范、定额等工作依据，但不得违反国家及工程所在地的强制性标准、规范。</w:t>
      </w:r>
    </w:p>
    <w:p w14:paraId="12B854E9">
      <w:pPr>
        <w:adjustRightInd w:val="0"/>
        <w:snapToGrid w:val="0"/>
        <w:spacing w:line="276" w:lineRule="auto"/>
        <w:ind w:firstLine="420" w:firstLineChars="200"/>
        <w:rPr>
          <w:rFonts w:ascii="宋体" w:hAnsi="宋体"/>
          <w:sz w:val="21"/>
          <w:szCs w:val="21"/>
        </w:rPr>
      </w:pPr>
      <w:r>
        <w:rPr>
          <w:rFonts w:hint="eastAsia" w:ascii="宋体" w:hAnsi="宋体"/>
          <w:sz w:val="21"/>
          <w:szCs w:val="21"/>
        </w:rPr>
        <w:t>咨询人应自行配备本条所述的技术标准、规范、定额等相关资料。必须由委托人提供的资料，应在附录C中载明。需要委托人协助才能获得的资料，委托人应予以协助。</w:t>
      </w:r>
    </w:p>
    <w:p w14:paraId="449E2D82">
      <w:pPr>
        <w:adjustRightInd w:val="0"/>
        <w:snapToGrid w:val="0"/>
        <w:spacing w:line="276" w:lineRule="auto"/>
        <w:ind w:firstLine="420" w:firstLineChars="200"/>
        <w:rPr>
          <w:rFonts w:ascii="宋体" w:hAnsi="宋体"/>
          <w:sz w:val="21"/>
          <w:szCs w:val="21"/>
        </w:rPr>
      </w:pPr>
      <w:bookmarkStart w:id="109" w:name="_Toc422322498"/>
      <w:bookmarkStart w:id="110" w:name="_Toc419045082"/>
      <w:r>
        <w:rPr>
          <w:rFonts w:hint="eastAsia" w:ascii="宋体" w:hAnsi="宋体"/>
          <w:sz w:val="21"/>
          <w:szCs w:val="21"/>
        </w:rPr>
        <w:t>3.4使用委托人房屋及设备的返还</w:t>
      </w:r>
      <w:bookmarkEnd w:id="109"/>
      <w:bookmarkEnd w:id="110"/>
    </w:p>
    <w:p w14:paraId="0344BD48">
      <w:pPr>
        <w:adjustRightInd w:val="0"/>
        <w:snapToGrid w:val="0"/>
        <w:spacing w:line="276" w:lineRule="auto"/>
        <w:ind w:firstLine="420" w:firstLineChars="200"/>
        <w:rPr>
          <w:rFonts w:ascii="宋体" w:hAnsi="宋体"/>
          <w:sz w:val="21"/>
          <w:szCs w:val="21"/>
        </w:rPr>
      </w:pPr>
      <w:r>
        <w:rPr>
          <w:rFonts w:hint="eastAsia" w:ascii="宋体" w:hAnsi="宋体"/>
          <w:sz w:val="21"/>
          <w:szCs w:val="21"/>
        </w:rPr>
        <w:t>项目咨询人员使用委托人提供的房屋及设备的，咨询人应妥善使用和保管，在本合同终止时将上述房屋及设备按专用条件约定的时间和方式返还委托人。</w:t>
      </w:r>
    </w:p>
    <w:bookmarkEnd w:id="105"/>
    <w:p w14:paraId="7F1E1997">
      <w:pPr>
        <w:adjustRightInd w:val="0"/>
        <w:snapToGrid w:val="0"/>
        <w:spacing w:line="276" w:lineRule="auto"/>
        <w:ind w:firstLine="420" w:firstLineChars="200"/>
        <w:rPr>
          <w:rFonts w:ascii="宋体" w:hAnsi="宋体"/>
          <w:sz w:val="21"/>
          <w:szCs w:val="21"/>
        </w:rPr>
      </w:pPr>
      <w:bookmarkStart w:id="111" w:name="_Toc422322499"/>
      <w:bookmarkStart w:id="112" w:name="_Toc419045083"/>
      <w:bookmarkStart w:id="113" w:name="19"/>
      <w:r>
        <w:rPr>
          <w:rFonts w:hint="eastAsia" w:ascii="宋体" w:hAnsi="宋体"/>
          <w:sz w:val="21"/>
          <w:szCs w:val="21"/>
        </w:rPr>
        <w:t>4.违约责任</w:t>
      </w:r>
      <w:bookmarkEnd w:id="111"/>
      <w:bookmarkEnd w:id="112"/>
    </w:p>
    <w:p w14:paraId="40C8BD07">
      <w:pPr>
        <w:adjustRightInd w:val="0"/>
        <w:snapToGrid w:val="0"/>
        <w:spacing w:line="276" w:lineRule="auto"/>
        <w:ind w:firstLine="420" w:firstLineChars="200"/>
        <w:rPr>
          <w:rFonts w:ascii="宋体" w:hAnsi="宋体"/>
          <w:sz w:val="21"/>
          <w:szCs w:val="21"/>
        </w:rPr>
      </w:pPr>
      <w:bookmarkStart w:id="114" w:name="_Toc422322500"/>
      <w:r>
        <w:rPr>
          <w:rFonts w:hint="eastAsia" w:ascii="宋体" w:hAnsi="宋体"/>
          <w:sz w:val="21"/>
          <w:szCs w:val="21"/>
        </w:rPr>
        <w:t>4.1委托人的违约责任</w:t>
      </w:r>
      <w:bookmarkEnd w:id="114"/>
    </w:p>
    <w:p w14:paraId="70089A2B">
      <w:pPr>
        <w:adjustRightInd w:val="0"/>
        <w:snapToGrid w:val="0"/>
        <w:spacing w:line="276" w:lineRule="auto"/>
        <w:ind w:firstLine="420" w:firstLineChars="200"/>
        <w:rPr>
          <w:rFonts w:ascii="宋体" w:hAnsi="宋体"/>
          <w:sz w:val="21"/>
          <w:szCs w:val="21"/>
        </w:rPr>
      </w:pPr>
      <w:r>
        <w:rPr>
          <w:rFonts w:hint="eastAsia" w:ascii="宋体" w:hAnsi="宋体"/>
          <w:sz w:val="21"/>
          <w:szCs w:val="21"/>
        </w:rPr>
        <w:t>4.1.1委托人不履行本合同义务或者履行义务不符合本合同约定的，应承担违约责任。双方可</w:t>
      </w:r>
      <w:r>
        <w:rPr>
          <w:rFonts w:ascii="宋体" w:hAnsi="宋体"/>
          <w:sz w:val="21"/>
          <w:szCs w:val="21"/>
        </w:rPr>
        <w:t>在专用条件中约定</w:t>
      </w:r>
      <w:r>
        <w:rPr>
          <w:rFonts w:hint="eastAsia" w:ascii="宋体" w:hAnsi="宋体"/>
          <w:sz w:val="21"/>
          <w:szCs w:val="21"/>
        </w:rPr>
        <w:t>违约金</w:t>
      </w:r>
      <w:r>
        <w:rPr>
          <w:rFonts w:ascii="宋体" w:hAnsi="宋体"/>
          <w:sz w:val="21"/>
          <w:szCs w:val="21"/>
        </w:rPr>
        <w:t>的</w:t>
      </w:r>
      <w:r>
        <w:rPr>
          <w:rFonts w:hint="eastAsia" w:ascii="宋体" w:hAnsi="宋体"/>
          <w:sz w:val="21"/>
          <w:szCs w:val="21"/>
        </w:rPr>
        <w:t>计算及支付</w:t>
      </w:r>
      <w:r>
        <w:rPr>
          <w:rFonts w:ascii="宋体" w:hAnsi="宋体"/>
          <w:sz w:val="21"/>
          <w:szCs w:val="21"/>
        </w:rPr>
        <w:t>方法。</w:t>
      </w:r>
    </w:p>
    <w:p w14:paraId="150F61A7">
      <w:pPr>
        <w:adjustRightInd w:val="0"/>
        <w:snapToGrid w:val="0"/>
        <w:spacing w:line="276" w:lineRule="auto"/>
        <w:ind w:firstLine="420" w:firstLineChars="200"/>
        <w:rPr>
          <w:rFonts w:ascii="宋体" w:hAnsi="宋体"/>
          <w:sz w:val="21"/>
          <w:szCs w:val="21"/>
        </w:rPr>
      </w:pPr>
      <w:r>
        <w:rPr>
          <w:rFonts w:hint="eastAsia" w:ascii="宋体" w:hAnsi="宋体"/>
          <w:sz w:val="21"/>
          <w:szCs w:val="21"/>
        </w:rPr>
        <w:t>4.1.2委托人违反本合同约定造成咨询人损失的，委托人应予以赔偿。双方可</w:t>
      </w:r>
      <w:r>
        <w:rPr>
          <w:rFonts w:ascii="宋体" w:hAnsi="宋体"/>
          <w:sz w:val="21"/>
          <w:szCs w:val="21"/>
        </w:rPr>
        <w:t>在专用条件中约定赔偿金额的确定</w:t>
      </w:r>
      <w:r>
        <w:rPr>
          <w:rFonts w:hint="eastAsia" w:ascii="宋体" w:hAnsi="宋体"/>
          <w:sz w:val="21"/>
          <w:szCs w:val="21"/>
        </w:rPr>
        <w:t>及支付</w:t>
      </w:r>
      <w:r>
        <w:rPr>
          <w:rFonts w:ascii="宋体" w:hAnsi="宋体"/>
          <w:sz w:val="21"/>
          <w:szCs w:val="21"/>
        </w:rPr>
        <w:t>方法。</w:t>
      </w:r>
    </w:p>
    <w:p w14:paraId="0A220B3A">
      <w:pPr>
        <w:adjustRightInd w:val="0"/>
        <w:snapToGrid w:val="0"/>
        <w:spacing w:line="276" w:lineRule="auto"/>
        <w:ind w:firstLine="420" w:firstLineChars="200"/>
        <w:rPr>
          <w:rFonts w:ascii="宋体" w:hAnsi="宋体"/>
          <w:sz w:val="21"/>
          <w:szCs w:val="21"/>
        </w:rPr>
      </w:pPr>
      <w:r>
        <w:rPr>
          <w:rFonts w:hint="eastAsia" w:ascii="宋体" w:hAnsi="宋体"/>
          <w:sz w:val="21"/>
          <w:szCs w:val="21"/>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57157574">
      <w:pPr>
        <w:adjustRightInd w:val="0"/>
        <w:snapToGrid w:val="0"/>
        <w:spacing w:line="276" w:lineRule="auto"/>
        <w:ind w:firstLine="420" w:firstLineChars="200"/>
        <w:rPr>
          <w:rFonts w:ascii="宋体" w:hAnsi="宋体"/>
          <w:sz w:val="21"/>
          <w:szCs w:val="21"/>
        </w:rPr>
      </w:pPr>
      <w:bookmarkStart w:id="115" w:name="_Toc419045084"/>
      <w:bookmarkStart w:id="116" w:name="_Toc422322501"/>
      <w:r>
        <w:rPr>
          <w:rFonts w:hint="eastAsia" w:ascii="宋体" w:hAnsi="宋体"/>
          <w:sz w:val="21"/>
          <w:szCs w:val="21"/>
        </w:rPr>
        <w:t>4.2咨询人的违约责任</w:t>
      </w:r>
      <w:bookmarkEnd w:id="115"/>
      <w:bookmarkEnd w:id="116"/>
    </w:p>
    <w:p w14:paraId="6D47C49F">
      <w:pPr>
        <w:adjustRightInd w:val="0"/>
        <w:snapToGrid w:val="0"/>
        <w:spacing w:line="276" w:lineRule="auto"/>
        <w:ind w:firstLine="420" w:firstLineChars="200"/>
        <w:rPr>
          <w:rFonts w:ascii="宋体" w:hAnsi="宋体"/>
          <w:sz w:val="21"/>
          <w:szCs w:val="21"/>
        </w:rPr>
      </w:pPr>
      <w:r>
        <w:rPr>
          <w:rFonts w:hint="eastAsia" w:ascii="宋体" w:hAnsi="宋体"/>
          <w:sz w:val="21"/>
          <w:szCs w:val="21"/>
        </w:rPr>
        <w:t>4.2.1咨询人不履行本合同义务或者履行义务不符合本合同约定的，应承担违约责任。双方可</w:t>
      </w:r>
      <w:r>
        <w:rPr>
          <w:rFonts w:ascii="宋体" w:hAnsi="宋体"/>
          <w:sz w:val="21"/>
          <w:szCs w:val="21"/>
        </w:rPr>
        <w:t>在专用条件中约定</w:t>
      </w:r>
      <w:r>
        <w:rPr>
          <w:rFonts w:hint="eastAsia" w:ascii="宋体" w:hAnsi="宋体"/>
          <w:sz w:val="21"/>
          <w:szCs w:val="21"/>
        </w:rPr>
        <w:t>违约金</w:t>
      </w:r>
      <w:r>
        <w:rPr>
          <w:rFonts w:ascii="宋体" w:hAnsi="宋体"/>
          <w:sz w:val="21"/>
          <w:szCs w:val="21"/>
        </w:rPr>
        <w:t>的</w:t>
      </w:r>
      <w:r>
        <w:rPr>
          <w:rFonts w:hint="eastAsia" w:ascii="宋体" w:hAnsi="宋体"/>
          <w:sz w:val="21"/>
          <w:szCs w:val="21"/>
        </w:rPr>
        <w:t>计算及支付</w:t>
      </w:r>
      <w:r>
        <w:rPr>
          <w:rFonts w:ascii="宋体" w:hAnsi="宋体"/>
          <w:sz w:val="21"/>
          <w:szCs w:val="21"/>
        </w:rPr>
        <w:t>方法。</w:t>
      </w:r>
    </w:p>
    <w:p w14:paraId="754EEDA9">
      <w:pPr>
        <w:adjustRightInd w:val="0"/>
        <w:snapToGrid w:val="0"/>
        <w:spacing w:line="276" w:lineRule="auto"/>
        <w:ind w:firstLine="420" w:firstLineChars="200"/>
        <w:rPr>
          <w:rFonts w:ascii="宋体" w:hAnsi="宋体"/>
          <w:sz w:val="21"/>
          <w:szCs w:val="21"/>
        </w:rPr>
      </w:pPr>
      <w:r>
        <w:rPr>
          <w:rFonts w:hint="eastAsia" w:ascii="宋体" w:hAnsi="宋体"/>
          <w:sz w:val="21"/>
          <w:szCs w:val="21"/>
        </w:rPr>
        <w:t>4.2.2</w:t>
      </w:r>
      <w:r>
        <w:rPr>
          <w:rFonts w:ascii="宋体" w:hAnsi="宋体"/>
          <w:sz w:val="21"/>
          <w:szCs w:val="21"/>
        </w:rPr>
        <w:t>因</w:t>
      </w:r>
      <w:r>
        <w:rPr>
          <w:rFonts w:hint="eastAsia" w:ascii="宋体" w:hAnsi="宋体"/>
          <w:sz w:val="21"/>
          <w:szCs w:val="21"/>
        </w:rPr>
        <w:t>咨询</w:t>
      </w:r>
      <w:r>
        <w:rPr>
          <w:rFonts w:ascii="宋体" w:hAnsi="宋体"/>
          <w:sz w:val="21"/>
          <w:szCs w:val="21"/>
        </w:rPr>
        <w:t>人违反本合同约定给委托人造成损失的，</w:t>
      </w:r>
      <w:r>
        <w:rPr>
          <w:rFonts w:hint="eastAsia" w:ascii="宋体" w:hAnsi="宋体"/>
          <w:sz w:val="21"/>
          <w:szCs w:val="21"/>
        </w:rPr>
        <w:t>咨询</w:t>
      </w:r>
      <w:r>
        <w:rPr>
          <w:rFonts w:ascii="宋体" w:hAnsi="宋体"/>
          <w:sz w:val="21"/>
          <w:szCs w:val="21"/>
        </w:rPr>
        <w:t>人应当赔偿委托人损失。</w:t>
      </w:r>
      <w:r>
        <w:rPr>
          <w:rFonts w:hint="eastAsia" w:ascii="宋体" w:hAnsi="宋体"/>
          <w:sz w:val="21"/>
          <w:szCs w:val="21"/>
        </w:rPr>
        <w:t>双方可</w:t>
      </w:r>
      <w:r>
        <w:rPr>
          <w:rFonts w:ascii="宋体" w:hAnsi="宋体"/>
          <w:sz w:val="21"/>
          <w:szCs w:val="21"/>
        </w:rPr>
        <w:t>在专用条件中约定赔偿金额的确定</w:t>
      </w:r>
      <w:r>
        <w:rPr>
          <w:rFonts w:hint="eastAsia" w:ascii="宋体" w:hAnsi="宋体"/>
          <w:sz w:val="21"/>
          <w:szCs w:val="21"/>
        </w:rPr>
        <w:t>及支付</w:t>
      </w:r>
      <w:r>
        <w:rPr>
          <w:rFonts w:ascii="宋体" w:hAnsi="宋体"/>
          <w:sz w:val="21"/>
          <w:szCs w:val="21"/>
        </w:rPr>
        <w:t>方法</w:t>
      </w:r>
      <w:r>
        <w:rPr>
          <w:rFonts w:hint="eastAsia" w:ascii="宋体" w:hAnsi="宋体"/>
          <w:sz w:val="21"/>
          <w:szCs w:val="21"/>
        </w:rPr>
        <w:t>。</w:t>
      </w:r>
    </w:p>
    <w:p w14:paraId="70006DCB">
      <w:pPr>
        <w:adjustRightInd w:val="0"/>
        <w:snapToGrid w:val="0"/>
        <w:spacing w:line="276" w:lineRule="auto"/>
        <w:ind w:firstLine="420" w:firstLineChars="200"/>
        <w:rPr>
          <w:rFonts w:ascii="宋体" w:hAnsi="宋体"/>
          <w:sz w:val="21"/>
          <w:szCs w:val="21"/>
        </w:rPr>
      </w:pPr>
      <w:bookmarkStart w:id="117" w:name="_Toc419045086"/>
      <w:bookmarkStart w:id="118" w:name="_Toc422322502"/>
      <w:r>
        <w:rPr>
          <w:rFonts w:hint="eastAsia" w:ascii="宋体" w:hAnsi="宋体"/>
          <w:sz w:val="21"/>
          <w:szCs w:val="21"/>
        </w:rPr>
        <w:t>5.支付</w:t>
      </w:r>
      <w:bookmarkEnd w:id="117"/>
      <w:bookmarkEnd w:id="118"/>
    </w:p>
    <w:p w14:paraId="5B80F942">
      <w:pPr>
        <w:adjustRightInd w:val="0"/>
        <w:snapToGrid w:val="0"/>
        <w:spacing w:line="276" w:lineRule="auto"/>
        <w:ind w:firstLine="420" w:firstLineChars="200"/>
        <w:rPr>
          <w:rFonts w:ascii="宋体" w:hAnsi="宋体"/>
          <w:sz w:val="21"/>
          <w:szCs w:val="21"/>
        </w:rPr>
      </w:pPr>
      <w:bookmarkStart w:id="119" w:name="_Toc422322503"/>
      <w:bookmarkStart w:id="120" w:name="_Toc419045087"/>
      <w:r>
        <w:rPr>
          <w:rFonts w:hint="eastAsia" w:ascii="宋体" w:hAnsi="宋体"/>
          <w:sz w:val="21"/>
          <w:szCs w:val="21"/>
        </w:rPr>
        <w:t>5.1支</w:t>
      </w:r>
      <w:r>
        <w:rPr>
          <w:rFonts w:ascii="宋体" w:hAnsi="宋体"/>
          <w:sz w:val="21"/>
          <w:szCs w:val="21"/>
        </w:rPr>
        <w:t>付货币</w:t>
      </w:r>
      <w:bookmarkEnd w:id="119"/>
      <w:bookmarkEnd w:id="120"/>
    </w:p>
    <w:p w14:paraId="7DE74432">
      <w:pPr>
        <w:adjustRightInd w:val="0"/>
        <w:snapToGrid w:val="0"/>
        <w:spacing w:line="276" w:lineRule="auto"/>
        <w:ind w:firstLine="420" w:firstLineChars="200"/>
        <w:rPr>
          <w:rFonts w:ascii="宋体" w:hAnsi="宋体"/>
          <w:sz w:val="21"/>
          <w:szCs w:val="21"/>
        </w:rPr>
      </w:pPr>
      <w:r>
        <w:rPr>
          <w:rFonts w:ascii="宋体" w:hAnsi="宋体"/>
          <w:sz w:val="21"/>
          <w:szCs w:val="21"/>
        </w:rPr>
        <w:t>除专用条件另有约定外，酬金均以人民币支付。涉及外币支付的，所采用的货币种类和汇率</w:t>
      </w:r>
      <w:r>
        <w:rPr>
          <w:rFonts w:hint="eastAsia" w:ascii="宋体" w:hAnsi="宋体"/>
          <w:sz w:val="21"/>
          <w:szCs w:val="21"/>
        </w:rPr>
        <w:t>等</w:t>
      </w:r>
      <w:r>
        <w:rPr>
          <w:rFonts w:ascii="宋体" w:hAnsi="宋体"/>
          <w:sz w:val="21"/>
          <w:szCs w:val="21"/>
        </w:rPr>
        <w:t>在专用条件中约定。</w:t>
      </w:r>
    </w:p>
    <w:p w14:paraId="2C302F98">
      <w:pPr>
        <w:adjustRightInd w:val="0"/>
        <w:snapToGrid w:val="0"/>
        <w:spacing w:line="276" w:lineRule="auto"/>
        <w:ind w:firstLine="420" w:firstLineChars="200"/>
        <w:rPr>
          <w:rFonts w:ascii="宋体" w:hAnsi="宋体"/>
          <w:sz w:val="21"/>
          <w:szCs w:val="21"/>
        </w:rPr>
      </w:pPr>
      <w:bookmarkStart w:id="121" w:name="_Toc422322504"/>
      <w:r>
        <w:rPr>
          <w:rFonts w:hint="eastAsia" w:ascii="宋体" w:hAnsi="宋体"/>
          <w:sz w:val="21"/>
          <w:szCs w:val="21"/>
        </w:rPr>
        <w:t>5.2支付</w:t>
      </w:r>
      <w:r>
        <w:rPr>
          <w:rFonts w:ascii="宋体" w:hAnsi="宋体"/>
          <w:sz w:val="21"/>
          <w:szCs w:val="21"/>
        </w:rPr>
        <w:t>申请</w:t>
      </w:r>
      <w:bookmarkEnd w:id="121"/>
    </w:p>
    <w:p w14:paraId="4F9EB6C1">
      <w:pPr>
        <w:adjustRightInd w:val="0"/>
        <w:snapToGrid w:val="0"/>
        <w:spacing w:line="276" w:lineRule="auto"/>
        <w:ind w:firstLine="420" w:firstLineChars="200"/>
        <w:rPr>
          <w:rFonts w:ascii="宋体" w:hAnsi="宋体"/>
          <w:sz w:val="21"/>
          <w:szCs w:val="21"/>
        </w:rPr>
      </w:pPr>
      <w:r>
        <w:rPr>
          <w:rFonts w:hint="eastAsia" w:ascii="宋体" w:hAnsi="宋体"/>
          <w:sz w:val="21"/>
          <w:szCs w:val="21"/>
        </w:rPr>
        <w:t>咨询</w:t>
      </w:r>
      <w:r>
        <w:rPr>
          <w:rFonts w:ascii="宋体" w:hAnsi="宋体"/>
          <w:sz w:val="21"/>
          <w:szCs w:val="21"/>
        </w:rPr>
        <w:t>人应在本合同约定的每次应付款</w:t>
      </w:r>
      <w:r>
        <w:rPr>
          <w:rFonts w:hint="eastAsia" w:ascii="宋体" w:hAnsi="宋体"/>
          <w:sz w:val="21"/>
          <w:szCs w:val="21"/>
        </w:rPr>
        <w:t>日期前</w:t>
      </w:r>
      <w:r>
        <w:rPr>
          <w:rFonts w:ascii="宋体" w:hAnsi="宋体"/>
          <w:sz w:val="21"/>
          <w:szCs w:val="21"/>
        </w:rPr>
        <w:t>，向委托人提交支付申请书</w:t>
      </w:r>
      <w:r>
        <w:rPr>
          <w:rFonts w:hint="eastAsia" w:ascii="宋体" w:hAnsi="宋体"/>
          <w:sz w:val="21"/>
          <w:szCs w:val="21"/>
        </w:rPr>
        <w:t>，支付申请书的提交日期由双方在专用条件中约定</w:t>
      </w:r>
      <w:r>
        <w:rPr>
          <w:rFonts w:ascii="宋体" w:hAnsi="宋体"/>
          <w:sz w:val="21"/>
          <w:szCs w:val="21"/>
        </w:rPr>
        <w:t>。支付申请书应当说明当期应付款总额，并列出当期应支付的款项及其金额。</w:t>
      </w:r>
    </w:p>
    <w:p w14:paraId="16D5F078">
      <w:pPr>
        <w:adjustRightInd w:val="0"/>
        <w:snapToGrid w:val="0"/>
        <w:spacing w:line="276" w:lineRule="auto"/>
        <w:ind w:firstLine="420" w:firstLineChars="200"/>
        <w:rPr>
          <w:rFonts w:ascii="宋体" w:hAnsi="宋体"/>
          <w:sz w:val="21"/>
          <w:szCs w:val="21"/>
        </w:rPr>
      </w:pPr>
      <w:bookmarkStart w:id="122" w:name="_Toc422322505"/>
      <w:r>
        <w:rPr>
          <w:rFonts w:hint="eastAsia" w:ascii="宋体" w:hAnsi="宋体"/>
          <w:sz w:val="21"/>
          <w:szCs w:val="21"/>
        </w:rPr>
        <w:t>5.3 支付酬金</w:t>
      </w:r>
      <w:bookmarkEnd w:id="122"/>
    </w:p>
    <w:p w14:paraId="2876E3B8">
      <w:pPr>
        <w:adjustRightInd w:val="0"/>
        <w:snapToGrid w:val="0"/>
        <w:spacing w:line="276" w:lineRule="auto"/>
        <w:ind w:firstLine="420" w:firstLineChars="200"/>
        <w:rPr>
          <w:rFonts w:ascii="宋体" w:hAnsi="宋体"/>
          <w:sz w:val="21"/>
          <w:szCs w:val="21"/>
        </w:rPr>
      </w:pPr>
      <w:r>
        <w:rPr>
          <w:rFonts w:ascii="宋体" w:hAnsi="宋体"/>
          <w:sz w:val="21"/>
          <w:szCs w:val="21"/>
        </w:rPr>
        <w:t>支付酬金包括正常工作酬金、附加工作酬金、合理化建议奖励金额及费用。</w:t>
      </w:r>
    </w:p>
    <w:p w14:paraId="740ABF31">
      <w:pPr>
        <w:adjustRightInd w:val="0"/>
        <w:snapToGrid w:val="0"/>
        <w:spacing w:line="276" w:lineRule="auto"/>
        <w:ind w:firstLine="420" w:firstLineChars="200"/>
        <w:rPr>
          <w:rFonts w:ascii="宋体" w:hAnsi="宋体"/>
          <w:sz w:val="21"/>
          <w:szCs w:val="21"/>
        </w:rPr>
      </w:pPr>
      <w:bookmarkStart w:id="123" w:name="_Toc422322506"/>
      <w:r>
        <w:rPr>
          <w:rFonts w:hint="eastAsia" w:ascii="宋体" w:hAnsi="宋体"/>
          <w:sz w:val="21"/>
          <w:szCs w:val="21"/>
        </w:rPr>
        <w:t>5.4有异议</w:t>
      </w:r>
      <w:r>
        <w:rPr>
          <w:rFonts w:ascii="宋体" w:hAnsi="宋体"/>
          <w:sz w:val="21"/>
          <w:szCs w:val="21"/>
        </w:rPr>
        <w:t>部分的</w:t>
      </w:r>
      <w:r>
        <w:rPr>
          <w:rFonts w:hint="eastAsia" w:ascii="宋体" w:hAnsi="宋体"/>
          <w:sz w:val="21"/>
          <w:szCs w:val="21"/>
        </w:rPr>
        <w:t>支付</w:t>
      </w:r>
      <w:bookmarkEnd w:id="123"/>
    </w:p>
    <w:p w14:paraId="5B55A13A">
      <w:pPr>
        <w:adjustRightInd w:val="0"/>
        <w:snapToGrid w:val="0"/>
        <w:spacing w:line="276" w:lineRule="auto"/>
        <w:ind w:firstLine="420" w:firstLineChars="200"/>
        <w:rPr>
          <w:rFonts w:ascii="宋体" w:hAnsi="宋体"/>
          <w:sz w:val="21"/>
          <w:szCs w:val="21"/>
        </w:rPr>
      </w:pPr>
      <w:r>
        <w:rPr>
          <w:rFonts w:ascii="宋体" w:hAnsi="宋体"/>
          <w:sz w:val="21"/>
          <w:szCs w:val="21"/>
        </w:rPr>
        <w:t>委托人对</w:t>
      </w:r>
      <w:r>
        <w:rPr>
          <w:rFonts w:hint="eastAsia" w:ascii="宋体" w:hAnsi="宋体"/>
          <w:sz w:val="21"/>
          <w:szCs w:val="21"/>
        </w:rPr>
        <w:t>咨询</w:t>
      </w:r>
      <w:r>
        <w:rPr>
          <w:rFonts w:ascii="宋体" w:hAnsi="宋体"/>
          <w:sz w:val="21"/>
          <w:szCs w:val="21"/>
        </w:rPr>
        <w:t>人提交的支付申请书有异议时，应当在收到</w:t>
      </w:r>
      <w:r>
        <w:rPr>
          <w:rFonts w:hint="eastAsia" w:ascii="宋体" w:hAnsi="宋体"/>
          <w:sz w:val="21"/>
          <w:szCs w:val="21"/>
        </w:rPr>
        <w:t>咨询</w:t>
      </w:r>
      <w:r>
        <w:rPr>
          <w:rFonts w:ascii="宋体" w:hAnsi="宋体"/>
          <w:sz w:val="21"/>
          <w:szCs w:val="21"/>
        </w:rPr>
        <w:t>人提交的支付申请书后7</w:t>
      </w:r>
      <w:r>
        <w:rPr>
          <w:rFonts w:hint="eastAsia" w:ascii="宋体" w:hAnsi="宋体"/>
          <w:sz w:val="21"/>
          <w:szCs w:val="21"/>
        </w:rPr>
        <w:t>日</w:t>
      </w:r>
      <w:r>
        <w:rPr>
          <w:rFonts w:ascii="宋体" w:hAnsi="宋体"/>
          <w:sz w:val="21"/>
          <w:szCs w:val="21"/>
        </w:rPr>
        <w:t>内，以书面形式向</w:t>
      </w:r>
      <w:r>
        <w:rPr>
          <w:rFonts w:hint="eastAsia" w:ascii="宋体" w:hAnsi="宋体"/>
          <w:sz w:val="21"/>
          <w:szCs w:val="21"/>
        </w:rPr>
        <w:t>咨询</w:t>
      </w:r>
      <w:r>
        <w:rPr>
          <w:rFonts w:ascii="宋体" w:hAnsi="宋体"/>
          <w:sz w:val="21"/>
          <w:szCs w:val="21"/>
        </w:rPr>
        <w:t>人发出异议通知。无异议部分的款项应按期支付，有异议部分的款项按第7条约定办理。</w:t>
      </w:r>
    </w:p>
    <w:p w14:paraId="7F171398">
      <w:pPr>
        <w:adjustRightInd w:val="0"/>
        <w:snapToGrid w:val="0"/>
        <w:spacing w:line="276" w:lineRule="auto"/>
        <w:ind w:firstLine="420" w:firstLineChars="200"/>
        <w:rPr>
          <w:rFonts w:ascii="宋体" w:hAnsi="宋体"/>
          <w:sz w:val="21"/>
          <w:szCs w:val="21"/>
        </w:rPr>
      </w:pPr>
      <w:bookmarkStart w:id="124" w:name="_Toc422322507"/>
      <w:bookmarkStart w:id="125" w:name="_Toc419045088"/>
      <w:r>
        <w:rPr>
          <w:rFonts w:hint="eastAsia" w:ascii="宋体" w:hAnsi="宋体"/>
          <w:sz w:val="21"/>
          <w:szCs w:val="21"/>
        </w:rPr>
        <w:t>6.合同变更、解除与终止</w:t>
      </w:r>
      <w:bookmarkEnd w:id="124"/>
      <w:bookmarkEnd w:id="125"/>
    </w:p>
    <w:p w14:paraId="3357B325">
      <w:pPr>
        <w:adjustRightInd w:val="0"/>
        <w:snapToGrid w:val="0"/>
        <w:spacing w:line="276" w:lineRule="auto"/>
        <w:ind w:firstLine="420" w:firstLineChars="200"/>
        <w:rPr>
          <w:rFonts w:ascii="宋体" w:hAnsi="宋体"/>
          <w:sz w:val="21"/>
          <w:szCs w:val="21"/>
        </w:rPr>
      </w:pPr>
      <w:bookmarkStart w:id="126" w:name="_Toc422322508"/>
      <w:bookmarkStart w:id="127" w:name="_Toc419045089"/>
      <w:r>
        <w:rPr>
          <w:rFonts w:hint="eastAsia" w:ascii="宋体" w:hAnsi="宋体"/>
          <w:sz w:val="21"/>
          <w:szCs w:val="21"/>
        </w:rPr>
        <w:t>6.1合同</w:t>
      </w:r>
      <w:r>
        <w:rPr>
          <w:rFonts w:ascii="宋体" w:hAnsi="宋体"/>
          <w:sz w:val="21"/>
          <w:szCs w:val="21"/>
        </w:rPr>
        <w:t>变更</w:t>
      </w:r>
      <w:bookmarkEnd w:id="126"/>
      <w:bookmarkEnd w:id="127"/>
      <w:r>
        <w:rPr>
          <w:rFonts w:hint="eastAsia" w:ascii="宋体" w:hAnsi="宋体"/>
          <w:sz w:val="21"/>
          <w:szCs w:val="21"/>
        </w:rPr>
        <w:br w:type="textWrapping"/>
      </w:r>
      <w:r>
        <w:rPr>
          <w:rFonts w:ascii="宋体" w:hAnsi="宋体"/>
          <w:sz w:val="21"/>
          <w:szCs w:val="21"/>
        </w:rPr>
        <w:t>　</w:t>
      </w:r>
      <w:r>
        <w:rPr>
          <w:rFonts w:hint="eastAsia" w:ascii="宋体" w:hAnsi="宋体"/>
          <w:sz w:val="21"/>
          <w:szCs w:val="21"/>
        </w:rPr>
        <w:t xml:space="preserve">  </w:t>
      </w:r>
      <w:r>
        <w:rPr>
          <w:rFonts w:ascii="宋体" w:hAnsi="宋体"/>
          <w:sz w:val="21"/>
          <w:szCs w:val="21"/>
        </w:rPr>
        <w:t>6.</w:t>
      </w:r>
      <w:r>
        <w:rPr>
          <w:rFonts w:hint="eastAsia" w:ascii="宋体" w:hAnsi="宋体"/>
          <w:sz w:val="21"/>
          <w:szCs w:val="21"/>
        </w:rPr>
        <w:t>1</w:t>
      </w:r>
      <w:r>
        <w:rPr>
          <w:rFonts w:ascii="宋体" w:hAnsi="宋体"/>
          <w:sz w:val="21"/>
          <w:szCs w:val="21"/>
        </w:rPr>
        <w:t>.1 任何一方</w:t>
      </w:r>
      <w:r>
        <w:rPr>
          <w:rFonts w:hint="eastAsia" w:ascii="宋体" w:hAnsi="宋体"/>
          <w:sz w:val="21"/>
          <w:szCs w:val="21"/>
        </w:rPr>
        <w:t>以书面形式</w:t>
      </w:r>
      <w:r>
        <w:rPr>
          <w:rFonts w:ascii="宋体" w:hAnsi="宋体"/>
          <w:sz w:val="21"/>
          <w:szCs w:val="21"/>
        </w:rPr>
        <w:t>提出变更请求时，双方经协商一致后可进行变更。</w:t>
      </w:r>
      <w:r>
        <w:rPr>
          <w:rFonts w:ascii="宋体" w:hAnsi="宋体"/>
          <w:sz w:val="21"/>
          <w:szCs w:val="21"/>
        </w:rPr>
        <w:br w:type="textWrapping"/>
      </w:r>
      <w:r>
        <w:rPr>
          <w:rFonts w:ascii="宋体" w:hAnsi="宋体"/>
          <w:sz w:val="21"/>
          <w:szCs w:val="21"/>
        </w:rPr>
        <w:t>　　6.</w:t>
      </w:r>
      <w:r>
        <w:rPr>
          <w:rFonts w:hint="eastAsia" w:ascii="宋体" w:hAnsi="宋体"/>
          <w:sz w:val="21"/>
          <w:szCs w:val="21"/>
        </w:rPr>
        <w:t>1</w:t>
      </w:r>
      <w:r>
        <w:rPr>
          <w:rFonts w:ascii="宋体" w:hAnsi="宋体"/>
          <w:sz w:val="21"/>
          <w:szCs w:val="21"/>
        </w:rPr>
        <w:t>.2除不可抗力外，因非</w:t>
      </w:r>
      <w:r>
        <w:rPr>
          <w:rFonts w:hint="eastAsia" w:ascii="宋体" w:hAnsi="宋体"/>
          <w:sz w:val="21"/>
          <w:szCs w:val="21"/>
        </w:rPr>
        <w:t>咨询</w:t>
      </w:r>
      <w:r>
        <w:rPr>
          <w:rFonts w:ascii="宋体" w:hAnsi="宋体"/>
          <w:sz w:val="21"/>
          <w:szCs w:val="21"/>
        </w:rPr>
        <w:t>人原因导致</w:t>
      </w:r>
      <w:r>
        <w:rPr>
          <w:rFonts w:hint="eastAsia" w:ascii="宋体" w:hAnsi="宋体"/>
          <w:sz w:val="21"/>
          <w:szCs w:val="21"/>
        </w:rPr>
        <w:t>咨询</w:t>
      </w:r>
      <w:r>
        <w:rPr>
          <w:rFonts w:ascii="宋体" w:hAnsi="宋体"/>
          <w:sz w:val="21"/>
          <w:szCs w:val="21"/>
        </w:rPr>
        <w:t>人履行合同期限延长、内容增加时，</w:t>
      </w:r>
      <w:r>
        <w:rPr>
          <w:rFonts w:hint="eastAsia" w:ascii="宋体" w:hAnsi="宋体"/>
          <w:sz w:val="21"/>
          <w:szCs w:val="21"/>
        </w:rPr>
        <w:t>咨询</w:t>
      </w:r>
      <w:r>
        <w:rPr>
          <w:rFonts w:ascii="宋体" w:hAnsi="宋体"/>
          <w:sz w:val="21"/>
          <w:szCs w:val="21"/>
        </w:rPr>
        <w:t>人应当将此情况与可能产生的影响及时通知委托人。增加的工作时间</w:t>
      </w:r>
      <w:r>
        <w:rPr>
          <w:rFonts w:hint="eastAsia" w:ascii="宋体" w:hAnsi="宋体"/>
          <w:sz w:val="21"/>
          <w:szCs w:val="21"/>
        </w:rPr>
        <w:t>或</w:t>
      </w:r>
      <w:r>
        <w:rPr>
          <w:rFonts w:ascii="宋体" w:hAnsi="宋体"/>
          <w:sz w:val="21"/>
          <w:szCs w:val="21"/>
        </w:rPr>
        <w:t>工作内容应视为附加工作。</w:t>
      </w:r>
      <w:r>
        <w:rPr>
          <w:rFonts w:hint="eastAsia" w:ascii="宋体" w:hAnsi="宋体"/>
          <w:sz w:val="21"/>
          <w:szCs w:val="21"/>
        </w:rPr>
        <w:t>附加工作酬金的确定方法由双方根据委托的服务范围及工作内容在专用条件中约定。</w:t>
      </w:r>
    </w:p>
    <w:p w14:paraId="46804EE9">
      <w:pPr>
        <w:adjustRightInd w:val="0"/>
        <w:snapToGrid w:val="0"/>
        <w:spacing w:line="276" w:lineRule="auto"/>
        <w:ind w:firstLine="420" w:firstLineChars="200"/>
        <w:rPr>
          <w:rFonts w:ascii="宋体" w:hAnsi="宋体"/>
          <w:sz w:val="21"/>
          <w:szCs w:val="21"/>
        </w:rPr>
      </w:pPr>
      <w:r>
        <w:rPr>
          <w:rFonts w:ascii="宋体" w:hAnsi="宋体"/>
          <w:sz w:val="21"/>
          <w:szCs w:val="21"/>
        </w:rPr>
        <w:t>6.</w:t>
      </w:r>
      <w:r>
        <w:rPr>
          <w:rFonts w:hint="eastAsia" w:ascii="宋体" w:hAnsi="宋体"/>
          <w:sz w:val="21"/>
          <w:szCs w:val="21"/>
        </w:rPr>
        <w:t>1</w:t>
      </w:r>
      <w:r>
        <w:rPr>
          <w:rFonts w:ascii="宋体" w:hAnsi="宋体"/>
          <w:sz w:val="21"/>
          <w:szCs w:val="21"/>
        </w:rPr>
        <w:t>.</w:t>
      </w:r>
      <w:r>
        <w:rPr>
          <w:rFonts w:hint="eastAsia" w:ascii="宋体" w:hAnsi="宋体"/>
          <w:sz w:val="21"/>
          <w:szCs w:val="21"/>
        </w:rPr>
        <w:t>3</w:t>
      </w:r>
      <w:r>
        <w:rPr>
          <w:rFonts w:ascii="宋体" w:hAnsi="宋体"/>
          <w:sz w:val="21"/>
          <w:szCs w:val="21"/>
        </w:rPr>
        <w:t>合同</w:t>
      </w:r>
      <w:r>
        <w:rPr>
          <w:rFonts w:hint="eastAsia" w:ascii="宋体" w:hAnsi="宋体"/>
          <w:sz w:val="21"/>
          <w:szCs w:val="21"/>
        </w:rPr>
        <w:t>履行过程中</w:t>
      </w:r>
      <w:r>
        <w:rPr>
          <w:rFonts w:ascii="宋体" w:hAnsi="宋体"/>
          <w:sz w:val="21"/>
          <w:szCs w:val="21"/>
        </w:rPr>
        <w:t>，遇有与工程相关的法律法规、</w:t>
      </w:r>
      <w:r>
        <w:rPr>
          <w:rFonts w:hint="eastAsia" w:ascii="宋体" w:hAnsi="宋体"/>
          <w:sz w:val="21"/>
          <w:szCs w:val="21"/>
        </w:rPr>
        <w:t>强制性</w:t>
      </w:r>
      <w:r>
        <w:rPr>
          <w:rFonts w:ascii="宋体" w:hAnsi="宋体"/>
          <w:sz w:val="21"/>
          <w:szCs w:val="21"/>
        </w:rPr>
        <w:t>标准颁布或修订的，双方应遵照执行。</w:t>
      </w:r>
      <w:r>
        <w:rPr>
          <w:rFonts w:hint="eastAsia" w:ascii="宋体" w:hAnsi="宋体"/>
          <w:sz w:val="21"/>
          <w:szCs w:val="21"/>
        </w:rPr>
        <w:t>非强制性标准、规范、定额等发生变化的，双方协商确定执行依据。</w:t>
      </w:r>
      <w:r>
        <w:rPr>
          <w:rFonts w:ascii="宋体" w:hAnsi="宋体"/>
          <w:sz w:val="21"/>
          <w:szCs w:val="21"/>
        </w:rPr>
        <w:t>由此引起</w:t>
      </w:r>
      <w:r>
        <w:rPr>
          <w:rFonts w:hint="eastAsia" w:ascii="宋体" w:hAnsi="宋体"/>
          <w:sz w:val="21"/>
          <w:szCs w:val="21"/>
        </w:rPr>
        <w:t>造价咨询</w:t>
      </w:r>
      <w:r>
        <w:rPr>
          <w:rFonts w:ascii="宋体" w:hAnsi="宋体"/>
          <w:sz w:val="21"/>
          <w:szCs w:val="21"/>
        </w:rPr>
        <w:t>的</w:t>
      </w:r>
      <w:r>
        <w:rPr>
          <w:rFonts w:hint="eastAsia" w:ascii="宋体" w:hAnsi="宋体"/>
          <w:sz w:val="21"/>
          <w:szCs w:val="21"/>
        </w:rPr>
        <w:t>服务</w:t>
      </w:r>
      <w:r>
        <w:rPr>
          <w:rFonts w:ascii="宋体" w:hAnsi="宋体"/>
          <w:sz w:val="21"/>
          <w:szCs w:val="21"/>
        </w:rPr>
        <w:t>范围</w:t>
      </w:r>
      <w:r>
        <w:rPr>
          <w:rFonts w:hint="eastAsia" w:ascii="宋体" w:hAnsi="宋体"/>
          <w:sz w:val="21"/>
          <w:szCs w:val="21"/>
        </w:rPr>
        <w:t>及内容</w:t>
      </w:r>
      <w:r>
        <w:rPr>
          <w:rFonts w:ascii="宋体" w:hAnsi="宋体"/>
          <w:sz w:val="21"/>
          <w:szCs w:val="21"/>
        </w:rPr>
        <w:t>、</w:t>
      </w:r>
      <w:r>
        <w:rPr>
          <w:rFonts w:hint="eastAsia" w:ascii="宋体" w:hAnsi="宋体"/>
          <w:sz w:val="21"/>
          <w:szCs w:val="21"/>
        </w:rPr>
        <w:t>服务期限</w:t>
      </w:r>
      <w:r>
        <w:rPr>
          <w:rFonts w:ascii="宋体" w:hAnsi="宋体"/>
          <w:sz w:val="21"/>
          <w:szCs w:val="21"/>
        </w:rPr>
        <w:t>、酬金变化的，双方应通过协商</w:t>
      </w:r>
      <w:r>
        <w:rPr>
          <w:rFonts w:hint="eastAsia" w:ascii="宋体" w:hAnsi="宋体"/>
          <w:sz w:val="21"/>
          <w:szCs w:val="21"/>
        </w:rPr>
        <w:t>确定</w:t>
      </w:r>
      <w:r>
        <w:rPr>
          <w:rFonts w:ascii="宋体" w:hAnsi="宋体"/>
          <w:sz w:val="21"/>
          <w:szCs w:val="21"/>
        </w:rPr>
        <w:t>。</w:t>
      </w:r>
      <w:r>
        <w:rPr>
          <w:rFonts w:ascii="宋体" w:hAnsi="宋体"/>
          <w:sz w:val="21"/>
          <w:szCs w:val="21"/>
        </w:rPr>
        <w:br w:type="textWrapping"/>
      </w:r>
      <w:r>
        <w:rPr>
          <w:rFonts w:ascii="宋体" w:hAnsi="宋体"/>
          <w:sz w:val="21"/>
          <w:szCs w:val="21"/>
        </w:rPr>
        <w:t>　　6.</w:t>
      </w:r>
      <w:r>
        <w:rPr>
          <w:rFonts w:hint="eastAsia" w:ascii="宋体" w:hAnsi="宋体"/>
          <w:sz w:val="21"/>
          <w:szCs w:val="21"/>
        </w:rPr>
        <w:t>1</w:t>
      </w:r>
      <w:r>
        <w:rPr>
          <w:rFonts w:ascii="宋体" w:hAnsi="宋体"/>
          <w:sz w:val="21"/>
          <w:szCs w:val="21"/>
        </w:rPr>
        <w:t>.</w:t>
      </w:r>
      <w:r>
        <w:rPr>
          <w:rFonts w:hint="eastAsia" w:ascii="宋体" w:hAnsi="宋体"/>
          <w:sz w:val="21"/>
          <w:szCs w:val="21"/>
        </w:rPr>
        <w:t>4</w:t>
      </w:r>
      <w:r>
        <w:rPr>
          <w:rFonts w:ascii="宋体" w:hAnsi="宋体"/>
          <w:sz w:val="21"/>
          <w:szCs w:val="21"/>
        </w:rPr>
        <w:t xml:space="preserve"> 因工程规模、</w:t>
      </w:r>
      <w:r>
        <w:rPr>
          <w:rFonts w:hint="eastAsia" w:ascii="宋体" w:hAnsi="宋体"/>
          <w:sz w:val="21"/>
          <w:szCs w:val="21"/>
        </w:rPr>
        <w:t>服务</w:t>
      </w:r>
      <w:r>
        <w:rPr>
          <w:rFonts w:ascii="宋体" w:hAnsi="宋体"/>
          <w:sz w:val="21"/>
          <w:szCs w:val="21"/>
        </w:rPr>
        <w:t>范围</w:t>
      </w:r>
      <w:r>
        <w:rPr>
          <w:rFonts w:hint="eastAsia" w:ascii="宋体" w:hAnsi="宋体"/>
          <w:sz w:val="21"/>
          <w:szCs w:val="21"/>
        </w:rPr>
        <w:t>及工作内容</w:t>
      </w:r>
      <w:r>
        <w:rPr>
          <w:rFonts w:ascii="宋体" w:hAnsi="宋体"/>
          <w:sz w:val="21"/>
          <w:szCs w:val="21"/>
        </w:rPr>
        <w:t>的变化</w:t>
      </w:r>
      <w:r>
        <w:rPr>
          <w:rFonts w:hint="eastAsia" w:ascii="宋体" w:hAnsi="宋体"/>
          <w:sz w:val="21"/>
          <w:szCs w:val="21"/>
        </w:rPr>
        <w:t>等</w:t>
      </w:r>
      <w:r>
        <w:rPr>
          <w:rFonts w:ascii="宋体" w:hAnsi="宋体"/>
          <w:sz w:val="21"/>
          <w:szCs w:val="21"/>
        </w:rPr>
        <w:t>导致</w:t>
      </w:r>
      <w:r>
        <w:rPr>
          <w:rFonts w:hint="eastAsia" w:ascii="宋体" w:hAnsi="宋体"/>
          <w:sz w:val="21"/>
          <w:szCs w:val="21"/>
        </w:rPr>
        <w:t>咨询</w:t>
      </w:r>
      <w:r>
        <w:rPr>
          <w:rFonts w:ascii="宋体" w:hAnsi="宋体"/>
          <w:sz w:val="21"/>
          <w:szCs w:val="21"/>
        </w:rPr>
        <w:t>人的工作量</w:t>
      </w:r>
      <w:r>
        <w:rPr>
          <w:rFonts w:hint="eastAsia" w:ascii="宋体" w:hAnsi="宋体"/>
          <w:sz w:val="21"/>
          <w:szCs w:val="21"/>
        </w:rPr>
        <w:t>增减</w:t>
      </w:r>
      <w:r>
        <w:rPr>
          <w:rFonts w:ascii="宋体" w:hAnsi="宋体"/>
          <w:sz w:val="21"/>
          <w:szCs w:val="21"/>
        </w:rPr>
        <w:t>时，</w:t>
      </w:r>
      <w:r>
        <w:rPr>
          <w:rFonts w:hint="eastAsia" w:ascii="宋体" w:hAnsi="宋体"/>
          <w:sz w:val="21"/>
          <w:szCs w:val="21"/>
        </w:rPr>
        <w:t>服务</w:t>
      </w:r>
      <w:r>
        <w:rPr>
          <w:rFonts w:ascii="宋体" w:hAnsi="宋体"/>
          <w:sz w:val="21"/>
          <w:szCs w:val="21"/>
        </w:rPr>
        <w:t>酬金应作相应调整</w:t>
      </w:r>
      <w:r>
        <w:rPr>
          <w:rFonts w:hint="eastAsia" w:ascii="宋体" w:hAnsi="宋体"/>
          <w:sz w:val="21"/>
          <w:szCs w:val="21"/>
        </w:rPr>
        <w:t>，</w:t>
      </w:r>
      <w:r>
        <w:rPr>
          <w:rFonts w:ascii="宋体" w:hAnsi="宋体"/>
          <w:sz w:val="21"/>
          <w:szCs w:val="21"/>
        </w:rPr>
        <w:t>调整方法</w:t>
      </w:r>
      <w:r>
        <w:rPr>
          <w:rFonts w:hint="eastAsia" w:ascii="宋体" w:hAnsi="宋体"/>
          <w:sz w:val="21"/>
          <w:szCs w:val="21"/>
        </w:rPr>
        <w:t>由双方在专用条件中约定。</w:t>
      </w:r>
    </w:p>
    <w:p w14:paraId="43600A86">
      <w:pPr>
        <w:adjustRightInd w:val="0"/>
        <w:snapToGrid w:val="0"/>
        <w:spacing w:line="276" w:lineRule="auto"/>
        <w:ind w:firstLine="420" w:firstLineChars="200"/>
        <w:rPr>
          <w:rFonts w:ascii="宋体" w:hAnsi="宋体"/>
          <w:sz w:val="21"/>
          <w:szCs w:val="21"/>
        </w:rPr>
      </w:pPr>
      <w:bookmarkStart w:id="128" w:name="_Toc422322509"/>
      <w:bookmarkStart w:id="129" w:name="_Toc419045090"/>
      <w:r>
        <w:rPr>
          <w:rFonts w:hint="eastAsia" w:ascii="宋体" w:hAnsi="宋体"/>
          <w:sz w:val="21"/>
          <w:szCs w:val="21"/>
        </w:rPr>
        <w:t>6.2合同</w:t>
      </w:r>
      <w:r>
        <w:rPr>
          <w:rFonts w:ascii="宋体" w:hAnsi="宋体"/>
          <w:sz w:val="21"/>
          <w:szCs w:val="21"/>
        </w:rPr>
        <w:t>解除</w:t>
      </w:r>
      <w:bookmarkEnd w:id="128"/>
      <w:bookmarkEnd w:id="129"/>
    </w:p>
    <w:p w14:paraId="56809444">
      <w:pPr>
        <w:adjustRightInd w:val="0"/>
        <w:snapToGrid w:val="0"/>
        <w:spacing w:line="276"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2.1 委托人与咨询人协商一致，可以解除合同。</w:t>
      </w:r>
    </w:p>
    <w:p w14:paraId="1DC4C986">
      <w:pPr>
        <w:adjustRightInd w:val="0"/>
        <w:snapToGrid w:val="0"/>
        <w:spacing w:line="276"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.2</w:t>
      </w:r>
      <w:r>
        <w:rPr>
          <w:rFonts w:hint="eastAsia" w:ascii="宋体" w:hAnsi="宋体"/>
          <w:sz w:val="21"/>
          <w:szCs w:val="21"/>
        </w:rPr>
        <w:t>.2 有下列情形之一的，合同当事人一方或双方可以解除合同：</w:t>
      </w:r>
    </w:p>
    <w:p w14:paraId="2173E4D6">
      <w:pPr>
        <w:adjustRightInd w:val="0"/>
        <w:snapToGrid w:val="0"/>
        <w:spacing w:line="276" w:lineRule="auto"/>
        <w:ind w:firstLine="420" w:firstLineChars="200"/>
        <w:rPr>
          <w:rFonts w:ascii="宋体" w:hAnsi="宋体"/>
          <w:sz w:val="21"/>
          <w:szCs w:val="21"/>
        </w:rPr>
      </w:pPr>
      <w:r>
        <w:rPr>
          <w:rFonts w:hint="eastAsia" w:ascii="宋体" w:hAnsi="宋体"/>
          <w:sz w:val="21"/>
          <w:szCs w:val="21"/>
        </w:rPr>
        <w:t>（1）咨询人将本合同约定的工程造价咨询服务工作全部或部分转包给他人，委托人可以解除合同；</w:t>
      </w:r>
      <w:r>
        <w:rPr>
          <w:rFonts w:ascii="宋体" w:hAnsi="宋体"/>
          <w:sz w:val="21"/>
          <w:szCs w:val="21"/>
        </w:rPr>
        <w:br w:type="textWrapping"/>
      </w:r>
      <w:r>
        <w:rPr>
          <w:rFonts w:hint="eastAsia" w:ascii="宋体" w:hAnsi="宋体"/>
          <w:sz w:val="21"/>
          <w:szCs w:val="21"/>
        </w:rPr>
        <w:t xml:space="preserve">    （2）咨询人提供的造价咨询服务不符合合同约定的要求，经委托人催告仍不能达到合同约定要求的，委托人可以解除合同；</w:t>
      </w:r>
    </w:p>
    <w:p w14:paraId="761EA055">
      <w:pPr>
        <w:adjustRightInd w:val="0"/>
        <w:snapToGrid w:val="0"/>
        <w:spacing w:line="276" w:lineRule="auto"/>
        <w:ind w:firstLine="420" w:firstLineChars="200"/>
        <w:rPr>
          <w:rFonts w:ascii="宋体" w:hAnsi="宋体"/>
          <w:sz w:val="21"/>
          <w:szCs w:val="21"/>
        </w:rPr>
      </w:pPr>
      <w:r>
        <w:rPr>
          <w:rFonts w:hint="eastAsia" w:ascii="宋体" w:hAnsi="宋体"/>
          <w:sz w:val="21"/>
          <w:szCs w:val="21"/>
        </w:rPr>
        <w:t>（3）委托人未按合同约定支付服务酬金，经咨询人催告后，在28天内仍未支付的，咨询人可以解除合同；</w:t>
      </w:r>
    </w:p>
    <w:p w14:paraId="0FF9DEBC">
      <w:pPr>
        <w:adjustRightInd w:val="0"/>
        <w:snapToGrid w:val="0"/>
        <w:spacing w:line="276" w:lineRule="auto"/>
        <w:ind w:firstLine="420" w:firstLineChars="200"/>
        <w:rPr>
          <w:rFonts w:ascii="宋体" w:hAnsi="宋体"/>
          <w:sz w:val="21"/>
          <w:szCs w:val="21"/>
        </w:rPr>
      </w:pPr>
      <w:r>
        <w:rPr>
          <w:rFonts w:hint="eastAsia" w:ascii="宋体" w:hAnsi="宋体"/>
          <w:sz w:val="21"/>
          <w:szCs w:val="21"/>
        </w:rPr>
        <w:t>（4）因不可抗力致使合同无法履行；</w:t>
      </w:r>
    </w:p>
    <w:p w14:paraId="7FE27D87">
      <w:pPr>
        <w:adjustRightInd w:val="0"/>
        <w:snapToGrid w:val="0"/>
        <w:spacing w:line="276" w:lineRule="auto"/>
        <w:ind w:firstLine="420" w:firstLineChars="200"/>
        <w:rPr>
          <w:rFonts w:ascii="宋体" w:hAnsi="宋体"/>
          <w:sz w:val="21"/>
          <w:szCs w:val="21"/>
        </w:rPr>
      </w:pPr>
      <w:r>
        <w:rPr>
          <w:rFonts w:hint="eastAsia" w:ascii="宋体" w:hAnsi="宋体"/>
          <w:sz w:val="21"/>
          <w:szCs w:val="21"/>
        </w:rPr>
        <w:t>（5）因一方违约致使合同无法实际履行或实际履行已无必要。</w:t>
      </w:r>
    </w:p>
    <w:p w14:paraId="2EF69CD4">
      <w:pPr>
        <w:adjustRightInd w:val="0"/>
        <w:snapToGrid w:val="0"/>
        <w:spacing w:line="276" w:lineRule="auto"/>
        <w:ind w:firstLine="420" w:firstLineChars="200"/>
        <w:rPr>
          <w:rFonts w:ascii="宋体" w:hAnsi="宋体"/>
          <w:sz w:val="21"/>
          <w:szCs w:val="21"/>
        </w:rPr>
      </w:pPr>
      <w:r>
        <w:rPr>
          <w:rFonts w:hint="eastAsia" w:ascii="宋体" w:hAnsi="宋体"/>
          <w:sz w:val="21"/>
          <w:szCs w:val="21"/>
        </w:rPr>
        <w:t>除上述情形外，双方可以根据委托的服务范围及工作内容，在专用条件中约定解除合同的其他条件。</w:t>
      </w:r>
    </w:p>
    <w:p w14:paraId="45EB435D">
      <w:pPr>
        <w:adjustRightInd w:val="0"/>
        <w:snapToGrid w:val="0"/>
        <w:spacing w:line="276"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2.3 任何一方提出解除合同的，应提前30天书面通知对方。</w:t>
      </w:r>
    </w:p>
    <w:p w14:paraId="6D841229">
      <w:pPr>
        <w:adjustRightInd w:val="0"/>
        <w:snapToGrid w:val="0"/>
        <w:spacing w:line="276" w:lineRule="auto"/>
        <w:ind w:firstLine="420" w:firstLineChars="200"/>
        <w:rPr>
          <w:rFonts w:ascii="宋体" w:hAnsi="宋体"/>
          <w:sz w:val="21"/>
          <w:szCs w:val="21"/>
        </w:rPr>
      </w:pPr>
      <w:r>
        <w:rPr>
          <w:rFonts w:hint="eastAsia" w:ascii="宋体" w:hAnsi="宋体"/>
          <w:sz w:val="21"/>
          <w:szCs w:val="21"/>
        </w:rPr>
        <w:t>6.2.4合同解除后，委托人应按照合同约定向咨询人支付已完成部分的咨询服务酬金。</w:t>
      </w:r>
    </w:p>
    <w:p w14:paraId="7EB9A4C1">
      <w:pPr>
        <w:adjustRightInd w:val="0"/>
        <w:snapToGrid w:val="0"/>
        <w:spacing w:line="276" w:lineRule="auto"/>
        <w:ind w:firstLine="420" w:firstLineChars="200"/>
        <w:rPr>
          <w:rFonts w:ascii="宋体" w:hAnsi="宋体"/>
          <w:sz w:val="21"/>
          <w:szCs w:val="21"/>
        </w:rPr>
      </w:pPr>
      <w:r>
        <w:rPr>
          <w:rFonts w:hint="eastAsia" w:ascii="宋体" w:hAnsi="宋体"/>
          <w:sz w:val="21"/>
          <w:szCs w:val="21"/>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32F275AD">
      <w:pPr>
        <w:adjustRightInd w:val="0"/>
        <w:snapToGrid w:val="0"/>
        <w:spacing w:line="276" w:lineRule="auto"/>
        <w:ind w:firstLine="420" w:firstLineChars="200"/>
        <w:rPr>
          <w:rFonts w:ascii="宋体" w:hAnsi="宋体"/>
          <w:sz w:val="21"/>
          <w:szCs w:val="21"/>
        </w:rPr>
      </w:pPr>
      <w:r>
        <w:rPr>
          <w:rFonts w:hint="eastAsia" w:ascii="宋体" w:hAnsi="宋体"/>
          <w:sz w:val="21"/>
          <w:szCs w:val="21"/>
        </w:rPr>
        <w:t>6.2.5</w:t>
      </w:r>
      <w:r>
        <w:rPr>
          <w:rFonts w:ascii="宋体" w:hAnsi="宋体"/>
          <w:sz w:val="21"/>
          <w:szCs w:val="21"/>
        </w:rPr>
        <w:t>本合同解除后，本合同约定的有关结算、争议解决方式的条</w:t>
      </w:r>
      <w:r>
        <w:rPr>
          <w:rFonts w:hint="eastAsia" w:ascii="宋体" w:hAnsi="宋体"/>
          <w:sz w:val="21"/>
          <w:szCs w:val="21"/>
        </w:rPr>
        <w:t>款</w:t>
      </w:r>
      <w:r>
        <w:rPr>
          <w:rFonts w:ascii="宋体" w:hAnsi="宋体"/>
          <w:sz w:val="21"/>
          <w:szCs w:val="21"/>
        </w:rPr>
        <w:t>仍然有效。</w:t>
      </w:r>
    </w:p>
    <w:p w14:paraId="557BA93F">
      <w:pPr>
        <w:adjustRightInd w:val="0"/>
        <w:snapToGrid w:val="0"/>
        <w:spacing w:line="276" w:lineRule="auto"/>
        <w:ind w:firstLine="420" w:firstLineChars="200"/>
        <w:rPr>
          <w:rFonts w:ascii="宋体" w:hAnsi="宋体"/>
          <w:sz w:val="21"/>
          <w:szCs w:val="21"/>
        </w:rPr>
      </w:pPr>
      <w:bookmarkStart w:id="130" w:name="_Toc422322510"/>
      <w:r>
        <w:rPr>
          <w:rFonts w:hint="eastAsia" w:ascii="宋体" w:hAnsi="宋体"/>
          <w:sz w:val="21"/>
          <w:szCs w:val="21"/>
        </w:rPr>
        <w:t>6.</w:t>
      </w:r>
      <w:r>
        <w:rPr>
          <w:rFonts w:ascii="宋体" w:hAnsi="宋体"/>
          <w:sz w:val="21"/>
          <w:szCs w:val="21"/>
        </w:rPr>
        <w:t xml:space="preserve">3 </w:t>
      </w:r>
      <w:r>
        <w:rPr>
          <w:rFonts w:hint="eastAsia" w:ascii="宋体" w:hAnsi="宋体"/>
          <w:sz w:val="21"/>
          <w:szCs w:val="21"/>
        </w:rPr>
        <w:t>合同终止</w:t>
      </w:r>
      <w:bookmarkEnd w:id="130"/>
      <w:r>
        <w:rPr>
          <w:rFonts w:hint="eastAsia" w:ascii="宋体" w:hAnsi="宋体"/>
          <w:sz w:val="21"/>
          <w:szCs w:val="21"/>
        </w:rPr>
        <w:br w:type="textWrapping"/>
      </w:r>
      <w:r>
        <w:rPr>
          <w:rFonts w:hint="eastAsia" w:ascii="宋体" w:hAnsi="宋体"/>
          <w:sz w:val="21"/>
          <w:szCs w:val="21"/>
        </w:rPr>
        <w:t>　　除合同解除外，以下条</w:t>
      </w:r>
      <w:r>
        <w:rPr>
          <w:rFonts w:ascii="宋体" w:hAnsi="宋体"/>
          <w:sz w:val="21"/>
          <w:szCs w:val="21"/>
        </w:rPr>
        <w:t>件全部满足时，本合同终止：</w:t>
      </w:r>
    </w:p>
    <w:p w14:paraId="65D0F424">
      <w:pPr>
        <w:adjustRightInd w:val="0"/>
        <w:snapToGrid w:val="0"/>
        <w:spacing w:line="276"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咨询</w:t>
      </w:r>
      <w:r>
        <w:rPr>
          <w:rFonts w:ascii="宋体" w:hAnsi="宋体"/>
          <w:sz w:val="21"/>
          <w:szCs w:val="21"/>
        </w:rPr>
        <w:t>人完成本合同约定的全部工作；</w:t>
      </w:r>
    </w:p>
    <w:p w14:paraId="518F3441">
      <w:pPr>
        <w:adjustRightInd w:val="0"/>
        <w:snapToGrid w:val="0"/>
        <w:spacing w:line="276" w:lineRule="auto"/>
        <w:ind w:firstLine="420" w:firstLineChars="200"/>
        <w:rPr>
          <w:rFonts w:hint="eastAsia" w:ascii="宋体" w:hAnsi="宋体"/>
          <w:sz w:val="21"/>
          <w:szCs w:val="21"/>
        </w:rPr>
      </w:pPr>
      <w:r>
        <w:rPr>
          <w:rFonts w:ascii="宋体" w:hAnsi="宋体"/>
          <w:sz w:val="21"/>
          <w:szCs w:val="21"/>
        </w:rPr>
        <w:t>（2）委托人与</w:t>
      </w:r>
      <w:r>
        <w:rPr>
          <w:rFonts w:hint="eastAsia" w:ascii="宋体" w:hAnsi="宋体"/>
          <w:sz w:val="21"/>
          <w:szCs w:val="21"/>
        </w:rPr>
        <w:t>咨询</w:t>
      </w:r>
      <w:r>
        <w:rPr>
          <w:rFonts w:ascii="宋体" w:hAnsi="宋体"/>
          <w:sz w:val="21"/>
          <w:szCs w:val="21"/>
        </w:rPr>
        <w:t>人结清并支付酬金</w:t>
      </w:r>
      <w:r>
        <w:rPr>
          <w:rFonts w:hint="eastAsia" w:ascii="宋体" w:hAnsi="宋体"/>
          <w:sz w:val="21"/>
          <w:szCs w:val="21"/>
        </w:rPr>
        <w:t>；</w:t>
      </w:r>
    </w:p>
    <w:p w14:paraId="055A3CDF">
      <w:pPr>
        <w:adjustRightInd w:val="0"/>
        <w:snapToGrid w:val="0"/>
        <w:spacing w:line="276" w:lineRule="auto"/>
        <w:ind w:firstLine="420" w:firstLineChars="200"/>
        <w:rPr>
          <w:rFonts w:ascii="宋体" w:hAnsi="宋体"/>
          <w:sz w:val="21"/>
          <w:szCs w:val="21"/>
        </w:rPr>
      </w:pPr>
      <w:r>
        <w:rPr>
          <w:rFonts w:hint="eastAsia" w:ascii="宋体" w:hAnsi="宋体"/>
          <w:sz w:val="21"/>
          <w:szCs w:val="21"/>
        </w:rPr>
        <w:t>（3）咨询人将委托人提供的资料交还。</w:t>
      </w:r>
    </w:p>
    <w:p w14:paraId="71DDF247">
      <w:pPr>
        <w:adjustRightInd w:val="0"/>
        <w:snapToGrid w:val="0"/>
        <w:spacing w:line="276" w:lineRule="auto"/>
        <w:ind w:firstLine="420" w:firstLineChars="200"/>
        <w:rPr>
          <w:rFonts w:ascii="宋体" w:hAnsi="宋体"/>
          <w:sz w:val="21"/>
          <w:szCs w:val="21"/>
        </w:rPr>
      </w:pPr>
      <w:bookmarkStart w:id="131" w:name="_Toc422322511"/>
      <w:bookmarkStart w:id="132" w:name="_Toc419045091"/>
      <w:r>
        <w:rPr>
          <w:rFonts w:hint="eastAsia" w:ascii="宋体" w:hAnsi="宋体"/>
          <w:sz w:val="21"/>
          <w:szCs w:val="21"/>
        </w:rPr>
        <w:t>7.争议解决</w:t>
      </w:r>
      <w:bookmarkEnd w:id="113"/>
      <w:bookmarkEnd w:id="131"/>
      <w:bookmarkEnd w:id="132"/>
    </w:p>
    <w:p w14:paraId="6AA481A1">
      <w:pPr>
        <w:adjustRightInd w:val="0"/>
        <w:snapToGrid w:val="0"/>
        <w:spacing w:line="276" w:lineRule="auto"/>
        <w:ind w:firstLine="420" w:firstLineChars="200"/>
        <w:rPr>
          <w:rFonts w:ascii="宋体" w:hAnsi="宋体"/>
          <w:sz w:val="21"/>
          <w:szCs w:val="21"/>
        </w:rPr>
      </w:pPr>
      <w:bookmarkStart w:id="133" w:name="_Toc419045092"/>
      <w:bookmarkStart w:id="134" w:name="_Toc422322512"/>
      <w:r>
        <w:rPr>
          <w:rFonts w:ascii="宋体" w:hAnsi="宋体"/>
          <w:sz w:val="21"/>
          <w:szCs w:val="21"/>
        </w:rPr>
        <w:t>7.1协商</w:t>
      </w:r>
      <w:bookmarkEnd w:id="133"/>
      <w:bookmarkEnd w:id="134"/>
      <w:r>
        <w:rPr>
          <w:rFonts w:ascii="宋体" w:hAnsi="宋体"/>
          <w:sz w:val="21"/>
          <w:szCs w:val="21"/>
        </w:rPr>
        <w:br w:type="textWrapping"/>
      </w:r>
      <w:r>
        <w:rPr>
          <w:rFonts w:ascii="宋体" w:hAnsi="宋体"/>
          <w:sz w:val="21"/>
          <w:szCs w:val="21"/>
        </w:rPr>
        <w:t>　　双方应本着诚</w:t>
      </w:r>
      <w:r>
        <w:rPr>
          <w:rFonts w:hint="eastAsia" w:ascii="宋体" w:hAnsi="宋体"/>
          <w:sz w:val="21"/>
          <w:szCs w:val="21"/>
        </w:rPr>
        <w:t>实</w:t>
      </w:r>
      <w:r>
        <w:rPr>
          <w:rFonts w:ascii="宋体" w:hAnsi="宋体"/>
          <w:sz w:val="21"/>
          <w:szCs w:val="21"/>
        </w:rPr>
        <w:t>信</w:t>
      </w:r>
      <w:r>
        <w:rPr>
          <w:rFonts w:hint="eastAsia" w:ascii="宋体" w:hAnsi="宋体"/>
          <w:sz w:val="21"/>
          <w:szCs w:val="21"/>
        </w:rPr>
        <w:t>用的</w:t>
      </w:r>
      <w:r>
        <w:rPr>
          <w:rFonts w:ascii="宋体" w:hAnsi="宋体"/>
          <w:sz w:val="21"/>
          <w:szCs w:val="21"/>
        </w:rPr>
        <w:t>原则协商解决</w:t>
      </w:r>
      <w:r>
        <w:rPr>
          <w:rFonts w:hint="eastAsia" w:ascii="宋体" w:hAnsi="宋体"/>
          <w:sz w:val="21"/>
          <w:szCs w:val="21"/>
        </w:rPr>
        <w:t>本合同履行过程中发生</w:t>
      </w:r>
      <w:r>
        <w:rPr>
          <w:rFonts w:ascii="宋体" w:hAnsi="宋体"/>
          <w:sz w:val="21"/>
          <w:szCs w:val="21"/>
        </w:rPr>
        <w:t>的争议。</w:t>
      </w:r>
      <w:bookmarkStart w:id="135" w:name="37"/>
    </w:p>
    <w:p w14:paraId="440DF6CC">
      <w:pPr>
        <w:adjustRightInd w:val="0"/>
        <w:snapToGrid w:val="0"/>
        <w:spacing w:line="276" w:lineRule="auto"/>
        <w:ind w:firstLine="420" w:firstLineChars="200"/>
        <w:rPr>
          <w:rFonts w:ascii="宋体" w:hAnsi="宋体"/>
          <w:sz w:val="21"/>
          <w:szCs w:val="21"/>
        </w:rPr>
      </w:pPr>
      <w:bookmarkStart w:id="136" w:name="_Toc419045093"/>
      <w:bookmarkStart w:id="137" w:name="_Toc422322513"/>
      <w:r>
        <w:rPr>
          <w:rFonts w:ascii="宋体" w:hAnsi="宋体"/>
          <w:sz w:val="21"/>
          <w:szCs w:val="21"/>
        </w:rPr>
        <w:t>7.2</w:t>
      </w:r>
      <w:bookmarkEnd w:id="135"/>
      <w:r>
        <w:rPr>
          <w:rFonts w:ascii="宋体" w:hAnsi="宋体"/>
          <w:sz w:val="21"/>
          <w:szCs w:val="21"/>
        </w:rPr>
        <w:t>调解</w:t>
      </w:r>
      <w:bookmarkEnd w:id="136"/>
      <w:bookmarkEnd w:id="137"/>
      <w:r>
        <w:rPr>
          <w:rFonts w:ascii="宋体" w:hAnsi="宋体"/>
          <w:sz w:val="21"/>
          <w:szCs w:val="21"/>
        </w:rPr>
        <w:br w:type="textWrapping"/>
      </w:r>
      <w:r>
        <w:rPr>
          <w:rFonts w:ascii="宋体" w:hAnsi="宋体"/>
          <w:sz w:val="21"/>
          <w:szCs w:val="21"/>
        </w:rPr>
        <w:t>　　如果双方不能在14</w:t>
      </w:r>
      <w:r>
        <w:rPr>
          <w:rFonts w:hint="eastAsia" w:ascii="宋体" w:hAnsi="宋体"/>
          <w:sz w:val="21"/>
          <w:szCs w:val="21"/>
        </w:rPr>
        <w:t>日</w:t>
      </w:r>
      <w:r>
        <w:rPr>
          <w:rFonts w:ascii="宋体" w:hAnsi="宋体"/>
          <w:sz w:val="21"/>
          <w:szCs w:val="21"/>
        </w:rPr>
        <w:t>内或双方商定的其他时间内解决本合同争议，可以将其提交给专用条件约定的或事后达成协议的调解人进行调解。</w:t>
      </w:r>
    </w:p>
    <w:p w14:paraId="66C1CCDE">
      <w:pPr>
        <w:adjustRightInd w:val="0"/>
        <w:snapToGrid w:val="0"/>
        <w:spacing w:line="276" w:lineRule="auto"/>
        <w:ind w:firstLine="420" w:firstLineChars="200"/>
        <w:rPr>
          <w:rFonts w:ascii="宋体" w:hAnsi="宋体"/>
          <w:sz w:val="21"/>
          <w:szCs w:val="21"/>
        </w:rPr>
      </w:pPr>
      <w:bookmarkStart w:id="138" w:name="38"/>
      <w:bookmarkStart w:id="139" w:name="_Toc419045094"/>
      <w:bookmarkStart w:id="140" w:name="_Toc422322514"/>
      <w:r>
        <w:rPr>
          <w:rFonts w:ascii="宋体" w:hAnsi="宋体"/>
          <w:sz w:val="21"/>
          <w:szCs w:val="21"/>
        </w:rPr>
        <w:t>7.</w:t>
      </w:r>
      <w:bookmarkEnd w:id="138"/>
      <w:r>
        <w:rPr>
          <w:rFonts w:ascii="宋体" w:hAnsi="宋体"/>
          <w:sz w:val="21"/>
          <w:szCs w:val="21"/>
        </w:rPr>
        <w:t>3仲裁或诉讼</w:t>
      </w:r>
      <w:bookmarkEnd w:id="139"/>
      <w:bookmarkEnd w:id="140"/>
      <w:r>
        <w:rPr>
          <w:rFonts w:ascii="宋体" w:hAnsi="宋体"/>
          <w:sz w:val="21"/>
          <w:szCs w:val="21"/>
        </w:rPr>
        <w:br w:type="textWrapping"/>
      </w:r>
      <w:r>
        <w:rPr>
          <w:rFonts w:ascii="宋体" w:hAnsi="宋体"/>
          <w:sz w:val="21"/>
          <w:szCs w:val="21"/>
        </w:rPr>
        <w:t>　　双方均有权不经调解直接向专用条件约定的仲裁机构申请仲裁或向有管辖权的人民法院提起诉讼。</w:t>
      </w:r>
    </w:p>
    <w:p w14:paraId="33DD5BE8">
      <w:pPr>
        <w:adjustRightInd w:val="0"/>
        <w:snapToGrid w:val="0"/>
        <w:spacing w:line="276" w:lineRule="auto"/>
        <w:ind w:firstLine="420" w:firstLineChars="200"/>
        <w:rPr>
          <w:rFonts w:ascii="宋体" w:hAnsi="宋体"/>
          <w:sz w:val="21"/>
          <w:szCs w:val="21"/>
        </w:rPr>
      </w:pPr>
      <w:bookmarkStart w:id="141" w:name="_Toc422322515"/>
      <w:bookmarkStart w:id="142" w:name="_Toc419045095"/>
      <w:r>
        <w:rPr>
          <w:rFonts w:hint="eastAsia" w:ascii="宋体" w:hAnsi="宋体"/>
          <w:sz w:val="21"/>
          <w:szCs w:val="21"/>
        </w:rPr>
        <w:t>8.其他</w:t>
      </w:r>
      <w:bookmarkEnd w:id="141"/>
      <w:bookmarkEnd w:id="142"/>
    </w:p>
    <w:p w14:paraId="4E1BA567">
      <w:pPr>
        <w:adjustRightInd w:val="0"/>
        <w:snapToGrid w:val="0"/>
        <w:spacing w:line="276" w:lineRule="auto"/>
        <w:ind w:firstLine="420" w:firstLineChars="200"/>
        <w:rPr>
          <w:rFonts w:ascii="宋体" w:hAnsi="宋体"/>
          <w:sz w:val="21"/>
          <w:szCs w:val="21"/>
        </w:rPr>
      </w:pPr>
      <w:bookmarkStart w:id="143" w:name="39"/>
      <w:bookmarkStart w:id="144" w:name="_Toc419045096"/>
      <w:bookmarkStart w:id="145" w:name="_Toc422322516"/>
      <w:r>
        <w:rPr>
          <w:rFonts w:hint="eastAsia" w:ascii="宋体" w:hAnsi="宋体"/>
          <w:sz w:val="21"/>
          <w:szCs w:val="21"/>
        </w:rPr>
        <w:t>8.1</w:t>
      </w:r>
      <w:bookmarkEnd w:id="143"/>
      <w:r>
        <w:rPr>
          <w:rFonts w:ascii="宋体" w:hAnsi="宋体"/>
          <w:sz w:val="21"/>
          <w:szCs w:val="21"/>
        </w:rPr>
        <w:t>考察</w:t>
      </w:r>
      <w:r>
        <w:rPr>
          <w:rFonts w:hint="eastAsia" w:ascii="宋体" w:hAnsi="宋体"/>
          <w:sz w:val="21"/>
          <w:szCs w:val="21"/>
        </w:rPr>
        <w:t>及相关</w:t>
      </w:r>
      <w:r>
        <w:rPr>
          <w:rFonts w:ascii="宋体" w:hAnsi="宋体"/>
          <w:sz w:val="21"/>
          <w:szCs w:val="21"/>
        </w:rPr>
        <w:t>费用</w:t>
      </w:r>
      <w:bookmarkEnd w:id="144"/>
      <w:bookmarkEnd w:id="145"/>
    </w:p>
    <w:p w14:paraId="15A53D42">
      <w:pPr>
        <w:adjustRightInd w:val="0"/>
        <w:snapToGrid w:val="0"/>
        <w:spacing w:line="276" w:lineRule="auto"/>
        <w:ind w:firstLine="420" w:firstLineChars="200"/>
        <w:rPr>
          <w:rFonts w:ascii="宋体" w:hAnsi="宋体"/>
          <w:sz w:val="21"/>
          <w:szCs w:val="21"/>
        </w:rPr>
      </w:pPr>
      <w:r>
        <w:rPr>
          <w:rFonts w:hint="eastAsia" w:ascii="宋体" w:hAnsi="宋体"/>
          <w:sz w:val="21"/>
          <w:szCs w:val="21"/>
        </w:rPr>
        <w:t>除专用条件另有约定外，咨询人经委托人同意进行考察发生的费用由委托人审核后另行支付。差旅费及相关费用的承担由双方在专用条件中约定。</w:t>
      </w:r>
    </w:p>
    <w:p w14:paraId="7F2BC279">
      <w:pPr>
        <w:adjustRightInd w:val="0"/>
        <w:snapToGrid w:val="0"/>
        <w:spacing w:line="276" w:lineRule="auto"/>
        <w:ind w:firstLine="420" w:firstLineChars="200"/>
        <w:rPr>
          <w:rFonts w:ascii="宋体" w:hAnsi="宋体"/>
          <w:sz w:val="21"/>
          <w:szCs w:val="21"/>
        </w:rPr>
      </w:pPr>
      <w:bookmarkStart w:id="146" w:name="_Toc422322517"/>
      <w:r>
        <w:rPr>
          <w:rFonts w:hint="eastAsia" w:ascii="宋体" w:hAnsi="宋体"/>
          <w:sz w:val="21"/>
          <w:szCs w:val="21"/>
        </w:rPr>
        <w:t>8.2奖励</w:t>
      </w:r>
      <w:bookmarkEnd w:id="146"/>
    </w:p>
    <w:p w14:paraId="4CD09052">
      <w:pPr>
        <w:adjustRightInd w:val="0"/>
        <w:snapToGrid w:val="0"/>
        <w:spacing w:line="276" w:lineRule="auto"/>
        <w:ind w:firstLine="420" w:firstLineChars="200"/>
        <w:rPr>
          <w:rFonts w:ascii="宋体" w:hAnsi="宋体"/>
          <w:sz w:val="21"/>
          <w:szCs w:val="21"/>
        </w:rPr>
      </w:pPr>
      <w:r>
        <w:rPr>
          <w:rFonts w:hint="eastAsia" w:ascii="宋体" w:hAnsi="宋体"/>
          <w:sz w:val="21"/>
          <w:szCs w:val="21"/>
        </w:rPr>
        <w:t>对于咨询</w:t>
      </w:r>
      <w:r>
        <w:rPr>
          <w:rFonts w:ascii="宋体" w:hAnsi="宋体"/>
          <w:sz w:val="21"/>
          <w:szCs w:val="21"/>
        </w:rPr>
        <w:t>人在服务过程中提出合理化建议，使委托人获得效益的，双方在专用条件中约定奖励金额的确定方法。奖励金额在合理化建议被采纳后，与最近一期的正常工作酬金同期支付。</w:t>
      </w:r>
    </w:p>
    <w:p w14:paraId="783D7712">
      <w:pPr>
        <w:adjustRightInd w:val="0"/>
        <w:snapToGrid w:val="0"/>
        <w:spacing w:line="276" w:lineRule="auto"/>
        <w:ind w:firstLine="420" w:firstLineChars="200"/>
        <w:rPr>
          <w:rFonts w:ascii="宋体" w:hAnsi="宋体"/>
          <w:sz w:val="21"/>
          <w:szCs w:val="21"/>
        </w:rPr>
      </w:pPr>
      <w:bookmarkStart w:id="147" w:name="_Toc422322518"/>
      <w:r>
        <w:rPr>
          <w:rFonts w:hint="eastAsia" w:ascii="宋体" w:hAnsi="宋体"/>
          <w:sz w:val="21"/>
          <w:szCs w:val="21"/>
        </w:rPr>
        <w:t>8.3保密</w:t>
      </w:r>
      <w:bookmarkEnd w:id="147"/>
    </w:p>
    <w:p w14:paraId="690DF335">
      <w:pPr>
        <w:adjustRightInd w:val="0"/>
        <w:snapToGrid w:val="0"/>
        <w:spacing w:line="276" w:lineRule="auto"/>
        <w:ind w:firstLine="420" w:firstLineChars="200"/>
        <w:rPr>
          <w:rFonts w:ascii="宋体" w:hAnsi="宋体"/>
          <w:sz w:val="21"/>
          <w:szCs w:val="21"/>
        </w:rPr>
      </w:pPr>
      <w:r>
        <w:rPr>
          <w:rFonts w:hint="eastAsia" w:ascii="宋体" w:hAnsi="宋体"/>
          <w:sz w:val="21"/>
          <w:szCs w:val="21"/>
        </w:rPr>
        <w:t>在本合同履行期间或专用条件约定的期限内，</w:t>
      </w:r>
      <w:r>
        <w:rPr>
          <w:rFonts w:ascii="宋体" w:hAnsi="宋体"/>
          <w:sz w:val="21"/>
          <w:szCs w:val="21"/>
        </w:rPr>
        <w:t>双方不得泄露对方申明的保密资料，亦不得泄露与实施工程有关的第三</w:t>
      </w:r>
      <w:r>
        <w:rPr>
          <w:rFonts w:hint="eastAsia" w:ascii="宋体" w:hAnsi="宋体"/>
          <w:sz w:val="21"/>
          <w:szCs w:val="21"/>
        </w:rPr>
        <w:t>人</w:t>
      </w:r>
      <w:r>
        <w:rPr>
          <w:rFonts w:ascii="宋体" w:hAnsi="宋体"/>
          <w:sz w:val="21"/>
          <w:szCs w:val="21"/>
        </w:rPr>
        <w:t>所提供的保密资料</w:t>
      </w:r>
      <w:r>
        <w:rPr>
          <w:rFonts w:hint="eastAsia" w:ascii="宋体" w:hAnsi="宋体"/>
          <w:sz w:val="21"/>
          <w:szCs w:val="21"/>
        </w:rPr>
        <w:t>。</w:t>
      </w:r>
      <w:r>
        <w:rPr>
          <w:rFonts w:ascii="宋体" w:hAnsi="宋体"/>
          <w:sz w:val="21"/>
          <w:szCs w:val="21"/>
        </w:rPr>
        <w:t>保密事项在专用条件中约定。</w:t>
      </w:r>
    </w:p>
    <w:p w14:paraId="57383A41">
      <w:pPr>
        <w:adjustRightInd w:val="0"/>
        <w:snapToGrid w:val="0"/>
        <w:spacing w:line="276" w:lineRule="auto"/>
        <w:ind w:firstLine="420" w:firstLineChars="200"/>
        <w:rPr>
          <w:rFonts w:ascii="宋体" w:hAnsi="宋体"/>
          <w:sz w:val="21"/>
          <w:szCs w:val="21"/>
        </w:rPr>
      </w:pPr>
      <w:bookmarkStart w:id="148" w:name="_Toc419045097"/>
      <w:bookmarkStart w:id="149" w:name="_Toc422322519"/>
      <w:r>
        <w:rPr>
          <w:rFonts w:hint="eastAsia" w:ascii="宋体" w:hAnsi="宋体"/>
          <w:sz w:val="21"/>
          <w:szCs w:val="21"/>
        </w:rPr>
        <w:t>8.4</w:t>
      </w:r>
      <w:bookmarkEnd w:id="148"/>
      <w:r>
        <w:rPr>
          <w:rFonts w:hint="eastAsia" w:ascii="宋体" w:hAnsi="宋体"/>
          <w:sz w:val="21"/>
          <w:szCs w:val="21"/>
        </w:rPr>
        <w:t>联络</w:t>
      </w:r>
      <w:bookmarkEnd w:id="149"/>
    </w:p>
    <w:p w14:paraId="231FAF13">
      <w:pPr>
        <w:adjustRightInd w:val="0"/>
        <w:snapToGrid w:val="0"/>
        <w:spacing w:line="276" w:lineRule="auto"/>
        <w:ind w:firstLine="420" w:firstLineChars="200"/>
        <w:rPr>
          <w:rFonts w:ascii="宋体" w:hAnsi="宋体"/>
          <w:sz w:val="21"/>
          <w:szCs w:val="21"/>
        </w:rPr>
      </w:pPr>
      <w:r>
        <w:rPr>
          <w:rFonts w:hint="eastAsia" w:ascii="宋体" w:hAnsi="宋体"/>
          <w:sz w:val="21"/>
          <w:szCs w:val="21"/>
        </w:rPr>
        <w:t>8.4.1与合同有关的通知、指示、要求、决定等，均应采用书面形式，并应在专用条件约定的期限内送达接收人和送达地点。</w:t>
      </w:r>
    </w:p>
    <w:p w14:paraId="118C2F1E">
      <w:pPr>
        <w:adjustRightInd w:val="0"/>
        <w:snapToGrid w:val="0"/>
        <w:spacing w:line="276" w:lineRule="auto"/>
        <w:ind w:firstLine="420" w:firstLineChars="200"/>
        <w:rPr>
          <w:rFonts w:ascii="宋体" w:hAnsi="宋体"/>
          <w:sz w:val="21"/>
          <w:szCs w:val="21"/>
        </w:rPr>
      </w:pPr>
      <w:r>
        <w:rPr>
          <w:rFonts w:hint="eastAsia" w:ascii="宋体" w:hAnsi="宋体"/>
          <w:sz w:val="21"/>
          <w:szCs w:val="21"/>
        </w:rPr>
        <w:t>8.4.2委托人和咨询人应在专用条件中约定各自的送达接收人、送达地点、电子邮箱。任何一方指定的接收人或送达地点或电子邮箱发生变动的，应提前3天以书面形式通知对方，否则视为未发生变动。</w:t>
      </w:r>
    </w:p>
    <w:p w14:paraId="49F842C0">
      <w:pPr>
        <w:adjustRightInd w:val="0"/>
        <w:snapToGrid w:val="0"/>
        <w:spacing w:line="276" w:lineRule="auto"/>
        <w:ind w:firstLine="420" w:firstLineChars="200"/>
        <w:rPr>
          <w:rFonts w:ascii="宋体" w:hAnsi="宋体"/>
          <w:sz w:val="21"/>
          <w:szCs w:val="21"/>
        </w:rPr>
      </w:pPr>
      <w:r>
        <w:rPr>
          <w:rFonts w:hint="eastAsia" w:ascii="宋体" w:hAnsi="宋体"/>
          <w:sz w:val="21"/>
          <w:szCs w:val="21"/>
        </w:rPr>
        <w:t>8.4.3委托人和咨询人应当及时签收另一方送达至送达地点和指定接收人的往来函件，如确有充分证据证明一方无正当理由拒不签收的，视为认可往来函件的内容。</w:t>
      </w:r>
    </w:p>
    <w:p w14:paraId="5425AA13">
      <w:pPr>
        <w:adjustRightInd w:val="0"/>
        <w:snapToGrid w:val="0"/>
        <w:spacing w:line="276" w:lineRule="auto"/>
        <w:ind w:firstLine="420" w:firstLineChars="200"/>
        <w:rPr>
          <w:rFonts w:ascii="宋体" w:hAnsi="宋体"/>
          <w:sz w:val="21"/>
          <w:szCs w:val="21"/>
        </w:rPr>
      </w:pPr>
      <w:bookmarkStart w:id="150" w:name="_Toc422322520"/>
      <w:r>
        <w:rPr>
          <w:rFonts w:hint="eastAsia" w:ascii="宋体" w:hAnsi="宋体"/>
          <w:sz w:val="21"/>
          <w:szCs w:val="21"/>
        </w:rPr>
        <w:t>8.5知识产权</w:t>
      </w:r>
      <w:bookmarkEnd w:id="150"/>
    </w:p>
    <w:p w14:paraId="43FA6B13">
      <w:pPr>
        <w:adjustRightInd w:val="0"/>
        <w:snapToGrid w:val="0"/>
        <w:spacing w:line="276" w:lineRule="auto"/>
        <w:ind w:firstLine="420" w:firstLineChars="200"/>
        <w:rPr>
          <w:rFonts w:ascii="宋体" w:hAnsi="宋体"/>
          <w:sz w:val="21"/>
          <w:szCs w:val="21"/>
        </w:rPr>
      </w:pPr>
      <w:r>
        <w:rPr>
          <w:rFonts w:hint="eastAsia" w:ascii="宋体" w:hAnsi="宋体"/>
          <w:sz w:val="21"/>
          <w:szCs w:val="21"/>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78EA9F60">
      <w:pPr>
        <w:adjustRightInd w:val="0"/>
        <w:snapToGrid w:val="0"/>
        <w:spacing w:line="276" w:lineRule="auto"/>
        <w:ind w:firstLine="420" w:firstLineChars="200"/>
        <w:rPr>
          <w:rFonts w:ascii="宋体" w:hAnsi="宋体"/>
          <w:sz w:val="21"/>
          <w:szCs w:val="21"/>
        </w:rPr>
      </w:pPr>
      <w:r>
        <w:rPr>
          <w:rFonts w:hint="eastAsia" w:ascii="宋体" w:hAnsi="宋体"/>
          <w:sz w:val="21"/>
          <w:szCs w:val="21"/>
        </w:rPr>
        <w:t>除专用条件另有约定外，</w:t>
      </w:r>
      <w:r>
        <w:rPr>
          <w:rFonts w:ascii="宋体" w:hAnsi="宋体"/>
          <w:sz w:val="21"/>
          <w:szCs w:val="21"/>
        </w:rPr>
        <w:t>咨询人为履行本合同约定而编制的</w:t>
      </w:r>
      <w:r>
        <w:rPr>
          <w:rFonts w:hint="eastAsia" w:ascii="宋体" w:hAnsi="宋体"/>
          <w:sz w:val="21"/>
          <w:szCs w:val="21"/>
        </w:rPr>
        <w:t>成果</w:t>
      </w:r>
      <w:r>
        <w:rPr>
          <w:rFonts w:ascii="宋体" w:hAnsi="宋体"/>
          <w:sz w:val="21"/>
          <w:szCs w:val="21"/>
        </w:rPr>
        <w:t>文件</w:t>
      </w:r>
      <w:r>
        <w:rPr>
          <w:rFonts w:hint="eastAsia" w:ascii="宋体" w:hAnsi="宋体"/>
          <w:sz w:val="21"/>
          <w:szCs w:val="21"/>
        </w:rPr>
        <w:t>，其</w:t>
      </w:r>
      <w:r>
        <w:rPr>
          <w:rFonts w:ascii="宋体" w:hAnsi="宋体"/>
          <w:sz w:val="21"/>
          <w:szCs w:val="21"/>
        </w:rPr>
        <w:t>著作权属于</w:t>
      </w:r>
      <w:r>
        <w:rPr>
          <w:rFonts w:hint="eastAsia" w:ascii="宋体" w:hAnsi="宋体"/>
          <w:sz w:val="21"/>
          <w:szCs w:val="21"/>
        </w:rPr>
        <w:t>咨询</w:t>
      </w:r>
      <w:r>
        <w:rPr>
          <w:rFonts w:ascii="宋体" w:hAnsi="宋体"/>
          <w:sz w:val="21"/>
          <w:szCs w:val="21"/>
        </w:rPr>
        <w:t>人。</w:t>
      </w:r>
      <w:r>
        <w:rPr>
          <w:rFonts w:hint="eastAsia" w:ascii="宋体" w:hAnsi="宋体"/>
          <w:sz w:val="21"/>
          <w:szCs w:val="21"/>
        </w:rPr>
        <w:t>委托</w:t>
      </w:r>
      <w:r>
        <w:rPr>
          <w:rFonts w:ascii="宋体" w:hAnsi="宋体"/>
          <w:sz w:val="21"/>
          <w:szCs w:val="21"/>
        </w:rPr>
        <w:t>人可</w:t>
      </w:r>
      <w:r>
        <w:rPr>
          <w:rFonts w:hint="eastAsia" w:ascii="宋体" w:hAnsi="宋体"/>
          <w:sz w:val="21"/>
          <w:szCs w:val="21"/>
        </w:rPr>
        <w:t>以为实现合同</w:t>
      </w:r>
      <w:r>
        <w:rPr>
          <w:rFonts w:ascii="宋体" w:hAnsi="宋体"/>
          <w:sz w:val="21"/>
          <w:szCs w:val="21"/>
        </w:rPr>
        <w:t>目的而复制、使用此类文件，但不能</w:t>
      </w:r>
      <w:r>
        <w:rPr>
          <w:rFonts w:hint="eastAsia" w:ascii="宋体" w:hAnsi="宋体"/>
          <w:sz w:val="21"/>
          <w:szCs w:val="21"/>
        </w:rPr>
        <w:t>擅自修改或</w:t>
      </w:r>
      <w:r>
        <w:rPr>
          <w:rFonts w:ascii="宋体" w:hAnsi="宋体"/>
          <w:sz w:val="21"/>
          <w:szCs w:val="21"/>
        </w:rPr>
        <w:t>用于与</w:t>
      </w:r>
      <w:r>
        <w:rPr>
          <w:rFonts w:hint="eastAsia" w:ascii="宋体" w:hAnsi="宋体"/>
          <w:sz w:val="21"/>
          <w:szCs w:val="21"/>
        </w:rPr>
        <w:t>本</w:t>
      </w:r>
      <w:r>
        <w:rPr>
          <w:rFonts w:ascii="宋体" w:hAnsi="宋体"/>
          <w:sz w:val="21"/>
          <w:szCs w:val="21"/>
        </w:rPr>
        <w:t>合同无关的其他事项。未经</w:t>
      </w:r>
      <w:r>
        <w:rPr>
          <w:rFonts w:hint="eastAsia" w:ascii="宋体" w:hAnsi="宋体"/>
          <w:sz w:val="21"/>
          <w:szCs w:val="21"/>
        </w:rPr>
        <w:t>咨询</w:t>
      </w:r>
      <w:r>
        <w:rPr>
          <w:rFonts w:ascii="宋体" w:hAnsi="宋体"/>
          <w:sz w:val="21"/>
          <w:szCs w:val="21"/>
        </w:rPr>
        <w:t>人书面同意，</w:t>
      </w:r>
      <w:r>
        <w:rPr>
          <w:rFonts w:hint="eastAsia" w:ascii="宋体" w:hAnsi="宋体"/>
          <w:sz w:val="21"/>
          <w:szCs w:val="21"/>
        </w:rPr>
        <w:t>委托</w:t>
      </w:r>
      <w:r>
        <w:rPr>
          <w:rFonts w:ascii="宋体" w:hAnsi="宋体"/>
          <w:sz w:val="21"/>
          <w:szCs w:val="21"/>
        </w:rPr>
        <w:t>人不得为了</w:t>
      </w:r>
      <w:r>
        <w:rPr>
          <w:rFonts w:hint="eastAsia" w:ascii="宋体" w:hAnsi="宋体"/>
          <w:sz w:val="21"/>
          <w:szCs w:val="21"/>
        </w:rPr>
        <w:t>本</w:t>
      </w:r>
      <w:r>
        <w:rPr>
          <w:rFonts w:ascii="宋体" w:hAnsi="宋体"/>
          <w:sz w:val="21"/>
          <w:szCs w:val="21"/>
        </w:rPr>
        <w:t>合同以外的目的而复制</w:t>
      </w:r>
      <w:r>
        <w:rPr>
          <w:rFonts w:hint="eastAsia" w:ascii="宋体" w:hAnsi="宋体"/>
          <w:sz w:val="21"/>
          <w:szCs w:val="21"/>
        </w:rPr>
        <w:t>或者以其他方式</w:t>
      </w:r>
      <w:r>
        <w:rPr>
          <w:rFonts w:ascii="宋体" w:hAnsi="宋体"/>
          <w:sz w:val="21"/>
          <w:szCs w:val="21"/>
        </w:rPr>
        <w:t>使用上述文件或将之提供给任何第三方。</w:t>
      </w:r>
    </w:p>
    <w:p w14:paraId="5BF12028">
      <w:pPr>
        <w:adjustRightInd w:val="0"/>
        <w:snapToGrid w:val="0"/>
        <w:spacing w:line="276" w:lineRule="auto"/>
        <w:ind w:firstLine="420" w:firstLineChars="200"/>
        <w:rPr>
          <w:rFonts w:ascii="宋体" w:hAnsi="宋体"/>
          <w:sz w:val="21"/>
          <w:szCs w:val="21"/>
        </w:rPr>
      </w:pPr>
      <w:r>
        <w:rPr>
          <w:rFonts w:hint="eastAsia" w:ascii="宋体" w:hAnsi="宋体"/>
          <w:sz w:val="21"/>
          <w:szCs w:val="21"/>
        </w:rPr>
        <w:t>双方</w:t>
      </w:r>
      <w:r>
        <w:rPr>
          <w:rFonts w:ascii="宋体" w:hAnsi="宋体"/>
          <w:sz w:val="21"/>
          <w:szCs w:val="21"/>
        </w:rPr>
        <w:t>保证在履行</w:t>
      </w:r>
      <w:r>
        <w:rPr>
          <w:rFonts w:hint="eastAsia" w:ascii="宋体" w:hAnsi="宋体"/>
          <w:sz w:val="21"/>
          <w:szCs w:val="21"/>
        </w:rPr>
        <w:t>本</w:t>
      </w:r>
      <w:r>
        <w:rPr>
          <w:rFonts w:ascii="宋体" w:hAnsi="宋体"/>
          <w:sz w:val="21"/>
          <w:szCs w:val="21"/>
        </w:rPr>
        <w:t>合同过程中不侵犯对方及第三方的知识产权。</w:t>
      </w:r>
      <w:r>
        <w:rPr>
          <w:rFonts w:hint="eastAsia" w:ascii="宋体" w:hAnsi="宋体"/>
          <w:sz w:val="21"/>
          <w:szCs w:val="21"/>
        </w:rPr>
        <w:t>因咨询人</w:t>
      </w:r>
      <w:r>
        <w:rPr>
          <w:rFonts w:ascii="宋体" w:hAnsi="宋体"/>
          <w:sz w:val="21"/>
          <w:szCs w:val="21"/>
        </w:rPr>
        <w:t>侵犯他人知识产权所引起的责任，由</w:t>
      </w:r>
      <w:r>
        <w:rPr>
          <w:rFonts w:hint="eastAsia" w:ascii="宋体" w:hAnsi="宋体"/>
          <w:sz w:val="21"/>
          <w:szCs w:val="21"/>
        </w:rPr>
        <w:t>咨询</w:t>
      </w:r>
      <w:r>
        <w:rPr>
          <w:rFonts w:ascii="宋体" w:hAnsi="宋体"/>
          <w:sz w:val="21"/>
          <w:szCs w:val="21"/>
        </w:rPr>
        <w:t>人承担；因</w:t>
      </w:r>
      <w:r>
        <w:rPr>
          <w:rFonts w:hint="eastAsia" w:ascii="宋体" w:hAnsi="宋体"/>
          <w:sz w:val="21"/>
          <w:szCs w:val="21"/>
        </w:rPr>
        <w:t>委托</w:t>
      </w:r>
      <w:r>
        <w:rPr>
          <w:rFonts w:ascii="宋体" w:hAnsi="宋体"/>
          <w:sz w:val="21"/>
          <w:szCs w:val="21"/>
        </w:rPr>
        <w:t>人提供的</w:t>
      </w:r>
      <w:r>
        <w:rPr>
          <w:rFonts w:hint="eastAsia" w:ascii="宋体" w:hAnsi="宋体"/>
          <w:sz w:val="21"/>
          <w:szCs w:val="21"/>
        </w:rPr>
        <w:t>基础资料</w:t>
      </w:r>
      <w:r>
        <w:rPr>
          <w:rFonts w:ascii="宋体" w:hAnsi="宋体"/>
          <w:sz w:val="21"/>
          <w:szCs w:val="21"/>
        </w:rPr>
        <w:t>导致侵权的，由</w:t>
      </w:r>
      <w:r>
        <w:rPr>
          <w:rFonts w:hint="eastAsia" w:ascii="宋体" w:hAnsi="宋体"/>
          <w:sz w:val="21"/>
          <w:szCs w:val="21"/>
        </w:rPr>
        <w:t>委托</w:t>
      </w:r>
      <w:r>
        <w:rPr>
          <w:rFonts w:ascii="宋体" w:hAnsi="宋体"/>
          <w:sz w:val="21"/>
          <w:szCs w:val="21"/>
        </w:rPr>
        <w:t>人承担责任。</w:t>
      </w:r>
    </w:p>
    <w:p w14:paraId="4C6B8927">
      <w:pPr>
        <w:adjustRightInd w:val="0"/>
        <w:snapToGrid w:val="0"/>
        <w:spacing w:line="276" w:lineRule="auto"/>
        <w:ind w:firstLine="420" w:firstLineChars="200"/>
        <w:rPr>
          <w:rFonts w:ascii="宋体" w:hAnsi="宋体"/>
          <w:sz w:val="21"/>
          <w:szCs w:val="21"/>
        </w:rPr>
      </w:pPr>
      <w:r>
        <w:rPr>
          <w:rFonts w:hint="eastAsia" w:ascii="宋体" w:hAnsi="宋体"/>
          <w:sz w:val="21"/>
          <w:szCs w:val="21"/>
        </w:rPr>
        <w:t>除专用条件另有约定外，双方均有权在履行本合同保密义务并且不损害对方利益的情况下，将履行本合同形成的有关成果文件用于企业宣传、申报奖项以及接受上级主管部门的检查。</w:t>
      </w:r>
    </w:p>
    <w:p w14:paraId="54798937">
      <w:r>
        <w:br w:type="page"/>
      </w:r>
    </w:p>
    <w:p w14:paraId="5591D9F9">
      <w:pPr>
        <w:jc w:val="center"/>
        <w:rPr>
          <w:rFonts w:ascii="宋体" w:hAnsi="宋体"/>
          <w:b/>
          <w:bCs/>
          <w:sz w:val="21"/>
          <w:szCs w:val="21"/>
        </w:rPr>
      </w:pPr>
      <w:bookmarkStart w:id="151" w:name="_Toc419045098"/>
      <w:bookmarkStart w:id="152" w:name="_Toc422322521"/>
      <w:r>
        <w:rPr>
          <w:rFonts w:hint="eastAsia" w:ascii="宋体" w:hAnsi="宋体"/>
          <w:b/>
          <w:bCs/>
          <w:sz w:val="21"/>
          <w:szCs w:val="21"/>
        </w:rPr>
        <w:t>第三部分　专用条件</w:t>
      </w:r>
      <w:bookmarkEnd w:id="151"/>
      <w:bookmarkEnd w:id="152"/>
      <w:bookmarkStart w:id="153" w:name="45"/>
    </w:p>
    <w:bookmarkEnd w:id="153"/>
    <w:p w14:paraId="17AC630F">
      <w:pPr>
        <w:keepNext w:val="0"/>
        <w:keepLines w:val="0"/>
        <w:pageBreakBefore w:val="0"/>
        <w:widowControl w:val="0"/>
        <w:numPr>
          <w:ilvl w:val="0"/>
          <w:numId w:val="0"/>
        </w:numPr>
        <w:tabs>
          <w:tab w:val="left" w:pos="1041"/>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w w:val="100"/>
          <w:kern w:val="2"/>
          <w:sz w:val="21"/>
          <w:szCs w:val="21"/>
          <w:lang w:val="en-US" w:eastAsia="zh-CN" w:bidi="ar-SA"/>
        </w:rPr>
        <w:t>1.</w:t>
      </w:r>
      <w:r>
        <w:rPr>
          <w:rFonts w:hint="eastAsia" w:ascii="宋体" w:hAnsi="宋体" w:eastAsia="宋体" w:cs="宋体"/>
          <w:b w:val="0"/>
          <w:bCs w:val="0"/>
          <w:w w:val="95"/>
          <w:sz w:val="21"/>
          <w:szCs w:val="21"/>
        </w:rPr>
        <w:t>词语定义、语言、解释顺序与适用法</w:t>
      </w:r>
      <w:r>
        <w:rPr>
          <w:rFonts w:hint="eastAsia" w:ascii="宋体" w:hAnsi="宋体" w:eastAsia="宋体" w:cs="宋体"/>
          <w:b w:val="0"/>
          <w:bCs w:val="0"/>
          <w:spacing w:val="-10"/>
          <w:w w:val="95"/>
          <w:sz w:val="21"/>
          <w:szCs w:val="21"/>
        </w:rPr>
        <w:t>律</w:t>
      </w:r>
    </w:p>
    <w:p w14:paraId="7075AC21">
      <w:pPr>
        <w:pStyle w:val="7"/>
        <w:keepNext w:val="0"/>
        <w:keepLines w:val="0"/>
        <w:pageBreakBefore w:val="0"/>
        <w:widowControl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1.2语言</w:t>
      </w:r>
    </w:p>
    <w:p w14:paraId="60F4273E">
      <w:pPr>
        <w:pStyle w:val="7"/>
        <w:keepNext w:val="0"/>
        <w:keepLines w:val="0"/>
        <w:pageBreakBefore w:val="0"/>
        <w:widowControl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本合同文件除使用中文外，还可用</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46A0F82">
      <w:pPr>
        <w:pStyle w:val="7"/>
        <w:keepNext w:val="0"/>
        <w:keepLines w:val="0"/>
        <w:pageBreakBefore w:val="0"/>
        <w:widowControl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1.3合同文件的优先顺序</w:t>
      </w:r>
    </w:p>
    <w:p w14:paraId="5038D3F9">
      <w:pPr>
        <w:pStyle w:val="7"/>
        <w:keepNext w:val="0"/>
        <w:keepLines w:val="0"/>
        <w:pageBreakBefore w:val="0"/>
        <w:widowControl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本合同文件的解释顺序为：</w:t>
      </w:r>
    </w:p>
    <w:p w14:paraId="4BA86873">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协议书</w:t>
      </w:r>
    </w:p>
    <w:p w14:paraId="3AAF1008">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中标通知书或委托书（如果有）；</w:t>
      </w:r>
    </w:p>
    <w:p w14:paraId="7E5EF1C1">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专用条件及附录；</w:t>
      </w:r>
    </w:p>
    <w:p w14:paraId="3351915A">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通用条件；</w:t>
      </w:r>
    </w:p>
    <w:p w14:paraId="204DF421">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投标函及投标函附录或造价咨询服务建议书（如果有）；</w:t>
      </w:r>
    </w:p>
    <w:p w14:paraId="75DC2D28">
      <w:pPr>
        <w:pStyle w:val="7"/>
        <w:keepNext w:val="0"/>
        <w:keepLines w:val="0"/>
        <w:pageBreakBefore w:val="0"/>
        <w:widowControl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其他合同文件</w:t>
      </w:r>
      <w:r>
        <w:rPr>
          <w:rFonts w:hint="eastAsia" w:ascii="宋体" w:hAnsi="宋体" w:eastAsia="宋体" w:cs="宋体"/>
          <w:sz w:val="21"/>
          <w:szCs w:val="21"/>
          <w:lang w:eastAsia="zh-CN"/>
        </w:rPr>
        <w:t>。</w:t>
      </w:r>
    </w:p>
    <w:p w14:paraId="34C8DB82">
      <w:pPr>
        <w:pStyle w:val="7"/>
        <w:keepNext w:val="0"/>
        <w:keepLines w:val="0"/>
        <w:pageBreakBefore w:val="0"/>
        <w:widowControl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上述各项合同文件包括合同当事人就该项合同文件所作出的补充和修改，属于同一类内容的文件，应以最新签署的为准。</w:t>
      </w:r>
    </w:p>
    <w:p w14:paraId="1E9DB3CE">
      <w:pPr>
        <w:keepNext w:val="0"/>
        <w:keepLines w:val="0"/>
        <w:pageBreakBefore w:val="0"/>
        <w:widowControl w:val="0"/>
        <w:numPr>
          <w:ilvl w:val="0"/>
          <w:numId w:val="0"/>
        </w:numPr>
        <w:tabs>
          <w:tab w:val="left" w:pos="1041"/>
        </w:tabs>
        <w:kinsoku/>
        <w:wordWrap/>
        <w:overflowPunct/>
        <w:topLinePunct w:val="0"/>
        <w:autoSpaceDE/>
        <w:autoSpaceDN/>
        <w:bidi w:val="0"/>
        <w:adjustRightInd w:val="0"/>
        <w:snapToGrid w:val="0"/>
        <w:spacing w:after="0" w:line="288" w:lineRule="auto"/>
        <w:ind w:right="0" w:rightChars="0" w:firstLine="420" w:firstLineChars="200"/>
        <w:jc w:val="left"/>
        <w:textAlignment w:val="auto"/>
        <w:outlineLvl w:val="9"/>
        <w:rPr>
          <w:rFonts w:hint="eastAsia" w:ascii="宋体" w:hAnsi="宋体" w:eastAsia="宋体" w:cs="宋体"/>
          <w:sz w:val="21"/>
          <w:szCs w:val="21"/>
          <w:u w:val="single"/>
          <w:lang w:eastAsia="zh-CN"/>
        </w:rPr>
      </w:pPr>
      <w:r>
        <w:rPr>
          <w:rFonts w:hint="eastAsia" w:ascii="宋体" w:hAnsi="宋体" w:eastAsia="宋体" w:cs="宋体"/>
          <w:sz w:val="21"/>
          <w:szCs w:val="21"/>
          <w:u w:val="single"/>
        </w:rPr>
        <w:t>在合同订立及履行过程中形成的与合同有关的文件均构成合同文件的组成部分</w:t>
      </w:r>
      <w:r>
        <w:rPr>
          <w:rFonts w:hint="eastAsia" w:ascii="宋体" w:hAnsi="宋体" w:eastAsia="宋体" w:cs="宋体"/>
          <w:sz w:val="21"/>
          <w:szCs w:val="21"/>
          <w:u w:val="single"/>
          <w:lang w:eastAsia="zh-CN"/>
        </w:rPr>
        <w:t>。</w:t>
      </w:r>
    </w:p>
    <w:p w14:paraId="69B11497">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1.4适用法律</w:t>
      </w:r>
    </w:p>
    <w:p w14:paraId="59853AA3">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本合同适用的其他规范性文件包括</w:t>
      </w:r>
      <w:r>
        <w:rPr>
          <w:rFonts w:hint="eastAsia" w:ascii="宋体" w:hAnsi="宋体" w:eastAsia="宋体" w:cs="宋体"/>
          <w:sz w:val="21"/>
          <w:szCs w:val="21"/>
          <w:lang w:eastAsia="zh-CN"/>
        </w:rPr>
        <w:t>：</w:t>
      </w:r>
      <w:r>
        <w:rPr>
          <w:rFonts w:hint="eastAsia" w:ascii="宋体" w:hAnsi="宋体" w:eastAsia="宋体" w:cs="宋体"/>
          <w:b/>
          <w:sz w:val="21"/>
          <w:szCs w:val="21"/>
          <w:u w:val="single"/>
        </w:rPr>
        <w:t xml:space="preserve"> 行业出台的相关规范性文件</w:t>
      </w:r>
      <w:r>
        <w:rPr>
          <w:rFonts w:hint="eastAsia" w:ascii="宋体" w:hAnsi="宋体" w:eastAsia="宋体" w:cs="宋体"/>
          <w:sz w:val="21"/>
          <w:szCs w:val="21"/>
        </w:rPr>
        <w:t>。</w:t>
      </w:r>
    </w:p>
    <w:p w14:paraId="0D69BD3A">
      <w:pPr>
        <w:keepNext w:val="0"/>
        <w:keepLines w:val="0"/>
        <w:pageBreakBefore w:val="0"/>
        <w:widowControl w:val="0"/>
        <w:numPr>
          <w:ilvl w:val="0"/>
          <w:numId w:val="0"/>
        </w:numPr>
        <w:tabs>
          <w:tab w:val="left" w:pos="1041"/>
        </w:tabs>
        <w:kinsoku/>
        <w:wordWrap/>
        <w:overflowPunct/>
        <w:topLinePunct w:val="0"/>
        <w:autoSpaceDE/>
        <w:autoSpaceDN/>
        <w:bidi w:val="0"/>
        <w:adjustRightInd w:val="0"/>
        <w:snapToGrid w:val="0"/>
        <w:spacing w:after="0" w:line="288" w:lineRule="auto"/>
        <w:ind w:left="0" w:leftChars="0" w:right="0" w:rightChars="0" w:firstLine="422" w:firstLineChars="200"/>
        <w:jc w:val="left"/>
        <w:textAlignment w:val="auto"/>
        <w:outlineLvl w:val="9"/>
        <w:rPr>
          <w:rFonts w:hint="eastAsia" w:ascii="宋体" w:hAnsi="宋体" w:eastAsia="宋体" w:cs="宋体"/>
          <w:sz w:val="21"/>
          <w:szCs w:val="21"/>
        </w:rPr>
      </w:pPr>
      <w:r>
        <w:rPr>
          <w:rFonts w:hint="eastAsia" w:ascii="宋体" w:hAnsi="宋体" w:eastAsia="宋体" w:cs="宋体"/>
          <w:b/>
          <w:bCs/>
          <w:w w:val="100"/>
          <w:kern w:val="2"/>
          <w:sz w:val="21"/>
          <w:szCs w:val="21"/>
          <w:lang w:val="en-US" w:eastAsia="zh-CN" w:bidi="ar-SA"/>
        </w:rPr>
        <w:t>2.</w:t>
      </w:r>
      <w:r>
        <w:rPr>
          <w:rFonts w:hint="eastAsia" w:ascii="宋体" w:hAnsi="宋体" w:eastAsia="宋体" w:cs="宋体"/>
          <w:w w:val="95"/>
          <w:sz w:val="21"/>
          <w:szCs w:val="21"/>
        </w:rPr>
        <w:t>委托人的义</w:t>
      </w:r>
      <w:r>
        <w:rPr>
          <w:rFonts w:hint="eastAsia" w:ascii="宋体" w:hAnsi="宋体" w:eastAsia="宋体" w:cs="宋体"/>
          <w:spacing w:val="-10"/>
          <w:w w:val="95"/>
          <w:sz w:val="21"/>
          <w:szCs w:val="21"/>
        </w:rPr>
        <w:t>务</w:t>
      </w:r>
    </w:p>
    <w:p w14:paraId="186B8BCB">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bookmarkStart w:id="154" w:name="_Toc528528898"/>
      <w:bookmarkStart w:id="155" w:name="_Toc528529048"/>
      <w:r>
        <w:rPr>
          <w:rFonts w:hint="eastAsia" w:ascii="宋体" w:hAnsi="宋体" w:eastAsia="宋体" w:cs="宋体"/>
          <w:sz w:val="21"/>
          <w:szCs w:val="21"/>
        </w:rPr>
        <w:t>2.委托人的义务</w:t>
      </w:r>
      <w:bookmarkEnd w:id="154"/>
      <w:bookmarkEnd w:id="155"/>
    </w:p>
    <w:p w14:paraId="7D070277">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2.1提供资料</w:t>
      </w:r>
    </w:p>
    <w:p w14:paraId="19DF9E63">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委托人按照附录 C 约定无偿向咨询人提供与本合同咨询业务有关资料的时间为：</w:t>
      </w:r>
      <w:r>
        <w:rPr>
          <w:rFonts w:hint="eastAsia" w:ascii="宋体" w:hAnsi="宋体" w:eastAsia="宋体" w:cs="宋体"/>
          <w:sz w:val="21"/>
          <w:szCs w:val="21"/>
          <w:u w:val="single"/>
        </w:rPr>
        <w:tab/>
      </w:r>
      <w:r>
        <w:rPr>
          <w:rFonts w:hint="eastAsia" w:ascii="宋体" w:hAnsi="宋体" w:eastAsia="宋体" w:cs="宋体"/>
          <w:sz w:val="21"/>
          <w:szCs w:val="21"/>
        </w:rPr>
        <w:t>。</w:t>
      </w:r>
    </w:p>
    <w:p w14:paraId="436593B5">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2.2提供工作条件</w:t>
      </w:r>
    </w:p>
    <w:p w14:paraId="58BC539A">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color w:val="FF0000"/>
          <w:sz w:val="21"/>
          <w:szCs w:val="21"/>
          <w:highlight w:val="yellow"/>
        </w:rPr>
      </w:pPr>
      <w:r>
        <w:rPr>
          <w:rFonts w:hint="eastAsia" w:ascii="宋体" w:hAnsi="宋体" w:eastAsia="宋体" w:cs="宋体"/>
          <w:sz w:val="21"/>
          <w:szCs w:val="21"/>
        </w:rPr>
        <w:t>2.2.1项目咨询人员使用附录 D 中由委托人提供的房屋及设备，支付使用费的标准为：</w:t>
      </w:r>
      <w:r>
        <w:rPr>
          <w:rFonts w:hint="eastAsia" w:ascii="宋体" w:hAnsi="宋体" w:eastAsia="宋体" w:cs="宋体"/>
          <w:b/>
          <w:color w:val="FF0000"/>
          <w:sz w:val="21"/>
          <w:szCs w:val="21"/>
          <w:highlight w:val="yellow"/>
          <w:u w:val="single"/>
        </w:rPr>
        <w:t>驻点办公室委托人提供，免费使用，电脑打印机等办公用品自行承担</w:t>
      </w:r>
      <w:r>
        <w:rPr>
          <w:rFonts w:hint="eastAsia" w:ascii="宋体" w:hAnsi="宋体" w:eastAsia="宋体" w:cs="宋体"/>
          <w:color w:val="FF0000"/>
          <w:spacing w:val="-18"/>
          <w:sz w:val="21"/>
          <w:szCs w:val="21"/>
          <w:highlight w:val="yellow"/>
        </w:rPr>
        <w:t>。</w:t>
      </w:r>
    </w:p>
    <w:p w14:paraId="1FD7401A">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2.4委托人代表</w:t>
      </w:r>
    </w:p>
    <w:p w14:paraId="2421FCCC">
      <w:pPr>
        <w:pStyle w:val="7"/>
        <w:keepNext w:val="0"/>
        <w:keepLines w:val="0"/>
        <w:pageBreakBefore w:val="0"/>
        <w:tabs>
          <w:tab w:val="left" w:pos="8039"/>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委托人代表为：</w:t>
      </w:r>
      <w:r>
        <w:rPr>
          <w:rFonts w:hint="eastAsia" w:ascii="宋体" w:hAnsi="宋体" w:eastAsia="宋体" w:cs="宋体"/>
          <w:sz w:val="21"/>
          <w:szCs w:val="21"/>
          <w:u w:val="single"/>
        </w:rPr>
        <w:t xml:space="preserve">         </w:t>
      </w:r>
      <w:r>
        <w:rPr>
          <w:rFonts w:hint="eastAsia" w:ascii="宋体" w:hAnsi="宋体" w:eastAsia="宋体" w:cs="宋体"/>
          <w:sz w:val="21"/>
          <w:szCs w:val="21"/>
        </w:rPr>
        <w:t>，其权限范围：</w:t>
      </w:r>
      <w:r>
        <w:rPr>
          <w:rFonts w:hint="eastAsia" w:ascii="宋体" w:hAnsi="宋体" w:eastAsia="宋体" w:cs="宋体"/>
          <w:sz w:val="21"/>
          <w:szCs w:val="21"/>
          <w:u w:val="single"/>
        </w:rPr>
        <w:t xml:space="preserve">  负责本合同的履行  </w:t>
      </w:r>
      <w:r>
        <w:rPr>
          <w:rFonts w:hint="eastAsia" w:ascii="宋体" w:hAnsi="宋体" w:eastAsia="宋体" w:cs="宋体"/>
          <w:sz w:val="21"/>
          <w:szCs w:val="21"/>
        </w:rPr>
        <w:t>。</w:t>
      </w:r>
    </w:p>
    <w:p w14:paraId="0F32B4C8">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2.5答复</w:t>
      </w:r>
    </w:p>
    <w:p w14:paraId="452C0EC5">
      <w:pPr>
        <w:pStyle w:val="7"/>
        <w:keepNext w:val="0"/>
        <w:keepLines w:val="0"/>
        <w:pageBreakBefore w:val="0"/>
        <w:tabs>
          <w:tab w:val="left" w:pos="3139"/>
        </w:tabs>
        <w:kinsoku/>
        <w:wordWrap/>
        <w:overflowPunct/>
        <w:topLinePunct w:val="0"/>
        <w:autoSpaceDE/>
        <w:autoSpaceDN/>
        <w:bidi w:val="0"/>
        <w:adjustRightInd w:val="0"/>
        <w:snapToGrid w:val="0"/>
        <w:spacing w:after="0"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委托人同意在</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日</w:t>
      </w:r>
      <w:r>
        <w:rPr>
          <w:rFonts w:hint="eastAsia" w:ascii="宋体" w:hAnsi="宋体" w:eastAsia="宋体" w:cs="宋体"/>
          <w:sz w:val="21"/>
          <w:szCs w:val="21"/>
        </w:rPr>
        <w:t>内，对咨询人书面提交并要求做出决定的事宜给</w:t>
      </w:r>
      <w:r>
        <w:rPr>
          <w:rFonts w:hint="eastAsia" w:ascii="宋体" w:hAnsi="宋体" w:eastAsia="宋体" w:cs="宋体"/>
          <w:spacing w:val="-18"/>
          <w:sz w:val="21"/>
          <w:szCs w:val="21"/>
        </w:rPr>
        <w:t>予</w:t>
      </w:r>
      <w:r>
        <w:rPr>
          <w:rFonts w:hint="eastAsia" w:ascii="宋体" w:hAnsi="宋体" w:eastAsia="宋体" w:cs="宋体"/>
          <w:sz w:val="21"/>
          <w:szCs w:val="21"/>
        </w:rPr>
        <w:t>书面答复。逾期未答复的，视为委托人认可。</w:t>
      </w:r>
    </w:p>
    <w:p w14:paraId="7B623B86">
      <w:pPr>
        <w:pStyle w:val="30"/>
        <w:keepNext w:val="0"/>
        <w:keepLines w:val="0"/>
        <w:pageBreakBefore w:val="0"/>
        <w:widowControl w:val="0"/>
        <w:numPr>
          <w:ilvl w:val="1"/>
          <w:numId w:val="0"/>
        </w:numPr>
        <w:tabs>
          <w:tab w:val="left" w:pos="1280"/>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rPr>
          <w:rFonts w:hint="eastAsia" w:ascii="宋体" w:hAnsi="宋体" w:eastAsia="宋体" w:cs="宋体"/>
          <w:sz w:val="21"/>
          <w:szCs w:val="21"/>
        </w:rPr>
      </w:pPr>
      <w:bookmarkStart w:id="156" w:name="_Toc531945713"/>
      <w:bookmarkStart w:id="157" w:name="_Toc528528899"/>
      <w:bookmarkStart w:id="158" w:name="_Toc528529049"/>
      <w:r>
        <w:rPr>
          <w:rFonts w:hint="eastAsia" w:ascii="宋体" w:hAnsi="宋体" w:eastAsia="宋体" w:cs="宋体"/>
          <w:sz w:val="21"/>
          <w:szCs w:val="21"/>
        </w:rPr>
        <w:t>3.咨询人的义务</w:t>
      </w:r>
      <w:bookmarkEnd w:id="156"/>
      <w:bookmarkEnd w:id="157"/>
      <w:bookmarkEnd w:id="158"/>
    </w:p>
    <w:p w14:paraId="3664F9A5">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3.1 项目咨询团队及人员</w:t>
      </w:r>
    </w:p>
    <w:p w14:paraId="1585F289">
      <w:pPr>
        <w:pStyle w:val="7"/>
        <w:keepNext w:val="0"/>
        <w:keepLines w:val="0"/>
        <w:pageBreakBefore w:val="0"/>
        <w:tabs>
          <w:tab w:val="left" w:pos="3139"/>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u w:val="none"/>
          <w:lang w:eastAsia="zh-CN"/>
        </w:rPr>
      </w:pPr>
      <w:r>
        <w:rPr>
          <w:rFonts w:hint="eastAsia" w:ascii="宋体" w:hAnsi="宋体" w:eastAsia="宋体" w:cs="宋体"/>
          <w:sz w:val="21"/>
          <w:szCs w:val="21"/>
        </w:rPr>
        <w:t>3.1.1</w:t>
      </w:r>
      <w:r>
        <w:rPr>
          <w:rFonts w:hint="eastAsia" w:ascii="宋体" w:hAnsi="宋体" w:eastAsia="宋体" w:cs="宋体"/>
          <w:sz w:val="21"/>
          <w:szCs w:val="21"/>
          <w:u w:val="none"/>
        </w:rPr>
        <w:t>项目咨询团队的主要人员应具有</w:t>
      </w:r>
      <w:r>
        <w:rPr>
          <w:rFonts w:hint="eastAsia" w:ascii="宋体" w:hAnsi="宋体" w:eastAsia="宋体" w:cs="宋体"/>
          <w:sz w:val="21"/>
          <w:szCs w:val="21"/>
          <w:u w:val="single"/>
        </w:rPr>
        <w:tab/>
      </w:r>
      <w:r>
        <w:rPr>
          <w:rFonts w:hint="eastAsia" w:ascii="宋体" w:hAnsi="宋体" w:eastAsia="宋体" w:cs="宋体"/>
          <w:sz w:val="21"/>
          <w:szCs w:val="21"/>
          <w:u w:val="none"/>
        </w:rPr>
        <w:t>资格条件，团队人员的数量为</w:t>
      </w:r>
      <w:r>
        <w:rPr>
          <w:rFonts w:hint="eastAsia" w:ascii="宋体" w:hAnsi="宋体" w:eastAsia="宋体" w:cs="宋体"/>
          <w:sz w:val="21"/>
          <w:szCs w:val="21"/>
          <w:u w:val="single"/>
        </w:rPr>
        <w:tab/>
      </w:r>
      <w:r>
        <w:rPr>
          <w:rFonts w:hint="eastAsia" w:ascii="宋体" w:hAnsi="宋体" w:eastAsia="宋体" w:cs="宋体"/>
          <w:sz w:val="21"/>
          <w:szCs w:val="21"/>
          <w:u w:val="none"/>
        </w:rPr>
        <w:t>人</w:t>
      </w:r>
      <w:r>
        <w:rPr>
          <w:rFonts w:hint="eastAsia" w:ascii="宋体" w:hAnsi="宋体" w:eastAsia="宋体" w:cs="宋体"/>
          <w:sz w:val="21"/>
          <w:szCs w:val="21"/>
          <w:u w:val="none"/>
          <w:lang w:eastAsia="zh-CN"/>
        </w:rPr>
        <w:t>。</w:t>
      </w:r>
    </w:p>
    <w:p w14:paraId="6C7BC2FB">
      <w:pPr>
        <w:pStyle w:val="7"/>
        <w:keepNext w:val="0"/>
        <w:keepLines w:val="0"/>
        <w:pageBreakBefore w:val="0"/>
        <w:tabs>
          <w:tab w:val="left" w:pos="3139"/>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若发现无故未按要求驻场，每次扣除1000元；</w:t>
      </w:r>
    </w:p>
    <w:p w14:paraId="72763553">
      <w:pPr>
        <w:pStyle w:val="7"/>
        <w:keepNext w:val="0"/>
        <w:keepLines w:val="0"/>
        <w:pageBreakBefore w:val="0"/>
        <w:tabs>
          <w:tab w:val="left" w:pos="3139"/>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若发现未经委托人书面同意擅自更换审计服务人员，每次扣3000元；</w:t>
      </w:r>
    </w:p>
    <w:p w14:paraId="5DFA0D50">
      <w:pPr>
        <w:pStyle w:val="7"/>
        <w:keepNext w:val="0"/>
        <w:keepLines w:val="0"/>
        <w:pageBreakBefore w:val="0"/>
        <w:tabs>
          <w:tab w:val="left" w:pos="3139"/>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3</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除派驻委托人单位的造价咨询服务人员外，咨询人还须根据工作量和工作内容安排其它各专业相关造价咨询人员协助驻场人员及时完成工程造价审核、合同审核等工作。</w:t>
      </w:r>
    </w:p>
    <w:p w14:paraId="6572A6EA">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3.1.2项目负责人为：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auto"/>
          <w:sz w:val="21"/>
          <w:szCs w:val="21"/>
          <w:highlight w:val="none"/>
        </w:rPr>
        <w:t>注册证号：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sz w:val="21"/>
          <w:szCs w:val="21"/>
        </w:rPr>
        <w:t>项目负责人为履行本合同的权限为：</w:t>
      </w:r>
      <w:r>
        <w:rPr>
          <w:rFonts w:hint="eastAsia" w:ascii="宋体" w:hAnsi="宋体" w:eastAsia="宋体" w:cs="宋体"/>
          <w:sz w:val="21"/>
          <w:szCs w:val="21"/>
          <w:u w:val="single"/>
        </w:rPr>
        <w:t xml:space="preserve"> 负责履行本合同、主持项目咨询团队工作。</w:t>
      </w:r>
      <w:bookmarkStart w:id="159" w:name="_bookmark19"/>
      <w:bookmarkEnd w:id="159"/>
    </w:p>
    <w:p w14:paraId="3AB5CFFF">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3.1.3咨询人更换项目咨询团队其他咨询人员的约定</w:t>
      </w:r>
    </w:p>
    <w:p w14:paraId="783BF841">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rPr>
      </w:pPr>
      <w:r>
        <w:rPr>
          <w:rFonts w:hint="eastAsia" w:ascii="宋体" w:hAnsi="宋体" w:eastAsia="宋体" w:cs="宋体"/>
          <w:kern w:val="0"/>
          <w:sz w:val="21"/>
          <w:szCs w:val="21"/>
          <w:u w:val="single"/>
          <w:lang w:val="zh-CN" w:bidi="zh-CN"/>
        </w:rPr>
        <w:t>3.1.</w:t>
      </w:r>
      <w:r>
        <w:rPr>
          <w:rFonts w:hint="eastAsia" w:ascii="宋体" w:hAnsi="宋体" w:eastAsia="宋体" w:cs="宋体"/>
          <w:kern w:val="0"/>
          <w:sz w:val="21"/>
          <w:szCs w:val="21"/>
          <w:u w:val="single"/>
          <w:lang w:bidi="zh-CN"/>
        </w:rPr>
        <w:t>3.1</w:t>
      </w:r>
      <w:r>
        <w:rPr>
          <w:rFonts w:hint="eastAsia" w:ascii="宋体" w:hAnsi="宋体" w:eastAsia="宋体" w:cs="宋体"/>
          <w:kern w:val="0"/>
          <w:sz w:val="21"/>
          <w:szCs w:val="21"/>
          <w:u w:val="single"/>
          <w:lang w:val="zh-CN" w:bidi="zh-CN"/>
        </w:rPr>
        <w:t>在本合同履行过程中，咨询人员应保持相对稳定，以保证咨询工作正常进行。</w:t>
      </w:r>
    </w:p>
    <w:p w14:paraId="3B86AF4D">
      <w:pPr>
        <w:pStyle w:val="40"/>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50A15D77">
      <w:pPr>
        <w:pStyle w:val="40"/>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3.1.</w:t>
      </w:r>
      <w:r>
        <w:rPr>
          <w:rFonts w:hint="eastAsia" w:ascii="宋体" w:hAnsi="宋体" w:eastAsia="宋体" w:cs="宋体"/>
          <w:sz w:val="21"/>
          <w:szCs w:val="21"/>
          <w:u w:val="single"/>
          <w:lang w:bidi="zh-CN"/>
        </w:rPr>
        <w:t>3.2</w:t>
      </w:r>
      <w:r>
        <w:rPr>
          <w:rFonts w:hint="eastAsia" w:ascii="宋体" w:hAnsi="宋体" w:eastAsia="宋体" w:cs="宋体"/>
          <w:sz w:val="21"/>
          <w:szCs w:val="21"/>
          <w:u w:val="single"/>
          <w:lang w:val="zh-CN" w:bidi="zh-CN"/>
        </w:rPr>
        <w:t>咨询人员有下列情形之一，委托人要求咨询人更换的，咨询人应当更换：</w:t>
      </w:r>
    </w:p>
    <w:p w14:paraId="103705BA">
      <w:pPr>
        <w:pStyle w:val="40"/>
        <w:keepNext w:val="0"/>
        <w:keepLines w:val="0"/>
        <w:pageBreakBefore w:val="0"/>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（1）存在严重过失行为的；</w:t>
      </w:r>
    </w:p>
    <w:p w14:paraId="7C806A7E">
      <w:pPr>
        <w:pStyle w:val="40"/>
        <w:keepNext w:val="0"/>
        <w:keepLines w:val="0"/>
        <w:pageBreakBefore w:val="0"/>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（2）存在违法行为不能履行职责的；</w:t>
      </w:r>
    </w:p>
    <w:p w14:paraId="246AAC75">
      <w:pPr>
        <w:pStyle w:val="40"/>
        <w:keepNext w:val="0"/>
        <w:keepLines w:val="0"/>
        <w:pageBreakBefore w:val="0"/>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（3）涉嫌犯罪的；</w:t>
      </w:r>
    </w:p>
    <w:p w14:paraId="3048653A">
      <w:pPr>
        <w:pStyle w:val="40"/>
        <w:keepNext w:val="0"/>
        <w:keepLines w:val="0"/>
        <w:pageBreakBefore w:val="0"/>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（4）不能胜任岗位职责的；</w:t>
      </w:r>
    </w:p>
    <w:p w14:paraId="61AD7250">
      <w:pPr>
        <w:pStyle w:val="40"/>
        <w:keepNext w:val="0"/>
        <w:keepLines w:val="0"/>
        <w:pageBreakBefore w:val="0"/>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（5）严重违反职业道德的；</w:t>
      </w:r>
    </w:p>
    <w:p w14:paraId="7A7534EC">
      <w:pPr>
        <w:pStyle w:val="40"/>
        <w:keepNext w:val="0"/>
        <w:keepLines w:val="0"/>
        <w:pageBreakBefore w:val="0"/>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lang w:val="zh-CN" w:bidi="zh-CN"/>
        </w:rPr>
        <w:t>（6）专用条件约定的其他情形。</w:t>
      </w:r>
    </w:p>
    <w:p w14:paraId="4D2F4AF7">
      <w:pPr>
        <w:pStyle w:val="30"/>
        <w:keepNext w:val="0"/>
        <w:keepLines w:val="0"/>
        <w:pageBreakBefore w:val="0"/>
        <w:tabs>
          <w:tab w:val="left" w:pos="1520"/>
          <w:tab w:val="left" w:pos="8359"/>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b/>
          <w:sz w:val="21"/>
          <w:szCs w:val="21"/>
        </w:rPr>
      </w:pPr>
      <w:r>
        <w:rPr>
          <w:rFonts w:hint="eastAsia" w:ascii="宋体" w:hAnsi="宋体" w:eastAsia="宋体" w:cs="宋体"/>
          <w:sz w:val="21"/>
          <w:szCs w:val="21"/>
        </w:rPr>
        <w:t>3.1.4委托人要求更换咨询人员的情形还包括：</w:t>
      </w:r>
      <w:r>
        <w:rPr>
          <w:rFonts w:hint="eastAsia" w:ascii="宋体" w:hAnsi="宋体" w:eastAsia="宋体" w:cs="宋体"/>
          <w:b/>
          <w:sz w:val="21"/>
          <w:szCs w:val="21"/>
          <w:u w:val="single"/>
        </w:rPr>
        <w:t>不称职的人员、应回避的人员或不符合</w:t>
      </w:r>
      <w:r>
        <w:rPr>
          <w:rFonts w:hint="eastAsia" w:ascii="宋体" w:hAnsi="宋体" w:eastAsia="宋体" w:cs="宋体"/>
          <w:b/>
          <w:sz w:val="21"/>
          <w:szCs w:val="21"/>
          <w:u w:val="single"/>
          <w:lang w:val="en-US" w:eastAsia="zh-CN"/>
        </w:rPr>
        <w:t>本工程</w:t>
      </w:r>
      <w:r>
        <w:rPr>
          <w:rFonts w:hint="eastAsia" w:ascii="宋体" w:hAnsi="宋体" w:eastAsia="宋体" w:cs="宋体"/>
          <w:b/>
          <w:sz w:val="21"/>
          <w:szCs w:val="21"/>
          <w:u w:val="single"/>
        </w:rPr>
        <w:t>全过程跟踪审计服务项目招标文件（以下简称“招标文件”）有关规定的人员</w:t>
      </w:r>
      <w:r>
        <w:rPr>
          <w:rFonts w:hint="eastAsia" w:ascii="宋体" w:hAnsi="宋体" w:eastAsia="宋体" w:cs="宋体"/>
          <w:b/>
          <w:sz w:val="21"/>
          <w:szCs w:val="21"/>
        </w:rPr>
        <w:t>。</w:t>
      </w:r>
    </w:p>
    <w:p w14:paraId="0B672177">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3.2 咨询人的工作要求</w:t>
      </w:r>
    </w:p>
    <w:p w14:paraId="02DAFCD1">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3.2.1咨询人向委托人提供有关资料的时间：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 xml:space="preserve">。  </w:t>
      </w:r>
    </w:p>
    <w:p w14:paraId="2C7C4901">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咨询人向委托人提供的资料还包括：</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pacing w:val="-18"/>
          <w:sz w:val="21"/>
          <w:szCs w:val="21"/>
        </w:rPr>
        <w:t>。</w:t>
      </w:r>
    </w:p>
    <w:p w14:paraId="03322993">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3.2.2咨询人向委托人提供咨询成果文件的名称、组成、时间、份数及质量标准：</w:t>
      </w:r>
      <w:r>
        <w:rPr>
          <w:rFonts w:hint="eastAsia" w:ascii="宋体" w:hAnsi="宋体" w:eastAsia="宋体" w:cs="宋体"/>
          <w:color w:val="auto"/>
          <w:sz w:val="21"/>
          <w:szCs w:val="21"/>
          <w:highlight w:val="none"/>
          <w:u w:val="single"/>
        </w:rPr>
        <w:t>按委托人要求及相关国家质量标准</w:t>
      </w:r>
      <w:r>
        <w:rPr>
          <w:rFonts w:hint="eastAsia" w:ascii="宋体" w:hAnsi="宋体" w:eastAsia="宋体" w:cs="宋体"/>
          <w:color w:val="auto"/>
          <w:sz w:val="21"/>
          <w:szCs w:val="21"/>
          <w:highlight w:val="none"/>
        </w:rPr>
        <w:t>。详见附录 B。</w:t>
      </w:r>
    </w:p>
    <w:p w14:paraId="3BAE0CF8">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3.2.4 咨询人应在收到委托人以书面形式提出的建议或者异议后</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日</w:t>
      </w:r>
      <w:r>
        <w:rPr>
          <w:rFonts w:hint="eastAsia" w:ascii="宋体" w:hAnsi="宋体" w:eastAsia="宋体" w:cs="宋体"/>
          <w:sz w:val="21"/>
          <w:szCs w:val="21"/>
        </w:rPr>
        <w:t>内给予书面答复。</w:t>
      </w:r>
    </w:p>
    <w:p w14:paraId="082C90AA">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3.3咨询人的工作依据</w:t>
      </w:r>
    </w:p>
    <w:p w14:paraId="6E29147A">
      <w:pPr>
        <w:pStyle w:val="7"/>
        <w:keepNext w:val="0"/>
        <w:keepLines w:val="0"/>
        <w:pageBreakBefore w:val="0"/>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经双方协商，本合同约定的造价咨询服务适用的技术标准、规范、定额等工作依据为：</w:t>
      </w:r>
    </w:p>
    <w:p w14:paraId="06FF63CC">
      <w:pPr>
        <w:pStyle w:val="7"/>
        <w:keepNext w:val="0"/>
        <w:keepLines w:val="0"/>
        <w:pageBreakBefore w:val="0"/>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1)项目的招标文件、投标文件；</w:t>
      </w:r>
    </w:p>
    <w:p w14:paraId="6F932049">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2)项目施工合同；</w:t>
      </w:r>
    </w:p>
    <w:p w14:paraId="35C77EAF">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3)《浙江省房屋建筑与装饰工程预算定额》（2018版）；</w:t>
      </w:r>
    </w:p>
    <w:p w14:paraId="6971F34A">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4)《浙江省市政工程预算定额》（2018版）</w:t>
      </w:r>
    </w:p>
    <w:p w14:paraId="0461A67B">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5)《浙江省建设工程计价规则》（2018版）；</w:t>
      </w:r>
    </w:p>
    <w:p w14:paraId="6D28CD3C">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6)《浙江省施工机械台班费用参考单价》（2018版）；</w:t>
      </w:r>
    </w:p>
    <w:p w14:paraId="609DAD87">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7)《浙江省工程建设其它费用定额》（2018版）；</w:t>
      </w:r>
    </w:p>
    <w:p w14:paraId="3CDA1CA6">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8) 材料信息价根据《杭州造价信息》、《浙江省造价信息》及市场行情价；</w:t>
      </w:r>
    </w:p>
    <w:p w14:paraId="640259AB">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9)项目开工报告、竣工报告；</w:t>
      </w:r>
    </w:p>
    <w:p w14:paraId="6EE60662">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10)项目施工、竣工图纸；</w:t>
      </w:r>
    </w:p>
    <w:p w14:paraId="4DBDD75B">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11）项目（施工单位上报的）已完成工作量月报表、工程联系单、工程签证单等过程资料。</w:t>
      </w:r>
    </w:p>
    <w:p w14:paraId="6CE097B9">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11）项目工程结算书。</w:t>
      </w:r>
    </w:p>
    <w:p w14:paraId="56165FA7">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12）工程签订的补充协议</w:t>
      </w:r>
    </w:p>
    <w:p w14:paraId="5D71871B">
      <w:pPr>
        <w:pStyle w:val="40"/>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1</w:t>
      </w:r>
      <w:r>
        <w:rPr>
          <w:rFonts w:hint="eastAsia" w:ascii="宋体" w:hAnsi="宋体" w:eastAsia="宋体" w:cs="宋体"/>
          <w:sz w:val="21"/>
          <w:szCs w:val="21"/>
          <w:u w:val="single"/>
          <w:lang w:val="en-US" w:eastAsia="zh-CN"/>
        </w:rPr>
        <w:t>3</w:t>
      </w:r>
      <w:r>
        <w:rPr>
          <w:rFonts w:hint="eastAsia" w:ascii="宋体" w:hAnsi="宋体" w:eastAsia="宋体" w:cs="宋体"/>
          <w:sz w:val="21"/>
          <w:szCs w:val="21"/>
          <w:u w:val="single"/>
        </w:rPr>
        <w:t>）本合同约定的咨询服务需要适用的技术标准、规范、定额等工作依据，但不得违反国家及工程所在地的强制性标准、规范。</w:t>
      </w:r>
    </w:p>
    <w:p w14:paraId="4B2BDD4A">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3.4使用委托人房屋及设备的返还</w:t>
      </w:r>
    </w:p>
    <w:p w14:paraId="52C74291">
      <w:pPr>
        <w:pStyle w:val="7"/>
        <w:keepNext w:val="0"/>
        <w:keepLines w:val="0"/>
        <w:pageBreakBefore w:val="0"/>
        <w:tabs>
          <w:tab w:val="left" w:pos="4219"/>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咨询人应在本合同终止后</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b/>
          <w:bCs/>
          <w:sz w:val="21"/>
          <w:szCs w:val="21"/>
          <w:u w:val="single"/>
        </w:rPr>
        <w:t>日</w:t>
      </w:r>
      <w:r>
        <w:rPr>
          <w:rFonts w:hint="eastAsia" w:ascii="宋体" w:hAnsi="宋体" w:eastAsia="宋体" w:cs="宋体"/>
          <w:sz w:val="21"/>
          <w:szCs w:val="21"/>
        </w:rPr>
        <w:t>内移交委托人提供的房屋及设备，移交的方式为</w:t>
      </w:r>
      <w:r>
        <w:rPr>
          <w:rFonts w:hint="eastAsia" w:ascii="宋体" w:hAnsi="宋体" w:eastAsia="宋体" w:cs="宋体"/>
          <w:sz w:val="21"/>
          <w:szCs w:val="21"/>
          <w:u w:val="non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14:paraId="2401CB1F">
      <w:pPr>
        <w:pStyle w:val="30"/>
        <w:keepNext w:val="0"/>
        <w:keepLines w:val="0"/>
        <w:pageBreakBefore w:val="0"/>
        <w:widowControl w:val="0"/>
        <w:numPr>
          <w:ilvl w:val="1"/>
          <w:numId w:val="0"/>
        </w:numPr>
        <w:tabs>
          <w:tab w:val="left" w:pos="1280"/>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i w:val="0"/>
          <w:iCs w:val="0"/>
          <w:w w:val="100"/>
          <w:kern w:val="2"/>
          <w:sz w:val="21"/>
          <w:szCs w:val="21"/>
          <w:lang w:val="en-US" w:eastAsia="zh-CN" w:bidi="ar-SA"/>
        </w:rPr>
        <w:t>4.</w:t>
      </w:r>
      <w:r>
        <w:rPr>
          <w:rFonts w:hint="eastAsia" w:ascii="宋体" w:hAnsi="宋体" w:eastAsia="宋体" w:cs="宋体"/>
          <w:spacing w:val="-2"/>
          <w:sz w:val="21"/>
          <w:szCs w:val="21"/>
        </w:rPr>
        <w:t>违约责任</w:t>
      </w:r>
    </w:p>
    <w:p w14:paraId="40A8DDAC">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outlineLvl w:val="9"/>
        <w:rPr>
          <w:rFonts w:hint="eastAsia" w:ascii="宋体" w:hAnsi="宋体" w:eastAsia="宋体" w:cs="宋体"/>
          <w:b w:val="0"/>
          <w:sz w:val="21"/>
          <w:szCs w:val="21"/>
          <w:u w:val="single"/>
        </w:rPr>
      </w:pPr>
      <w:r>
        <w:rPr>
          <w:rFonts w:hint="eastAsia" w:ascii="宋体" w:hAnsi="宋体" w:eastAsia="宋体" w:cs="宋体"/>
          <w:b w:val="0"/>
          <w:sz w:val="21"/>
          <w:szCs w:val="21"/>
          <w:u w:val="single"/>
        </w:rPr>
        <w:t>4.1未经委托人同意不得向第三方透漏具体审核的内容，不得泄漏委托人的商业秘密，否则委托人可直接解除合同，由咨询人按合同总价的20%支付违约金，违约金不足以弥补委托人损失，则由咨询人予以赔偿；</w:t>
      </w:r>
    </w:p>
    <w:p w14:paraId="28669F32">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outlineLvl w:val="9"/>
        <w:rPr>
          <w:rFonts w:hint="eastAsia" w:ascii="宋体" w:hAnsi="宋体" w:eastAsia="宋体" w:cs="宋体"/>
          <w:b w:val="0"/>
          <w:bCs w:val="0"/>
          <w:w w:val="100"/>
          <w:kern w:val="2"/>
          <w:sz w:val="21"/>
          <w:szCs w:val="21"/>
          <w:u w:val="single"/>
          <w:lang w:val="en-US" w:eastAsia="zh-CN" w:bidi="ar-SA"/>
        </w:rPr>
      </w:pPr>
      <w:r>
        <w:rPr>
          <w:rFonts w:hint="eastAsia" w:ascii="宋体" w:hAnsi="宋体" w:eastAsia="宋体" w:cs="宋体"/>
          <w:b w:val="0"/>
          <w:sz w:val="21"/>
          <w:szCs w:val="21"/>
          <w:u w:val="single"/>
          <w:lang w:val="en-US" w:eastAsia="zh-CN"/>
        </w:rPr>
        <w:t>4.2</w:t>
      </w:r>
      <w:r>
        <w:rPr>
          <w:rFonts w:hint="eastAsia" w:ascii="宋体" w:hAnsi="宋体" w:eastAsia="宋体" w:cs="宋体"/>
          <w:b w:val="0"/>
          <w:sz w:val="21"/>
          <w:szCs w:val="21"/>
          <w:u w:val="single"/>
        </w:rPr>
        <w:t>在执行咨询工作期间</w:t>
      </w:r>
      <w:r>
        <w:rPr>
          <w:rFonts w:hint="eastAsia" w:ascii="宋体" w:hAnsi="宋体" w:eastAsia="宋体" w:cs="宋体"/>
          <w:b w:val="0"/>
          <w:bCs w:val="0"/>
          <w:w w:val="100"/>
          <w:kern w:val="2"/>
          <w:sz w:val="21"/>
          <w:szCs w:val="21"/>
          <w:u w:val="single"/>
          <w:lang w:val="en-US" w:eastAsia="zh-CN" w:bidi="ar-SA"/>
        </w:rPr>
        <w:t>，若发现未按工作进度完成，每次扣除1000元；若发现出现重大质量失误，每次扣除10000元；若工作月报、年度工作报告、阶段性报告、综合报告等报告撰写质量不符合委托人要求，返回修改超过3次的，超出的次数按每次扣除500元。以上咨询人员违约处罚累计最高不超过合同结算价的5%，若超出违约，采购人有权终止合同并要求供应商承担相关违约责任。</w:t>
      </w:r>
    </w:p>
    <w:p w14:paraId="5C8DE78F">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u w:val="single"/>
        </w:rPr>
        <w:t>4.3委托</w:t>
      </w:r>
      <w:r>
        <w:rPr>
          <w:rFonts w:hint="eastAsia" w:ascii="宋体" w:hAnsi="宋体" w:eastAsia="宋体" w:cs="宋体"/>
          <w:b w:val="0"/>
          <w:sz w:val="21"/>
          <w:szCs w:val="21"/>
          <w:highlight w:val="none"/>
          <w:u w:val="single"/>
        </w:rPr>
        <w:t>人有权对审核结果提交第三方复核；</w:t>
      </w:r>
    </w:p>
    <w:p w14:paraId="5EC39638">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4.4 委托人有权对咨询人的审核结果进行抽查及复核，若单次审核价的误差率超出5%，委托人有权对咨询人处以咨询合同金额5%-20%的违约金；</w:t>
      </w:r>
    </w:p>
    <w:p w14:paraId="185BACBB">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4.5咨询人在前一阶段工作中的表现不能令委托人满意，或其前一阶段工作成果有瑕疵不能符合委托人要求的，委托人有权单方面终止咨询合同，取消咨询人下一阶段的工作内容，并不补偿任何费用；</w:t>
      </w:r>
    </w:p>
    <w:p w14:paraId="3AFABDEE">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4.6咨询人应按照客观、独立、公正的原则实施审核工作，依法维护委托人的合法权益，不得收受施工单位等其他单位赠送的礼品及财物，如发现有收受财物现象的，委托人可直接解除合同，并追究咨询人的违约责任；</w:t>
      </w:r>
    </w:p>
    <w:p w14:paraId="45856C09">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4.7咨询人应按要求的时间提供工作成果。如果因咨询人自身原因延误，每延误一天，应减收咨询酬金的千分之二，延误提供15日以上的，视为咨询人违约，委托人有权单方解除合同，同时咨询人应承担咨询酬金的20%的违约金；</w:t>
      </w:r>
    </w:p>
    <w:p w14:paraId="61AA793A">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4.8咨询人应对出具的审核意见单、咨询报告或咨询成果的准确性、合理性和合法性承担一切责任。因咨询人原因导致咨询报告或咨询成果存在瑕疵的或者违法，如出现以下几种情形的，咨询人应赔偿因此给委托人造成的一切经济损失：</w:t>
      </w:r>
    </w:p>
    <w:p w14:paraId="752C2305">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4.8.1派驻委托人单位的造价服务人员出具的审核意见单，如出现多次经委托人审核不通过，且咨询人拒不整改或整改较慢超过合同要求天数的，委托人有权要求咨询人更换驻点造价服务人员，如更换的驻点造价服务人员不符合投标书中承诺的人员资质及工作经验的，委托人有权要求咨询人更换符合的驻点造价人员，如咨询人拒绝更换符合的驻点造价人员或更换准备时间长于1个月的，委托人有权单方解除合同，同时咨询人应承担咨询酬金的20%的违约金；</w:t>
      </w:r>
    </w:p>
    <w:p w14:paraId="46EABEB5">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4.8.2违反现行《建设工程工程量清单计价规范》规定的；</w:t>
      </w:r>
    </w:p>
    <w:p w14:paraId="0571E823">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4.8.3违反省、市建设行政主管部门有关工程计价规定的；</w:t>
      </w:r>
    </w:p>
    <w:p w14:paraId="2C99D20B">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4.8.4综合单价组价明显不符合工程实际施工方法、技术措施的；</w:t>
      </w:r>
    </w:p>
    <w:p w14:paraId="5FCF2A19">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4.8.5其他导致委托人发生损失的行为。</w:t>
      </w:r>
    </w:p>
    <w:p w14:paraId="3A30739A">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4.9 由于咨询方原因出现咨询成果质量问题，则按如下约定承担责任：</w:t>
      </w:r>
    </w:p>
    <w:p w14:paraId="53074738">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1）工程量清单中项目特征描述错误的子目数量占工程量清单全部数量的比例应小于2%，比例在2%至5%按服务合同价的10%承担违约金，错误率造成工程造价误差在10万到50万，按服务合同价的10%承担违约金；比例在5%以上按服务合同价的20%承担违约金，错误率造成工程造价误差在50万以上的按服务合同价的15%承担违约金。当情况可以按照比例或者错误率要求咨询人承担违约金的时候，按从严处理。</w:t>
      </w:r>
    </w:p>
    <w:p w14:paraId="400DC7B6">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（2）因工程量清单错误造成该项目</w:t>
      </w:r>
      <w:r>
        <w:rPr>
          <w:rFonts w:hint="eastAsia" w:ascii="宋体" w:hAnsi="宋体" w:eastAsia="宋体" w:cs="宋体"/>
          <w:b w:val="0"/>
          <w:sz w:val="21"/>
          <w:szCs w:val="21"/>
          <w:highlight w:val="none"/>
          <w:u w:val="single"/>
          <w:lang w:val="en-US" w:eastAsia="zh-CN"/>
        </w:rPr>
        <w:t>预算</w:t>
      </w:r>
      <w:r>
        <w:rPr>
          <w:rFonts w:hint="eastAsia" w:ascii="宋体" w:hAnsi="宋体" w:eastAsia="宋体" w:cs="宋体"/>
          <w:b w:val="0"/>
          <w:sz w:val="21"/>
          <w:szCs w:val="21"/>
          <w:highlight w:val="none"/>
          <w:u w:val="single"/>
        </w:rPr>
        <w:t>的误差率应小于2%；比例在2%至5%按服务合同价的10%承担违约金，错误率造成工程造价误差在10到50万，按服务合同价的10%承担违约金；比例在5%以上按服务合同价的20%承担违约金，错误率造成工程造价误差在50万以上的按服务合同价的15%承担违约金。当情况可以按照比例或者错误率要求咨询方承担违约金的时候，按从严处理。</w:t>
      </w:r>
    </w:p>
    <w:p w14:paraId="1AD3FCC3">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3）工程量清单与单价因素之和的综合误差率应小于5%(含)；比例在5%至10%按服务合同价的10%承担违约金；错误率造成工程造价误差在10到50万，按服务合同价的10%承担违约金；比例在10%以上按服务合同价的20%承担违约金，错误率造成工程造价误差在50万以上的按服务合同价15%承担违约金。当情况可以按照比例或者错误率要求咨询方承担违约金的时候，按从严处理。</w:t>
      </w:r>
    </w:p>
    <w:p w14:paraId="0266B010">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w:t>
      </w:r>
      <w:r>
        <w:rPr>
          <w:rFonts w:hint="eastAsia" w:ascii="宋体" w:hAnsi="宋体" w:eastAsia="宋体" w:cs="宋体"/>
          <w:b w:val="0"/>
          <w:sz w:val="21"/>
          <w:szCs w:val="21"/>
          <w:highlight w:val="none"/>
          <w:u w:val="single"/>
          <w:lang w:val="en-US" w:eastAsia="zh-CN"/>
        </w:rPr>
        <w:t>预算</w:t>
      </w:r>
      <w:r>
        <w:rPr>
          <w:rFonts w:hint="eastAsia" w:ascii="宋体" w:hAnsi="宋体" w:eastAsia="宋体" w:cs="宋体"/>
          <w:b w:val="0"/>
          <w:sz w:val="21"/>
          <w:szCs w:val="21"/>
          <w:highlight w:val="none"/>
          <w:u w:val="single"/>
        </w:rPr>
        <w:t>的综合误差率应小于5%(含)；比例在5%至10%按服务合同价的5%承担违约金；错误率造成工程造价误差在10到50万，按服务合同价的10%承担违约金；比例在10%以上按服务合同价的10%承担违约金，错误率造成工程造价误差在50万以上的按服务合同价的15%承担违约金。当情况可以按照比例或者错误率要求咨询方承担违约金的时候，按从严处理。</w:t>
      </w:r>
    </w:p>
    <w:p w14:paraId="032B8F4C">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4.10咨询人需按委托人要求的格式及时提交日工作报表、周报表、季报表和年度报表，并确保报表中所有内容的准确性，如不提供或提供资料不正确，委托人有权处以咨询酬金的5%作为违约金，违约金直接在咨询酬金中扣除。</w:t>
      </w:r>
    </w:p>
    <w:p w14:paraId="66CF4B26">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4.1</w:t>
      </w:r>
      <w:r>
        <w:rPr>
          <w:rFonts w:hint="eastAsia" w:ascii="宋体" w:hAnsi="宋体" w:eastAsia="宋体" w:cs="宋体"/>
          <w:b w:val="0"/>
          <w:sz w:val="21"/>
          <w:szCs w:val="21"/>
          <w:highlight w:val="none"/>
          <w:u w:val="single"/>
          <w:lang w:val="en-US" w:eastAsia="zh-CN"/>
        </w:rPr>
        <w:t>1</w:t>
      </w:r>
      <w:r>
        <w:rPr>
          <w:rFonts w:hint="eastAsia" w:ascii="宋体" w:hAnsi="宋体" w:eastAsia="宋体" w:cs="宋体"/>
          <w:b w:val="0"/>
          <w:sz w:val="21"/>
          <w:szCs w:val="21"/>
          <w:highlight w:val="none"/>
          <w:u w:val="single"/>
        </w:rPr>
        <w:t>咨询人需按规定时限完成审核工作，并出具书面审核意见，加盖公章。逾期，则每日按咨询酬金的千分之一支付违约金。</w:t>
      </w:r>
    </w:p>
    <w:p w14:paraId="2E14C3BE">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u w:val="single"/>
        </w:rPr>
      </w:pPr>
      <w:r>
        <w:rPr>
          <w:rFonts w:hint="eastAsia" w:ascii="宋体" w:hAnsi="宋体" w:eastAsia="宋体" w:cs="宋体"/>
          <w:b w:val="0"/>
          <w:sz w:val="21"/>
          <w:szCs w:val="21"/>
          <w:highlight w:val="none"/>
          <w:u w:val="single"/>
        </w:rPr>
        <w:t>4.1</w:t>
      </w:r>
      <w:r>
        <w:rPr>
          <w:rFonts w:hint="eastAsia" w:ascii="宋体" w:hAnsi="宋体" w:eastAsia="宋体" w:cs="宋体"/>
          <w:b w:val="0"/>
          <w:sz w:val="21"/>
          <w:szCs w:val="21"/>
          <w:highlight w:val="none"/>
          <w:u w:val="single"/>
          <w:lang w:val="en-US" w:eastAsia="zh-CN"/>
        </w:rPr>
        <w:t>2</w:t>
      </w:r>
      <w:r>
        <w:rPr>
          <w:rFonts w:hint="eastAsia" w:ascii="宋体" w:hAnsi="宋体" w:eastAsia="宋体" w:cs="宋体"/>
          <w:b w:val="0"/>
          <w:sz w:val="21"/>
          <w:szCs w:val="21"/>
          <w:highlight w:val="none"/>
          <w:u w:val="single"/>
        </w:rPr>
        <w:t>服务期结束后，咨询人向委托人提交服务期所有工程造价咨询成果，并出具咨询总结报告，加盖公章，如不提供或提供资料不正确，委托人有权处以咨询酬金</w:t>
      </w:r>
      <w:r>
        <w:rPr>
          <w:rFonts w:hint="eastAsia" w:ascii="宋体" w:hAnsi="宋体" w:eastAsia="宋体" w:cs="宋体"/>
          <w:b w:val="0"/>
          <w:sz w:val="21"/>
          <w:szCs w:val="21"/>
          <w:u w:val="single"/>
        </w:rPr>
        <w:t>的5%作为违约金，违约金直接在咨询酬金中扣除。</w:t>
      </w:r>
    </w:p>
    <w:p w14:paraId="54926634">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422" w:firstLineChars="200"/>
        <w:jc w:val="left"/>
        <w:textAlignment w:val="auto"/>
        <w:outlineLvl w:val="9"/>
        <w:rPr>
          <w:rFonts w:hint="eastAsia" w:ascii="宋体" w:hAnsi="宋体" w:eastAsia="宋体" w:cs="宋体"/>
          <w:sz w:val="21"/>
          <w:szCs w:val="21"/>
        </w:rPr>
      </w:pPr>
      <w:r>
        <w:rPr>
          <w:rFonts w:hint="eastAsia" w:ascii="宋体" w:hAnsi="宋体" w:eastAsia="宋体" w:cs="宋体"/>
          <w:b/>
          <w:bCs/>
          <w:w w:val="100"/>
          <w:kern w:val="2"/>
          <w:sz w:val="21"/>
          <w:szCs w:val="21"/>
          <w:lang w:val="en-US" w:eastAsia="zh-CN" w:bidi="ar-SA"/>
        </w:rPr>
        <w:t>5.</w:t>
      </w:r>
      <w:r>
        <w:rPr>
          <w:rFonts w:hint="eastAsia" w:ascii="宋体" w:hAnsi="宋体" w:eastAsia="宋体" w:cs="宋体"/>
          <w:w w:val="95"/>
          <w:sz w:val="21"/>
          <w:szCs w:val="21"/>
        </w:rPr>
        <w:t>支</w:t>
      </w:r>
      <w:r>
        <w:rPr>
          <w:rFonts w:hint="eastAsia" w:ascii="宋体" w:hAnsi="宋体" w:eastAsia="宋体" w:cs="宋体"/>
          <w:spacing w:val="-10"/>
          <w:sz w:val="21"/>
          <w:szCs w:val="21"/>
        </w:rPr>
        <w:t>付</w:t>
      </w:r>
    </w:p>
    <w:p w14:paraId="1AE869EC">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sz w:val="21"/>
          <w:szCs w:val="21"/>
          <w:u w:val="none"/>
        </w:rPr>
      </w:pPr>
      <w:r>
        <w:rPr>
          <w:rFonts w:hint="eastAsia" w:ascii="宋体" w:hAnsi="宋体" w:eastAsia="宋体" w:cs="宋体"/>
          <w:b w:val="0"/>
          <w:sz w:val="21"/>
          <w:szCs w:val="21"/>
          <w:u w:val="none"/>
          <w:lang w:val="en-US" w:eastAsia="zh-CN"/>
        </w:rPr>
        <w:t>5.1</w:t>
      </w:r>
      <w:r>
        <w:rPr>
          <w:rFonts w:hint="eastAsia" w:ascii="宋体" w:hAnsi="宋体" w:eastAsia="宋体" w:cs="宋体"/>
          <w:b w:val="0"/>
          <w:sz w:val="21"/>
          <w:szCs w:val="21"/>
          <w:u w:val="none"/>
        </w:rPr>
        <w:t>支付货币</w:t>
      </w:r>
    </w:p>
    <w:p w14:paraId="79900517">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sz w:val="21"/>
          <w:szCs w:val="21"/>
          <w:u w:val="none"/>
        </w:rPr>
      </w:pPr>
      <w:r>
        <w:rPr>
          <w:rFonts w:hint="eastAsia" w:ascii="宋体" w:hAnsi="宋体" w:eastAsia="宋体" w:cs="宋体"/>
          <w:b w:val="0"/>
          <w:sz w:val="21"/>
          <w:szCs w:val="21"/>
          <w:u w:val="none"/>
        </w:rPr>
        <w:t>币种为：</w:t>
      </w:r>
      <w:r>
        <w:rPr>
          <w:rFonts w:hint="eastAsia" w:ascii="宋体" w:hAnsi="宋体" w:eastAsia="宋体" w:cs="宋体"/>
          <w:b w:val="0"/>
          <w:sz w:val="21"/>
          <w:szCs w:val="21"/>
          <w:u w:val="single"/>
          <w:lang w:val="en-US" w:eastAsia="zh-CN"/>
        </w:rPr>
        <w:t xml:space="preserve">  人民币  </w:t>
      </w:r>
      <w:r>
        <w:rPr>
          <w:rFonts w:hint="eastAsia" w:ascii="宋体" w:hAnsi="宋体" w:eastAsia="宋体" w:cs="宋体"/>
          <w:b w:val="0"/>
          <w:sz w:val="21"/>
          <w:szCs w:val="21"/>
          <w:u w:val="none"/>
        </w:rPr>
        <w:t>，汇率为：</w:t>
      </w:r>
      <w:r>
        <w:rPr>
          <w:rFonts w:hint="eastAsia" w:ascii="宋体" w:hAnsi="宋体" w:eastAsia="宋体" w:cs="宋体"/>
          <w:b w:val="0"/>
          <w:sz w:val="21"/>
          <w:szCs w:val="21"/>
          <w:u w:val="single"/>
          <w:lang w:val="en-US" w:eastAsia="zh-CN"/>
        </w:rPr>
        <w:t xml:space="preserve">  /  </w:t>
      </w:r>
      <w:r>
        <w:rPr>
          <w:rFonts w:hint="eastAsia" w:ascii="宋体" w:hAnsi="宋体" w:eastAsia="宋体" w:cs="宋体"/>
          <w:b w:val="0"/>
          <w:sz w:val="21"/>
          <w:szCs w:val="21"/>
          <w:u w:val="none"/>
        </w:rPr>
        <w:t>，其他约定：</w:t>
      </w:r>
      <w:r>
        <w:rPr>
          <w:rFonts w:hint="eastAsia" w:ascii="宋体" w:hAnsi="宋体" w:eastAsia="宋体" w:cs="宋体"/>
          <w:b w:val="0"/>
          <w:sz w:val="21"/>
          <w:szCs w:val="21"/>
          <w:u w:val="single"/>
          <w:lang w:val="en-US" w:eastAsia="zh-CN"/>
        </w:rPr>
        <w:t xml:space="preserve">  /  </w:t>
      </w:r>
      <w:r>
        <w:rPr>
          <w:rFonts w:hint="eastAsia" w:ascii="宋体" w:hAnsi="宋体" w:eastAsia="宋体" w:cs="宋体"/>
          <w:b w:val="0"/>
          <w:sz w:val="21"/>
          <w:szCs w:val="21"/>
          <w:u w:val="none"/>
        </w:rPr>
        <w:t>。</w:t>
      </w:r>
    </w:p>
    <w:p w14:paraId="332D7154">
      <w:pPr>
        <w:pStyle w:val="30"/>
        <w:keepNext w:val="0"/>
        <w:keepLines w:val="0"/>
        <w:pageBreakBefore w:val="0"/>
        <w:widowControl w:val="0"/>
        <w:numPr>
          <w:ilvl w:val="1"/>
          <w:numId w:val="0"/>
        </w:numPr>
        <w:tabs>
          <w:tab w:val="left" w:pos="1340"/>
        </w:tabs>
        <w:kinsoku/>
        <w:wordWrap/>
        <w:overflowPunct/>
        <w:topLinePunct w:val="0"/>
        <w:autoSpaceDE/>
        <w:autoSpaceDN/>
        <w:bidi w:val="0"/>
        <w:adjustRightInd/>
        <w:snapToGrid/>
        <w:spacing w:after="0" w:line="288" w:lineRule="auto"/>
        <w:ind w:left="0" w:leftChars="0" w:right="0" w:rightChars="0" w:firstLine="420" w:firstLineChars="200"/>
        <w:jc w:val="left"/>
        <w:textAlignment w:val="auto"/>
        <w:rPr>
          <w:rFonts w:hint="eastAsia" w:ascii="宋体" w:hAnsi="宋体" w:eastAsia="宋体" w:cs="宋体"/>
          <w:spacing w:val="-3"/>
          <w:sz w:val="21"/>
          <w:szCs w:val="21"/>
        </w:rPr>
      </w:pPr>
      <w:r>
        <w:rPr>
          <w:rFonts w:hint="eastAsia" w:ascii="宋体" w:hAnsi="宋体" w:eastAsia="宋体" w:cs="宋体"/>
          <w:b w:val="0"/>
          <w:bCs w:val="0"/>
          <w:i w:val="0"/>
          <w:iCs w:val="0"/>
          <w:w w:val="100"/>
          <w:kern w:val="2"/>
          <w:sz w:val="21"/>
          <w:szCs w:val="21"/>
          <w:lang w:val="en-US" w:eastAsia="zh-CN" w:bidi="ar-SA"/>
        </w:rPr>
        <w:t>5.2</w:t>
      </w:r>
      <w:r>
        <w:rPr>
          <w:rFonts w:hint="eastAsia" w:ascii="宋体" w:hAnsi="宋体" w:eastAsia="宋体" w:cs="宋体"/>
          <w:spacing w:val="-3"/>
          <w:sz w:val="21"/>
          <w:szCs w:val="21"/>
        </w:rPr>
        <w:t>支付申请</w:t>
      </w:r>
      <w:bookmarkStart w:id="160" w:name="_bookmark20"/>
      <w:bookmarkEnd w:id="160"/>
    </w:p>
    <w:p w14:paraId="32633BB1">
      <w:pPr>
        <w:pStyle w:val="30"/>
        <w:keepNext w:val="0"/>
        <w:keepLines w:val="0"/>
        <w:pageBreakBefore w:val="0"/>
        <w:widowControl w:val="0"/>
        <w:numPr>
          <w:ilvl w:val="1"/>
          <w:numId w:val="0"/>
        </w:numPr>
        <w:tabs>
          <w:tab w:val="left" w:pos="1340"/>
        </w:tabs>
        <w:kinsoku/>
        <w:wordWrap/>
        <w:overflowPunct/>
        <w:topLinePunct w:val="0"/>
        <w:autoSpaceDE/>
        <w:autoSpaceDN/>
        <w:bidi w:val="0"/>
        <w:adjustRightInd/>
        <w:snapToGrid/>
        <w:spacing w:after="0" w:line="288" w:lineRule="auto"/>
        <w:ind w:left="0" w:leftChars="0" w:right="0" w:rightChars="0" w:firstLine="412" w:firstLineChars="20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咨询人应在本合同约定的每次应付款日期</w:t>
      </w:r>
      <w:r>
        <w:rPr>
          <w:rFonts w:hint="eastAsia" w:ascii="宋体" w:hAnsi="宋体" w:eastAsia="宋体" w:cs="宋体"/>
          <w:spacing w:val="-2"/>
          <w:sz w:val="21"/>
          <w:szCs w:val="21"/>
          <w:u w:val="single"/>
          <w:lang w:val="en-US" w:eastAsia="zh-CN"/>
        </w:rPr>
        <w:t xml:space="preserve">    </w:t>
      </w:r>
      <w:r>
        <w:rPr>
          <w:rFonts w:hint="eastAsia" w:ascii="宋体" w:hAnsi="宋体" w:eastAsia="宋体" w:cs="宋体"/>
          <w:spacing w:val="-2"/>
          <w:sz w:val="21"/>
          <w:szCs w:val="21"/>
        </w:rPr>
        <w:t>日前，向委托人提交支付申</w:t>
      </w:r>
      <w:r>
        <w:rPr>
          <w:rFonts w:hint="eastAsia" w:ascii="宋体" w:hAnsi="宋体" w:eastAsia="宋体" w:cs="宋体"/>
          <w:spacing w:val="-4"/>
          <w:sz w:val="21"/>
          <w:szCs w:val="21"/>
        </w:rPr>
        <w:t>请书。</w:t>
      </w:r>
    </w:p>
    <w:p w14:paraId="76739394">
      <w:pPr>
        <w:pStyle w:val="30"/>
        <w:keepNext w:val="0"/>
        <w:keepLines w:val="0"/>
        <w:pageBreakBefore w:val="0"/>
        <w:widowControl w:val="0"/>
        <w:numPr>
          <w:ilvl w:val="1"/>
          <w:numId w:val="0"/>
        </w:numPr>
        <w:tabs>
          <w:tab w:val="left" w:pos="1340"/>
        </w:tabs>
        <w:kinsoku/>
        <w:wordWrap/>
        <w:overflowPunct/>
        <w:topLinePunct w:val="0"/>
        <w:autoSpaceDE/>
        <w:autoSpaceDN/>
        <w:bidi w:val="0"/>
        <w:adjustRightInd/>
        <w:snapToGrid/>
        <w:spacing w:after="0" w:line="288" w:lineRule="auto"/>
        <w:ind w:left="0" w:leftChars="0" w:right="0" w:rightChars="0" w:firstLine="412" w:firstLineChars="200"/>
        <w:jc w:val="left"/>
        <w:textAlignment w:val="auto"/>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5.3</w:t>
      </w:r>
      <w:r>
        <w:rPr>
          <w:rFonts w:hint="eastAsia" w:ascii="宋体" w:hAnsi="宋体" w:eastAsia="宋体" w:cs="宋体"/>
          <w:spacing w:val="-2"/>
          <w:sz w:val="21"/>
          <w:szCs w:val="21"/>
        </w:rPr>
        <w:t>支付酬金</w:t>
      </w:r>
    </w:p>
    <w:p w14:paraId="38EC5EEB">
      <w:pPr>
        <w:pStyle w:val="30"/>
        <w:keepNext w:val="0"/>
        <w:keepLines w:val="0"/>
        <w:pageBreakBefore w:val="0"/>
        <w:widowControl w:val="0"/>
        <w:numPr>
          <w:ilvl w:val="1"/>
          <w:numId w:val="0"/>
        </w:numPr>
        <w:tabs>
          <w:tab w:val="left" w:pos="1340"/>
        </w:tabs>
        <w:kinsoku/>
        <w:wordWrap/>
        <w:overflowPunct/>
        <w:topLinePunct w:val="0"/>
        <w:autoSpaceDE/>
        <w:autoSpaceDN/>
        <w:bidi w:val="0"/>
        <w:adjustRightInd/>
        <w:snapToGrid/>
        <w:spacing w:after="0" w:line="288" w:lineRule="auto"/>
        <w:ind w:left="0" w:leftChars="0" w:right="0" w:rightChars="0" w:firstLine="412" w:firstLineChars="200"/>
        <w:jc w:val="left"/>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正常工作酬金的支付：</w:t>
      </w:r>
    </w:p>
    <w:tbl>
      <w:tblPr>
        <w:tblStyle w:val="17"/>
        <w:tblW w:w="501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33"/>
        <w:gridCol w:w="3193"/>
        <w:gridCol w:w="2382"/>
        <w:gridCol w:w="2847"/>
      </w:tblGrid>
      <w:tr w14:paraId="1FEED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546" w:type="pct"/>
            <w:vAlign w:val="center"/>
          </w:tcPr>
          <w:p w14:paraId="7F48957F">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支付次数</w:t>
            </w:r>
          </w:p>
        </w:tc>
        <w:tc>
          <w:tcPr>
            <w:tcW w:w="1688" w:type="pct"/>
            <w:vAlign w:val="center"/>
          </w:tcPr>
          <w:p w14:paraId="0657C197">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支付时间</w:t>
            </w:r>
          </w:p>
        </w:tc>
        <w:tc>
          <w:tcPr>
            <w:tcW w:w="1259" w:type="pct"/>
            <w:vAlign w:val="center"/>
          </w:tcPr>
          <w:p w14:paraId="52B628C0">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支付比例</w:t>
            </w:r>
          </w:p>
        </w:tc>
        <w:tc>
          <w:tcPr>
            <w:tcW w:w="1505" w:type="pct"/>
            <w:vAlign w:val="center"/>
          </w:tcPr>
          <w:p w14:paraId="0C767B60">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支付金额（万元</w:t>
            </w:r>
            <w:r>
              <w:rPr>
                <w:rFonts w:hint="eastAsia" w:ascii="宋体" w:hAnsi="宋体" w:eastAsia="宋体" w:cs="宋体"/>
                <w:spacing w:val="-10"/>
                <w:sz w:val="21"/>
                <w:szCs w:val="21"/>
              </w:rPr>
              <w:t>）</w:t>
            </w:r>
          </w:p>
        </w:tc>
      </w:tr>
      <w:tr w14:paraId="73094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546" w:type="pct"/>
            <w:vAlign w:val="center"/>
          </w:tcPr>
          <w:p w14:paraId="101F372A">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1</w:t>
            </w:r>
          </w:p>
        </w:tc>
        <w:tc>
          <w:tcPr>
            <w:tcW w:w="1688" w:type="pct"/>
            <w:vAlign w:val="center"/>
          </w:tcPr>
          <w:p w14:paraId="6069102C">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default" w:ascii="宋体" w:hAnsi="宋体" w:eastAsia="宋体" w:cs="宋体"/>
                <w:sz w:val="21"/>
                <w:szCs w:val="21"/>
                <w:lang w:val="en-US" w:eastAsia="zh-CN"/>
              </w:rPr>
            </w:pPr>
            <w:r>
              <w:rPr>
                <w:rFonts w:hint="eastAsia" w:ascii="宋体" w:hAnsi="宋体" w:cs="宋体"/>
                <w:spacing w:val="-6"/>
                <w:kern w:val="0"/>
                <w:sz w:val="21"/>
                <w:szCs w:val="21"/>
                <w:highlight w:val="none"/>
              </w:rPr>
              <w:t>合同生效且供应商出具预付款保函后七个工作日内</w:t>
            </w:r>
          </w:p>
        </w:tc>
        <w:tc>
          <w:tcPr>
            <w:tcW w:w="1259" w:type="pct"/>
            <w:vAlign w:val="center"/>
          </w:tcPr>
          <w:p w14:paraId="17BC8AE0">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20%</w:t>
            </w:r>
          </w:p>
        </w:tc>
        <w:tc>
          <w:tcPr>
            <w:tcW w:w="1505" w:type="pct"/>
            <w:vAlign w:val="center"/>
          </w:tcPr>
          <w:p w14:paraId="299B12D3">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p>
        </w:tc>
      </w:tr>
      <w:tr w14:paraId="4B2E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546" w:type="pct"/>
            <w:vAlign w:val="center"/>
          </w:tcPr>
          <w:p w14:paraId="54665958">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1</w:t>
            </w:r>
          </w:p>
        </w:tc>
        <w:tc>
          <w:tcPr>
            <w:tcW w:w="1688" w:type="pct"/>
            <w:vAlign w:val="center"/>
          </w:tcPr>
          <w:p w14:paraId="625E5C7B">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highlight w:val="yellow"/>
              </w:rPr>
              <w:t>完成施工图预算编制审核并出具成果报告后7个工作日内</w:t>
            </w:r>
          </w:p>
        </w:tc>
        <w:tc>
          <w:tcPr>
            <w:tcW w:w="1259" w:type="pct"/>
            <w:vAlign w:val="center"/>
          </w:tcPr>
          <w:p w14:paraId="0CFA4917">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20%</w:t>
            </w:r>
          </w:p>
        </w:tc>
        <w:tc>
          <w:tcPr>
            <w:tcW w:w="1505" w:type="pct"/>
            <w:vAlign w:val="center"/>
          </w:tcPr>
          <w:p w14:paraId="2DA9F0F6">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p>
        </w:tc>
      </w:tr>
      <w:tr w14:paraId="593E3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546" w:type="pct"/>
            <w:vAlign w:val="center"/>
          </w:tcPr>
          <w:p w14:paraId="1B9B50B5">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1</w:t>
            </w:r>
          </w:p>
        </w:tc>
        <w:tc>
          <w:tcPr>
            <w:tcW w:w="1688" w:type="pct"/>
            <w:vAlign w:val="center"/>
          </w:tcPr>
          <w:p w14:paraId="590E25A7">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lang w:val="en-US" w:eastAsia="zh-CN"/>
              </w:rPr>
              <w:t>项目进度款支付（或施工进度）达50%后</w:t>
            </w:r>
            <w:r>
              <w:rPr>
                <w:rFonts w:hint="eastAsia" w:ascii="宋体" w:hAnsi="宋体" w:eastAsia="宋体" w:cs="宋体"/>
                <w:sz w:val="21"/>
                <w:szCs w:val="21"/>
                <w:highlight w:val="yellow"/>
              </w:rPr>
              <w:t>7个工作日内</w:t>
            </w:r>
          </w:p>
        </w:tc>
        <w:tc>
          <w:tcPr>
            <w:tcW w:w="1259" w:type="pct"/>
            <w:vAlign w:val="center"/>
          </w:tcPr>
          <w:p w14:paraId="13678974">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20%</w:t>
            </w:r>
          </w:p>
        </w:tc>
        <w:tc>
          <w:tcPr>
            <w:tcW w:w="1505" w:type="pct"/>
            <w:vAlign w:val="center"/>
          </w:tcPr>
          <w:p w14:paraId="605AC834">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p>
        </w:tc>
      </w:tr>
      <w:tr w14:paraId="2E3F8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546" w:type="pct"/>
            <w:vAlign w:val="center"/>
          </w:tcPr>
          <w:p w14:paraId="74E667B4">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1</w:t>
            </w:r>
          </w:p>
        </w:tc>
        <w:tc>
          <w:tcPr>
            <w:tcW w:w="1688" w:type="pct"/>
            <w:vAlign w:val="center"/>
          </w:tcPr>
          <w:p w14:paraId="16DAD50A">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rPr>
              <w:t>工程竣工并通过验收且全部跟审咨询服务完成提交全过程跟踪审计报告后7个工作日内</w:t>
            </w:r>
          </w:p>
        </w:tc>
        <w:tc>
          <w:tcPr>
            <w:tcW w:w="1259" w:type="pct"/>
            <w:vAlign w:val="center"/>
          </w:tcPr>
          <w:p w14:paraId="4FE2DAE1">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default" w:cs="宋体"/>
                <w:sz w:val="21"/>
                <w:szCs w:val="21"/>
                <w:lang w:val="en-US" w:eastAsia="zh-CN"/>
              </w:rPr>
            </w:pPr>
            <w:r>
              <w:rPr>
                <w:rFonts w:hint="eastAsia" w:cs="宋体"/>
                <w:sz w:val="21"/>
                <w:szCs w:val="21"/>
                <w:lang w:val="en-US" w:eastAsia="zh-CN"/>
              </w:rPr>
              <w:t>20%</w:t>
            </w:r>
          </w:p>
        </w:tc>
        <w:tc>
          <w:tcPr>
            <w:tcW w:w="1505" w:type="pct"/>
            <w:vAlign w:val="center"/>
          </w:tcPr>
          <w:p w14:paraId="4AEFB5AB">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p>
        </w:tc>
      </w:tr>
      <w:tr w14:paraId="63D4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546" w:type="pct"/>
            <w:vAlign w:val="center"/>
          </w:tcPr>
          <w:p w14:paraId="14A71030">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default" w:cs="宋体"/>
                <w:sz w:val="21"/>
                <w:szCs w:val="21"/>
                <w:lang w:val="en-US" w:eastAsia="zh-CN"/>
              </w:rPr>
            </w:pPr>
            <w:r>
              <w:rPr>
                <w:rFonts w:hint="eastAsia" w:cs="宋体"/>
                <w:sz w:val="21"/>
                <w:szCs w:val="21"/>
                <w:lang w:val="en-US" w:eastAsia="zh-CN"/>
              </w:rPr>
              <w:t>1</w:t>
            </w:r>
          </w:p>
        </w:tc>
        <w:tc>
          <w:tcPr>
            <w:tcW w:w="1688" w:type="pct"/>
            <w:vAlign w:val="center"/>
          </w:tcPr>
          <w:p w14:paraId="233BD4E8">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rPr>
              <w:t>结算审核服务经采购人确认完成后7个工作日内</w:t>
            </w:r>
          </w:p>
        </w:tc>
        <w:tc>
          <w:tcPr>
            <w:tcW w:w="1259" w:type="pct"/>
            <w:vAlign w:val="center"/>
          </w:tcPr>
          <w:p w14:paraId="2EFE8C4B">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default" w:cs="宋体"/>
                <w:sz w:val="21"/>
                <w:szCs w:val="21"/>
                <w:lang w:val="en-US" w:eastAsia="zh-CN"/>
              </w:rPr>
            </w:pPr>
            <w:r>
              <w:rPr>
                <w:rFonts w:hint="eastAsia" w:cs="宋体"/>
                <w:sz w:val="21"/>
                <w:szCs w:val="21"/>
                <w:lang w:val="en-US" w:eastAsia="zh-CN"/>
              </w:rPr>
              <w:t>20%</w:t>
            </w:r>
          </w:p>
        </w:tc>
        <w:tc>
          <w:tcPr>
            <w:tcW w:w="1505" w:type="pct"/>
            <w:vAlign w:val="center"/>
          </w:tcPr>
          <w:p w14:paraId="7FB7FBFE">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p>
        </w:tc>
      </w:tr>
    </w:tbl>
    <w:p w14:paraId="095ED41C">
      <w:pPr>
        <w:pStyle w:val="30"/>
        <w:keepNext w:val="0"/>
        <w:keepLines w:val="0"/>
        <w:pageBreakBefore w:val="0"/>
        <w:widowControl w:val="0"/>
        <w:numPr>
          <w:ilvl w:val="1"/>
          <w:numId w:val="0"/>
        </w:numPr>
        <w:tabs>
          <w:tab w:val="left" w:pos="1280"/>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rPr>
          <w:rFonts w:hint="eastAsia" w:ascii="宋体" w:hAnsi="宋体" w:eastAsia="宋体" w:cs="宋体"/>
          <w:b w:val="0"/>
          <w:bCs w:val="0"/>
          <w:i w:val="0"/>
          <w:iCs w:val="0"/>
          <w:w w:val="100"/>
          <w:kern w:val="2"/>
          <w:sz w:val="21"/>
          <w:szCs w:val="21"/>
          <w:lang w:val="en-US" w:eastAsia="zh-CN" w:bidi="ar-SA"/>
        </w:rPr>
      </w:pPr>
      <w:r>
        <w:rPr>
          <w:rFonts w:hint="eastAsia" w:ascii="宋体" w:hAnsi="宋体" w:eastAsia="宋体" w:cs="宋体"/>
          <w:b w:val="0"/>
          <w:bCs w:val="0"/>
          <w:i w:val="0"/>
          <w:iCs w:val="0"/>
          <w:w w:val="100"/>
          <w:kern w:val="2"/>
          <w:sz w:val="21"/>
          <w:szCs w:val="21"/>
          <w:lang w:val="en-US" w:eastAsia="zh-CN" w:bidi="ar-SA"/>
        </w:rPr>
        <w:t>6.合同变更、解除与终止</w:t>
      </w:r>
    </w:p>
    <w:p w14:paraId="0320A93A">
      <w:pPr>
        <w:pStyle w:val="30"/>
        <w:keepNext w:val="0"/>
        <w:keepLines w:val="0"/>
        <w:pageBreakBefore w:val="0"/>
        <w:widowControl w:val="0"/>
        <w:numPr>
          <w:ilvl w:val="1"/>
          <w:numId w:val="0"/>
        </w:numPr>
        <w:tabs>
          <w:tab w:val="left" w:pos="1280"/>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i w:val="0"/>
          <w:iCs w:val="0"/>
          <w:w w:val="100"/>
          <w:kern w:val="2"/>
          <w:sz w:val="21"/>
          <w:szCs w:val="21"/>
          <w:lang w:val="en-US" w:eastAsia="zh-CN" w:bidi="ar-SA"/>
        </w:rPr>
        <w:t>6.1</w:t>
      </w:r>
      <w:r>
        <w:rPr>
          <w:rFonts w:hint="eastAsia" w:ascii="宋体" w:hAnsi="宋体" w:eastAsia="宋体" w:cs="宋体"/>
          <w:spacing w:val="-3"/>
          <w:sz w:val="21"/>
          <w:szCs w:val="21"/>
        </w:rPr>
        <w:t>合同变更</w:t>
      </w:r>
    </w:p>
    <w:p w14:paraId="22EA018D">
      <w:pPr>
        <w:pStyle w:val="7"/>
        <w:keepNext w:val="0"/>
        <w:keepLines w:val="0"/>
        <w:pageBreakBefore w:val="0"/>
        <w:widowControl w:val="0"/>
        <w:tabs>
          <w:tab w:val="left" w:pos="8419"/>
        </w:tabs>
        <w:kinsoku/>
        <w:wordWrap/>
        <w:overflowPunct/>
        <w:topLinePunct w:val="0"/>
        <w:autoSpaceDE/>
        <w:autoSpaceDN/>
        <w:bidi w:val="0"/>
        <w:adjustRightInd w:val="0"/>
        <w:snapToGrid w:val="0"/>
        <w:spacing w:line="288"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6.1.2 除不可抗力外，因非咨询人原因导致本合同履行期限延长、内容增加时，附加工作酬金按下列方法确定</w:t>
      </w:r>
      <w:r>
        <w:rPr>
          <w:rFonts w:hint="eastAsia" w:ascii="宋体" w:hAnsi="宋体" w:eastAsia="宋体" w:cs="宋体"/>
          <w:spacing w:val="-10"/>
          <w:sz w:val="21"/>
          <w:szCs w:val="21"/>
        </w:rPr>
        <w:t>：</w:t>
      </w:r>
      <w:r>
        <w:rPr>
          <w:rFonts w:hint="eastAsia" w:ascii="宋体" w:hAnsi="宋体" w:eastAsia="宋体" w:cs="宋体"/>
          <w:spacing w:val="-10"/>
          <w:sz w:val="21"/>
          <w:szCs w:val="21"/>
          <w:u w:val="single"/>
          <w:lang w:val="en-US" w:eastAsia="zh-CN"/>
        </w:rPr>
        <w:t>不调整</w:t>
      </w:r>
      <w:r>
        <w:rPr>
          <w:rFonts w:hint="eastAsia" w:ascii="宋体" w:hAnsi="宋体" w:eastAsia="宋体" w:cs="宋体"/>
          <w:spacing w:val="-10"/>
          <w:sz w:val="21"/>
          <w:szCs w:val="21"/>
        </w:rPr>
        <w:t>。</w:t>
      </w:r>
    </w:p>
    <w:p w14:paraId="18454042">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6.1.4 因工程规模、服务范围及内容的变化等导致咨询人的工作量增减时，服务酬金的调整方法：</w:t>
      </w:r>
      <w:r>
        <w:rPr>
          <w:rFonts w:hint="eastAsia" w:ascii="宋体" w:hAnsi="宋体" w:eastAsia="宋体" w:cs="宋体"/>
          <w:sz w:val="21"/>
          <w:szCs w:val="21"/>
          <w:u w:val="single"/>
        </w:rPr>
        <w:t xml:space="preserve"> </w:t>
      </w:r>
      <w:r>
        <w:rPr>
          <w:rFonts w:hint="eastAsia" w:ascii="宋体" w:hAnsi="宋体" w:eastAsia="宋体" w:cs="宋体"/>
          <w:color w:val="auto"/>
          <w:sz w:val="21"/>
          <w:szCs w:val="21"/>
          <w:highlight w:val="none"/>
          <w:u w:val="single"/>
        </w:rPr>
        <w:t>不调整</w:t>
      </w:r>
      <w:r>
        <w:rPr>
          <w:rFonts w:hint="eastAsia" w:ascii="宋体" w:hAnsi="宋体" w:eastAsia="宋体" w:cs="宋体"/>
          <w:sz w:val="21"/>
          <w:szCs w:val="21"/>
          <w:u w:val="single"/>
        </w:rPr>
        <w:tab/>
      </w:r>
      <w:r>
        <w:rPr>
          <w:rFonts w:hint="eastAsia" w:ascii="宋体" w:hAnsi="宋体" w:eastAsia="宋体" w:cs="宋体"/>
          <w:sz w:val="21"/>
          <w:szCs w:val="21"/>
        </w:rPr>
        <w:t>。</w:t>
      </w:r>
    </w:p>
    <w:p w14:paraId="7C139C08">
      <w:pPr>
        <w:pStyle w:val="7"/>
        <w:keepNext w:val="0"/>
        <w:keepLines w:val="0"/>
        <w:pageBreakBefore w:val="0"/>
        <w:widowControl w:val="0"/>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6.2 合同解除</w:t>
      </w:r>
    </w:p>
    <w:p w14:paraId="72EC6B65">
      <w:pPr>
        <w:pStyle w:val="7"/>
        <w:keepNext w:val="0"/>
        <w:keepLines w:val="0"/>
        <w:pageBreakBefore w:val="0"/>
        <w:widowControl w:val="0"/>
        <w:tabs>
          <w:tab w:val="left" w:pos="835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6.2.2</w:t>
      </w:r>
      <w:r>
        <w:rPr>
          <w:rFonts w:hint="eastAsia" w:ascii="宋体" w:hAnsi="宋体" w:eastAsia="宋体" w:cs="宋体"/>
          <w:spacing w:val="-60"/>
          <w:sz w:val="21"/>
          <w:szCs w:val="21"/>
        </w:rPr>
        <w:t xml:space="preserve"> </w:t>
      </w:r>
      <w:r>
        <w:rPr>
          <w:rFonts w:hint="eastAsia" w:ascii="宋体" w:hAnsi="宋体" w:eastAsia="宋体" w:cs="宋体"/>
          <w:sz w:val="21"/>
          <w:szCs w:val="21"/>
        </w:rPr>
        <w:t>双方约定解除合同的条件还包括：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7D24F11">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6.2.4</w:t>
      </w:r>
      <w:r>
        <w:rPr>
          <w:rFonts w:hint="eastAsia" w:ascii="宋体" w:hAnsi="宋体" w:eastAsia="宋体" w:cs="宋体"/>
          <w:spacing w:val="-60"/>
          <w:sz w:val="21"/>
          <w:szCs w:val="21"/>
        </w:rPr>
        <w:t xml:space="preserve"> </w:t>
      </w:r>
      <w:r>
        <w:rPr>
          <w:rFonts w:hint="eastAsia" w:ascii="宋体" w:hAnsi="宋体" w:eastAsia="宋体" w:cs="宋体"/>
          <w:sz w:val="21"/>
          <w:szCs w:val="21"/>
        </w:rPr>
        <w:t>因不可抗力导致的合同解除，双方约定损失的分担如下：</w:t>
      </w:r>
      <w:r>
        <w:rPr>
          <w:rFonts w:hint="eastAsia" w:ascii="宋体" w:hAnsi="宋体" w:eastAsia="宋体" w:cs="宋体"/>
          <w:sz w:val="21"/>
          <w:szCs w:val="21"/>
          <w:u w:val="single"/>
        </w:rPr>
        <w:t xml:space="preserve"> /</w:t>
      </w:r>
    </w:p>
    <w:p w14:paraId="0E47B078">
      <w:pPr>
        <w:keepNext w:val="0"/>
        <w:keepLines w:val="0"/>
        <w:pageBreakBefore w:val="0"/>
        <w:widowControl w:val="0"/>
        <w:tabs>
          <w:tab w:val="left" w:pos="1223"/>
        </w:tabs>
        <w:kinsoku/>
        <w:wordWrap/>
        <w:overflowPunct/>
        <w:topLinePunct w:val="0"/>
        <w:autoSpaceDE w:val="0"/>
        <w:autoSpaceDN w:val="0"/>
        <w:bidi w:val="0"/>
        <w:adjustRightInd/>
        <w:snapToGrid/>
        <w:spacing w:line="288" w:lineRule="auto"/>
        <w:ind w:left="0" w:leftChars="0" w:right="0" w:firstLine="422" w:firstLineChars="200"/>
        <w:textAlignment w:val="auto"/>
        <w:outlineLvl w:val="9"/>
        <w:rPr>
          <w:rFonts w:hint="eastAsia" w:ascii="宋体" w:hAnsi="宋体" w:eastAsia="宋体" w:cs="宋体"/>
          <w:b/>
          <w:bCs/>
          <w:sz w:val="21"/>
          <w:szCs w:val="21"/>
        </w:rPr>
      </w:pPr>
      <w:bookmarkStart w:id="161" w:name="_Toc531945717"/>
      <w:bookmarkStart w:id="162" w:name="_Toc528528904"/>
      <w:bookmarkStart w:id="163" w:name="_Toc528529054"/>
      <w:r>
        <w:rPr>
          <w:rFonts w:hint="eastAsia" w:ascii="宋体" w:hAnsi="宋体" w:eastAsia="宋体" w:cs="宋体"/>
          <w:b/>
          <w:bCs/>
          <w:sz w:val="21"/>
          <w:szCs w:val="21"/>
        </w:rPr>
        <w:t>7.争议解决</w:t>
      </w:r>
      <w:bookmarkEnd w:id="161"/>
      <w:bookmarkEnd w:id="162"/>
      <w:bookmarkEnd w:id="163"/>
    </w:p>
    <w:p w14:paraId="339296C6">
      <w:pPr>
        <w:pStyle w:val="30"/>
        <w:keepNext w:val="0"/>
        <w:keepLines w:val="0"/>
        <w:pageBreakBefore w:val="0"/>
        <w:widowControl w:val="0"/>
        <w:tabs>
          <w:tab w:val="left" w:pos="1280"/>
        </w:tabs>
        <w:kinsoku/>
        <w:wordWrap/>
        <w:overflowPunct/>
        <w:topLinePunct w:val="0"/>
        <w:bidi w:val="0"/>
        <w:adjustRightInd/>
        <w:snapToGrid/>
        <w:spacing w:line="288" w:lineRule="auto"/>
        <w:ind w:left="0" w:leftChars="0"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7.2调解</w:t>
      </w:r>
    </w:p>
    <w:p w14:paraId="44789444">
      <w:pPr>
        <w:pStyle w:val="7"/>
        <w:keepNext w:val="0"/>
        <w:keepLines w:val="0"/>
        <w:pageBreakBefore w:val="0"/>
        <w:widowControl w:val="0"/>
        <w:tabs>
          <w:tab w:val="left" w:pos="3259"/>
          <w:tab w:val="left" w:pos="859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如果双方不能在</w:t>
      </w:r>
      <w:r>
        <w:rPr>
          <w:rFonts w:hint="eastAsia" w:ascii="宋体" w:hAnsi="宋体" w:eastAsia="宋体" w:cs="宋体"/>
          <w:sz w:val="21"/>
          <w:szCs w:val="21"/>
          <w:u w:val="single"/>
        </w:rPr>
        <w:t xml:space="preserve">   /  </w:t>
      </w:r>
      <w:r>
        <w:rPr>
          <w:rFonts w:hint="eastAsia" w:ascii="宋体" w:hAnsi="宋体" w:eastAsia="宋体" w:cs="宋体"/>
          <w:sz w:val="21"/>
          <w:szCs w:val="21"/>
        </w:rPr>
        <w:t>日内解决本合同争议，可以将其提交</w:t>
      </w:r>
      <w:r>
        <w:rPr>
          <w:rFonts w:hint="eastAsia" w:ascii="宋体" w:hAnsi="宋体" w:eastAsia="宋体" w:cs="宋体"/>
          <w:sz w:val="21"/>
          <w:szCs w:val="21"/>
          <w:u w:val="single"/>
        </w:rPr>
        <w:t xml:space="preserve">  /  </w:t>
      </w:r>
      <w:r>
        <w:rPr>
          <w:rFonts w:hint="eastAsia" w:ascii="宋体" w:hAnsi="宋体" w:eastAsia="宋体" w:cs="宋体"/>
          <w:sz w:val="21"/>
          <w:szCs w:val="21"/>
        </w:rPr>
        <w:t>进行调解。</w:t>
      </w:r>
    </w:p>
    <w:p w14:paraId="7BC11248">
      <w:pPr>
        <w:pStyle w:val="30"/>
        <w:keepNext w:val="0"/>
        <w:keepLines w:val="0"/>
        <w:pageBreakBefore w:val="0"/>
        <w:widowControl w:val="0"/>
        <w:tabs>
          <w:tab w:val="left" w:pos="1280"/>
        </w:tabs>
        <w:kinsoku/>
        <w:wordWrap/>
        <w:overflowPunct/>
        <w:topLinePunct w:val="0"/>
        <w:bidi w:val="0"/>
        <w:adjustRightInd/>
        <w:snapToGrid/>
        <w:spacing w:line="288" w:lineRule="auto"/>
        <w:ind w:left="0" w:leftChars="0"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7.3仲裁或诉讼</w:t>
      </w:r>
    </w:p>
    <w:p w14:paraId="43F8A6BA">
      <w:pPr>
        <w:pStyle w:val="7"/>
        <w:keepNext w:val="0"/>
        <w:keepLines w:val="0"/>
        <w:pageBreakBefore w:val="0"/>
        <w:widowControl w:val="0"/>
        <w:tabs>
          <w:tab w:val="left" w:pos="517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合同争议的最终解决方式为下列第</w:t>
      </w:r>
      <w:r>
        <w:rPr>
          <w:rFonts w:hint="eastAsia" w:ascii="宋体" w:hAnsi="宋体" w:eastAsia="宋体" w:cs="宋体"/>
          <w:sz w:val="21"/>
          <w:szCs w:val="21"/>
          <w:u w:val="single"/>
        </w:rPr>
        <w:t>（2）</w:t>
      </w:r>
      <w:r>
        <w:rPr>
          <w:rFonts w:hint="eastAsia" w:ascii="宋体" w:hAnsi="宋体" w:eastAsia="宋体" w:cs="宋体"/>
          <w:sz w:val="21"/>
          <w:szCs w:val="21"/>
        </w:rPr>
        <w:t>种方式：</w:t>
      </w:r>
    </w:p>
    <w:p w14:paraId="24D337E5">
      <w:pPr>
        <w:pStyle w:val="30"/>
        <w:keepNext w:val="0"/>
        <w:keepLines w:val="0"/>
        <w:pageBreakBefore w:val="0"/>
        <w:widowControl w:val="0"/>
        <w:tabs>
          <w:tab w:val="left" w:pos="1341"/>
          <w:tab w:val="left" w:pos="5813"/>
        </w:tabs>
        <w:kinsoku/>
        <w:wordWrap/>
        <w:overflowPunct/>
        <w:topLinePunct w:val="0"/>
        <w:bidi w:val="0"/>
        <w:adjustRightInd/>
        <w:snapToGrid/>
        <w:spacing w:line="288" w:lineRule="auto"/>
        <w:ind w:left="0" w:leftChars="0"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（1）提请</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仲裁委员会进行仲裁。</w:t>
      </w:r>
    </w:p>
    <w:p w14:paraId="0CDF71DE">
      <w:pPr>
        <w:pStyle w:val="30"/>
        <w:keepNext w:val="0"/>
        <w:keepLines w:val="0"/>
        <w:pageBreakBefore w:val="0"/>
        <w:widowControl w:val="0"/>
        <w:tabs>
          <w:tab w:val="left" w:pos="1341"/>
          <w:tab w:val="left" w:pos="5813"/>
        </w:tabs>
        <w:kinsoku/>
        <w:wordWrap/>
        <w:overflowPunct/>
        <w:topLinePunct w:val="0"/>
        <w:bidi w:val="0"/>
        <w:adjustRightInd/>
        <w:snapToGrid/>
        <w:spacing w:line="288" w:lineRule="auto"/>
        <w:ind w:left="0" w:leftChars="0"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（2）向</w:t>
      </w:r>
      <w:r>
        <w:rPr>
          <w:rFonts w:hint="eastAsia" w:ascii="宋体" w:hAnsi="宋体" w:eastAsia="宋体" w:cs="宋体"/>
          <w:sz w:val="21"/>
          <w:szCs w:val="21"/>
          <w:u w:val="single"/>
        </w:rPr>
        <w:t xml:space="preserve"> 委托人所在地  </w:t>
      </w:r>
      <w:r>
        <w:rPr>
          <w:rFonts w:hint="eastAsia" w:ascii="宋体" w:hAnsi="宋体" w:eastAsia="宋体" w:cs="宋体"/>
          <w:sz w:val="21"/>
          <w:szCs w:val="21"/>
        </w:rPr>
        <w:t>提起诉讼。</w:t>
      </w:r>
    </w:p>
    <w:p w14:paraId="5591F759">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422" w:firstLineChars="200"/>
        <w:jc w:val="left"/>
        <w:textAlignment w:val="auto"/>
        <w:outlineLvl w:val="9"/>
        <w:rPr>
          <w:rFonts w:hint="eastAsia" w:ascii="宋体" w:hAnsi="宋体" w:eastAsia="宋体" w:cs="宋体"/>
          <w:sz w:val="21"/>
          <w:szCs w:val="21"/>
        </w:rPr>
      </w:pPr>
      <w:r>
        <w:rPr>
          <w:rFonts w:hint="eastAsia" w:ascii="宋体" w:hAnsi="宋体" w:eastAsia="宋体" w:cs="宋体"/>
          <w:b/>
          <w:bCs/>
          <w:w w:val="100"/>
          <w:kern w:val="2"/>
          <w:sz w:val="21"/>
          <w:szCs w:val="21"/>
          <w:lang w:val="en-US" w:eastAsia="zh-CN" w:bidi="ar-SA"/>
        </w:rPr>
        <w:t>8.</w:t>
      </w:r>
      <w:r>
        <w:rPr>
          <w:rFonts w:hint="eastAsia" w:ascii="宋体" w:hAnsi="宋体" w:eastAsia="宋体" w:cs="宋体"/>
          <w:w w:val="95"/>
          <w:sz w:val="21"/>
          <w:szCs w:val="21"/>
        </w:rPr>
        <w:t>其</w:t>
      </w:r>
      <w:r>
        <w:rPr>
          <w:rFonts w:hint="eastAsia" w:ascii="宋体" w:hAnsi="宋体" w:eastAsia="宋体" w:cs="宋体"/>
          <w:spacing w:val="-10"/>
          <w:sz w:val="21"/>
          <w:szCs w:val="21"/>
        </w:rPr>
        <w:t>他</w:t>
      </w:r>
    </w:p>
    <w:p w14:paraId="6310ABF8">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8.1考察及相关费用</w:t>
      </w:r>
    </w:p>
    <w:p w14:paraId="7E74F230">
      <w:pPr>
        <w:pStyle w:val="7"/>
        <w:keepNext w:val="0"/>
        <w:keepLines w:val="0"/>
        <w:pageBreakBefore w:val="0"/>
        <w:widowControl w:val="0"/>
        <w:tabs>
          <w:tab w:val="left" w:pos="625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咨询人经委托人同意进行考察发生的费用由</w:t>
      </w:r>
      <w:r>
        <w:rPr>
          <w:rFonts w:hint="eastAsia" w:ascii="宋体" w:hAnsi="宋体" w:eastAsia="宋体" w:cs="宋体"/>
          <w:sz w:val="21"/>
          <w:szCs w:val="21"/>
          <w:u w:val="single"/>
        </w:rPr>
        <w:t xml:space="preserve"> 咨询人</w:t>
      </w:r>
      <w:r>
        <w:rPr>
          <w:rFonts w:hint="eastAsia" w:ascii="宋体" w:hAnsi="宋体" w:eastAsia="宋体" w:cs="宋体"/>
          <w:sz w:val="21"/>
          <w:szCs w:val="21"/>
        </w:rPr>
        <w:t>支付。</w:t>
      </w:r>
    </w:p>
    <w:p w14:paraId="1ECEFE69">
      <w:pPr>
        <w:pStyle w:val="7"/>
        <w:keepNext w:val="0"/>
        <w:keepLines w:val="0"/>
        <w:pageBreakBefore w:val="0"/>
        <w:widowControl w:val="0"/>
        <w:tabs>
          <w:tab w:val="left" w:pos="817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bookmarkStart w:id="164" w:name="_bookmark21"/>
      <w:bookmarkEnd w:id="164"/>
      <w:bookmarkStart w:id="165" w:name="_bookmark22"/>
      <w:bookmarkEnd w:id="165"/>
      <w:r>
        <w:rPr>
          <w:rFonts w:hint="eastAsia" w:ascii="宋体" w:hAnsi="宋体" w:eastAsia="宋体" w:cs="宋体"/>
          <w:sz w:val="21"/>
          <w:szCs w:val="21"/>
        </w:rPr>
        <w:t>差旅费及相关费用的支付：</w:t>
      </w:r>
      <w:bookmarkStart w:id="166" w:name="_bookmark23"/>
      <w:bookmarkEnd w:id="166"/>
      <w:r>
        <w:rPr>
          <w:rFonts w:hint="eastAsia" w:ascii="宋体" w:hAnsi="宋体" w:eastAsia="宋体" w:cs="宋体"/>
          <w:sz w:val="21"/>
          <w:szCs w:val="21"/>
          <w:u w:val="single"/>
        </w:rPr>
        <w:t xml:space="preserve"> 自行承担</w:t>
      </w:r>
      <w:r>
        <w:rPr>
          <w:rFonts w:hint="eastAsia" w:ascii="宋体" w:hAnsi="宋体" w:eastAsia="宋体" w:cs="宋体"/>
          <w:sz w:val="21"/>
          <w:szCs w:val="21"/>
        </w:rPr>
        <w:t>。</w:t>
      </w:r>
    </w:p>
    <w:p w14:paraId="58C94539">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8.2奖励</w:t>
      </w:r>
    </w:p>
    <w:p w14:paraId="703711D1">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合理化建议的奖励金额按下列方法确定：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BA42321">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8.3保密</w:t>
      </w:r>
    </w:p>
    <w:p w14:paraId="47AB4078">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b/>
          <w:spacing w:val="-18"/>
          <w:sz w:val="21"/>
          <w:szCs w:val="21"/>
        </w:rPr>
      </w:pPr>
      <w:r>
        <w:rPr>
          <w:rFonts w:hint="eastAsia" w:ascii="宋体" w:hAnsi="宋体" w:eastAsia="宋体" w:cs="宋体"/>
          <w:sz w:val="21"/>
          <w:szCs w:val="21"/>
        </w:rPr>
        <w:t>委托人申明的保密事项和期限：</w:t>
      </w:r>
      <w:r>
        <w:rPr>
          <w:rFonts w:hint="eastAsia" w:ascii="宋体" w:hAnsi="宋体" w:eastAsia="宋体" w:cs="宋体"/>
          <w:sz w:val="21"/>
          <w:szCs w:val="21"/>
          <w:u w:val="single"/>
        </w:rPr>
        <w:t xml:space="preserve"> 咨询人在履行本合同过程中获取的资料及委托人商业秘密未经委托人许可不得泄露给第三方</w:t>
      </w:r>
      <w:r>
        <w:rPr>
          <w:rFonts w:hint="eastAsia" w:ascii="宋体" w:hAnsi="宋体" w:eastAsia="宋体" w:cs="宋体"/>
          <w:b/>
          <w:spacing w:val="-18"/>
          <w:sz w:val="21"/>
          <w:szCs w:val="21"/>
        </w:rPr>
        <w:t>。</w:t>
      </w:r>
    </w:p>
    <w:p w14:paraId="3278EFEC">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pacing w:val="-18"/>
          <w:sz w:val="21"/>
          <w:szCs w:val="21"/>
        </w:rPr>
      </w:pPr>
      <w:r>
        <w:rPr>
          <w:rFonts w:hint="eastAsia" w:ascii="宋体" w:hAnsi="宋体" w:eastAsia="宋体" w:cs="宋体"/>
          <w:sz w:val="21"/>
          <w:szCs w:val="21"/>
        </w:rPr>
        <w:t>咨询人申明的保密事项和期限：</w:t>
      </w:r>
      <w:r>
        <w:rPr>
          <w:rFonts w:hint="eastAsia" w:ascii="宋体" w:hAnsi="宋体" w:eastAsia="宋体" w:cs="宋体"/>
          <w:sz w:val="21"/>
          <w:szCs w:val="21"/>
          <w:u w:val="single"/>
        </w:rPr>
        <w:t xml:space="preserve"> /</w:t>
      </w:r>
      <w:r>
        <w:rPr>
          <w:rFonts w:hint="eastAsia" w:ascii="宋体" w:hAnsi="宋体" w:eastAsia="宋体" w:cs="宋体"/>
          <w:spacing w:val="-18"/>
          <w:sz w:val="21"/>
          <w:szCs w:val="21"/>
        </w:rPr>
        <w:t>。</w:t>
      </w:r>
    </w:p>
    <w:p w14:paraId="3956F4CA">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pacing w:val="-18"/>
          <w:sz w:val="21"/>
          <w:szCs w:val="21"/>
        </w:rPr>
      </w:pPr>
      <w:r>
        <w:rPr>
          <w:rFonts w:hint="eastAsia" w:ascii="宋体" w:hAnsi="宋体" w:eastAsia="宋体" w:cs="宋体"/>
          <w:sz w:val="21"/>
          <w:szCs w:val="21"/>
        </w:rPr>
        <w:t>第三人申明的保密事项和期限：</w:t>
      </w:r>
      <w:r>
        <w:rPr>
          <w:rFonts w:hint="eastAsia" w:ascii="宋体" w:hAnsi="宋体" w:eastAsia="宋体" w:cs="宋体"/>
          <w:sz w:val="21"/>
          <w:szCs w:val="21"/>
          <w:u w:val="single"/>
        </w:rPr>
        <w:t xml:space="preserve"> /</w:t>
      </w:r>
      <w:r>
        <w:rPr>
          <w:rFonts w:hint="eastAsia" w:ascii="宋体" w:hAnsi="宋体" w:eastAsia="宋体" w:cs="宋体"/>
          <w:spacing w:val="-18"/>
          <w:sz w:val="21"/>
          <w:szCs w:val="21"/>
        </w:rPr>
        <w:t>。</w:t>
      </w:r>
    </w:p>
    <w:p w14:paraId="2A2EC2AF">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textAlignment w:val="auto"/>
        <w:outlineLvl w:val="9"/>
        <w:rPr>
          <w:rFonts w:hint="eastAsia" w:ascii="宋体" w:hAnsi="宋体" w:eastAsia="宋体" w:cs="宋体"/>
          <w:sz w:val="21"/>
          <w:szCs w:val="21"/>
        </w:rPr>
      </w:pPr>
      <w:r>
        <w:rPr>
          <w:rFonts w:hint="eastAsia" w:ascii="宋体" w:hAnsi="宋体" w:eastAsia="宋体" w:cs="宋体"/>
          <w:spacing w:val="-18"/>
          <w:sz w:val="21"/>
          <w:szCs w:val="21"/>
        </w:rPr>
        <w:t>8.4</w:t>
      </w:r>
      <w:r>
        <w:rPr>
          <w:rFonts w:hint="eastAsia" w:ascii="宋体" w:hAnsi="宋体" w:eastAsia="宋体" w:cs="宋体"/>
          <w:sz w:val="21"/>
          <w:szCs w:val="21"/>
        </w:rPr>
        <w:t>联络</w:t>
      </w:r>
    </w:p>
    <w:p w14:paraId="0EEDF50C">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8.4.1任何一方与合同有关的通知、指示、要求、决定等，均应在</w:t>
      </w:r>
      <w:r>
        <w:rPr>
          <w:rFonts w:hint="eastAsia" w:ascii="宋体" w:hAnsi="宋体" w:eastAsia="宋体" w:cs="宋体"/>
          <w:sz w:val="21"/>
          <w:szCs w:val="21"/>
          <w:u w:val="single"/>
          <w:lang w:val="en-US" w:eastAsia="zh-CN"/>
        </w:rPr>
        <w:t xml:space="preserve">   </w:t>
      </w:r>
      <w:r>
        <w:rPr>
          <w:rFonts w:hint="eastAsia" w:ascii="宋体" w:hAnsi="宋体" w:eastAsia="宋体" w:cs="宋体"/>
          <w:b/>
          <w:bCs/>
          <w:sz w:val="21"/>
          <w:szCs w:val="21"/>
          <w:u w:val="single"/>
        </w:rPr>
        <w:t>日</w:t>
      </w:r>
      <w:r>
        <w:rPr>
          <w:rFonts w:hint="eastAsia" w:ascii="宋体" w:hAnsi="宋体" w:eastAsia="宋体" w:cs="宋体"/>
          <w:sz w:val="21"/>
          <w:szCs w:val="21"/>
        </w:rPr>
        <w:t>内送达对方指定的接收人和送达地点。</w:t>
      </w:r>
    </w:p>
    <w:p w14:paraId="725B439C">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8.4.2委托人指定的送达接收人：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，送达地点：</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pacing w:val="-18"/>
          <w:sz w:val="21"/>
          <w:szCs w:val="21"/>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w:t>
      </w:r>
    </w:p>
    <w:p w14:paraId="7871F0CE">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咨询人指定的送达接收人：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，送达地点：</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，电子</w:t>
      </w:r>
      <w:r>
        <w:rPr>
          <w:rFonts w:hint="eastAsia" w:ascii="宋体" w:hAnsi="宋体" w:eastAsia="宋体" w:cs="宋体"/>
          <w:spacing w:val="-18"/>
          <w:sz w:val="21"/>
          <w:szCs w:val="21"/>
        </w:rPr>
        <w:t>邮</w:t>
      </w:r>
      <w:r>
        <w:rPr>
          <w:rFonts w:hint="eastAsia" w:ascii="宋体" w:hAnsi="宋体" w:eastAsia="宋体" w:cs="宋体"/>
          <w:sz w:val="21"/>
          <w:szCs w:val="21"/>
        </w:rPr>
        <w:t>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w:t>
      </w:r>
    </w:p>
    <w:p w14:paraId="432892A4">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8.5知识产权</w:t>
      </w:r>
    </w:p>
    <w:p w14:paraId="31FA61A4">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委托人提供给咨询人的图纸、委托人为实施工程自行编制或委托编制的技术规范以及反映委托人要求的或其他类似性质文件的著作权属于</w:t>
      </w:r>
      <w:r>
        <w:rPr>
          <w:rFonts w:hint="eastAsia" w:ascii="宋体" w:hAnsi="宋体" w:eastAsia="宋体" w:cs="宋体"/>
          <w:b/>
          <w:sz w:val="21"/>
          <w:szCs w:val="21"/>
          <w:u w:val="single"/>
        </w:rPr>
        <w:t xml:space="preserve"> 委托人</w:t>
      </w:r>
      <w:r>
        <w:rPr>
          <w:rFonts w:hint="eastAsia" w:ascii="宋体" w:hAnsi="宋体" w:eastAsia="宋体" w:cs="宋体"/>
          <w:b/>
          <w:spacing w:val="-18"/>
          <w:sz w:val="21"/>
          <w:szCs w:val="21"/>
        </w:rPr>
        <w:t>。</w:t>
      </w:r>
    </w:p>
    <w:p w14:paraId="1E869E59">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pacing w:val="-18"/>
          <w:sz w:val="21"/>
          <w:szCs w:val="21"/>
        </w:rPr>
      </w:pPr>
      <w:r>
        <w:rPr>
          <w:rFonts w:hint="eastAsia" w:ascii="宋体" w:hAnsi="宋体" w:eastAsia="宋体" w:cs="宋体"/>
          <w:sz w:val="21"/>
          <w:szCs w:val="21"/>
        </w:rPr>
        <w:t>咨询人为履行本合同约定而编制的成果文件，其著作权属于</w:t>
      </w:r>
      <w:r>
        <w:rPr>
          <w:rFonts w:hint="eastAsia" w:ascii="宋体" w:hAnsi="宋体" w:eastAsia="宋体" w:cs="宋体"/>
          <w:b/>
          <w:sz w:val="21"/>
          <w:szCs w:val="21"/>
          <w:u w:val="single"/>
        </w:rPr>
        <w:t xml:space="preserve"> 委托人</w:t>
      </w:r>
      <w:r>
        <w:rPr>
          <w:rFonts w:hint="eastAsia" w:ascii="宋体" w:hAnsi="宋体" w:eastAsia="宋体" w:cs="宋体"/>
          <w:spacing w:val="-18"/>
          <w:sz w:val="21"/>
          <w:szCs w:val="21"/>
        </w:rPr>
        <w:t>。</w:t>
      </w:r>
    </w:p>
    <w:p w14:paraId="402DB60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双方将履行本合同形成的有关成果文件用于企业宣传、申报奖项以及接受上级主管部门的检查须遵守以下约定：</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须经委托人同意</w:t>
      </w:r>
      <w:r>
        <w:rPr>
          <w:rFonts w:hint="eastAsia" w:ascii="宋体" w:hAnsi="宋体" w:eastAsia="宋体" w:cs="宋体"/>
          <w:sz w:val="21"/>
          <w:szCs w:val="21"/>
          <w:u w:val="single"/>
        </w:rPr>
        <w:t>。</w:t>
      </w:r>
    </w:p>
    <w:p w14:paraId="5CF6FED2">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400" w:firstLineChars="200"/>
        <w:jc w:val="left"/>
        <w:textAlignment w:val="auto"/>
        <w:outlineLvl w:val="9"/>
        <w:rPr>
          <w:rFonts w:hint="eastAsia" w:ascii="宋体" w:hAnsi="宋体" w:eastAsia="宋体" w:cs="宋体"/>
          <w:b/>
          <w:bCs/>
          <w:w w:val="95"/>
          <w:sz w:val="21"/>
          <w:szCs w:val="21"/>
        </w:rPr>
      </w:pPr>
      <w:bookmarkStart w:id="167" w:name="_Toc422322557"/>
      <w:bookmarkStart w:id="168" w:name="_Toc419045126"/>
      <w:r>
        <w:rPr>
          <w:rFonts w:hint="eastAsia" w:ascii="宋体" w:hAnsi="宋体" w:eastAsia="宋体" w:cs="宋体"/>
          <w:b/>
          <w:bCs/>
          <w:w w:val="95"/>
          <w:sz w:val="21"/>
          <w:szCs w:val="21"/>
        </w:rPr>
        <w:t>9.补充条款</w:t>
      </w:r>
    </w:p>
    <w:p w14:paraId="3BC868E6">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398" w:firstLineChars="200"/>
        <w:jc w:val="left"/>
        <w:textAlignment w:val="auto"/>
        <w:outlineLvl w:val="9"/>
        <w:rPr>
          <w:rFonts w:hint="eastAsia" w:ascii="宋体" w:hAnsi="宋体" w:eastAsia="宋体" w:cs="宋体"/>
          <w:b w:val="0"/>
          <w:bCs w:val="0"/>
          <w:w w:val="95"/>
          <w:sz w:val="21"/>
          <w:szCs w:val="21"/>
          <w:highlight w:val="yellow"/>
          <w:u w:val="single"/>
          <w:lang w:val="en-US" w:eastAsia="zh-CN"/>
        </w:rPr>
      </w:pPr>
      <w:r>
        <w:rPr>
          <w:rFonts w:hint="eastAsia" w:ascii="宋体" w:hAnsi="宋体" w:eastAsia="宋体" w:cs="宋体"/>
          <w:b w:val="0"/>
          <w:bCs w:val="0"/>
          <w:w w:val="95"/>
          <w:sz w:val="21"/>
          <w:szCs w:val="21"/>
          <w:highlight w:val="yellow"/>
          <w:u w:val="single"/>
          <w:lang w:val="en-US" w:eastAsia="zh-CN"/>
        </w:rPr>
        <w:t>9.1委托人及咨询人应执行“附录 A 服务范围及工作内容”的规定。</w:t>
      </w:r>
    </w:p>
    <w:p w14:paraId="1129E1A5">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398" w:firstLineChars="200"/>
        <w:jc w:val="left"/>
        <w:textAlignment w:val="auto"/>
        <w:outlineLvl w:val="9"/>
        <w:rPr>
          <w:rFonts w:hint="eastAsia" w:ascii="宋体" w:hAnsi="宋体" w:eastAsia="宋体" w:cs="宋体"/>
          <w:b w:val="0"/>
          <w:bCs w:val="0"/>
          <w:w w:val="95"/>
          <w:sz w:val="21"/>
          <w:szCs w:val="21"/>
          <w:highlight w:val="yellow"/>
          <w:u w:val="single"/>
          <w:lang w:val="en-US" w:eastAsia="zh-CN"/>
        </w:rPr>
      </w:pPr>
      <w:r>
        <w:rPr>
          <w:rFonts w:hint="eastAsia" w:ascii="宋体" w:hAnsi="宋体" w:eastAsia="宋体" w:cs="宋体"/>
          <w:b w:val="0"/>
          <w:bCs w:val="0"/>
          <w:w w:val="95"/>
          <w:sz w:val="21"/>
          <w:szCs w:val="21"/>
          <w:highlight w:val="yellow"/>
          <w:u w:val="single"/>
          <w:lang w:val="en-US" w:eastAsia="zh-CN"/>
        </w:rPr>
        <w:t>9.2 委托人有权在本协议签署后制定具体考勤办法，咨询人应执行委托人制定的具体考勤办法（包括但不限于：奖惩制度）。</w:t>
      </w:r>
    </w:p>
    <w:p w14:paraId="7EC0D51D">
      <w:pPr>
        <w:pStyle w:val="7"/>
        <w:keepNext w:val="0"/>
        <w:keepLines w:val="0"/>
        <w:pageBreakBefore w:val="0"/>
        <w:widowControl w:val="0"/>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yellow"/>
          <w:u w:val="single"/>
        </w:rPr>
      </w:pPr>
      <w:r>
        <w:rPr>
          <w:rFonts w:hint="eastAsia" w:ascii="宋体" w:hAnsi="宋体" w:eastAsia="宋体" w:cs="宋体"/>
          <w:bCs/>
          <w:sz w:val="21"/>
          <w:szCs w:val="21"/>
          <w:highlight w:val="yellow"/>
          <w:u w:val="single"/>
        </w:rPr>
        <w:t>9.</w:t>
      </w:r>
      <w:r>
        <w:rPr>
          <w:rFonts w:hint="eastAsia" w:cs="宋体"/>
          <w:bCs/>
          <w:sz w:val="21"/>
          <w:szCs w:val="21"/>
          <w:highlight w:val="yellow"/>
          <w:u w:val="single"/>
          <w:lang w:val="en-US" w:eastAsia="zh-CN"/>
        </w:rPr>
        <w:t>3</w:t>
      </w:r>
      <w:r>
        <w:rPr>
          <w:rFonts w:hint="eastAsia" w:ascii="宋体" w:hAnsi="宋体" w:eastAsia="宋体" w:cs="宋体"/>
          <w:bCs/>
          <w:sz w:val="21"/>
          <w:szCs w:val="21"/>
          <w:highlight w:val="yellow"/>
          <w:u w:val="single"/>
        </w:rPr>
        <w:t>咨询人应严格执行行业咨询标准、咨询流程、职业道德和职业纪律，不断提高服务质量质量，严禁“吃、喝、卡、拿、要”等违规行为发生，严禁顶撞各相关方从业人员，否则委托人将视情节轻重，给予当事人100-1000元的罚款，直至开除。</w:t>
      </w:r>
    </w:p>
    <w:p w14:paraId="7BB2946F">
      <w:pPr>
        <w:pStyle w:val="7"/>
        <w:keepNext w:val="0"/>
        <w:keepLines w:val="0"/>
        <w:pageBreakBefore w:val="0"/>
        <w:widowControl w:val="0"/>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yellow"/>
          <w:u w:val="single"/>
        </w:rPr>
      </w:pPr>
      <w:r>
        <w:rPr>
          <w:rFonts w:hint="eastAsia" w:ascii="宋体" w:hAnsi="宋体" w:eastAsia="宋体" w:cs="宋体"/>
          <w:bCs/>
          <w:sz w:val="21"/>
          <w:szCs w:val="21"/>
          <w:highlight w:val="yellow"/>
          <w:u w:val="single"/>
        </w:rPr>
        <w:t>9.</w:t>
      </w:r>
      <w:r>
        <w:rPr>
          <w:rFonts w:hint="eastAsia" w:cs="宋体"/>
          <w:bCs/>
          <w:sz w:val="21"/>
          <w:szCs w:val="21"/>
          <w:highlight w:val="yellow"/>
          <w:u w:val="single"/>
          <w:lang w:val="en-US" w:eastAsia="zh-CN"/>
        </w:rPr>
        <w:t>4</w:t>
      </w:r>
      <w:r>
        <w:rPr>
          <w:rFonts w:hint="eastAsia" w:ascii="宋体" w:hAnsi="宋体" w:eastAsia="宋体" w:cs="宋体"/>
          <w:bCs/>
          <w:sz w:val="21"/>
          <w:szCs w:val="21"/>
          <w:highlight w:val="yellow"/>
          <w:u w:val="single"/>
        </w:rPr>
        <w:t>咨询人员应利用照相、GPS等先进技术装备，对项目原始地理细毛进行测量取证，对隐蔽工程及其他重要环节等进行现场取证，为竣工结算提供可靠依据。</w:t>
      </w:r>
    </w:p>
    <w:p w14:paraId="55923389">
      <w:pPr>
        <w:pStyle w:val="7"/>
        <w:keepNext w:val="0"/>
        <w:keepLines w:val="0"/>
        <w:pageBreakBefore w:val="0"/>
        <w:widowControl w:val="0"/>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yellow"/>
          <w:u w:val="single"/>
        </w:rPr>
      </w:pPr>
      <w:r>
        <w:rPr>
          <w:rFonts w:hint="eastAsia" w:ascii="宋体" w:hAnsi="宋体" w:eastAsia="宋体" w:cs="宋体"/>
          <w:bCs/>
          <w:sz w:val="21"/>
          <w:szCs w:val="21"/>
          <w:highlight w:val="yellow"/>
          <w:u w:val="single"/>
        </w:rPr>
        <w:t>9.</w:t>
      </w:r>
      <w:r>
        <w:rPr>
          <w:rFonts w:hint="eastAsia" w:cs="宋体"/>
          <w:bCs/>
          <w:sz w:val="21"/>
          <w:szCs w:val="21"/>
          <w:highlight w:val="yellow"/>
          <w:u w:val="single"/>
          <w:lang w:val="en-US" w:eastAsia="zh-CN"/>
        </w:rPr>
        <w:t>5</w:t>
      </w:r>
      <w:r>
        <w:rPr>
          <w:rFonts w:hint="eastAsia" w:ascii="宋体" w:hAnsi="宋体" w:eastAsia="宋体" w:cs="宋体"/>
          <w:bCs/>
          <w:sz w:val="21"/>
          <w:szCs w:val="21"/>
          <w:highlight w:val="yellow"/>
          <w:u w:val="single"/>
        </w:rPr>
        <w:t>咨询人应建立《跟踪咨询日志》，及时记载咨询时间、工作纪实（包括咨询内容、项目现状、发现问题、咨询意见、整改情况、咨询成果），每日记录的内容要注重反映量化成果，要成为反映造价咨询全貌的工作日志。工作日志由咨询人员负责记载，委托人不定期抽查。</w:t>
      </w:r>
    </w:p>
    <w:p w14:paraId="1B3C7D67">
      <w:pPr>
        <w:pStyle w:val="7"/>
        <w:keepNext w:val="0"/>
        <w:keepLines w:val="0"/>
        <w:pageBreakBefore w:val="0"/>
        <w:widowControl w:val="0"/>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yellow"/>
          <w:u w:val="single"/>
        </w:rPr>
      </w:pPr>
      <w:r>
        <w:rPr>
          <w:rFonts w:hint="eastAsia" w:ascii="宋体" w:hAnsi="宋体" w:eastAsia="宋体" w:cs="宋体"/>
          <w:bCs/>
          <w:sz w:val="21"/>
          <w:szCs w:val="21"/>
          <w:highlight w:val="yellow"/>
          <w:u w:val="single"/>
        </w:rPr>
        <w:t>9.</w:t>
      </w:r>
      <w:r>
        <w:rPr>
          <w:rFonts w:hint="eastAsia" w:cs="宋体"/>
          <w:bCs/>
          <w:sz w:val="21"/>
          <w:szCs w:val="21"/>
          <w:highlight w:val="yellow"/>
          <w:u w:val="single"/>
          <w:lang w:val="en-US" w:eastAsia="zh-CN"/>
        </w:rPr>
        <w:t>6</w:t>
      </w:r>
      <w:r>
        <w:rPr>
          <w:rFonts w:hint="eastAsia" w:ascii="宋体" w:hAnsi="宋体" w:eastAsia="宋体" w:cs="宋体"/>
          <w:bCs/>
          <w:sz w:val="21"/>
          <w:szCs w:val="21"/>
          <w:highlight w:val="yellow"/>
          <w:u w:val="single"/>
        </w:rPr>
        <w:t>咨询过程中，对于一些重要的事项或者存在问题的事项，咨询人员要编制底稿，并对咨询底稿的真实性、完整性负责。</w:t>
      </w:r>
    </w:p>
    <w:p w14:paraId="0607ECB8">
      <w:pPr>
        <w:pStyle w:val="7"/>
        <w:keepNext w:val="0"/>
        <w:keepLines w:val="0"/>
        <w:pageBreakBefore w:val="0"/>
        <w:widowControl w:val="0"/>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yellow"/>
          <w:u w:val="single"/>
        </w:rPr>
      </w:pPr>
      <w:r>
        <w:rPr>
          <w:rFonts w:hint="eastAsia" w:ascii="宋体" w:hAnsi="宋体" w:eastAsia="宋体" w:cs="宋体"/>
          <w:bCs/>
          <w:sz w:val="21"/>
          <w:szCs w:val="21"/>
          <w:highlight w:val="yellow"/>
          <w:u w:val="single"/>
        </w:rPr>
        <w:t>咨询工作底稿的内容主要包括：</w:t>
      </w:r>
    </w:p>
    <w:p w14:paraId="4E051100">
      <w:pPr>
        <w:pStyle w:val="7"/>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yellow"/>
          <w:u w:val="single"/>
        </w:rPr>
      </w:pPr>
      <w:r>
        <w:rPr>
          <w:rFonts w:hint="eastAsia" w:ascii="宋体" w:hAnsi="宋体" w:eastAsia="宋体" w:cs="宋体"/>
          <w:bCs/>
          <w:sz w:val="21"/>
          <w:szCs w:val="21"/>
          <w:highlight w:val="yellow"/>
          <w:u w:val="single"/>
        </w:rPr>
        <w:t>被咨询单位的名称；</w:t>
      </w:r>
    </w:p>
    <w:p w14:paraId="5F5A5A56">
      <w:pPr>
        <w:pStyle w:val="7"/>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yellow"/>
          <w:u w:val="single"/>
        </w:rPr>
      </w:pPr>
      <w:r>
        <w:rPr>
          <w:rFonts w:hint="eastAsia" w:ascii="宋体" w:hAnsi="宋体" w:eastAsia="宋体" w:cs="宋体"/>
          <w:bCs/>
          <w:sz w:val="21"/>
          <w:szCs w:val="21"/>
          <w:highlight w:val="yellow"/>
          <w:u w:val="single"/>
        </w:rPr>
        <w:t>咨询项目的名称和实施时间；</w:t>
      </w:r>
    </w:p>
    <w:p w14:paraId="0B44051B">
      <w:pPr>
        <w:pStyle w:val="7"/>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yellow"/>
          <w:u w:val="single"/>
        </w:rPr>
      </w:pPr>
      <w:r>
        <w:rPr>
          <w:rFonts w:hint="eastAsia" w:ascii="宋体" w:hAnsi="宋体" w:eastAsia="宋体" w:cs="宋体"/>
          <w:bCs/>
          <w:sz w:val="21"/>
          <w:szCs w:val="21"/>
          <w:highlight w:val="yellow"/>
          <w:u w:val="single"/>
        </w:rPr>
        <w:t>咨询的过程记录；</w:t>
      </w:r>
    </w:p>
    <w:p w14:paraId="550990EE">
      <w:pPr>
        <w:pStyle w:val="7"/>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yellow"/>
          <w:u w:val="single"/>
        </w:rPr>
      </w:pPr>
      <w:r>
        <w:rPr>
          <w:rFonts w:hint="eastAsia" w:ascii="宋体" w:hAnsi="宋体" w:eastAsia="宋体" w:cs="宋体"/>
          <w:bCs/>
          <w:sz w:val="21"/>
          <w:szCs w:val="21"/>
          <w:highlight w:val="yellow"/>
          <w:u w:val="single"/>
        </w:rPr>
        <w:t>咨询人员对咨询实现的判断意见；</w:t>
      </w:r>
    </w:p>
    <w:p w14:paraId="444A13A1">
      <w:pPr>
        <w:pStyle w:val="7"/>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yellow"/>
          <w:u w:val="single"/>
        </w:rPr>
      </w:pPr>
      <w:r>
        <w:rPr>
          <w:rFonts w:hint="eastAsia" w:ascii="宋体" w:hAnsi="宋体" w:eastAsia="宋体" w:cs="宋体"/>
          <w:bCs/>
          <w:sz w:val="21"/>
          <w:szCs w:val="21"/>
          <w:highlight w:val="yellow"/>
          <w:u w:val="single"/>
        </w:rPr>
        <w:t>编制者的姓名及编制日期；</w:t>
      </w:r>
    </w:p>
    <w:p w14:paraId="6B7BDDD1">
      <w:pPr>
        <w:pStyle w:val="7"/>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yellow"/>
          <w:u w:val="single"/>
        </w:rPr>
      </w:pPr>
      <w:r>
        <w:rPr>
          <w:rFonts w:hint="eastAsia" w:ascii="宋体" w:hAnsi="宋体" w:eastAsia="宋体" w:cs="宋体"/>
          <w:bCs/>
          <w:sz w:val="21"/>
          <w:szCs w:val="21"/>
          <w:highlight w:val="yellow"/>
          <w:u w:val="single"/>
        </w:rPr>
        <w:t>复核意见、复核者的姓名及复核日期。</w:t>
      </w:r>
    </w:p>
    <w:p w14:paraId="003EAD9F">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outlineLvl w:val="9"/>
        <w:rPr>
          <w:rFonts w:hint="eastAsia" w:ascii="宋体" w:hAnsi="宋体" w:eastAsia="宋体" w:cs="宋体"/>
          <w:bCs/>
          <w:sz w:val="21"/>
          <w:szCs w:val="21"/>
          <w:highlight w:val="yellow"/>
          <w:u w:val="single"/>
        </w:rPr>
      </w:pPr>
      <w:r>
        <w:rPr>
          <w:rFonts w:hint="eastAsia" w:ascii="宋体" w:hAnsi="宋体" w:eastAsia="宋体" w:cs="宋体"/>
          <w:bCs/>
          <w:sz w:val="21"/>
          <w:szCs w:val="21"/>
          <w:highlight w:val="yellow"/>
          <w:u w:val="single"/>
        </w:rPr>
        <w:t>编制咨询工作的底稿做到真实客观、内容完成、事实清楚、重点突出。</w:t>
      </w:r>
    </w:p>
    <w:p w14:paraId="25138D23">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398" w:firstLineChars="200"/>
        <w:jc w:val="left"/>
        <w:textAlignment w:val="auto"/>
        <w:outlineLvl w:val="9"/>
        <w:rPr>
          <w:rFonts w:hint="eastAsia" w:ascii="宋体" w:hAnsi="宋体" w:eastAsia="宋体" w:cs="宋体"/>
          <w:b w:val="0"/>
          <w:bCs w:val="0"/>
          <w:w w:val="95"/>
          <w:sz w:val="21"/>
          <w:szCs w:val="21"/>
          <w:u w:val="single"/>
          <w:lang w:val="en-US" w:eastAsia="zh-CN"/>
        </w:rPr>
      </w:pPr>
      <w:r>
        <w:rPr>
          <w:rFonts w:hint="eastAsia" w:ascii="宋体" w:hAnsi="宋体" w:eastAsia="宋体" w:cs="宋体"/>
          <w:b w:val="0"/>
          <w:bCs w:val="0"/>
          <w:w w:val="95"/>
          <w:sz w:val="21"/>
          <w:szCs w:val="21"/>
          <w:u w:val="single"/>
          <w:lang w:val="en-US" w:eastAsia="zh-CN"/>
        </w:rPr>
        <w:t>9.</w:t>
      </w:r>
      <w:r>
        <w:rPr>
          <w:rFonts w:hint="eastAsia" w:cs="宋体"/>
          <w:b w:val="0"/>
          <w:bCs w:val="0"/>
          <w:w w:val="95"/>
          <w:sz w:val="21"/>
          <w:szCs w:val="21"/>
          <w:u w:val="single"/>
          <w:lang w:val="en-US" w:eastAsia="zh-CN"/>
        </w:rPr>
        <w:t>7</w:t>
      </w:r>
      <w:r>
        <w:rPr>
          <w:rFonts w:hint="eastAsia" w:ascii="宋体" w:hAnsi="宋体" w:eastAsia="宋体" w:cs="宋体"/>
          <w:b w:val="0"/>
          <w:bCs w:val="0"/>
          <w:w w:val="95"/>
          <w:sz w:val="21"/>
          <w:szCs w:val="21"/>
          <w:u w:val="single"/>
          <w:lang w:val="en-US" w:eastAsia="zh-CN"/>
        </w:rPr>
        <w:t>咨询人需签署《廉洁自律承诺书》</w:t>
      </w:r>
      <w:r>
        <w:rPr>
          <w:rFonts w:hint="eastAsia" w:cs="宋体"/>
          <w:b w:val="0"/>
          <w:bCs w:val="0"/>
          <w:w w:val="95"/>
          <w:sz w:val="21"/>
          <w:szCs w:val="21"/>
          <w:u w:val="single"/>
          <w:lang w:val="en-US" w:eastAsia="zh-CN"/>
        </w:rPr>
        <w:t>。</w:t>
      </w:r>
    </w:p>
    <w:p w14:paraId="2E80D749">
      <w:pPr>
        <w:rPr>
          <w:rFonts w:hint="eastAsia" w:ascii="宋体" w:hAnsi="宋体"/>
          <w:b/>
          <w:bCs/>
          <w:sz w:val="21"/>
          <w:szCs w:val="21"/>
        </w:rPr>
      </w:pPr>
      <w:r>
        <w:rPr>
          <w:rFonts w:hint="eastAsia" w:ascii="宋体" w:hAnsi="宋体"/>
          <w:b/>
          <w:bCs/>
          <w:sz w:val="21"/>
          <w:szCs w:val="21"/>
        </w:rPr>
        <w:br w:type="page"/>
      </w:r>
    </w:p>
    <w:p w14:paraId="7C035772">
      <w:pPr>
        <w:jc w:val="center"/>
        <w:rPr>
          <w:rFonts w:hint="eastAsia" w:ascii="宋体" w:hAnsi="宋体"/>
          <w:b/>
          <w:bCs/>
          <w:sz w:val="21"/>
          <w:szCs w:val="21"/>
        </w:rPr>
      </w:pPr>
      <w:r>
        <w:rPr>
          <w:rFonts w:hint="eastAsia" w:ascii="宋体" w:hAnsi="宋体"/>
          <w:b/>
          <w:bCs/>
          <w:sz w:val="21"/>
          <w:szCs w:val="21"/>
        </w:rPr>
        <w:t>附录A 服务范围及工作内容</w:t>
      </w:r>
      <w:bookmarkEnd w:id="167"/>
      <w:bookmarkEnd w:id="168"/>
    </w:p>
    <w:p w14:paraId="28075104">
      <w:pPr>
        <w:pStyle w:val="2"/>
        <w:rPr>
          <w:rFonts w:hint="default" w:ascii="宋体" w:hAnsi="宋体" w:eastAsia="宋体"/>
          <w:b/>
          <w:bCs/>
          <w:sz w:val="21"/>
          <w:szCs w:val="21"/>
          <w:lang w:val="en-US" w:eastAsia="zh-CN"/>
        </w:rPr>
      </w:pPr>
      <w:r>
        <w:rPr>
          <w:rFonts w:hint="eastAsia"/>
          <w:b/>
          <w:bCs/>
          <w:sz w:val="21"/>
          <w:szCs w:val="21"/>
          <w:lang w:val="en-US" w:eastAsia="zh-CN"/>
        </w:rPr>
        <w:t>（一）服务要求</w:t>
      </w:r>
    </w:p>
    <w:p w14:paraId="761C6B37">
      <w:pPr>
        <w:pStyle w:val="2"/>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kern w:val="2"/>
          <w:sz w:val="21"/>
          <w:szCs w:val="21"/>
          <w:highlight w:val="none"/>
          <w:shd w:val="clear" w:color="auto" w:fill="auto"/>
          <w:lang w:val="en-US" w:eastAsia="zh-CN" w:bidi="ar-SA"/>
        </w:rPr>
      </w:pPr>
      <w:r>
        <w:rPr>
          <w:rFonts w:hint="eastAsia" w:ascii="宋体" w:hAnsi="宋体" w:eastAsia="宋体" w:cs="宋体"/>
          <w:b/>
          <w:bCs/>
          <w:kern w:val="2"/>
          <w:sz w:val="21"/>
          <w:szCs w:val="21"/>
          <w:highlight w:val="none"/>
          <w:shd w:val="clear" w:color="auto" w:fill="auto"/>
          <w:lang w:val="en-US" w:eastAsia="zh-CN" w:bidi="ar-SA"/>
        </w:rPr>
        <w:t>1.造价咨询服务内容及范围：</w:t>
      </w:r>
    </w:p>
    <w:p w14:paraId="0CCB686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本工程及相应范围内的施工阶段全过程跟踪审计及造价咨询服务：EPC设计图工程预算编制及审核，变更联系单审核，工程进度款审核，现场工程涉及造价的台账建立，涉及造价的影像资料收集等咨询服务。具体服务内容如下：</w:t>
      </w:r>
    </w:p>
    <w:p w14:paraId="03C346C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（1）施工阶段全过程工程造价控制包含工程联系单的审核（含设计变更）及阶段性工程款支付审核等，具体包括但不仅限于以下服务内容：</w:t>
      </w:r>
    </w:p>
    <w:p w14:paraId="7D1F2A0F">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1）检查工程设计变更、施工现场签证手续是否合理、合规、及时、完整、真实，对变更内容和过程进行鉴证；</w:t>
      </w:r>
    </w:p>
    <w:p w14:paraId="08D6EFFB">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2）根据</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要求对施工单位申报的变更金额进行审核，并视需要或根据</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要求出具书面咨询报告，对具体涉及联系单进行备案。并根据</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要求进行有关费用的测算，提出方案的选择，相应调整造价控制目标；</w:t>
      </w:r>
    </w:p>
    <w:p w14:paraId="0884694A">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3）参与工程联系单审核签发会、工程例会、现场协调会等有关的工程会议，对于重点事项及时向</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汇报；</w:t>
      </w:r>
    </w:p>
    <w:p w14:paraId="6ECBCD2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4）协助</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对重要隐蔽工程、交叉工程、临时工程等工程量进行抽查核实，并做好现场记录和取证工作，关键部位应拍下照片作为证据，妥善保存和移交；</w:t>
      </w:r>
    </w:p>
    <w:p w14:paraId="6238E57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5）提前测定特殊材料和工艺费用。对新材料、无价材料、特种材料、新工艺、特种工艺的性能、价格、消耗量等进行跟踪记录，作为编制计价依据的基础资料。根据工程的实际需要，会同相关参建单位对新工艺、特种工艺所用人工、材料、机械的实际消耗量进行试验、测定、计量，以便后期结算时对单价的核定；</w:t>
      </w:r>
    </w:p>
    <w:p w14:paraId="7929B26F">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6）鉴证补充合同情况。掌握补充合同签订原因和过程，分析补充合同价格水平和合同条款的明确性、严密性，并与主合同比较，提出审计意见或建议；</w:t>
      </w:r>
    </w:p>
    <w:p w14:paraId="17922FE0">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7）鉴证影响工程造价的其它项目，做好必要的现场文字记录和影像记录；</w:t>
      </w:r>
    </w:p>
    <w:p w14:paraId="3AAD0B41">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8）协助计量与支付审核。在跟踪审计期间，对每一笔计量支付情况进行审核，检查此计量支付是否符合程序，参建各方有无按照自身职责审核当期工程款。若申报数量与审计现场验收记录不符或计价不准确时，审计可以修正或自行编制审计联系单，并报告</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w:t>
      </w:r>
    </w:p>
    <w:p w14:paraId="024159FB">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9）协助监控建设成本。密切注意施工阶段建设成本控制情况和整个建设过程中的资金使用情况。根据实际工程需要，对设计变更提供工程造价费用影响建议，作为设计变更造价控制上的依据和参考。定期评估工程成本控制情况及趋势，预估工程造价发生超概情况的可能性，并及时向</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报告；</w:t>
      </w:r>
    </w:p>
    <w:p w14:paraId="2DA528D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10）协助工程变更测算与建议。对图纸以外工程特别是重要隐蔽工程的经济签证协同建设管理单位进行审核与监督，作相应的取证，并根据</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的要求进行有关费用的测算。协助</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和设计单位评估设计变更的成本价值效应。参与对工程造价影响较大及图纸以外或与设计不符部位的隐蔽项目的测算与审核。发生工程变更时，若需重新确定结算单价，先由施工单位申报，监理签证，</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审查后，再交审计组测算和审定；</w:t>
      </w:r>
    </w:p>
    <w:p w14:paraId="29B805BD">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11）协助审查补充合同。协助审核补充合同报价，当发生合同外报价事项或签订补充合同时，应要求</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即时提供相关资料，并对影响工程造价的因素进行调查研究，提出代表咨询单位的意见或建议；</w:t>
      </w:r>
    </w:p>
    <w:p w14:paraId="2CE57EF7">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12）协助索赔。协助</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审查、评估承包商提出的索赔和索赔所需单据证明；</w:t>
      </w:r>
    </w:p>
    <w:p w14:paraId="468E077D">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13）协助无价材料、特种材料的询价和咨询工作。协助</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查询、分析、测算无价材料等的市场价格，了解采购渠道、技术前景等其他情况；</w:t>
      </w:r>
    </w:p>
    <w:p w14:paraId="796E1BB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14）协助投资控制和造价管理的建议。向</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提供造价管理、经济法规方面的咨询服务。提供咨询的范围包括：工程量计量规则、计价办法、市场信息等方面的专业知识及涉及的法律法规，降低成本、加强管理的可行性方案和建设性意见。提供咨询的方式：一般的工程造价专业问题，可以口头或电话提供咨询；影响工程造价较大的问题或建议、方案等，在充分调研的基础上，以书面形式答复或提交</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，为</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决策提供参考；</w:t>
      </w:r>
    </w:p>
    <w:p w14:paraId="6C62CDA0">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15）协助做好与工程造价相关的对外衔接或谈判工作。在</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就可能涉及工程造价相关的事宜进行对外衔接或谈判时，跟踪审计人员应做好相关造价情况的分析和资料的准备等基础性工作，必要时相关审计人员应参与现场的衔接或谈判工作；</w:t>
      </w:r>
    </w:p>
    <w:p w14:paraId="7DDA26F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16）出具预算审核阶段审计报告、全过程跟踪审计总报告、对于全过程审计过程中发现的问题不定期出具审计意见和建议报告；</w:t>
      </w:r>
    </w:p>
    <w:p w14:paraId="43208A2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17）提出本工程全过程造价控制及内控制度咨询总体方案。</w:t>
      </w:r>
    </w:p>
    <w:p w14:paraId="5402EE3B">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工程竣工结算审核服务，包括但不仅限于以下服务内容：协助业主做好竣工结算审计工作，包括：对整个跟踪审计阶段的所有资料进行整合分析；对施工单位递交资料的真实性、完整性、系统性进行审核；对工程量价及取费的准确性进行审核；对结算的真实性、合法性与效益性进行审核等工作，出具工程竣工结算审核报告。</w:t>
      </w:r>
    </w:p>
    <w:p w14:paraId="1E532C2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工程资料的收集、保管、移交：建立完善的造价控制台帐，规范工程进度款台帐、工程变更联系单台帐、造价例会台帐、与造价有关会议台帐、与造价有关的隐蔽工程的施工资料、图片及文字记录等。收集和保管签证单、合同、摄像、照片、文字记录、会议纪录等建设工程全过程记录资料，跟踪审计结束后，向</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移交完整的全套档案。</w:t>
      </w:r>
    </w:p>
    <w:p w14:paraId="3F17B859">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（4）全力配合并协助解决与本次建设项目的其他技术造价咨询问题。</w:t>
      </w:r>
    </w:p>
    <w:p w14:paraId="40061BBD">
      <w:pPr>
        <w:pStyle w:val="2"/>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kern w:val="2"/>
          <w:sz w:val="21"/>
          <w:szCs w:val="21"/>
          <w:highlight w:val="none"/>
          <w:shd w:val="clear" w:color="auto" w:fill="auto"/>
          <w:lang w:val="en-US" w:eastAsia="zh-CN" w:bidi="ar-SA"/>
        </w:rPr>
      </w:pPr>
      <w:r>
        <w:rPr>
          <w:rFonts w:hint="eastAsia" w:ascii="宋体" w:hAnsi="宋体" w:eastAsia="宋体" w:cs="宋体"/>
          <w:b/>
          <w:bCs/>
          <w:kern w:val="2"/>
          <w:sz w:val="21"/>
          <w:szCs w:val="21"/>
          <w:highlight w:val="none"/>
          <w:shd w:val="clear" w:color="auto" w:fill="auto"/>
          <w:lang w:val="en-US" w:eastAsia="zh-CN" w:bidi="ar-SA"/>
        </w:rPr>
        <w:t>2.实施阶段跟踪审计内容及范围：</w:t>
      </w:r>
    </w:p>
    <w:p w14:paraId="47F083C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（1）项目前期立项情况。重点检查建设工程前期是否有项目建议书、可行研究报告、国家有关部门批准的投资估算，审核项目立项程序是否合规，审批手续是否完备、合法。</w:t>
      </w:r>
    </w:p>
    <w:p w14:paraId="3DFF857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（2）检查内控制度执行情况。检查建设单位是否认真执行各项内控制度。</w:t>
      </w:r>
    </w:p>
    <w:p w14:paraId="0B47E94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（3）检查各项经济合同的履行情况。重点应检查：</w:t>
      </w:r>
    </w:p>
    <w:p w14:paraId="6F9AA09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1）检查建设项目相关单位是否认真履行合同条款，有无违规转包、分包等问题，重点关注发生变更、增补、转让或终止情况的真实性、合法性；</w:t>
      </w:r>
    </w:p>
    <w:p w14:paraId="29CF4093">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2）检查各类签证、纪要和补充协议的真实性、合法性和效益性，是否存在与招标文件、合同中实质性内容不一致等问题；</w:t>
      </w:r>
    </w:p>
    <w:p w14:paraId="73BB7F9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3）检查总监理工程师和施工项目经理的到位情况、设计和监理单位的履职情况等。</w:t>
      </w:r>
    </w:p>
    <w:p w14:paraId="1ACC31C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（4）检查项目概算执行情况。重点应检查：</w:t>
      </w:r>
    </w:p>
    <w:p w14:paraId="46C71EA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1）有无概算外项目、超概算投资和擅自提高建设标准，扩大建设规模等问题；</w:t>
      </w:r>
    </w:p>
    <w:p w14:paraId="02998169">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2）概算调整是否按政府文件规定程序进行报批；</w:t>
      </w:r>
    </w:p>
    <w:p w14:paraId="4F4E7CD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3）有无不按概算批复的规定购置自用固定资产，挤占或者虚列工程成本等问题。</w:t>
      </w:r>
    </w:p>
    <w:p w14:paraId="7857BC6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（5）检查施工图设计深化情况。重点应检查：</w:t>
      </w:r>
    </w:p>
    <w:p w14:paraId="2ADE1FB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1）施工图设计深度是否符合初步设计要求，内容是否完整；</w:t>
      </w:r>
    </w:p>
    <w:p w14:paraId="526F87E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2）施工图在材料品牌、设计工艺、设施配置等方面是否达到初步设计要求。</w:t>
      </w:r>
    </w:p>
    <w:p w14:paraId="084C02C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（6）检查工程变更情况。重点应检查：</w:t>
      </w:r>
    </w:p>
    <w:p w14:paraId="64073CE9">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1）工程变更是否合理、合规、真实，相应签证手续是否及时、完整；</w:t>
      </w:r>
    </w:p>
    <w:p w14:paraId="655D8AA7">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2）工程变更审批手续是否符合相关文件规定；</w:t>
      </w:r>
    </w:p>
    <w:p w14:paraId="6BBC493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3）有无将合同范围外应进行重新招投标的内容，以工程变更联系单形式直接交由原施工单位实施的问题；</w:t>
      </w:r>
    </w:p>
    <w:p w14:paraId="63A6084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4）有无因决策失误、设计失误、工程质量事故等原因造成的损失浪费问题。</w:t>
      </w:r>
    </w:p>
    <w:p w14:paraId="2AACDC6B">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（7）检查在项目实施过程中，对于前期因“特事特办”而未到位的各种程序、手续是否按“特事特办、手续照办”原则及时予以补办完整。</w:t>
      </w:r>
    </w:p>
    <w:p w14:paraId="2982308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（8）检查建设资金到位情况。重点应检查：资金实际到位情况是否与资金筹集计划或投资进度相衔接，有无大量资金闲置、或因资金不到位而造成停工待料等损失浪费现象。</w:t>
      </w:r>
    </w:p>
    <w:p w14:paraId="7ACF4F60">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9）检查建设资金专款专用情况。重点应检查：建设单位是否严格按照合同约定支付工程进度款，有无挤占、挪用建设项目资金等问题；对往来资金数额较大且长时间不结转的预付工程款、预付备料款要查明原因，防止出现超付工程款现象。</w:t>
      </w:r>
    </w:p>
    <w:p w14:paraId="3DA64C5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（10）检查建设单位管理费的计取和使用情况。重点应检查：建设单位管理费的计取范围和标准是否符合有关规定，费用支出是否符合“必须、节约”的原则，有无超出概算控制金额的情况。</w:t>
      </w:r>
    </w:p>
    <w:p w14:paraId="1545985D">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（11）检查项目甲供设备、材料情况。重点应检查：</w:t>
      </w:r>
    </w:p>
    <w:p w14:paraId="78AF20F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1）甲供设备、材料采购的方式是否合理、合法、合规，是否按规定程序进行招投标或比价采购，价格是否符合市场情况；</w:t>
      </w:r>
    </w:p>
    <w:p w14:paraId="30BBDC72">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设备、材料采购的价格、规格、型号、数量与合同要求是否一致，评审时要根据建设单位提供的设备、材料采购计划进行核对。评审人员应重点关注特殊规格材料、非标设备的采购情况。对已购设备、材料因故不能使用的，要分析原因，分清责任，并督促建设单位及时处理，避免造成更大的损失。</w:t>
      </w:r>
    </w:p>
    <w:p w14:paraId="67BDA0A9">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（12）甲定乙供设备材料情况，重点检查甲定方案、程序是否合理、合法、合规。</w:t>
      </w:r>
    </w:p>
    <w:p w14:paraId="35838AD1">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（13）检查相关责任单位对工程质量管理的履职情况，如主要人员、安全措施是否到位、各种检验检测设备是否齐全，验收程序是否符合要求。</w:t>
      </w:r>
    </w:p>
    <w:p w14:paraId="5113B4FF">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（14）检查工程进度情况。在跟踪审计汇报中应对工程进度进行形象的表述(应附有影像资料)，并分析与合同工期有无出入、主要原因和责任确定。</w:t>
      </w:r>
    </w:p>
    <w:p w14:paraId="76D4815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（15）检查建设单位工程成本核算及账务处理是否符合《基本建设财务管理规定》的要求，是否有利于建设项目的管理及竣工财务决算的需要。</w:t>
      </w:r>
    </w:p>
    <w:p w14:paraId="5E95DE9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（16）审计认为政府投资项目实施阶段需要进行跟踪评审的其他内容。</w:t>
      </w:r>
    </w:p>
    <w:p w14:paraId="705FB571">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进度和质量要求</w:t>
      </w:r>
    </w:p>
    <w:p w14:paraId="201C4E69">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w:t>
      </w:r>
      <w:r>
        <w:rPr>
          <w:rFonts w:hint="eastAsia"/>
          <w:sz w:val="21"/>
          <w:szCs w:val="21"/>
          <w:highlight w:val="none"/>
          <w:lang w:val="en-US" w:eastAsia="zh-CN"/>
        </w:rPr>
        <w:t>1</w:t>
      </w:r>
      <w:r>
        <w:rPr>
          <w:rFonts w:hint="eastAsia" w:ascii="宋体" w:hAnsi="宋体"/>
          <w:sz w:val="21"/>
          <w:szCs w:val="21"/>
          <w:highlight w:val="none"/>
        </w:rPr>
        <w:t>）自收到</w:t>
      </w:r>
      <w:r>
        <w:rPr>
          <w:rFonts w:hint="eastAsia"/>
          <w:sz w:val="21"/>
          <w:szCs w:val="21"/>
          <w:highlight w:val="none"/>
          <w:lang w:val="en-US" w:eastAsia="zh-CN"/>
        </w:rPr>
        <w:t>工程概算清单</w:t>
      </w:r>
      <w:r>
        <w:rPr>
          <w:rFonts w:hint="eastAsia" w:ascii="宋体" w:hAnsi="宋体"/>
          <w:sz w:val="21"/>
          <w:szCs w:val="21"/>
          <w:highlight w:val="none"/>
        </w:rPr>
        <w:t>之日起，9个工作日内提出意见；</w:t>
      </w:r>
    </w:p>
    <w:p w14:paraId="12FA72BA">
      <w:pPr>
        <w:adjustRightInd w:val="0"/>
        <w:snapToGrid w:val="0"/>
        <w:spacing w:line="288" w:lineRule="auto"/>
        <w:ind w:firstLine="420" w:firstLineChars="200"/>
        <w:rPr>
          <w:rFonts w:hint="default" w:eastAsia="宋体"/>
          <w:highlight w:val="none"/>
          <w:lang w:val="en-US" w:eastAsia="zh-CN"/>
        </w:rPr>
      </w:pPr>
      <w:r>
        <w:rPr>
          <w:rFonts w:hint="eastAsia"/>
          <w:sz w:val="21"/>
          <w:szCs w:val="21"/>
          <w:highlight w:val="none"/>
          <w:lang w:val="en-US" w:eastAsia="zh-CN"/>
        </w:rPr>
        <w:t>（2）自收到EPC施工设计图之日起，14个工作日内出具工程量清单及控制价咨询意见；</w:t>
      </w:r>
    </w:p>
    <w:p w14:paraId="15A3C15C">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w:t>
      </w:r>
      <w:r>
        <w:rPr>
          <w:rFonts w:hint="eastAsia"/>
          <w:sz w:val="21"/>
          <w:szCs w:val="21"/>
          <w:highlight w:val="none"/>
          <w:lang w:val="en-US" w:eastAsia="zh-CN"/>
        </w:rPr>
        <w:t>3</w:t>
      </w:r>
      <w:r>
        <w:rPr>
          <w:rFonts w:hint="eastAsia" w:ascii="宋体" w:hAnsi="宋体"/>
          <w:sz w:val="21"/>
          <w:szCs w:val="21"/>
          <w:highlight w:val="none"/>
        </w:rPr>
        <w:t>）自收到工程变更估价资料之日起2个工作日内提出意见；</w:t>
      </w:r>
    </w:p>
    <w:p w14:paraId="2EC8A151">
      <w:pPr>
        <w:adjustRightInd w:val="0"/>
        <w:snapToGrid w:val="0"/>
        <w:spacing w:line="288" w:lineRule="auto"/>
        <w:ind w:firstLine="420" w:firstLineChars="200"/>
        <w:rPr>
          <w:rFonts w:ascii="宋体" w:hAnsi="宋体"/>
          <w:sz w:val="21"/>
          <w:szCs w:val="21"/>
          <w:highlight w:val="none"/>
        </w:rPr>
      </w:pPr>
      <w:r>
        <w:rPr>
          <w:rFonts w:hint="eastAsia"/>
          <w:sz w:val="21"/>
          <w:szCs w:val="21"/>
          <w:highlight w:val="none"/>
          <w:lang w:eastAsia="zh-CN"/>
        </w:rPr>
        <w:t>（</w:t>
      </w:r>
      <w:r>
        <w:rPr>
          <w:rFonts w:hint="eastAsia"/>
          <w:sz w:val="21"/>
          <w:szCs w:val="21"/>
          <w:highlight w:val="none"/>
          <w:lang w:val="en-US" w:eastAsia="zh-CN"/>
        </w:rPr>
        <w:t>4</w:t>
      </w:r>
      <w:r>
        <w:rPr>
          <w:rFonts w:hint="eastAsia" w:ascii="宋体" w:hAnsi="宋体"/>
          <w:sz w:val="21"/>
          <w:szCs w:val="21"/>
          <w:highlight w:val="none"/>
        </w:rPr>
        <w:t>）自收到进度款资料之日起3个工作日内提出意见；</w:t>
      </w:r>
    </w:p>
    <w:p w14:paraId="4562F733">
      <w:pPr>
        <w:adjustRightInd w:val="0"/>
        <w:snapToGrid w:val="0"/>
        <w:spacing w:line="288" w:lineRule="auto"/>
        <w:ind w:firstLine="420" w:firstLineChars="200"/>
        <w:rPr>
          <w:rFonts w:ascii="宋体" w:hAnsi="宋体"/>
          <w:sz w:val="21"/>
          <w:szCs w:val="21"/>
          <w:highlight w:val="none"/>
        </w:rPr>
      </w:pPr>
      <w:r>
        <w:rPr>
          <w:rFonts w:hint="eastAsia"/>
          <w:sz w:val="21"/>
          <w:szCs w:val="21"/>
          <w:highlight w:val="none"/>
          <w:lang w:eastAsia="zh-CN"/>
        </w:rPr>
        <w:t>（</w:t>
      </w:r>
      <w:r>
        <w:rPr>
          <w:rFonts w:hint="eastAsia"/>
          <w:sz w:val="21"/>
          <w:szCs w:val="21"/>
          <w:highlight w:val="none"/>
          <w:lang w:val="en-US" w:eastAsia="zh-CN"/>
        </w:rPr>
        <w:t>5</w:t>
      </w:r>
      <w:r>
        <w:rPr>
          <w:rFonts w:hint="eastAsia"/>
          <w:sz w:val="21"/>
          <w:szCs w:val="21"/>
          <w:highlight w:val="none"/>
          <w:lang w:eastAsia="zh-CN"/>
        </w:rPr>
        <w:t>）</w:t>
      </w:r>
      <w:r>
        <w:rPr>
          <w:rFonts w:hint="eastAsia" w:ascii="宋体" w:hAnsi="宋体"/>
          <w:sz w:val="21"/>
          <w:szCs w:val="21"/>
          <w:highlight w:val="none"/>
        </w:rPr>
        <w:t>自收到完整、有效的竣工结算资料之日起，3个月内出具竣工结算初稿；自收到完整的竣工结算资料之日起，6个月内出具竣工结算报告。</w:t>
      </w:r>
    </w:p>
    <w:p w14:paraId="52B7573C">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w:t>
      </w:r>
      <w:r>
        <w:rPr>
          <w:rFonts w:hint="eastAsia"/>
          <w:sz w:val="21"/>
          <w:szCs w:val="21"/>
          <w:highlight w:val="none"/>
          <w:lang w:val="en-US" w:eastAsia="zh-CN"/>
        </w:rPr>
        <w:t>6</w:t>
      </w:r>
      <w:r>
        <w:rPr>
          <w:rFonts w:hint="eastAsia" w:ascii="宋体" w:hAnsi="宋体"/>
          <w:sz w:val="21"/>
          <w:szCs w:val="21"/>
          <w:highlight w:val="none"/>
        </w:rPr>
        <w:t>）所有咨询成果文件在签发前必须经过复核程序，其中审计报告需经过三级复核。</w:t>
      </w:r>
    </w:p>
    <w:p w14:paraId="69E50DB8">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上述时间要求是对应</w:t>
      </w:r>
      <w:r>
        <w:rPr>
          <w:rFonts w:hint="eastAsia" w:cs="宋体"/>
          <w:color w:val="auto"/>
          <w:kern w:val="2"/>
          <w:sz w:val="21"/>
          <w:szCs w:val="21"/>
          <w:highlight w:val="none"/>
          <w:lang w:val="en-US" w:eastAsia="zh-CN" w:bidi="ar-SA"/>
        </w:rPr>
        <w:t>委托人</w:t>
      </w:r>
      <w:r>
        <w:rPr>
          <w:rFonts w:hint="eastAsia" w:ascii="宋体" w:hAnsi="宋体" w:eastAsia="宋体" w:cs="宋体"/>
          <w:color w:val="auto"/>
          <w:kern w:val="2"/>
          <w:sz w:val="21"/>
          <w:szCs w:val="21"/>
          <w:highlight w:val="none"/>
          <w:lang w:val="en-US" w:eastAsia="zh-CN" w:bidi="ar-SA"/>
        </w:rPr>
        <w:t>提供完整造价所需资料的情况，如果</w:t>
      </w:r>
      <w:r>
        <w:rPr>
          <w:rFonts w:hint="eastAsia" w:cs="宋体"/>
          <w:color w:val="auto"/>
          <w:kern w:val="2"/>
          <w:sz w:val="21"/>
          <w:szCs w:val="21"/>
          <w:highlight w:val="none"/>
          <w:lang w:val="en-US" w:eastAsia="zh-CN" w:bidi="ar-SA"/>
        </w:rPr>
        <w:t>委托人</w:t>
      </w:r>
      <w:r>
        <w:rPr>
          <w:rFonts w:hint="eastAsia" w:ascii="宋体" w:hAnsi="宋体" w:eastAsia="宋体" w:cs="宋体"/>
          <w:color w:val="auto"/>
          <w:kern w:val="2"/>
          <w:sz w:val="21"/>
          <w:szCs w:val="21"/>
          <w:highlight w:val="none"/>
          <w:lang w:val="en-US" w:eastAsia="zh-CN" w:bidi="ar-SA"/>
        </w:rPr>
        <w:t>提供的资料不齐全，</w:t>
      </w:r>
      <w:r>
        <w:rPr>
          <w:rFonts w:hint="eastAsia" w:cs="宋体"/>
          <w:color w:val="auto"/>
          <w:kern w:val="2"/>
          <w:sz w:val="21"/>
          <w:szCs w:val="21"/>
          <w:highlight w:val="none"/>
          <w:lang w:val="en-US" w:eastAsia="zh-CN" w:bidi="ar-SA"/>
        </w:rPr>
        <w:t>咨询人</w:t>
      </w:r>
      <w:r>
        <w:rPr>
          <w:rFonts w:hint="eastAsia" w:ascii="宋体" w:hAnsi="宋体" w:eastAsia="宋体" w:cs="宋体"/>
          <w:color w:val="auto"/>
          <w:kern w:val="2"/>
          <w:sz w:val="21"/>
          <w:szCs w:val="21"/>
          <w:highlight w:val="none"/>
          <w:lang w:val="en-US" w:eastAsia="zh-CN" w:bidi="ar-SA"/>
        </w:rPr>
        <w:t>应在收到资料之日起2日内提出，否则将视首次资料移交日为工作时间的开始日，以此对</w:t>
      </w:r>
      <w:r>
        <w:rPr>
          <w:rFonts w:hint="eastAsia" w:cs="宋体"/>
          <w:color w:val="auto"/>
          <w:kern w:val="2"/>
          <w:sz w:val="21"/>
          <w:szCs w:val="21"/>
          <w:highlight w:val="none"/>
          <w:lang w:val="en-US" w:eastAsia="zh-CN" w:bidi="ar-SA"/>
        </w:rPr>
        <w:t>咨询人</w:t>
      </w:r>
      <w:r>
        <w:rPr>
          <w:rFonts w:hint="eastAsia" w:ascii="宋体" w:hAnsi="宋体" w:eastAsia="宋体" w:cs="宋体"/>
          <w:color w:val="auto"/>
          <w:kern w:val="2"/>
          <w:sz w:val="21"/>
          <w:szCs w:val="21"/>
          <w:highlight w:val="none"/>
          <w:lang w:val="en-US" w:eastAsia="zh-CN" w:bidi="ar-SA"/>
        </w:rPr>
        <w:t>进行考核。同时</w:t>
      </w:r>
      <w:r>
        <w:rPr>
          <w:rFonts w:hint="eastAsia" w:cs="宋体"/>
          <w:color w:val="auto"/>
          <w:kern w:val="2"/>
          <w:sz w:val="21"/>
          <w:szCs w:val="21"/>
          <w:highlight w:val="none"/>
          <w:lang w:val="en-US" w:eastAsia="zh-CN" w:bidi="ar-SA"/>
        </w:rPr>
        <w:t>委托人</w:t>
      </w:r>
      <w:r>
        <w:rPr>
          <w:rFonts w:hint="eastAsia" w:ascii="宋体" w:hAnsi="宋体" w:eastAsia="宋体" w:cs="宋体"/>
          <w:color w:val="auto"/>
          <w:kern w:val="2"/>
          <w:sz w:val="21"/>
          <w:szCs w:val="21"/>
          <w:highlight w:val="none"/>
          <w:lang w:val="en-US" w:eastAsia="zh-CN" w:bidi="ar-SA"/>
        </w:rPr>
        <w:t>可根据项目大小合理调整咨询服务时间。</w:t>
      </w:r>
    </w:p>
    <w:p w14:paraId="2C118AAD">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三</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审计成果及过程要求</w:t>
      </w:r>
    </w:p>
    <w:p w14:paraId="7437910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（1）审计实施前，项目负责人</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配合</w:t>
      </w:r>
      <w:r>
        <w:rPr>
          <w:rFonts w:hint="eastAsia" w:cs="宋体"/>
          <w:sz w:val="21"/>
          <w:szCs w:val="21"/>
          <w:highlight w:val="none"/>
          <w:lang w:eastAsia="zh-CN"/>
        </w:rPr>
        <w:t>委托人</w:t>
      </w:r>
      <w:r>
        <w:rPr>
          <w:rFonts w:hint="eastAsia" w:ascii="宋体" w:hAnsi="宋体" w:eastAsia="宋体" w:cs="宋体"/>
          <w:sz w:val="21"/>
          <w:szCs w:val="21"/>
          <w:highlight w:val="none"/>
        </w:rPr>
        <w:t>编制跟踪审计实施方案；</w:t>
      </w:r>
    </w:p>
    <w:p w14:paraId="1CBE13B9">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（2）审计实施过程中，</w:t>
      </w:r>
      <w:r>
        <w:rPr>
          <w:rFonts w:hint="eastAsia" w:cs="宋体"/>
          <w:sz w:val="21"/>
          <w:szCs w:val="21"/>
          <w:highlight w:val="none"/>
          <w:lang w:val="en-US" w:eastAsia="zh-CN"/>
        </w:rPr>
        <w:t>咨询人</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编制审计意见工作底稿；审计期间需根据</w:t>
      </w:r>
      <w:r>
        <w:rPr>
          <w:rFonts w:hint="eastAsia" w:cs="宋体"/>
          <w:sz w:val="21"/>
          <w:szCs w:val="21"/>
          <w:highlight w:val="none"/>
          <w:lang w:eastAsia="zh-CN"/>
        </w:rPr>
        <w:t>委托人</w:t>
      </w:r>
      <w:r>
        <w:rPr>
          <w:rFonts w:hint="eastAsia" w:ascii="宋体" w:hAnsi="宋体" w:eastAsia="宋体" w:cs="宋体"/>
          <w:sz w:val="21"/>
          <w:szCs w:val="21"/>
          <w:highlight w:val="none"/>
        </w:rPr>
        <w:t>需求出具</w:t>
      </w:r>
      <w:r>
        <w:rPr>
          <w:rFonts w:hint="eastAsia" w:ascii="宋体" w:hAnsi="宋体" w:eastAsia="宋体" w:cs="宋体"/>
          <w:sz w:val="21"/>
          <w:szCs w:val="21"/>
          <w:highlight w:val="none"/>
          <w:lang w:val="en-US" w:eastAsia="zh-CN"/>
        </w:rPr>
        <w:t>全过程咨询跟踪</w:t>
      </w:r>
      <w:r>
        <w:rPr>
          <w:rFonts w:hint="eastAsia" w:ascii="宋体" w:hAnsi="宋体" w:eastAsia="宋体" w:cs="宋体"/>
          <w:sz w:val="21"/>
          <w:szCs w:val="21"/>
          <w:highlight w:val="none"/>
        </w:rPr>
        <w:t>报告；</w:t>
      </w:r>
    </w:p>
    <w:p w14:paraId="5FCDB5B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（3）审计</w:t>
      </w:r>
      <w:r>
        <w:rPr>
          <w:rFonts w:hint="eastAsia" w:ascii="宋体" w:hAnsi="宋体" w:eastAsia="宋体" w:cs="宋体"/>
          <w:sz w:val="21"/>
          <w:szCs w:val="21"/>
          <w:highlight w:val="none"/>
          <w:lang w:val="en-US" w:eastAsia="zh-CN"/>
        </w:rPr>
        <w:t>终结时，</w:t>
      </w:r>
      <w:r>
        <w:rPr>
          <w:rFonts w:hint="eastAsia" w:cs="宋体"/>
          <w:sz w:val="21"/>
          <w:szCs w:val="21"/>
          <w:highlight w:val="none"/>
          <w:lang w:val="en-US" w:eastAsia="zh-CN"/>
        </w:rPr>
        <w:t>咨询人</w:t>
      </w:r>
      <w:r>
        <w:rPr>
          <w:rFonts w:hint="eastAsia" w:ascii="宋体" w:hAnsi="宋体" w:eastAsia="宋体" w:cs="宋体"/>
          <w:sz w:val="21"/>
          <w:szCs w:val="21"/>
          <w:highlight w:val="none"/>
          <w:lang w:val="en-US" w:eastAsia="zh-CN"/>
        </w:rPr>
        <w:t>须出具审计综合报告；</w:t>
      </w:r>
    </w:p>
    <w:p w14:paraId="1A65C3DB">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cs="宋体"/>
          <w:sz w:val="21"/>
          <w:szCs w:val="21"/>
          <w:highlight w:val="none"/>
          <w:lang w:val="en-US" w:eastAsia="zh-CN"/>
        </w:rPr>
        <w:t>咨询人</w:t>
      </w:r>
      <w:r>
        <w:rPr>
          <w:rFonts w:hint="eastAsia" w:ascii="宋体" w:hAnsi="宋体" w:eastAsia="宋体" w:cs="宋体"/>
          <w:sz w:val="21"/>
          <w:szCs w:val="21"/>
          <w:highlight w:val="none"/>
          <w:lang w:val="en-US" w:eastAsia="zh-CN"/>
        </w:rPr>
        <w:t>需与</w:t>
      </w:r>
      <w:r>
        <w:rPr>
          <w:rFonts w:hint="eastAsia" w:cs="宋体"/>
          <w:sz w:val="21"/>
          <w:szCs w:val="21"/>
          <w:highlight w:val="none"/>
          <w:lang w:val="en-US" w:eastAsia="zh-CN"/>
        </w:rPr>
        <w:t>委托人</w:t>
      </w:r>
      <w:r>
        <w:rPr>
          <w:rFonts w:hint="eastAsia" w:ascii="宋体" w:hAnsi="宋体" w:eastAsia="宋体" w:cs="宋体"/>
          <w:sz w:val="21"/>
          <w:szCs w:val="21"/>
          <w:highlight w:val="none"/>
          <w:lang w:val="en-US" w:eastAsia="zh-CN"/>
        </w:rPr>
        <w:t>签署《廉洁自律承诺书》。</w:t>
      </w:r>
    </w:p>
    <w:p w14:paraId="16F5504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cs="宋体"/>
          <w:sz w:val="21"/>
          <w:szCs w:val="21"/>
          <w:highlight w:val="none"/>
          <w:lang w:val="en-US" w:eastAsia="zh-CN"/>
        </w:rPr>
        <w:t>咨询人</w:t>
      </w:r>
      <w:r>
        <w:rPr>
          <w:rFonts w:hint="eastAsia" w:ascii="宋体" w:hAnsi="宋体" w:eastAsia="宋体" w:cs="宋体"/>
          <w:sz w:val="21"/>
          <w:szCs w:val="21"/>
          <w:highlight w:val="none"/>
          <w:lang w:val="en-US" w:eastAsia="zh-CN"/>
        </w:rPr>
        <w:t>需派至少有两名（一名土建、一名安装）人员常驻现场，驻场工作时间为开工之日起</w:t>
      </w:r>
      <w:r>
        <w:rPr>
          <w:rFonts w:hint="eastAsia" w:ascii="宋体" w:hAnsi="宋体" w:eastAsia="宋体" w:cs="宋体"/>
          <w:color w:val="auto"/>
          <w:kern w:val="2"/>
          <w:sz w:val="21"/>
          <w:szCs w:val="21"/>
          <w:highlight w:val="none"/>
          <w:lang w:val="en-US" w:eastAsia="zh-CN" w:bidi="ar-SA"/>
        </w:rPr>
        <w:t>每周不少于3天</w:t>
      </w:r>
      <w:r>
        <w:rPr>
          <w:rFonts w:hint="eastAsia" w:ascii="宋体" w:hAnsi="宋体" w:eastAsia="宋体" w:cs="宋体"/>
          <w:sz w:val="21"/>
          <w:szCs w:val="21"/>
          <w:highlight w:val="none"/>
          <w:lang w:val="en-US" w:eastAsia="zh-CN"/>
        </w:rPr>
        <w:t>及根据现场施工需要；</w:t>
      </w:r>
    </w:p>
    <w:p w14:paraId="095B8214">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cs="宋体"/>
          <w:sz w:val="21"/>
          <w:szCs w:val="21"/>
          <w:highlight w:val="none"/>
          <w:lang w:val="en-US" w:eastAsia="zh-CN"/>
        </w:rPr>
        <w:t>咨询人</w:t>
      </w:r>
      <w:r>
        <w:rPr>
          <w:rFonts w:hint="eastAsia" w:ascii="宋体" w:hAnsi="宋体" w:eastAsia="宋体" w:cs="宋体"/>
          <w:sz w:val="21"/>
          <w:szCs w:val="21"/>
          <w:highlight w:val="none"/>
          <w:lang w:val="en-US" w:eastAsia="zh-CN"/>
        </w:rPr>
        <w:t>须参加工程例</w:t>
      </w:r>
      <w:r>
        <w:rPr>
          <w:rFonts w:hint="eastAsia" w:ascii="宋体" w:hAnsi="宋体" w:eastAsia="宋体" w:cs="宋体"/>
          <w:sz w:val="21"/>
          <w:szCs w:val="21"/>
          <w:highlight w:val="none"/>
        </w:rPr>
        <w:t>会；</w:t>
      </w:r>
    </w:p>
    <w:p w14:paraId="5FB14FE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cs="宋体"/>
          <w:sz w:val="21"/>
          <w:szCs w:val="21"/>
          <w:highlight w:val="none"/>
          <w:lang w:val="en-US" w:eastAsia="zh-CN"/>
        </w:rPr>
        <w:t>咨询人</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完成</w:t>
      </w:r>
      <w:r>
        <w:rPr>
          <w:rFonts w:hint="eastAsia" w:cs="宋体"/>
          <w:sz w:val="21"/>
          <w:szCs w:val="21"/>
          <w:highlight w:val="none"/>
          <w:lang w:eastAsia="zh-CN"/>
        </w:rPr>
        <w:t>委托人</w:t>
      </w:r>
      <w:r>
        <w:rPr>
          <w:rFonts w:hint="eastAsia" w:ascii="宋体" w:hAnsi="宋体" w:eastAsia="宋体" w:cs="宋体"/>
          <w:sz w:val="21"/>
          <w:szCs w:val="21"/>
          <w:highlight w:val="none"/>
        </w:rPr>
        <w:t>要求的其他审计咨询服务。</w:t>
      </w:r>
    </w:p>
    <w:p w14:paraId="1F75BB96">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Style w:val="21"/>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四</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需配合</w:t>
      </w:r>
      <w:r>
        <w:rPr>
          <w:rFonts w:hint="eastAsia" w:cs="宋体"/>
          <w:b/>
          <w:bCs/>
          <w:sz w:val="21"/>
          <w:szCs w:val="21"/>
          <w:highlight w:val="none"/>
          <w:lang w:eastAsia="zh-CN"/>
        </w:rPr>
        <w:t>委托人</w:t>
      </w:r>
      <w:r>
        <w:rPr>
          <w:rFonts w:hint="eastAsia" w:ascii="宋体" w:hAnsi="宋体" w:eastAsia="宋体" w:cs="宋体"/>
          <w:b/>
          <w:bCs/>
          <w:sz w:val="21"/>
          <w:szCs w:val="21"/>
          <w:highlight w:val="none"/>
        </w:rPr>
        <w:t>使用工程审计数字化平台</w:t>
      </w:r>
    </w:p>
    <w:p w14:paraId="0583894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 xml:space="preserve">  1、全过程审计方案、跟踪审计记录（包括日志、月报）、年度工作报告、阶段性报告、综合报告等的线上操作；</w:t>
      </w:r>
    </w:p>
    <w:p w14:paraId="08904AC0">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2、设计概算、招标文件、合同、施工图预算、变更联系单、进度款的审计意见等的线上操作；</w:t>
      </w:r>
    </w:p>
    <w:p w14:paraId="35BDEBD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3、审计过程中的协调会会议纪要的线上操作；</w:t>
      </w:r>
    </w:p>
    <w:p w14:paraId="44674E3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4、竣工结算审计的踏勘现场记录、审计初稿、审计报告等的线上操作。</w:t>
      </w:r>
    </w:p>
    <w:p w14:paraId="46BD8168">
      <w:pPr>
        <w:keepNext w:val="0"/>
        <w:keepLines w:val="0"/>
        <w:pageBreakBefore w:val="0"/>
        <w:widowControl w:val="0"/>
        <w:kinsoku/>
        <w:wordWrap/>
        <w:overflowPunct/>
        <w:topLinePunct w:val="0"/>
        <w:autoSpaceDE/>
        <w:autoSpaceDN/>
        <w:bidi w:val="0"/>
        <w:adjustRightInd w:val="0"/>
        <w:spacing w:before="0" w:after="0" w:line="288" w:lineRule="auto"/>
        <w:ind w:firstLine="422" w:firstLineChars="200"/>
        <w:contextualSpacing/>
        <w:jc w:val="both"/>
        <w:textAlignment w:val="auto"/>
        <w:outlineLvl w:val="9"/>
        <w:rPr>
          <w:rFonts w:hint="eastAsia"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（五）人员配备及时间要求：</w:t>
      </w:r>
    </w:p>
    <w:p w14:paraId="068419E0">
      <w:pPr>
        <w:keepNext w:val="0"/>
        <w:keepLines w:val="0"/>
        <w:pageBreakBefore w:val="0"/>
        <w:widowControl/>
        <w:kinsoku/>
        <w:wordWrap/>
        <w:overflowPunct/>
        <w:topLinePunct w:val="0"/>
        <w:autoSpaceDE/>
        <w:autoSpaceDN/>
        <w:bidi w:val="0"/>
        <w:adjustRightInd w:val="0"/>
        <w:snapToGrid w:val="0"/>
        <w:spacing w:before="0" w:after="0" w:line="288" w:lineRule="auto"/>
        <w:ind w:firstLine="420" w:firstLineChars="200"/>
        <w:contextualSpacing/>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1.人员配备要求：</w:t>
      </w:r>
    </w:p>
    <w:p w14:paraId="4A5F7D1B">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团队（包括项目负责人）不少于5人，项目负责人具有国家一级注册造价工程师资质及中级以上职称，拟派人员均具有国家二级（含）以上造价工程师资质及中级以上职称。项目团队所有成员应具有类似项目业绩，且相关人员应为投标人企业自有人员，注册造价师执业资格证书均注册于投标人本单位。</w:t>
      </w:r>
    </w:p>
    <w:p w14:paraId="0C8C6CA2">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（2）在服务期间，投标人的项目组人员必须与投标承诺一致，须明确分工和承担的任务，未经</w:t>
      </w:r>
      <w:r>
        <w:rPr>
          <w:rFonts w:hint="eastAsia" w:cs="宋体"/>
          <w:color w:val="auto"/>
          <w:kern w:val="2"/>
          <w:sz w:val="21"/>
          <w:szCs w:val="21"/>
          <w:highlight w:val="none"/>
          <w:lang w:val="en-US" w:eastAsia="zh-CN" w:bidi="ar-SA"/>
        </w:rPr>
        <w:t>委托人</w:t>
      </w:r>
      <w:r>
        <w:rPr>
          <w:rFonts w:hint="eastAsia" w:ascii="宋体" w:hAnsi="宋体" w:eastAsia="宋体" w:cs="宋体"/>
          <w:color w:val="auto"/>
          <w:kern w:val="2"/>
          <w:sz w:val="21"/>
          <w:szCs w:val="21"/>
          <w:highlight w:val="none"/>
          <w:lang w:val="en-US" w:eastAsia="zh-CN" w:bidi="ar-SA"/>
        </w:rPr>
        <w:t>允许不得更换项目组人员，并必须达到投标承诺的到岗率和到位率。投标人必须至少派驻两名（1名土建、一名安装）具有国家二级（含）以上造价工程师资质的造价咨询人员驻守建设地点，且现场驻点到位率在</w:t>
      </w:r>
      <w:r>
        <w:rPr>
          <w:rStyle w:val="21"/>
          <w:rFonts w:hint="eastAsia" w:ascii="宋体" w:hAnsi="宋体" w:eastAsia="宋体" w:cs="宋体"/>
          <w:sz w:val="21"/>
          <w:szCs w:val="21"/>
          <w:highlight w:val="none"/>
          <w:lang w:val="en-US" w:eastAsia="zh-CN"/>
        </w:rPr>
        <w:t>驻场时间自工程开工之日起至工程竣工验收之日止</w:t>
      </w:r>
      <w:r>
        <w:rPr>
          <w:rFonts w:hint="eastAsia" w:ascii="宋体" w:hAnsi="宋体" w:eastAsia="宋体" w:cs="宋体"/>
          <w:color w:val="auto"/>
          <w:kern w:val="2"/>
          <w:sz w:val="21"/>
          <w:szCs w:val="21"/>
          <w:highlight w:val="none"/>
          <w:lang w:val="en-US" w:eastAsia="zh-CN" w:bidi="ar-SA"/>
        </w:rPr>
        <w:t>每周不少于3天，其余人员必须随叫随到（2小时内响应）实时控制造价。跟踪审计人员驻现场办公期间住宿、伙食及办公费用自理。未经</w:t>
      </w:r>
      <w:r>
        <w:rPr>
          <w:rFonts w:hint="eastAsia" w:cs="宋体"/>
          <w:color w:val="auto"/>
          <w:kern w:val="2"/>
          <w:sz w:val="21"/>
          <w:szCs w:val="21"/>
          <w:highlight w:val="none"/>
          <w:lang w:val="en-US" w:eastAsia="zh-CN" w:bidi="ar-SA"/>
        </w:rPr>
        <w:t>委托人</w:t>
      </w:r>
      <w:r>
        <w:rPr>
          <w:rFonts w:hint="eastAsia" w:ascii="宋体" w:hAnsi="宋体" w:eastAsia="宋体" w:cs="宋体"/>
          <w:color w:val="auto"/>
          <w:kern w:val="2"/>
          <w:sz w:val="21"/>
          <w:szCs w:val="21"/>
          <w:highlight w:val="none"/>
          <w:lang w:val="en-US" w:eastAsia="zh-CN" w:bidi="ar-SA"/>
        </w:rPr>
        <w:t>同意，投标人不得更换项目组负责人和主要咨询人员；因不可抗力原因确实需要更换项目负责人时，必须征得</w:t>
      </w:r>
      <w:r>
        <w:rPr>
          <w:rFonts w:hint="eastAsia" w:cs="宋体"/>
          <w:color w:val="auto"/>
          <w:kern w:val="2"/>
          <w:sz w:val="21"/>
          <w:szCs w:val="21"/>
          <w:highlight w:val="none"/>
          <w:lang w:val="en-US" w:eastAsia="zh-CN" w:bidi="ar-SA"/>
        </w:rPr>
        <w:t>委托人</w:t>
      </w:r>
      <w:r>
        <w:rPr>
          <w:rFonts w:hint="eastAsia" w:ascii="宋体" w:hAnsi="宋体" w:eastAsia="宋体" w:cs="宋体"/>
          <w:color w:val="auto"/>
          <w:kern w:val="2"/>
          <w:sz w:val="21"/>
          <w:szCs w:val="21"/>
          <w:highlight w:val="none"/>
          <w:lang w:val="en-US" w:eastAsia="zh-CN" w:bidi="ar-SA"/>
        </w:rPr>
        <w:t>同意并不得降低人员资格标准。</w:t>
      </w:r>
    </w:p>
    <w:p w14:paraId="461B3794">
      <w:pPr>
        <w:keepNext w:val="0"/>
        <w:keepLines w:val="0"/>
        <w:pageBreakBefore w:val="0"/>
        <w:widowControl w:val="0"/>
        <w:kinsoku/>
        <w:wordWrap/>
        <w:overflowPunct/>
        <w:topLinePunct w:val="0"/>
        <w:autoSpaceDE/>
        <w:autoSpaceDN/>
        <w:bidi w:val="0"/>
        <w:adjustRightInd w:val="0"/>
        <w:spacing w:before="0" w:after="0" w:line="288" w:lineRule="auto"/>
        <w:ind w:firstLine="422" w:firstLineChars="200"/>
        <w:contextualSpacing/>
        <w:jc w:val="both"/>
        <w:textAlignment w:val="auto"/>
        <w:outlineLvl w:val="9"/>
        <w:rPr>
          <w:rFonts w:hint="eastAsia"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（六）服务期：</w:t>
      </w:r>
    </w:p>
    <w:p w14:paraId="6D614E87">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en-US" w:eastAsia="zh-CN" w:bidi="ar-SA"/>
        </w:rPr>
        <w:t>自合同签订之日起开始实施，至提交完整全过程跟踪审计报告及工程竣工结算报告等咨询材料之日止。</w:t>
      </w:r>
    </w:p>
    <w:p w14:paraId="7C27E6DA">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Style w:val="21"/>
          <w:rFonts w:hint="eastAsia" w:ascii="宋体" w:hAnsi="宋体" w:eastAsia="宋体" w:cs="宋体"/>
          <w:b/>
          <w:bCs/>
          <w:sz w:val="21"/>
          <w:szCs w:val="21"/>
          <w:highlight w:val="none"/>
        </w:rPr>
      </w:pPr>
      <w:r>
        <w:rPr>
          <w:rStyle w:val="21"/>
          <w:rFonts w:hint="eastAsia" w:ascii="宋体" w:hAnsi="宋体" w:eastAsia="宋体" w:cs="宋体"/>
          <w:b/>
          <w:bCs/>
          <w:sz w:val="21"/>
          <w:szCs w:val="21"/>
          <w:highlight w:val="none"/>
          <w:lang w:eastAsia="zh-CN"/>
        </w:rPr>
        <w:t>（</w:t>
      </w:r>
      <w:r>
        <w:rPr>
          <w:rStyle w:val="21"/>
          <w:rFonts w:hint="eastAsia" w:ascii="宋体" w:hAnsi="宋体" w:eastAsia="宋体" w:cs="宋体"/>
          <w:b/>
          <w:bCs/>
          <w:sz w:val="21"/>
          <w:szCs w:val="21"/>
          <w:highlight w:val="none"/>
          <w:lang w:val="en-US" w:eastAsia="zh-CN"/>
        </w:rPr>
        <w:t>七）</w:t>
      </w:r>
      <w:r>
        <w:rPr>
          <w:rStyle w:val="21"/>
          <w:rFonts w:hint="eastAsia" w:ascii="宋体" w:hAnsi="宋体" w:eastAsia="宋体" w:cs="宋体"/>
          <w:b/>
          <w:bCs/>
          <w:sz w:val="21"/>
          <w:szCs w:val="21"/>
          <w:highlight w:val="none"/>
        </w:rPr>
        <w:t>违约处理</w:t>
      </w:r>
    </w:p>
    <w:p w14:paraId="429902B7">
      <w:pPr>
        <w:keepNext w:val="0"/>
        <w:keepLines w:val="0"/>
        <w:pageBreakBefore w:val="0"/>
        <w:kinsoku/>
        <w:wordWrap/>
        <w:overflowPunct/>
        <w:topLinePunct w:val="0"/>
        <w:autoSpaceDE/>
        <w:autoSpaceDN/>
        <w:bidi w:val="0"/>
        <w:adjustRightInd w:val="0"/>
        <w:snapToGrid/>
        <w:spacing w:line="288" w:lineRule="auto"/>
        <w:ind w:firstLine="420" w:firstLineChars="200"/>
        <w:contextualSpacing/>
        <w:textAlignment w:val="auto"/>
        <w:outlineLvl w:val="9"/>
        <w:rPr>
          <w:rStyle w:val="21"/>
          <w:rFonts w:hint="eastAsia" w:ascii="宋体" w:hAnsi="宋体" w:eastAsia="宋体" w:cs="宋体"/>
          <w:sz w:val="21"/>
          <w:szCs w:val="21"/>
          <w:highlight w:val="none"/>
          <w:lang w:val="en-US" w:eastAsia="zh-CN"/>
        </w:rPr>
      </w:pPr>
      <w:r>
        <w:rPr>
          <w:rStyle w:val="21"/>
          <w:rFonts w:hint="eastAsia" w:ascii="宋体" w:hAnsi="宋体" w:eastAsia="宋体" w:cs="宋体"/>
          <w:sz w:val="21"/>
          <w:szCs w:val="21"/>
          <w:highlight w:val="none"/>
        </w:rPr>
        <w:t>1.</w:t>
      </w:r>
      <w:r>
        <w:rPr>
          <w:rStyle w:val="21"/>
          <w:rFonts w:hint="eastAsia" w:ascii="宋体" w:hAnsi="宋体" w:eastAsia="宋体" w:cs="宋体"/>
          <w:sz w:val="21"/>
          <w:szCs w:val="21"/>
          <w:highlight w:val="none"/>
          <w:lang w:val="en-US" w:eastAsia="zh-CN"/>
        </w:rPr>
        <w:t>驻场时间自工程开工之日起至工程竣工验收之日止</w:t>
      </w:r>
      <w:r>
        <w:rPr>
          <w:rStyle w:val="21"/>
          <w:rFonts w:hint="eastAsia" w:ascii="宋体" w:hAnsi="宋体" w:eastAsia="宋体" w:cs="宋体"/>
          <w:sz w:val="21"/>
          <w:szCs w:val="21"/>
          <w:highlight w:val="none"/>
        </w:rPr>
        <w:t>；</w:t>
      </w:r>
      <w:r>
        <w:rPr>
          <w:rFonts w:hint="eastAsia" w:cs="宋体"/>
          <w:b w:val="0"/>
          <w:bCs w:val="0"/>
          <w:color w:val="auto"/>
          <w:kern w:val="44"/>
          <w:sz w:val="21"/>
          <w:szCs w:val="21"/>
          <w:highlight w:val="none"/>
          <w:lang w:val="en-US" w:eastAsia="zh-CN" w:bidi="ar-SA"/>
        </w:rPr>
        <w:t>咨询人</w:t>
      </w:r>
      <w:r>
        <w:rPr>
          <w:rFonts w:hint="eastAsia" w:ascii="宋体" w:hAnsi="宋体" w:eastAsia="宋体" w:cs="宋体"/>
          <w:b w:val="0"/>
          <w:bCs w:val="0"/>
          <w:color w:val="auto"/>
          <w:kern w:val="44"/>
          <w:sz w:val="21"/>
          <w:szCs w:val="21"/>
          <w:highlight w:val="none"/>
          <w:lang w:val="en-US" w:eastAsia="zh-CN" w:bidi="ar-SA"/>
        </w:rPr>
        <w:t>在正式入场前需将派驻人员基本资料提交至</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审核通过，</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有权根据项目需要调整驻场人员专业要求。</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对</w:t>
      </w:r>
      <w:r>
        <w:rPr>
          <w:rFonts w:hint="eastAsia" w:cs="宋体"/>
          <w:b w:val="0"/>
          <w:bCs w:val="0"/>
          <w:color w:val="auto"/>
          <w:kern w:val="44"/>
          <w:sz w:val="21"/>
          <w:szCs w:val="21"/>
          <w:highlight w:val="none"/>
          <w:lang w:val="en-US" w:eastAsia="zh-CN" w:bidi="ar-SA"/>
        </w:rPr>
        <w:t>咨询人</w:t>
      </w:r>
      <w:r>
        <w:rPr>
          <w:rFonts w:hint="eastAsia" w:ascii="宋体" w:hAnsi="宋体" w:eastAsia="宋体" w:cs="宋体"/>
          <w:b w:val="0"/>
          <w:bCs w:val="0"/>
          <w:color w:val="auto"/>
          <w:kern w:val="44"/>
          <w:sz w:val="21"/>
          <w:szCs w:val="21"/>
          <w:highlight w:val="none"/>
          <w:lang w:val="en-US" w:eastAsia="zh-CN" w:bidi="ar-SA"/>
        </w:rPr>
        <w:t>驻现场代表实行考勤签到制度，考勤以周为单位，每周不少于3天，驻现场代表应在考勤日9：00前在驻场现场签到，晚于签到时间的每人每次罚款500元，应于17：00后在驻场现场签到后下班，早于签到时间的每人每次罚款500元，由</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在合同最终结算时扣除。</w:t>
      </w:r>
      <w:r>
        <w:rPr>
          <w:rFonts w:hint="eastAsia" w:cs="宋体"/>
          <w:b w:val="0"/>
          <w:bCs w:val="0"/>
          <w:color w:val="auto"/>
          <w:kern w:val="44"/>
          <w:sz w:val="21"/>
          <w:szCs w:val="21"/>
          <w:highlight w:val="none"/>
          <w:lang w:val="en-US" w:eastAsia="zh-CN" w:bidi="ar-SA"/>
        </w:rPr>
        <w:t>咨询人</w:t>
      </w:r>
      <w:r>
        <w:rPr>
          <w:rFonts w:hint="eastAsia" w:ascii="宋体" w:hAnsi="宋体" w:eastAsia="宋体" w:cs="宋体"/>
          <w:b w:val="0"/>
          <w:bCs w:val="0"/>
          <w:color w:val="auto"/>
          <w:kern w:val="44"/>
          <w:sz w:val="21"/>
          <w:szCs w:val="21"/>
          <w:highlight w:val="none"/>
          <w:lang w:val="en-US" w:eastAsia="zh-CN" w:bidi="ar-SA"/>
        </w:rPr>
        <w:t>驻现场代表未按要求完成签到累计达到3次以上的，</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有权要求更换驻现场人员（第一次更换），第一次更换驻现场人员后仍未能完成考勤签到指标的，</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有权再次要求更换驻现场人员（第二次更换），第二次更换驻现场人员后未能完成考勤签到指标的，</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有权在最终结算时扣除合同结算价的1%作为对咨询单位的惩罚，同时</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有权第三次更换驻现场人员，第三次更换驻现场人员后未能完成考勤签到指标的，</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有权在最终结算时累计扣除合同结算价3%作为对咨询单位的惩罚，同时</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有权第四次（含以上）更换驻现场人员，第四次（含以上）更换驻现场人员后仍未能完成考勤签到指标的，</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有权解除合同，由此造成的损失由</w:t>
      </w:r>
      <w:r>
        <w:rPr>
          <w:rFonts w:hint="eastAsia" w:cs="宋体"/>
          <w:b w:val="0"/>
          <w:bCs w:val="0"/>
          <w:color w:val="auto"/>
          <w:kern w:val="44"/>
          <w:sz w:val="21"/>
          <w:szCs w:val="21"/>
          <w:highlight w:val="none"/>
          <w:lang w:val="en-US" w:eastAsia="zh-CN" w:bidi="ar-SA"/>
        </w:rPr>
        <w:t>咨询人</w:t>
      </w:r>
      <w:r>
        <w:rPr>
          <w:rFonts w:hint="eastAsia" w:ascii="宋体" w:hAnsi="宋体" w:eastAsia="宋体" w:cs="宋体"/>
          <w:b w:val="0"/>
          <w:bCs w:val="0"/>
          <w:color w:val="auto"/>
          <w:kern w:val="44"/>
          <w:sz w:val="21"/>
          <w:szCs w:val="21"/>
          <w:highlight w:val="none"/>
          <w:lang w:val="en-US" w:eastAsia="zh-CN" w:bidi="ar-SA"/>
        </w:rPr>
        <w:t>自行承担。</w:t>
      </w:r>
    </w:p>
    <w:p w14:paraId="1F367B53">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lang w:eastAsia="zh-CN"/>
        </w:rPr>
      </w:pPr>
      <w:r>
        <w:rPr>
          <w:rStyle w:val="21"/>
          <w:rFonts w:hint="eastAsia" w:ascii="宋体" w:hAnsi="宋体" w:eastAsia="宋体" w:cs="宋体"/>
          <w:sz w:val="21"/>
          <w:szCs w:val="21"/>
          <w:highlight w:val="none"/>
        </w:rPr>
        <w:t>2.若发现未经委托人书面同意擅自更换审计服务人员，每次扣3000元</w:t>
      </w:r>
      <w:r>
        <w:rPr>
          <w:rStyle w:val="21"/>
          <w:rFonts w:hint="eastAsia" w:ascii="宋体" w:hAnsi="宋体" w:eastAsia="宋体" w:cs="宋体"/>
          <w:sz w:val="21"/>
          <w:szCs w:val="21"/>
          <w:highlight w:val="none"/>
          <w:lang w:eastAsia="zh-CN"/>
        </w:rPr>
        <w:t>。</w:t>
      </w:r>
    </w:p>
    <w:p w14:paraId="562C06D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3.若发现未按工作进度完成，每次扣除1000元。</w:t>
      </w:r>
    </w:p>
    <w:p w14:paraId="31427C7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4.若发现出现重大质量失误，每次扣除10000元。</w:t>
      </w:r>
    </w:p>
    <w:p w14:paraId="29777B1D">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5.若工作月报、年度工作报告、阶段性报告、综合报告等报告撰写质量不符合</w:t>
      </w:r>
      <w:r>
        <w:rPr>
          <w:rStyle w:val="21"/>
          <w:rFonts w:hint="eastAsia" w:cs="宋体"/>
          <w:sz w:val="21"/>
          <w:szCs w:val="21"/>
          <w:highlight w:val="none"/>
          <w:lang w:eastAsia="zh-CN"/>
        </w:rPr>
        <w:t>委托人</w:t>
      </w:r>
      <w:r>
        <w:rPr>
          <w:rStyle w:val="21"/>
          <w:rFonts w:hint="eastAsia" w:ascii="宋体" w:hAnsi="宋体" w:eastAsia="宋体" w:cs="宋体"/>
          <w:sz w:val="21"/>
          <w:szCs w:val="21"/>
          <w:highlight w:val="none"/>
        </w:rPr>
        <w:t>要求，返回修改超过3次的，超出的次数按每次扣除500元。</w:t>
      </w:r>
    </w:p>
    <w:p w14:paraId="0BC796C1">
      <w:pPr>
        <w:ind w:firstLine="420" w:firstLineChars="200"/>
      </w:pPr>
      <w:r>
        <w:rPr>
          <w:rStyle w:val="21"/>
          <w:rFonts w:hint="eastAsia" w:ascii="宋体" w:hAnsi="宋体" w:eastAsia="宋体" w:cs="宋体"/>
          <w:sz w:val="21"/>
          <w:szCs w:val="21"/>
          <w:highlight w:val="none"/>
          <w:lang w:val="en-US" w:eastAsia="zh-CN"/>
        </w:rPr>
        <w:t>6.以上造价咨询人员违约处罚累计最高不超过合同结算价的5%，若超出违约，</w:t>
      </w:r>
      <w:r>
        <w:rPr>
          <w:rStyle w:val="21"/>
          <w:rFonts w:hint="eastAsia" w:cs="宋体"/>
          <w:sz w:val="21"/>
          <w:szCs w:val="21"/>
          <w:highlight w:val="none"/>
          <w:lang w:val="en-US" w:eastAsia="zh-CN"/>
        </w:rPr>
        <w:t>委托人</w:t>
      </w:r>
      <w:r>
        <w:rPr>
          <w:rStyle w:val="21"/>
          <w:rFonts w:hint="eastAsia" w:ascii="宋体" w:hAnsi="宋体" w:eastAsia="宋体" w:cs="宋体"/>
          <w:sz w:val="21"/>
          <w:szCs w:val="21"/>
          <w:highlight w:val="none"/>
          <w:lang w:val="en-US" w:eastAsia="zh-CN"/>
        </w:rPr>
        <w:t>有权终止合同并要求</w:t>
      </w:r>
      <w:r>
        <w:rPr>
          <w:rStyle w:val="21"/>
          <w:rFonts w:hint="eastAsia" w:cs="宋体"/>
          <w:sz w:val="21"/>
          <w:szCs w:val="21"/>
          <w:highlight w:val="none"/>
          <w:lang w:val="en-US" w:eastAsia="zh-CN"/>
        </w:rPr>
        <w:t>咨询人</w:t>
      </w:r>
      <w:r>
        <w:rPr>
          <w:rStyle w:val="21"/>
          <w:rFonts w:hint="eastAsia" w:ascii="宋体" w:hAnsi="宋体" w:eastAsia="宋体" w:cs="宋体"/>
          <w:sz w:val="21"/>
          <w:szCs w:val="21"/>
          <w:highlight w:val="none"/>
          <w:lang w:val="en-US" w:eastAsia="zh-CN"/>
        </w:rPr>
        <w:t>承担相关违约责任。</w:t>
      </w:r>
    </w:p>
    <w:p w14:paraId="4DC3DA97"/>
    <w:p w14:paraId="70EE0E70">
      <w:pPr>
        <w:sectPr>
          <w:headerReference r:id="rId5" w:type="default"/>
          <w:footerReference r:id="rId6" w:type="default"/>
          <w:pgSz w:w="11905" w:h="16838"/>
          <w:pgMar w:top="1247" w:right="1247" w:bottom="1247" w:left="1247" w:header="113" w:footer="992" w:gutter="0"/>
          <w:cols w:space="0" w:num="1"/>
          <w:rtlGutter w:val="0"/>
          <w:docGrid w:linePitch="312" w:charSpace="0"/>
        </w:sectPr>
      </w:pPr>
    </w:p>
    <w:p w14:paraId="735C4909">
      <w:pPr>
        <w:jc w:val="center"/>
        <w:rPr>
          <w:rFonts w:ascii="宋体" w:hAnsi="宋体"/>
          <w:b/>
          <w:bCs/>
          <w:sz w:val="21"/>
          <w:szCs w:val="21"/>
        </w:rPr>
      </w:pPr>
      <w:bookmarkStart w:id="169" w:name="_Toc422322558"/>
      <w:bookmarkStart w:id="170" w:name="_Toc419045127"/>
      <w:r>
        <w:rPr>
          <w:rFonts w:hint="eastAsia" w:ascii="宋体" w:hAnsi="宋体"/>
          <w:b/>
          <w:bCs/>
          <w:sz w:val="21"/>
          <w:szCs w:val="21"/>
        </w:rPr>
        <w:t>附录B 咨询人提交成果文件一览表</w:t>
      </w:r>
      <w:bookmarkEnd w:id="169"/>
      <w:bookmarkEnd w:id="170"/>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074"/>
        <w:gridCol w:w="2765"/>
        <w:gridCol w:w="1151"/>
        <w:gridCol w:w="622"/>
        <w:gridCol w:w="1798"/>
      </w:tblGrid>
      <w:tr w14:paraId="03EE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Align w:val="center"/>
          </w:tcPr>
          <w:p w14:paraId="366AC885">
            <w:pPr>
              <w:adjustRightInd w:val="0"/>
              <w:snapToGrid w:val="0"/>
              <w:rPr>
                <w:rFonts w:ascii="宋体" w:hAnsi="宋体"/>
                <w:sz w:val="21"/>
                <w:szCs w:val="21"/>
              </w:rPr>
            </w:pPr>
            <w:r>
              <w:rPr>
                <w:rFonts w:hint="eastAsia" w:ascii="宋体" w:hAnsi="宋体"/>
                <w:sz w:val="21"/>
                <w:szCs w:val="21"/>
              </w:rPr>
              <w:t>服务阶段</w:t>
            </w:r>
          </w:p>
        </w:tc>
        <w:tc>
          <w:tcPr>
            <w:tcW w:w="1077" w:type="pct"/>
            <w:vAlign w:val="center"/>
          </w:tcPr>
          <w:p w14:paraId="399B5FAC">
            <w:pPr>
              <w:adjustRightInd w:val="0"/>
              <w:snapToGrid w:val="0"/>
              <w:rPr>
                <w:rFonts w:ascii="宋体" w:hAnsi="宋体"/>
                <w:sz w:val="21"/>
                <w:szCs w:val="21"/>
              </w:rPr>
            </w:pPr>
            <w:r>
              <w:rPr>
                <w:rFonts w:hint="eastAsia" w:ascii="宋体" w:hAnsi="宋体"/>
                <w:sz w:val="21"/>
                <w:szCs w:val="21"/>
              </w:rPr>
              <w:t>成果文件名称</w:t>
            </w:r>
          </w:p>
        </w:tc>
        <w:tc>
          <w:tcPr>
            <w:tcW w:w="1436" w:type="pct"/>
            <w:vAlign w:val="center"/>
          </w:tcPr>
          <w:p w14:paraId="18B21CA8">
            <w:pPr>
              <w:adjustRightInd w:val="0"/>
              <w:snapToGrid w:val="0"/>
              <w:rPr>
                <w:rFonts w:ascii="宋体" w:hAnsi="宋体"/>
                <w:sz w:val="21"/>
                <w:szCs w:val="21"/>
              </w:rPr>
            </w:pPr>
            <w:r>
              <w:rPr>
                <w:rFonts w:hint="eastAsia" w:ascii="宋体" w:hAnsi="宋体"/>
                <w:sz w:val="21"/>
                <w:szCs w:val="21"/>
              </w:rPr>
              <w:t>成果文件组成</w:t>
            </w:r>
          </w:p>
        </w:tc>
        <w:tc>
          <w:tcPr>
            <w:tcW w:w="598" w:type="pct"/>
            <w:vAlign w:val="center"/>
          </w:tcPr>
          <w:p w14:paraId="04022457">
            <w:pPr>
              <w:adjustRightInd w:val="0"/>
              <w:snapToGrid w:val="0"/>
              <w:rPr>
                <w:rFonts w:ascii="宋体" w:hAnsi="宋体"/>
                <w:sz w:val="21"/>
                <w:szCs w:val="21"/>
              </w:rPr>
            </w:pPr>
            <w:r>
              <w:rPr>
                <w:rFonts w:hint="eastAsia" w:ascii="宋体" w:hAnsi="宋体"/>
                <w:sz w:val="21"/>
                <w:szCs w:val="21"/>
              </w:rPr>
              <w:t>提交时间</w:t>
            </w:r>
          </w:p>
        </w:tc>
        <w:tc>
          <w:tcPr>
            <w:tcW w:w="323" w:type="pct"/>
            <w:vAlign w:val="center"/>
          </w:tcPr>
          <w:p w14:paraId="6138BFC5">
            <w:pPr>
              <w:adjustRightInd w:val="0"/>
              <w:snapToGrid w:val="0"/>
              <w:rPr>
                <w:rFonts w:ascii="宋体" w:hAnsi="宋体"/>
                <w:sz w:val="21"/>
                <w:szCs w:val="21"/>
              </w:rPr>
            </w:pPr>
            <w:r>
              <w:rPr>
                <w:rFonts w:hint="eastAsia" w:ascii="宋体" w:hAnsi="宋体"/>
                <w:sz w:val="21"/>
                <w:szCs w:val="21"/>
              </w:rPr>
              <w:t>份数</w:t>
            </w:r>
          </w:p>
        </w:tc>
        <w:tc>
          <w:tcPr>
            <w:tcW w:w="934" w:type="pct"/>
            <w:vAlign w:val="center"/>
          </w:tcPr>
          <w:p w14:paraId="5921E22C">
            <w:pPr>
              <w:adjustRightInd w:val="0"/>
              <w:snapToGrid w:val="0"/>
              <w:rPr>
                <w:rFonts w:ascii="宋体" w:hAnsi="宋体"/>
                <w:sz w:val="21"/>
                <w:szCs w:val="21"/>
              </w:rPr>
            </w:pPr>
            <w:r>
              <w:rPr>
                <w:rFonts w:hint="eastAsia" w:ascii="宋体" w:hAnsi="宋体"/>
                <w:sz w:val="21"/>
                <w:szCs w:val="21"/>
              </w:rPr>
              <w:t>质量标准</w:t>
            </w:r>
          </w:p>
        </w:tc>
      </w:tr>
      <w:tr w14:paraId="0052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restart"/>
            <w:vAlign w:val="center"/>
          </w:tcPr>
          <w:p w14:paraId="76145A2B">
            <w:pPr>
              <w:adjustRightInd w:val="0"/>
              <w:snapToGrid w:val="0"/>
              <w:rPr>
                <w:rFonts w:ascii="宋体" w:hAnsi="宋体"/>
                <w:sz w:val="21"/>
                <w:szCs w:val="21"/>
              </w:rPr>
            </w:pPr>
            <w:r>
              <w:rPr>
                <w:rFonts w:hint="eastAsia" w:ascii="宋体" w:hAnsi="宋体"/>
                <w:sz w:val="21"/>
                <w:szCs w:val="21"/>
              </w:rPr>
              <w:t>决策阶段</w:t>
            </w:r>
          </w:p>
        </w:tc>
        <w:tc>
          <w:tcPr>
            <w:tcW w:w="1077" w:type="pct"/>
            <w:vAlign w:val="center"/>
          </w:tcPr>
          <w:p w14:paraId="05D41D9C">
            <w:pPr>
              <w:adjustRightInd w:val="0"/>
              <w:snapToGrid w:val="0"/>
              <w:rPr>
                <w:rFonts w:ascii="宋体" w:hAnsi="宋体"/>
                <w:sz w:val="21"/>
                <w:szCs w:val="21"/>
              </w:rPr>
            </w:pPr>
          </w:p>
        </w:tc>
        <w:tc>
          <w:tcPr>
            <w:tcW w:w="1436" w:type="pct"/>
            <w:vAlign w:val="center"/>
          </w:tcPr>
          <w:p w14:paraId="3580920F">
            <w:pPr>
              <w:adjustRightInd w:val="0"/>
              <w:snapToGrid w:val="0"/>
              <w:rPr>
                <w:rFonts w:ascii="宋体" w:hAnsi="宋体"/>
                <w:sz w:val="21"/>
                <w:szCs w:val="21"/>
              </w:rPr>
            </w:pPr>
          </w:p>
        </w:tc>
        <w:tc>
          <w:tcPr>
            <w:tcW w:w="598" w:type="pct"/>
            <w:vAlign w:val="center"/>
          </w:tcPr>
          <w:p w14:paraId="20701F9E">
            <w:pPr>
              <w:adjustRightInd w:val="0"/>
              <w:snapToGrid w:val="0"/>
              <w:rPr>
                <w:rFonts w:ascii="宋体" w:hAnsi="宋体"/>
                <w:sz w:val="21"/>
                <w:szCs w:val="21"/>
              </w:rPr>
            </w:pPr>
          </w:p>
        </w:tc>
        <w:tc>
          <w:tcPr>
            <w:tcW w:w="323" w:type="pct"/>
            <w:vAlign w:val="center"/>
          </w:tcPr>
          <w:p w14:paraId="0879C5E5">
            <w:pPr>
              <w:adjustRightInd w:val="0"/>
              <w:snapToGrid w:val="0"/>
              <w:rPr>
                <w:rFonts w:ascii="宋体" w:hAnsi="宋体"/>
                <w:sz w:val="21"/>
                <w:szCs w:val="21"/>
              </w:rPr>
            </w:pPr>
          </w:p>
        </w:tc>
        <w:tc>
          <w:tcPr>
            <w:tcW w:w="934" w:type="pct"/>
            <w:vAlign w:val="center"/>
          </w:tcPr>
          <w:p w14:paraId="42A99F55">
            <w:pPr>
              <w:adjustRightInd w:val="0"/>
              <w:snapToGrid w:val="0"/>
              <w:rPr>
                <w:rFonts w:ascii="宋体" w:hAnsi="宋体"/>
                <w:sz w:val="21"/>
                <w:szCs w:val="21"/>
              </w:rPr>
            </w:pPr>
          </w:p>
        </w:tc>
      </w:tr>
      <w:tr w14:paraId="747F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738AAB07">
            <w:pPr>
              <w:adjustRightInd w:val="0"/>
              <w:snapToGrid w:val="0"/>
              <w:rPr>
                <w:rFonts w:ascii="宋体" w:hAnsi="宋体"/>
                <w:sz w:val="21"/>
                <w:szCs w:val="21"/>
              </w:rPr>
            </w:pPr>
          </w:p>
        </w:tc>
        <w:tc>
          <w:tcPr>
            <w:tcW w:w="1077" w:type="pct"/>
            <w:vAlign w:val="center"/>
          </w:tcPr>
          <w:p w14:paraId="29D02A1A">
            <w:pPr>
              <w:adjustRightInd w:val="0"/>
              <w:snapToGrid w:val="0"/>
              <w:rPr>
                <w:rFonts w:ascii="宋体" w:hAnsi="宋体"/>
                <w:sz w:val="21"/>
                <w:szCs w:val="21"/>
              </w:rPr>
            </w:pPr>
          </w:p>
        </w:tc>
        <w:tc>
          <w:tcPr>
            <w:tcW w:w="1436" w:type="pct"/>
            <w:vAlign w:val="center"/>
          </w:tcPr>
          <w:p w14:paraId="31EBE15E">
            <w:pPr>
              <w:adjustRightInd w:val="0"/>
              <w:snapToGrid w:val="0"/>
              <w:rPr>
                <w:rFonts w:ascii="宋体" w:hAnsi="宋体"/>
                <w:sz w:val="21"/>
                <w:szCs w:val="21"/>
              </w:rPr>
            </w:pPr>
          </w:p>
        </w:tc>
        <w:tc>
          <w:tcPr>
            <w:tcW w:w="598" w:type="pct"/>
            <w:vAlign w:val="center"/>
          </w:tcPr>
          <w:p w14:paraId="41319649">
            <w:pPr>
              <w:adjustRightInd w:val="0"/>
              <w:snapToGrid w:val="0"/>
              <w:rPr>
                <w:rFonts w:ascii="宋体" w:hAnsi="宋体"/>
                <w:sz w:val="21"/>
                <w:szCs w:val="21"/>
              </w:rPr>
            </w:pPr>
          </w:p>
        </w:tc>
        <w:tc>
          <w:tcPr>
            <w:tcW w:w="323" w:type="pct"/>
            <w:vAlign w:val="center"/>
          </w:tcPr>
          <w:p w14:paraId="265F3EC5">
            <w:pPr>
              <w:adjustRightInd w:val="0"/>
              <w:snapToGrid w:val="0"/>
              <w:rPr>
                <w:rFonts w:ascii="宋体" w:hAnsi="宋体"/>
                <w:sz w:val="21"/>
                <w:szCs w:val="21"/>
              </w:rPr>
            </w:pPr>
          </w:p>
        </w:tc>
        <w:tc>
          <w:tcPr>
            <w:tcW w:w="934" w:type="pct"/>
            <w:vAlign w:val="center"/>
          </w:tcPr>
          <w:p w14:paraId="2EF7D3A6">
            <w:pPr>
              <w:adjustRightInd w:val="0"/>
              <w:snapToGrid w:val="0"/>
              <w:rPr>
                <w:rFonts w:ascii="宋体" w:hAnsi="宋体"/>
                <w:sz w:val="21"/>
                <w:szCs w:val="21"/>
              </w:rPr>
            </w:pPr>
          </w:p>
        </w:tc>
      </w:tr>
      <w:tr w14:paraId="6CA9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543D6B71">
            <w:pPr>
              <w:adjustRightInd w:val="0"/>
              <w:snapToGrid w:val="0"/>
              <w:rPr>
                <w:rFonts w:ascii="宋体" w:hAnsi="宋体"/>
                <w:sz w:val="21"/>
                <w:szCs w:val="21"/>
              </w:rPr>
            </w:pPr>
          </w:p>
        </w:tc>
        <w:tc>
          <w:tcPr>
            <w:tcW w:w="1077" w:type="pct"/>
            <w:vAlign w:val="center"/>
          </w:tcPr>
          <w:p w14:paraId="534FB693">
            <w:pPr>
              <w:adjustRightInd w:val="0"/>
              <w:snapToGrid w:val="0"/>
              <w:rPr>
                <w:rFonts w:ascii="宋体" w:hAnsi="宋体"/>
                <w:sz w:val="21"/>
                <w:szCs w:val="21"/>
              </w:rPr>
            </w:pPr>
          </w:p>
        </w:tc>
        <w:tc>
          <w:tcPr>
            <w:tcW w:w="1436" w:type="pct"/>
            <w:vAlign w:val="center"/>
          </w:tcPr>
          <w:p w14:paraId="341C0E27">
            <w:pPr>
              <w:adjustRightInd w:val="0"/>
              <w:snapToGrid w:val="0"/>
              <w:rPr>
                <w:rFonts w:ascii="宋体" w:hAnsi="宋体"/>
                <w:sz w:val="21"/>
                <w:szCs w:val="21"/>
              </w:rPr>
            </w:pPr>
          </w:p>
        </w:tc>
        <w:tc>
          <w:tcPr>
            <w:tcW w:w="598" w:type="pct"/>
            <w:vAlign w:val="center"/>
          </w:tcPr>
          <w:p w14:paraId="3357C576">
            <w:pPr>
              <w:adjustRightInd w:val="0"/>
              <w:snapToGrid w:val="0"/>
              <w:rPr>
                <w:rFonts w:ascii="宋体" w:hAnsi="宋体"/>
                <w:sz w:val="21"/>
                <w:szCs w:val="21"/>
              </w:rPr>
            </w:pPr>
          </w:p>
        </w:tc>
        <w:tc>
          <w:tcPr>
            <w:tcW w:w="323" w:type="pct"/>
            <w:vAlign w:val="center"/>
          </w:tcPr>
          <w:p w14:paraId="493F0ACC">
            <w:pPr>
              <w:adjustRightInd w:val="0"/>
              <w:snapToGrid w:val="0"/>
              <w:rPr>
                <w:rFonts w:ascii="宋体" w:hAnsi="宋体"/>
                <w:sz w:val="21"/>
                <w:szCs w:val="21"/>
              </w:rPr>
            </w:pPr>
          </w:p>
        </w:tc>
        <w:tc>
          <w:tcPr>
            <w:tcW w:w="934" w:type="pct"/>
            <w:vAlign w:val="center"/>
          </w:tcPr>
          <w:p w14:paraId="128E002A">
            <w:pPr>
              <w:adjustRightInd w:val="0"/>
              <w:snapToGrid w:val="0"/>
              <w:rPr>
                <w:rFonts w:ascii="宋体" w:hAnsi="宋体"/>
                <w:sz w:val="21"/>
                <w:szCs w:val="21"/>
              </w:rPr>
            </w:pPr>
          </w:p>
        </w:tc>
      </w:tr>
      <w:tr w14:paraId="0148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restart"/>
            <w:vAlign w:val="center"/>
          </w:tcPr>
          <w:p w14:paraId="2C5ACBC9">
            <w:pPr>
              <w:adjustRightInd w:val="0"/>
              <w:snapToGrid w:val="0"/>
              <w:rPr>
                <w:rFonts w:ascii="宋体" w:hAnsi="宋体"/>
                <w:sz w:val="21"/>
                <w:szCs w:val="21"/>
              </w:rPr>
            </w:pPr>
            <w:r>
              <w:rPr>
                <w:rFonts w:hint="eastAsia" w:ascii="宋体" w:hAnsi="宋体"/>
                <w:sz w:val="21"/>
                <w:szCs w:val="21"/>
              </w:rPr>
              <w:t>设计阶段</w:t>
            </w:r>
          </w:p>
        </w:tc>
        <w:tc>
          <w:tcPr>
            <w:tcW w:w="1077" w:type="pct"/>
            <w:vAlign w:val="center"/>
          </w:tcPr>
          <w:p w14:paraId="3248B41D">
            <w:pPr>
              <w:adjustRightInd w:val="0"/>
              <w:snapToGrid w:val="0"/>
              <w:rPr>
                <w:rFonts w:ascii="宋体" w:hAnsi="宋体"/>
                <w:sz w:val="21"/>
                <w:szCs w:val="21"/>
              </w:rPr>
            </w:pPr>
          </w:p>
        </w:tc>
        <w:tc>
          <w:tcPr>
            <w:tcW w:w="1436" w:type="pct"/>
            <w:vAlign w:val="center"/>
          </w:tcPr>
          <w:p w14:paraId="2A328B10">
            <w:pPr>
              <w:adjustRightInd w:val="0"/>
              <w:snapToGrid w:val="0"/>
              <w:rPr>
                <w:rFonts w:ascii="宋体" w:hAnsi="宋体"/>
                <w:sz w:val="21"/>
                <w:szCs w:val="21"/>
              </w:rPr>
            </w:pPr>
          </w:p>
        </w:tc>
        <w:tc>
          <w:tcPr>
            <w:tcW w:w="598" w:type="pct"/>
            <w:vAlign w:val="center"/>
          </w:tcPr>
          <w:p w14:paraId="700DA613">
            <w:pPr>
              <w:adjustRightInd w:val="0"/>
              <w:snapToGrid w:val="0"/>
              <w:rPr>
                <w:rFonts w:ascii="宋体" w:hAnsi="宋体"/>
                <w:sz w:val="21"/>
                <w:szCs w:val="21"/>
              </w:rPr>
            </w:pPr>
          </w:p>
        </w:tc>
        <w:tc>
          <w:tcPr>
            <w:tcW w:w="323" w:type="pct"/>
            <w:vAlign w:val="center"/>
          </w:tcPr>
          <w:p w14:paraId="56A908C2">
            <w:pPr>
              <w:adjustRightInd w:val="0"/>
              <w:snapToGrid w:val="0"/>
              <w:rPr>
                <w:rFonts w:ascii="宋体" w:hAnsi="宋体"/>
                <w:sz w:val="21"/>
                <w:szCs w:val="21"/>
              </w:rPr>
            </w:pPr>
          </w:p>
        </w:tc>
        <w:tc>
          <w:tcPr>
            <w:tcW w:w="934" w:type="pct"/>
            <w:vAlign w:val="center"/>
          </w:tcPr>
          <w:p w14:paraId="2DC1DD02">
            <w:pPr>
              <w:adjustRightInd w:val="0"/>
              <w:snapToGrid w:val="0"/>
              <w:rPr>
                <w:rFonts w:ascii="宋体" w:hAnsi="宋体"/>
                <w:sz w:val="21"/>
                <w:szCs w:val="21"/>
              </w:rPr>
            </w:pPr>
          </w:p>
        </w:tc>
      </w:tr>
      <w:tr w14:paraId="5F77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521B08CA">
            <w:pPr>
              <w:adjustRightInd w:val="0"/>
              <w:snapToGrid w:val="0"/>
              <w:rPr>
                <w:rFonts w:ascii="宋体" w:hAnsi="宋体"/>
                <w:sz w:val="21"/>
                <w:szCs w:val="21"/>
              </w:rPr>
            </w:pPr>
          </w:p>
        </w:tc>
        <w:tc>
          <w:tcPr>
            <w:tcW w:w="1077" w:type="pct"/>
            <w:vAlign w:val="center"/>
          </w:tcPr>
          <w:p w14:paraId="722D00B4">
            <w:pPr>
              <w:adjustRightInd w:val="0"/>
              <w:snapToGrid w:val="0"/>
              <w:rPr>
                <w:rFonts w:ascii="宋体" w:hAnsi="宋体"/>
                <w:sz w:val="21"/>
                <w:szCs w:val="21"/>
              </w:rPr>
            </w:pPr>
          </w:p>
        </w:tc>
        <w:tc>
          <w:tcPr>
            <w:tcW w:w="1436" w:type="pct"/>
            <w:vAlign w:val="center"/>
          </w:tcPr>
          <w:p w14:paraId="4380DE18">
            <w:pPr>
              <w:adjustRightInd w:val="0"/>
              <w:snapToGrid w:val="0"/>
              <w:rPr>
                <w:rFonts w:ascii="宋体" w:hAnsi="宋体"/>
                <w:sz w:val="21"/>
                <w:szCs w:val="21"/>
              </w:rPr>
            </w:pPr>
          </w:p>
        </w:tc>
        <w:tc>
          <w:tcPr>
            <w:tcW w:w="598" w:type="pct"/>
            <w:vAlign w:val="center"/>
          </w:tcPr>
          <w:p w14:paraId="41D51D5A">
            <w:pPr>
              <w:adjustRightInd w:val="0"/>
              <w:snapToGrid w:val="0"/>
              <w:rPr>
                <w:rFonts w:ascii="宋体" w:hAnsi="宋体"/>
                <w:sz w:val="21"/>
                <w:szCs w:val="21"/>
              </w:rPr>
            </w:pPr>
          </w:p>
        </w:tc>
        <w:tc>
          <w:tcPr>
            <w:tcW w:w="323" w:type="pct"/>
            <w:vAlign w:val="center"/>
          </w:tcPr>
          <w:p w14:paraId="27D3EF59">
            <w:pPr>
              <w:adjustRightInd w:val="0"/>
              <w:snapToGrid w:val="0"/>
              <w:rPr>
                <w:rFonts w:ascii="宋体" w:hAnsi="宋体"/>
                <w:sz w:val="21"/>
                <w:szCs w:val="21"/>
              </w:rPr>
            </w:pPr>
          </w:p>
        </w:tc>
        <w:tc>
          <w:tcPr>
            <w:tcW w:w="934" w:type="pct"/>
            <w:vAlign w:val="center"/>
          </w:tcPr>
          <w:p w14:paraId="0891E128">
            <w:pPr>
              <w:adjustRightInd w:val="0"/>
              <w:snapToGrid w:val="0"/>
              <w:rPr>
                <w:rFonts w:ascii="宋体" w:hAnsi="宋体"/>
                <w:sz w:val="21"/>
                <w:szCs w:val="21"/>
              </w:rPr>
            </w:pPr>
          </w:p>
        </w:tc>
      </w:tr>
      <w:tr w14:paraId="3E1B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05C4BC10">
            <w:pPr>
              <w:adjustRightInd w:val="0"/>
              <w:snapToGrid w:val="0"/>
              <w:rPr>
                <w:rFonts w:ascii="宋体" w:hAnsi="宋体"/>
                <w:sz w:val="21"/>
                <w:szCs w:val="21"/>
              </w:rPr>
            </w:pPr>
          </w:p>
        </w:tc>
        <w:tc>
          <w:tcPr>
            <w:tcW w:w="1077" w:type="pct"/>
            <w:vAlign w:val="center"/>
          </w:tcPr>
          <w:p w14:paraId="676F6F67">
            <w:pPr>
              <w:adjustRightInd w:val="0"/>
              <w:snapToGrid w:val="0"/>
              <w:rPr>
                <w:rFonts w:ascii="宋体" w:hAnsi="宋体"/>
                <w:sz w:val="21"/>
                <w:szCs w:val="21"/>
              </w:rPr>
            </w:pPr>
          </w:p>
        </w:tc>
        <w:tc>
          <w:tcPr>
            <w:tcW w:w="1436" w:type="pct"/>
            <w:vAlign w:val="center"/>
          </w:tcPr>
          <w:p w14:paraId="3911A819">
            <w:pPr>
              <w:adjustRightInd w:val="0"/>
              <w:snapToGrid w:val="0"/>
              <w:rPr>
                <w:rFonts w:ascii="宋体" w:hAnsi="宋体"/>
                <w:sz w:val="21"/>
                <w:szCs w:val="21"/>
              </w:rPr>
            </w:pPr>
          </w:p>
        </w:tc>
        <w:tc>
          <w:tcPr>
            <w:tcW w:w="598" w:type="pct"/>
            <w:vAlign w:val="center"/>
          </w:tcPr>
          <w:p w14:paraId="756A8D36">
            <w:pPr>
              <w:adjustRightInd w:val="0"/>
              <w:snapToGrid w:val="0"/>
              <w:rPr>
                <w:rFonts w:ascii="宋体" w:hAnsi="宋体"/>
                <w:sz w:val="21"/>
                <w:szCs w:val="21"/>
              </w:rPr>
            </w:pPr>
          </w:p>
        </w:tc>
        <w:tc>
          <w:tcPr>
            <w:tcW w:w="323" w:type="pct"/>
            <w:vAlign w:val="center"/>
          </w:tcPr>
          <w:p w14:paraId="13B8516C">
            <w:pPr>
              <w:adjustRightInd w:val="0"/>
              <w:snapToGrid w:val="0"/>
              <w:rPr>
                <w:rFonts w:ascii="宋体" w:hAnsi="宋体"/>
                <w:sz w:val="21"/>
                <w:szCs w:val="21"/>
              </w:rPr>
            </w:pPr>
          </w:p>
        </w:tc>
        <w:tc>
          <w:tcPr>
            <w:tcW w:w="934" w:type="pct"/>
            <w:vAlign w:val="center"/>
          </w:tcPr>
          <w:p w14:paraId="21185901">
            <w:pPr>
              <w:adjustRightInd w:val="0"/>
              <w:snapToGrid w:val="0"/>
              <w:rPr>
                <w:rFonts w:ascii="宋体" w:hAnsi="宋体"/>
                <w:sz w:val="21"/>
                <w:szCs w:val="21"/>
              </w:rPr>
            </w:pPr>
          </w:p>
        </w:tc>
      </w:tr>
      <w:tr w14:paraId="4EDB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restart"/>
            <w:vAlign w:val="center"/>
          </w:tcPr>
          <w:p w14:paraId="35A9CB37">
            <w:pPr>
              <w:adjustRightInd w:val="0"/>
              <w:snapToGrid w:val="0"/>
              <w:rPr>
                <w:rFonts w:ascii="宋体" w:hAnsi="宋体"/>
                <w:sz w:val="21"/>
                <w:szCs w:val="21"/>
              </w:rPr>
            </w:pPr>
            <w:r>
              <w:rPr>
                <w:rFonts w:hint="eastAsia" w:ascii="宋体" w:hAnsi="宋体"/>
                <w:sz w:val="21"/>
                <w:szCs w:val="21"/>
              </w:rPr>
              <w:t>发承包阶段</w:t>
            </w:r>
          </w:p>
        </w:tc>
        <w:tc>
          <w:tcPr>
            <w:tcW w:w="1077" w:type="pct"/>
            <w:vAlign w:val="center"/>
          </w:tcPr>
          <w:p w14:paraId="4DE5D34C">
            <w:pPr>
              <w:adjustRightInd w:val="0"/>
              <w:snapToGrid w:val="0"/>
              <w:rPr>
                <w:rFonts w:ascii="宋体" w:hAnsi="宋体"/>
                <w:sz w:val="21"/>
                <w:szCs w:val="21"/>
              </w:rPr>
            </w:pPr>
          </w:p>
        </w:tc>
        <w:tc>
          <w:tcPr>
            <w:tcW w:w="1436" w:type="pct"/>
            <w:vAlign w:val="center"/>
          </w:tcPr>
          <w:p w14:paraId="04E7EE0B">
            <w:pPr>
              <w:adjustRightInd w:val="0"/>
              <w:snapToGrid w:val="0"/>
              <w:rPr>
                <w:rFonts w:ascii="宋体" w:hAnsi="宋体"/>
                <w:sz w:val="21"/>
                <w:szCs w:val="21"/>
              </w:rPr>
            </w:pPr>
          </w:p>
        </w:tc>
        <w:tc>
          <w:tcPr>
            <w:tcW w:w="598" w:type="pct"/>
            <w:vAlign w:val="center"/>
          </w:tcPr>
          <w:p w14:paraId="50A3D0E5">
            <w:pPr>
              <w:adjustRightInd w:val="0"/>
              <w:snapToGrid w:val="0"/>
              <w:rPr>
                <w:rFonts w:ascii="宋体" w:hAnsi="宋体"/>
                <w:sz w:val="21"/>
                <w:szCs w:val="21"/>
              </w:rPr>
            </w:pPr>
          </w:p>
        </w:tc>
        <w:tc>
          <w:tcPr>
            <w:tcW w:w="323" w:type="pct"/>
            <w:vAlign w:val="center"/>
          </w:tcPr>
          <w:p w14:paraId="3791C42C">
            <w:pPr>
              <w:adjustRightInd w:val="0"/>
              <w:snapToGrid w:val="0"/>
              <w:rPr>
                <w:rFonts w:ascii="宋体" w:hAnsi="宋体"/>
                <w:sz w:val="21"/>
                <w:szCs w:val="21"/>
              </w:rPr>
            </w:pPr>
          </w:p>
        </w:tc>
        <w:tc>
          <w:tcPr>
            <w:tcW w:w="934" w:type="pct"/>
            <w:vAlign w:val="center"/>
          </w:tcPr>
          <w:p w14:paraId="6E1FA3CC">
            <w:pPr>
              <w:adjustRightInd w:val="0"/>
              <w:snapToGrid w:val="0"/>
              <w:rPr>
                <w:rFonts w:ascii="宋体" w:hAnsi="宋体"/>
                <w:sz w:val="21"/>
                <w:szCs w:val="21"/>
              </w:rPr>
            </w:pPr>
          </w:p>
        </w:tc>
      </w:tr>
      <w:tr w14:paraId="7212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601A5B91">
            <w:pPr>
              <w:adjustRightInd w:val="0"/>
              <w:snapToGrid w:val="0"/>
              <w:rPr>
                <w:rFonts w:ascii="宋体" w:hAnsi="宋体"/>
                <w:sz w:val="21"/>
                <w:szCs w:val="21"/>
              </w:rPr>
            </w:pPr>
          </w:p>
        </w:tc>
        <w:tc>
          <w:tcPr>
            <w:tcW w:w="1077" w:type="pct"/>
            <w:vAlign w:val="center"/>
          </w:tcPr>
          <w:p w14:paraId="6E37BB1D">
            <w:pPr>
              <w:adjustRightInd w:val="0"/>
              <w:snapToGrid w:val="0"/>
              <w:rPr>
                <w:rFonts w:ascii="宋体" w:hAnsi="宋体"/>
                <w:sz w:val="21"/>
                <w:szCs w:val="21"/>
              </w:rPr>
            </w:pPr>
          </w:p>
        </w:tc>
        <w:tc>
          <w:tcPr>
            <w:tcW w:w="1436" w:type="pct"/>
            <w:vAlign w:val="center"/>
          </w:tcPr>
          <w:p w14:paraId="6B1247E3">
            <w:pPr>
              <w:adjustRightInd w:val="0"/>
              <w:snapToGrid w:val="0"/>
              <w:rPr>
                <w:rFonts w:ascii="宋体" w:hAnsi="宋体"/>
                <w:sz w:val="21"/>
                <w:szCs w:val="21"/>
              </w:rPr>
            </w:pPr>
          </w:p>
        </w:tc>
        <w:tc>
          <w:tcPr>
            <w:tcW w:w="598" w:type="pct"/>
            <w:vAlign w:val="center"/>
          </w:tcPr>
          <w:p w14:paraId="375CAF26">
            <w:pPr>
              <w:adjustRightInd w:val="0"/>
              <w:snapToGrid w:val="0"/>
              <w:rPr>
                <w:rFonts w:ascii="宋体" w:hAnsi="宋体"/>
                <w:sz w:val="21"/>
                <w:szCs w:val="21"/>
              </w:rPr>
            </w:pPr>
          </w:p>
        </w:tc>
        <w:tc>
          <w:tcPr>
            <w:tcW w:w="323" w:type="pct"/>
            <w:vAlign w:val="center"/>
          </w:tcPr>
          <w:p w14:paraId="79B81CFE">
            <w:pPr>
              <w:adjustRightInd w:val="0"/>
              <w:snapToGrid w:val="0"/>
              <w:rPr>
                <w:rFonts w:ascii="宋体" w:hAnsi="宋体"/>
                <w:sz w:val="21"/>
                <w:szCs w:val="21"/>
              </w:rPr>
            </w:pPr>
          </w:p>
        </w:tc>
        <w:tc>
          <w:tcPr>
            <w:tcW w:w="934" w:type="pct"/>
            <w:vAlign w:val="center"/>
          </w:tcPr>
          <w:p w14:paraId="273D3476">
            <w:pPr>
              <w:adjustRightInd w:val="0"/>
              <w:snapToGrid w:val="0"/>
              <w:rPr>
                <w:rFonts w:ascii="宋体" w:hAnsi="宋体"/>
                <w:sz w:val="21"/>
                <w:szCs w:val="21"/>
              </w:rPr>
            </w:pPr>
          </w:p>
        </w:tc>
      </w:tr>
      <w:tr w14:paraId="74F7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4426D85D">
            <w:pPr>
              <w:adjustRightInd w:val="0"/>
              <w:snapToGrid w:val="0"/>
              <w:rPr>
                <w:rFonts w:ascii="宋体" w:hAnsi="宋体"/>
                <w:sz w:val="21"/>
                <w:szCs w:val="21"/>
              </w:rPr>
            </w:pPr>
          </w:p>
        </w:tc>
        <w:tc>
          <w:tcPr>
            <w:tcW w:w="1077" w:type="pct"/>
            <w:vAlign w:val="center"/>
          </w:tcPr>
          <w:p w14:paraId="21473470">
            <w:pPr>
              <w:adjustRightInd w:val="0"/>
              <w:snapToGrid w:val="0"/>
              <w:rPr>
                <w:rFonts w:ascii="宋体" w:hAnsi="宋体"/>
                <w:sz w:val="21"/>
                <w:szCs w:val="21"/>
              </w:rPr>
            </w:pPr>
          </w:p>
        </w:tc>
        <w:tc>
          <w:tcPr>
            <w:tcW w:w="1436" w:type="pct"/>
            <w:vAlign w:val="center"/>
          </w:tcPr>
          <w:p w14:paraId="43B37F8F">
            <w:pPr>
              <w:adjustRightInd w:val="0"/>
              <w:snapToGrid w:val="0"/>
              <w:rPr>
                <w:rFonts w:ascii="宋体" w:hAnsi="宋体"/>
                <w:sz w:val="21"/>
                <w:szCs w:val="21"/>
              </w:rPr>
            </w:pPr>
          </w:p>
        </w:tc>
        <w:tc>
          <w:tcPr>
            <w:tcW w:w="598" w:type="pct"/>
            <w:vAlign w:val="center"/>
          </w:tcPr>
          <w:p w14:paraId="583166BE">
            <w:pPr>
              <w:adjustRightInd w:val="0"/>
              <w:snapToGrid w:val="0"/>
              <w:rPr>
                <w:rFonts w:ascii="宋体" w:hAnsi="宋体"/>
                <w:sz w:val="21"/>
                <w:szCs w:val="21"/>
              </w:rPr>
            </w:pPr>
          </w:p>
        </w:tc>
        <w:tc>
          <w:tcPr>
            <w:tcW w:w="323" w:type="pct"/>
            <w:vAlign w:val="center"/>
          </w:tcPr>
          <w:p w14:paraId="7A3F6009">
            <w:pPr>
              <w:adjustRightInd w:val="0"/>
              <w:snapToGrid w:val="0"/>
              <w:rPr>
                <w:rFonts w:ascii="宋体" w:hAnsi="宋体"/>
                <w:sz w:val="21"/>
                <w:szCs w:val="21"/>
              </w:rPr>
            </w:pPr>
          </w:p>
        </w:tc>
        <w:tc>
          <w:tcPr>
            <w:tcW w:w="934" w:type="pct"/>
            <w:vAlign w:val="center"/>
          </w:tcPr>
          <w:p w14:paraId="6C543161">
            <w:pPr>
              <w:adjustRightInd w:val="0"/>
              <w:snapToGrid w:val="0"/>
              <w:rPr>
                <w:rFonts w:ascii="宋体" w:hAnsi="宋体"/>
                <w:sz w:val="21"/>
                <w:szCs w:val="21"/>
              </w:rPr>
            </w:pPr>
          </w:p>
        </w:tc>
      </w:tr>
      <w:tr w14:paraId="08EB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restart"/>
            <w:vAlign w:val="center"/>
          </w:tcPr>
          <w:p w14:paraId="4AF935A2">
            <w:pPr>
              <w:adjustRightInd w:val="0"/>
              <w:snapToGrid w:val="0"/>
              <w:rPr>
                <w:rFonts w:ascii="宋体" w:hAnsi="宋体"/>
                <w:sz w:val="21"/>
                <w:szCs w:val="21"/>
              </w:rPr>
            </w:pPr>
            <w:r>
              <w:rPr>
                <w:rFonts w:hint="eastAsia" w:ascii="宋体" w:hAnsi="宋体"/>
                <w:sz w:val="21"/>
                <w:szCs w:val="21"/>
              </w:rPr>
              <w:t>实施阶段</w:t>
            </w:r>
          </w:p>
        </w:tc>
        <w:tc>
          <w:tcPr>
            <w:tcW w:w="1077" w:type="pct"/>
            <w:vAlign w:val="center"/>
          </w:tcPr>
          <w:p w14:paraId="558B56E6">
            <w:pPr>
              <w:adjustRightInd w:val="0"/>
              <w:snapToGrid w:val="0"/>
              <w:rPr>
                <w:rFonts w:ascii="宋体" w:hAnsi="宋体"/>
                <w:sz w:val="21"/>
                <w:szCs w:val="21"/>
              </w:rPr>
            </w:pPr>
          </w:p>
        </w:tc>
        <w:tc>
          <w:tcPr>
            <w:tcW w:w="1436" w:type="pct"/>
            <w:vAlign w:val="center"/>
          </w:tcPr>
          <w:p w14:paraId="5D91A798">
            <w:pPr>
              <w:adjustRightInd w:val="0"/>
              <w:snapToGrid w:val="0"/>
              <w:rPr>
                <w:rFonts w:ascii="宋体" w:hAnsi="宋体"/>
                <w:sz w:val="21"/>
                <w:szCs w:val="21"/>
              </w:rPr>
            </w:pPr>
          </w:p>
        </w:tc>
        <w:tc>
          <w:tcPr>
            <w:tcW w:w="598" w:type="pct"/>
            <w:vAlign w:val="center"/>
          </w:tcPr>
          <w:p w14:paraId="37D75D98">
            <w:pPr>
              <w:adjustRightInd w:val="0"/>
              <w:snapToGrid w:val="0"/>
              <w:rPr>
                <w:rFonts w:ascii="宋体" w:hAnsi="宋体"/>
                <w:sz w:val="21"/>
                <w:szCs w:val="21"/>
              </w:rPr>
            </w:pPr>
          </w:p>
        </w:tc>
        <w:tc>
          <w:tcPr>
            <w:tcW w:w="323" w:type="pct"/>
            <w:vAlign w:val="center"/>
          </w:tcPr>
          <w:p w14:paraId="5C2E4EDB">
            <w:pPr>
              <w:adjustRightInd w:val="0"/>
              <w:snapToGrid w:val="0"/>
              <w:rPr>
                <w:rFonts w:ascii="宋体" w:hAnsi="宋体"/>
                <w:sz w:val="21"/>
                <w:szCs w:val="21"/>
              </w:rPr>
            </w:pPr>
          </w:p>
        </w:tc>
        <w:tc>
          <w:tcPr>
            <w:tcW w:w="934" w:type="pct"/>
            <w:vAlign w:val="center"/>
          </w:tcPr>
          <w:p w14:paraId="77942210">
            <w:pPr>
              <w:adjustRightInd w:val="0"/>
              <w:snapToGrid w:val="0"/>
              <w:rPr>
                <w:rFonts w:ascii="宋体" w:hAnsi="宋体"/>
                <w:sz w:val="21"/>
                <w:szCs w:val="21"/>
              </w:rPr>
            </w:pPr>
          </w:p>
        </w:tc>
      </w:tr>
      <w:tr w14:paraId="4E27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57184C70">
            <w:pPr>
              <w:adjustRightInd w:val="0"/>
              <w:snapToGrid w:val="0"/>
              <w:rPr>
                <w:rFonts w:ascii="宋体" w:hAnsi="宋体"/>
                <w:sz w:val="21"/>
                <w:szCs w:val="21"/>
              </w:rPr>
            </w:pPr>
          </w:p>
        </w:tc>
        <w:tc>
          <w:tcPr>
            <w:tcW w:w="1077" w:type="pct"/>
            <w:vAlign w:val="center"/>
          </w:tcPr>
          <w:p w14:paraId="5A394ABD">
            <w:pPr>
              <w:adjustRightInd w:val="0"/>
              <w:snapToGrid w:val="0"/>
              <w:rPr>
                <w:rFonts w:ascii="宋体" w:hAnsi="宋体"/>
                <w:sz w:val="21"/>
                <w:szCs w:val="21"/>
              </w:rPr>
            </w:pPr>
          </w:p>
        </w:tc>
        <w:tc>
          <w:tcPr>
            <w:tcW w:w="1436" w:type="pct"/>
            <w:vAlign w:val="center"/>
          </w:tcPr>
          <w:p w14:paraId="62F51DA2">
            <w:pPr>
              <w:adjustRightInd w:val="0"/>
              <w:snapToGrid w:val="0"/>
              <w:rPr>
                <w:rFonts w:ascii="宋体" w:hAnsi="宋体"/>
                <w:sz w:val="21"/>
                <w:szCs w:val="21"/>
              </w:rPr>
            </w:pPr>
          </w:p>
        </w:tc>
        <w:tc>
          <w:tcPr>
            <w:tcW w:w="598" w:type="pct"/>
            <w:vAlign w:val="center"/>
          </w:tcPr>
          <w:p w14:paraId="707EBC0C">
            <w:pPr>
              <w:adjustRightInd w:val="0"/>
              <w:snapToGrid w:val="0"/>
              <w:rPr>
                <w:rFonts w:ascii="宋体" w:hAnsi="宋体"/>
                <w:sz w:val="21"/>
                <w:szCs w:val="21"/>
              </w:rPr>
            </w:pPr>
          </w:p>
        </w:tc>
        <w:tc>
          <w:tcPr>
            <w:tcW w:w="323" w:type="pct"/>
            <w:vAlign w:val="center"/>
          </w:tcPr>
          <w:p w14:paraId="4900FD4A">
            <w:pPr>
              <w:adjustRightInd w:val="0"/>
              <w:snapToGrid w:val="0"/>
              <w:rPr>
                <w:rFonts w:ascii="宋体" w:hAnsi="宋体"/>
                <w:sz w:val="21"/>
                <w:szCs w:val="21"/>
              </w:rPr>
            </w:pPr>
          </w:p>
        </w:tc>
        <w:tc>
          <w:tcPr>
            <w:tcW w:w="934" w:type="pct"/>
            <w:vAlign w:val="center"/>
          </w:tcPr>
          <w:p w14:paraId="4601CD22">
            <w:pPr>
              <w:adjustRightInd w:val="0"/>
              <w:snapToGrid w:val="0"/>
              <w:rPr>
                <w:rFonts w:ascii="宋体" w:hAnsi="宋体"/>
                <w:sz w:val="21"/>
                <w:szCs w:val="21"/>
              </w:rPr>
            </w:pPr>
          </w:p>
        </w:tc>
      </w:tr>
      <w:tr w14:paraId="2045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5AD7967F">
            <w:pPr>
              <w:adjustRightInd w:val="0"/>
              <w:snapToGrid w:val="0"/>
              <w:rPr>
                <w:rFonts w:ascii="宋体" w:hAnsi="宋体"/>
                <w:sz w:val="21"/>
                <w:szCs w:val="21"/>
              </w:rPr>
            </w:pPr>
          </w:p>
        </w:tc>
        <w:tc>
          <w:tcPr>
            <w:tcW w:w="1077" w:type="pct"/>
            <w:vAlign w:val="center"/>
          </w:tcPr>
          <w:p w14:paraId="1BB56227">
            <w:pPr>
              <w:adjustRightInd w:val="0"/>
              <w:snapToGrid w:val="0"/>
              <w:rPr>
                <w:rFonts w:ascii="宋体" w:hAnsi="宋体"/>
                <w:sz w:val="21"/>
                <w:szCs w:val="21"/>
              </w:rPr>
            </w:pPr>
          </w:p>
        </w:tc>
        <w:tc>
          <w:tcPr>
            <w:tcW w:w="1436" w:type="pct"/>
            <w:vAlign w:val="center"/>
          </w:tcPr>
          <w:p w14:paraId="188327BF">
            <w:pPr>
              <w:adjustRightInd w:val="0"/>
              <w:snapToGrid w:val="0"/>
              <w:rPr>
                <w:rFonts w:ascii="宋体" w:hAnsi="宋体"/>
                <w:sz w:val="21"/>
                <w:szCs w:val="21"/>
              </w:rPr>
            </w:pPr>
          </w:p>
        </w:tc>
        <w:tc>
          <w:tcPr>
            <w:tcW w:w="598" w:type="pct"/>
            <w:vAlign w:val="center"/>
          </w:tcPr>
          <w:p w14:paraId="7A9878FD">
            <w:pPr>
              <w:adjustRightInd w:val="0"/>
              <w:snapToGrid w:val="0"/>
              <w:rPr>
                <w:rFonts w:ascii="宋体" w:hAnsi="宋体"/>
                <w:sz w:val="21"/>
                <w:szCs w:val="21"/>
              </w:rPr>
            </w:pPr>
          </w:p>
        </w:tc>
        <w:tc>
          <w:tcPr>
            <w:tcW w:w="323" w:type="pct"/>
            <w:vAlign w:val="center"/>
          </w:tcPr>
          <w:p w14:paraId="4666815D">
            <w:pPr>
              <w:adjustRightInd w:val="0"/>
              <w:snapToGrid w:val="0"/>
              <w:rPr>
                <w:rFonts w:ascii="宋体" w:hAnsi="宋体"/>
                <w:sz w:val="21"/>
                <w:szCs w:val="21"/>
              </w:rPr>
            </w:pPr>
          </w:p>
        </w:tc>
        <w:tc>
          <w:tcPr>
            <w:tcW w:w="934" w:type="pct"/>
            <w:vAlign w:val="center"/>
          </w:tcPr>
          <w:p w14:paraId="657DA593">
            <w:pPr>
              <w:adjustRightInd w:val="0"/>
              <w:snapToGrid w:val="0"/>
              <w:rPr>
                <w:rFonts w:ascii="宋体" w:hAnsi="宋体"/>
                <w:sz w:val="21"/>
                <w:szCs w:val="21"/>
              </w:rPr>
            </w:pPr>
          </w:p>
        </w:tc>
      </w:tr>
      <w:tr w14:paraId="3F32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restart"/>
            <w:vAlign w:val="center"/>
          </w:tcPr>
          <w:p w14:paraId="3306B608">
            <w:pPr>
              <w:adjustRightInd w:val="0"/>
              <w:snapToGrid w:val="0"/>
              <w:rPr>
                <w:rFonts w:ascii="宋体" w:hAnsi="宋体"/>
                <w:sz w:val="21"/>
                <w:szCs w:val="21"/>
              </w:rPr>
            </w:pPr>
            <w:r>
              <w:rPr>
                <w:rFonts w:hint="eastAsia" w:ascii="宋体" w:hAnsi="宋体"/>
                <w:sz w:val="21"/>
                <w:szCs w:val="21"/>
              </w:rPr>
              <w:t>竣工阶段</w:t>
            </w:r>
          </w:p>
        </w:tc>
        <w:tc>
          <w:tcPr>
            <w:tcW w:w="1077" w:type="pct"/>
            <w:vAlign w:val="center"/>
          </w:tcPr>
          <w:p w14:paraId="238219E3">
            <w:pPr>
              <w:adjustRightInd w:val="0"/>
              <w:snapToGrid w:val="0"/>
              <w:rPr>
                <w:rFonts w:ascii="宋体" w:hAnsi="宋体"/>
                <w:sz w:val="21"/>
                <w:szCs w:val="21"/>
              </w:rPr>
            </w:pPr>
          </w:p>
        </w:tc>
        <w:tc>
          <w:tcPr>
            <w:tcW w:w="1436" w:type="pct"/>
            <w:vAlign w:val="center"/>
          </w:tcPr>
          <w:p w14:paraId="5127F028">
            <w:pPr>
              <w:adjustRightInd w:val="0"/>
              <w:snapToGrid w:val="0"/>
              <w:rPr>
                <w:rFonts w:ascii="宋体" w:hAnsi="宋体"/>
                <w:sz w:val="21"/>
                <w:szCs w:val="21"/>
              </w:rPr>
            </w:pPr>
          </w:p>
        </w:tc>
        <w:tc>
          <w:tcPr>
            <w:tcW w:w="598" w:type="pct"/>
            <w:vAlign w:val="center"/>
          </w:tcPr>
          <w:p w14:paraId="04350E72">
            <w:pPr>
              <w:adjustRightInd w:val="0"/>
              <w:snapToGrid w:val="0"/>
              <w:rPr>
                <w:rFonts w:ascii="宋体" w:hAnsi="宋体"/>
                <w:sz w:val="21"/>
                <w:szCs w:val="21"/>
              </w:rPr>
            </w:pPr>
          </w:p>
        </w:tc>
        <w:tc>
          <w:tcPr>
            <w:tcW w:w="323" w:type="pct"/>
            <w:vAlign w:val="center"/>
          </w:tcPr>
          <w:p w14:paraId="0277CBB6">
            <w:pPr>
              <w:adjustRightInd w:val="0"/>
              <w:snapToGrid w:val="0"/>
              <w:rPr>
                <w:rFonts w:ascii="宋体" w:hAnsi="宋体"/>
                <w:sz w:val="21"/>
                <w:szCs w:val="21"/>
              </w:rPr>
            </w:pPr>
          </w:p>
        </w:tc>
        <w:tc>
          <w:tcPr>
            <w:tcW w:w="934" w:type="pct"/>
            <w:vAlign w:val="center"/>
          </w:tcPr>
          <w:p w14:paraId="48CEC39B">
            <w:pPr>
              <w:adjustRightInd w:val="0"/>
              <w:snapToGrid w:val="0"/>
              <w:rPr>
                <w:rFonts w:ascii="宋体" w:hAnsi="宋体"/>
                <w:sz w:val="21"/>
                <w:szCs w:val="21"/>
              </w:rPr>
            </w:pPr>
          </w:p>
        </w:tc>
      </w:tr>
      <w:tr w14:paraId="532B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22429926">
            <w:pPr>
              <w:adjustRightInd w:val="0"/>
              <w:snapToGrid w:val="0"/>
              <w:rPr>
                <w:rFonts w:ascii="宋体" w:hAnsi="宋体"/>
                <w:sz w:val="21"/>
                <w:szCs w:val="21"/>
              </w:rPr>
            </w:pPr>
          </w:p>
        </w:tc>
        <w:tc>
          <w:tcPr>
            <w:tcW w:w="1077" w:type="pct"/>
            <w:vAlign w:val="center"/>
          </w:tcPr>
          <w:p w14:paraId="6FFA1CAB">
            <w:pPr>
              <w:adjustRightInd w:val="0"/>
              <w:snapToGrid w:val="0"/>
              <w:rPr>
                <w:rFonts w:ascii="宋体" w:hAnsi="宋体"/>
                <w:sz w:val="21"/>
                <w:szCs w:val="21"/>
              </w:rPr>
            </w:pPr>
          </w:p>
        </w:tc>
        <w:tc>
          <w:tcPr>
            <w:tcW w:w="1436" w:type="pct"/>
            <w:vAlign w:val="center"/>
          </w:tcPr>
          <w:p w14:paraId="692AD277">
            <w:pPr>
              <w:adjustRightInd w:val="0"/>
              <w:snapToGrid w:val="0"/>
              <w:rPr>
                <w:rFonts w:ascii="宋体" w:hAnsi="宋体"/>
                <w:sz w:val="21"/>
                <w:szCs w:val="21"/>
              </w:rPr>
            </w:pPr>
          </w:p>
        </w:tc>
        <w:tc>
          <w:tcPr>
            <w:tcW w:w="598" w:type="pct"/>
            <w:vAlign w:val="center"/>
          </w:tcPr>
          <w:p w14:paraId="2AD9134C">
            <w:pPr>
              <w:adjustRightInd w:val="0"/>
              <w:snapToGrid w:val="0"/>
              <w:rPr>
                <w:rFonts w:ascii="宋体" w:hAnsi="宋体"/>
                <w:sz w:val="21"/>
                <w:szCs w:val="21"/>
              </w:rPr>
            </w:pPr>
          </w:p>
        </w:tc>
        <w:tc>
          <w:tcPr>
            <w:tcW w:w="323" w:type="pct"/>
            <w:vAlign w:val="center"/>
          </w:tcPr>
          <w:p w14:paraId="64C60BF2">
            <w:pPr>
              <w:adjustRightInd w:val="0"/>
              <w:snapToGrid w:val="0"/>
              <w:rPr>
                <w:rFonts w:ascii="宋体" w:hAnsi="宋体"/>
                <w:sz w:val="21"/>
                <w:szCs w:val="21"/>
              </w:rPr>
            </w:pPr>
          </w:p>
        </w:tc>
        <w:tc>
          <w:tcPr>
            <w:tcW w:w="934" w:type="pct"/>
            <w:vAlign w:val="center"/>
          </w:tcPr>
          <w:p w14:paraId="1CC52BBE">
            <w:pPr>
              <w:adjustRightInd w:val="0"/>
              <w:snapToGrid w:val="0"/>
              <w:rPr>
                <w:rFonts w:ascii="宋体" w:hAnsi="宋体"/>
                <w:sz w:val="21"/>
                <w:szCs w:val="21"/>
              </w:rPr>
            </w:pPr>
          </w:p>
        </w:tc>
      </w:tr>
      <w:tr w14:paraId="3CF1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52D4578A">
            <w:pPr>
              <w:adjustRightInd w:val="0"/>
              <w:snapToGrid w:val="0"/>
              <w:rPr>
                <w:rFonts w:ascii="宋体" w:hAnsi="宋体"/>
                <w:sz w:val="21"/>
                <w:szCs w:val="21"/>
              </w:rPr>
            </w:pPr>
          </w:p>
        </w:tc>
        <w:tc>
          <w:tcPr>
            <w:tcW w:w="1077" w:type="pct"/>
            <w:vAlign w:val="center"/>
          </w:tcPr>
          <w:p w14:paraId="372F3BEC">
            <w:pPr>
              <w:adjustRightInd w:val="0"/>
              <w:snapToGrid w:val="0"/>
              <w:rPr>
                <w:rFonts w:ascii="宋体" w:hAnsi="宋体"/>
                <w:sz w:val="21"/>
                <w:szCs w:val="21"/>
              </w:rPr>
            </w:pPr>
          </w:p>
        </w:tc>
        <w:tc>
          <w:tcPr>
            <w:tcW w:w="1436" w:type="pct"/>
            <w:vAlign w:val="center"/>
          </w:tcPr>
          <w:p w14:paraId="2A1AB111">
            <w:pPr>
              <w:adjustRightInd w:val="0"/>
              <w:snapToGrid w:val="0"/>
              <w:rPr>
                <w:rFonts w:ascii="宋体" w:hAnsi="宋体"/>
                <w:sz w:val="21"/>
                <w:szCs w:val="21"/>
              </w:rPr>
            </w:pPr>
          </w:p>
        </w:tc>
        <w:tc>
          <w:tcPr>
            <w:tcW w:w="598" w:type="pct"/>
            <w:vAlign w:val="center"/>
          </w:tcPr>
          <w:p w14:paraId="5D0794F8">
            <w:pPr>
              <w:adjustRightInd w:val="0"/>
              <w:snapToGrid w:val="0"/>
              <w:rPr>
                <w:rFonts w:ascii="宋体" w:hAnsi="宋体"/>
                <w:sz w:val="21"/>
                <w:szCs w:val="21"/>
              </w:rPr>
            </w:pPr>
          </w:p>
        </w:tc>
        <w:tc>
          <w:tcPr>
            <w:tcW w:w="323" w:type="pct"/>
            <w:vAlign w:val="center"/>
          </w:tcPr>
          <w:p w14:paraId="06EAC5FD">
            <w:pPr>
              <w:adjustRightInd w:val="0"/>
              <w:snapToGrid w:val="0"/>
              <w:rPr>
                <w:rFonts w:ascii="宋体" w:hAnsi="宋体"/>
                <w:sz w:val="21"/>
                <w:szCs w:val="21"/>
              </w:rPr>
            </w:pPr>
          </w:p>
        </w:tc>
        <w:tc>
          <w:tcPr>
            <w:tcW w:w="934" w:type="pct"/>
            <w:vAlign w:val="center"/>
          </w:tcPr>
          <w:p w14:paraId="77BA30DB">
            <w:pPr>
              <w:adjustRightInd w:val="0"/>
              <w:snapToGrid w:val="0"/>
              <w:rPr>
                <w:rFonts w:ascii="宋体" w:hAnsi="宋体"/>
                <w:sz w:val="21"/>
                <w:szCs w:val="21"/>
              </w:rPr>
            </w:pPr>
          </w:p>
        </w:tc>
      </w:tr>
      <w:tr w14:paraId="110B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Align w:val="center"/>
          </w:tcPr>
          <w:p w14:paraId="0D32B613">
            <w:pPr>
              <w:adjustRightInd w:val="0"/>
              <w:snapToGrid w:val="0"/>
              <w:rPr>
                <w:rFonts w:ascii="宋体" w:hAnsi="宋体"/>
                <w:sz w:val="21"/>
                <w:szCs w:val="21"/>
              </w:rPr>
            </w:pPr>
            <w:r>
              <w:rPr>
                <w:rFonts w:hint="eastAsia" w:ascii="宋体" w:hAnsi="宋体"/>
                <w:sz w:val="21"/>
                <w:szCs w:val="21"/>
              </w:rPr>
              <w:t>其他服务</w:t>
            </w:r>
          </w:p>
        </w:tc>
        <w:tc>
          <w:tcPr>
            <w:tcW w:w="1077" w:type="pct"/>
            <w:vAlign w:val="center"/>
          </w:tcPr>
          <w:p w14:paraId="6D7FB218">
            <w:pPr>
              <w:adjustRightInd w:val="0"/>
              <w:snapToGrid w:val="0"/>
              <w:rPr>
                <w:rFonts w:ascii="宋体" w:hAnsi="宋体"/>
                <w:sz w:val="21"/>
                <w:szCs w:val="21"/>
              </w:rPr>
            </w:pPr>
          </w:p>
        </w:tc>
        <w:tc>
          <w:tcPr>
            <w:tcW w:w="1436" w:type="pct"/>
            <w:vAlign w:val="center"/>
          </w:tcPr>
          <w:p w14:paraId="56E02F97">
            <w:pPr>
              <w:adjustRightInd w:val="0"/>
              <w:snapToGrid w:val="0"/>
              <w:rPr>
                <w:rFonts w:ascii="宋体" w:hAnsi="宋体"/>
                <w:sz w:val="21"/>
                <w:szCs w:val="21"/>
              </w:rPr>
            </w:pPr>
          </w:p>
        </w:tc>
        <w:tc>
          <w:tcPr>
            <w:tcW w:w="598" w:type="pct"/>
            <w:vAlign w:val="center"/>
          </w:tcPr>
          <w:p w14:paraId="718E8AD8">
            <w:pPr>
              <w:adjustRightInd w:val="0"/>
              <w:snapToGrid w:val="0"/>
              <w:rPr>
                <w:rFonts w:ascii="宋体" w:hAnsi="宋体"/>
                <w:sz w:val="21"/>
                <w:szCs w:val="21"/>
              </w:rPr>
            </w:pPr>
          </w:p>
        </w:tc>
        <w:tc>
          <w:tcPr>
            <w:tcW w:w="323" w:type="pct"/>
            <w:vAlign w:val="center"/>
          </w:tcPr>
          <w:p w14:paraId="04717C41">
            <w:pPr>
              <w:adjustRightInd w:val="0"/>
              <w:snapToGrid w:val="0"/>
              <w:rPr>
                <w:rFonts w:ascii="宋体" w:hAnsi="宋体"/>
                <w:sz w:val="21"/>
                <w:szCs w:val="21"/>
              </w:rPr>
            </w:pPr>
          </w:p>
        </w:tc>
        <w:tc>
          <w:tcPr>
            <w:tcW w:w="934" w:type="pct"/>
            <w:vAlign w:val="center"/>
          </w:tcPr>
          <w:p w14:paraId="10B87FCA">
            <w:pPr>
              <w:adjustRightInd w:val="0"/>
              <w:snapToGrid w:val="0"/>
              <w:rPr>
                <w:rFonts w:ascii="宋体" w:hAnsi="宋体"/>
                <w:sz w:val="21"/>
                <w:szCs w:val="21"/>
              </w:rPr>
            </w:pPr>
          </w:p>
        </w:tc>
      </w:tr>
    </w:tbl>
    <w:p w14:paraId="017A72E7">
      <w:pPr>
        <w:rPr>
          <w:rFonts w:ascii="宋体" w:hAnsi="宋体"/>
          <w:sz w:val="21"/>
          <w:szCs w:val="21"/>
        </w:rPr>
        <w:sectPr>
          <w:pgSz w:w="11905" w:h="16838"/>
          <w:pgMar w:top="1247" w:right="1247" w:bottom="1247" w:left="1247" w:header="113" w:footer="992" w:gutter="0"/>
          <w:cols w:space="0" w:num="1"/>
          <w:rtlGutter w:val="0"/>
          <w:docGrid w:linePitch="312" w:charSpace="0"/>
        </w:sectPr>
      </w:pPr>
    </w:p>
    <w:p w14:paraId="7031EC59">
      <w:pPr>
        <w:jc w:val="center"/>
        <w:rPr>
          <w:rFonts w:ascii="宋体" w:hAnsi="宋体"/>
          <w:b/>
          <w:bCs/>
          <w:sz w:val="21"/>
          <w:szCs w:val="21"/>
        </w:rPr>
      </w:pPr>
      <w:bookmarkStart w:id="171" w:name="_Toc419045128"/>
      <w:bookmarkStart w:id="172" w:name="_Toc422322559"/>
      <w:r>
        <w:rPr>
          <w:rFonts w:ascii="宋体" w:hAnsi="宋体"/>
          <w:b/>
          <w:bCs/>
          <w:sz w:val="21"/>
          <w:szCs w:val="21"/>
        </w:rPr>
        <w:t>附录</w:t>
      </w:r>
      <w:r>
        <w:rPr>
          <w:rFonts w:hint="eastAsia" w:ascii="宋体" w:hAnsi="宋体"/>
          <w:b/>
          <w:bCs/>
          <w:sz w:val="21"/>
          <w:szCs w:val="21"/>
        </w:rPr>
        <w:t xml:space="preserve">C </w:t>
      </w:r>
      <w:r>
        <w:rPr>
          <w:rFonts w:ascii="宋体" w:hAnsi="宋体"/>
          <w:b/>
          <w:bCs/>
          <w:sz w:val="21"/>
          <w:szCs w:val="21"/>
        </w:rPr>
        <w:t>委托人提供</w:t>
      </w:r>
      <w:r>
        <w:rPr>
          <w:rFonts w:hint="eastAsia" w:ascii="宋体" w:hAnsi="宋体"/>
          <w:b/>
          <w:bCs/>
          <w:sz w:val="21"/>
          <w:szCs w:val="21"/>
        </w:rPr>
        <w:t>资料一览表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4"/>
        <w:gridCol w:w="1015"/>
        <w:gridCol w:w="1793"/>
        <w:gridCol w:w="2505"/>
      </w:tblGrid>
      <w:tr w14:paraId="51F8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4644F8C2">
            <w:pPr>
              <w:rPr>
                <w:rFonts w:ascii="宋体" w:hAnsi="宋体"/>
                <w:sz w:val="21"/>
                <w:szCs w:val="21"/>
              </w:rPr>
            </w:pPr>
            <w:r>
              <w:rPr>
                <w:rFonts w:hint="eastAsia" w:ascii="宋体" w:hAnsi="宋体"/>
                <w:sz w:val="21"/>
                <w:szCs w:val="21"/>
              </w:rPr>
              <w:t>名称</w:t>
            </w:r>
          </w:p>
        </w:tc>
        <w:tc>
          <w:tcPr>
            <w:tcW w:w="527" w:type="pct"/>
          </w:tcPr>
          <w:p w14:paraId="5F081001">
            <w:pPr>
              <w:rPr>
                <w:rFonts w:ascii="宋体" w:hAnsi="宋体"/>
                <w:sz w:val="21"/>
                <w:szCs w:val="21"/>
              </w:rPr>
            </w:pPr>
            <w:r>
              <w:rPr>
                <w:rFonts w:hint="eastAsia" w:ascii="宋体" w:hAnsi="宋体"/>
                <w:sz w:val="21"/>
                <w:szCs w:val="21"/>
              </w:rPr>
              <w:t>份数</w:t>
            </w:r>
          </w:p>
        </w:tc>
        <w:tc>
          <w:tcPr>
            <w:tcW w:w="931" w:type="pct"/>
          </w:tcPr>
          <w:p w14:paraId="535AD4EC">
            <w:pPr>
              <w:rPr>
                <w:rFonts w:ascii="宋体" w:hAnsi="宋体"/>
                <w:sz w:val="21"/>
                <w:szCs w:val="21"/>
              </w:rPr>
            </w:pPr>
            <w:r>
              <w:rPr>
                <w:rFonts w:hint="eastAsia" w:ascii="宋体" w:hAnsi="宋体"/>
                <w:sz w:val="21"/>
                <w:szCs w:val="21"/>
              </w:rPr>
              <w:t>提供时间</w:t>
            </w:r>
          </w:p>
        </w:tc>
        <w:tc>
          <w:tcPr>
            <w:tcW w:w="1301" w:type="pct"/>
          </w:tcPr>
          <w:p w14:paraId="5EA7446A">
            <w:pPr>
              <w:rPr>
                <w:rFonts w:ascii="宋体" w:hAnsi="宋体"/>
                <w:sz w:val="21"/>
                <w:szCs w:val="21"/>
              </w:rPr>
            </w:pPr>
            <w:r>
              <w:rPr>
                <w:rFonts w:hint="eastAsia" w:ascii="宋体" w:hAnsi="宋体"/>
                <w:sz w:val="21"/>
                <w:szCs w:val="21"/>
              </w:rPr>
              <w:t>备注</w:t>
            </w:r>
          </w:p>
        </w:tc>
      </w:tr>
      <w:tr w14:paraId="1D7E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443FA964">
            <w:pPr>
              <w:rPr>
                <w:rFonts w:ascii="宋体" w:hAnsi="宋体"/>
                <w:sz w:val="21"/>
                <w:szCs w:val="21"/>
              </w:rPr>
            </w:pPr>
          </w:p>
        </w:tc>
        <w:tc>
          <w:tcPr>
            <w:tcW w:w="527" w:type="pct"/>
          </w:tcPr>
          <w:p w14:paraId="59523565">
            <w:pPr>
              <w:rPr>
                <w:rFonts w:ascii="宋体" w:hAnsi="宋体"/>
                <w:sz w:val="21"/>
                <w:szCs w:val="21"/>
              </w:rPr>
            </w:pPr>
          </w:p>
        </w:tc>
        <w:tc>
          <w:tcPr>
            <w:tcW w:w="931" w:type="pct"/>
          </w:tcPr>
          <w:p w14:paraId="41D75C40">
            <w:pPr>
              <w:rPr>
                <w:rFonts w:ascii="宋体" w:hAnsi="宋体"/>
                <w:sz w:val="21"/>
                <w:szCs w:val="21"/>
              </w:rPr>
            </w:pPr>
          </w:p>
        </w:tc>
        <w:tc>
          <w:tcPr>
            <w:tcW w:w="1301" w:type="pct"/>
          </w:tcPr>
          <w:p w14:paraId="7DFAE70D">
            <w:pPr>
              <w:rPr>
                <w:rFonts w:ascii="宋体" w:hAnsi="宋体"/>
                <w:sz w:val="21"/>
                <w:szCs w:val="21"/>
              </w:rPr>
            </w:pPr>
          </w:p>
        </w:tc>
      </w:tr>
      <w:tr w14:paraId="7650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26C42278">
            <w:pPr>
              <w:rPr>
                <w:rFonts w:ascii="宋体" w:hAnsi="宋体"/>
                <w:sz w:val="21"/>
                <w:szCs w:val="21"/>
              </w:rPr>
            </w:pPr>
          </w:p>
        </w:tc>
        <w:tc>
          <w:tcPr>
            <w:tcW w:w="527" w:type="pct"/>
          </w:tcPr>
          <w:p w14:paraId="4D6B0FE3">
            <w:pPr>
              <w:rPr>
                <w:rFonts w:ascii="宋体" w:hAnsi="宋体"/>
                <w:sz w:val="21"/>
                <w:szCs w:val="21"/>
              </w:rPr>
            </w:pPr>
          </w:p>
        </w:tc>
        <w:tc>
          <w:tcPr>
            <w:tcW w:w="931" w:type="pct"/>
          </w:tcPr>
          <w:p w14:paraId="1F4D5D72">
            <w:pPr>
              <w:rPr>
                <w:rFonts w:ascii="宋体" w:hAnsi="宋体"/>
                <w:sz w:val="21"/>
                <w:szCs w:val="21"/>
              </w:rPr>
            </w:pPr>
          </w:p>
        </w:tc>
        <w:tc>
          <w:tcPr>
            <w:tcW w:w="1301" w:type="pct"/>
          </w:tcPr>
          <w:p w14:paraId="76069A0E">
            <w:pPr>
              <w:rPr>
                <w:rFonts w:ascii="宋体" w:hAnsi="宋体"/>
                <w:sz w:val="21"/>
                <w:szCs w:val="21"/>
              </w:rPr>
            </w:pPr>
          </w:p>
        </w:tc>
      </w:tr>
      <w:tr w14:paraId="7637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1BC9830D">
            <w:pPr>
              <w:rPr>
                <w:rFonts w:ascii="宋体" w:hAnsi="宋体"/>
                <w:sz w:val="21"/>
                <w:szCs w:val="21"/>
              </w:rPr>
            </w:pPr>
          </w:p>
        </w:tc>
        <w:tc>
          <w:tcPr>
            <w:tcW w:w="527" w:type="pct"/>
          </w:tcPr>
          <w:p w14:paraId="1CB53B1A">
            <w:pPr>
              <w:rPr>
                <w:rFonts w:ascii="宋体" w:hAnsi="宋体"/>
                <w:sz w:val="21"/>
                <w:szCs w:val="21"/>
              </w:rPr>
            </w:pPr>
          </w:p>
        </w:tc>
        <w:tc>
          <w:tcPr>
            <w:tcW w:w="931" w:type="pct"/>
          </w:tcPr>
          <w:p w14:paraId="6FA922D1">
            <w:pPr>
              <w:rPr>
                <w:rFonts w:ascii="宋体" w:hAnsi="宋体"/>
                <w:sz w:val="21"/>
                <w:szCs w:val="21"/>
              </w:rPr>
            </w:pPr>
          </w:p>
        </w:tc>
        <w:tc>
          <w:tcPr>
            <w:tcW w:w="1301" w:type="pct"/>
          </w:tcPr>
          <w:p w14:paraId="46A9ABFA">
            <w:pPr>
              <w:rPr>
                <w:rFonts w:ascii="宋体" w:hAnsi="宋体"/>
                <w:sz w:val="21"/>
                <w:szCs w:val="21"/>
              </w:rPr>
            </w:pPr>
          </w:p>
        </w:tc>
      </w:tr>
      <w:tr w14:paraId="79A1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4A361BDF">
            <w:pPr>
              <w:rPr>
                <w:rFonts w:ascii="宋体" w:hAnsi="宋体"/>
                <w:sz w:val="21"/>
                <w:szCs w:val="21"/>
              </w:rPr>
            </w:pPr>
          </w:p>
        </w:tc>
        <w:tc>
          <w:tcPr>
            <w:tcW w:w="527" w:type="pct"/>
          </w:tcPr>
          <w:p w14:paraId="18D829BC">
            <w:pPr>
              <w:rPr>
                <w:rFonts w:ascii="宋体" w:hAnsi="宋体"/>
                <w:sz w:val="21"/>
                <w:szCs w:val="21"/>
              </w:rPr>
            </w:pPr>
          </w:p>
        </w:tc>
        <w:tc>
          <w:tcPr>
            <w:tcW w:w="931" w:type="pct"/>
          </w:tcPr>
          <w:p w14:paraId="37C5BE1B">
            <w:pPr>
              <w:rPr>
                <w:rFonts w:ascii="宋体" w:hAnsi="宋体"/>
                <w:sz w:val="21"/>
                <w:szCs w:val="21"/>
              </w:rPr>
            </w:pPr>
          </w:p>
        </w:tc>
        <w:tc>
          <w:tcPr>
            <w:tcW w:w="1301" w:type="pct"/>
          </w:tcPr>
          <w:p w14:paraId="381ADD1D">
            <w:pPr>
              <w:rPr>
                <w:rFonts w:ascii="宋体" w:hAnsi="宋体"/>
                <w:sz w:val="21"/>
                <w:szCs w:val="21"/>
              </w:rPr>
            </w:pPr>
          </w:p>
        </w:tc>
      </w:tr>
      <w:tr w14:paraId="78C1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406EE16C">
            <w:pPr>
              <w:rPr>
                <w:rFonts w:ascii="宋体" w:hAnsi="宋体"/>
                <w:sz w:val="21"/>
                <w:szCs w:val="21"/>
              </w:rPr>
            </w:pPr>
          </w:p>
        </w:tc>
        <w:tc>
          <w:tcPr>
            <w:tcW w:w="527" w:type="pct"/>
          </w:tcPr>
          <w:p w14:paraId="78CABE94">
            <w:pPr>
              <w:rPr>
                <w:rFonts w:ascii="宋体" w:hAnsi="宋体"/>
                <w:sz w:val="21"/>
                <w:szCs w:val="21"/>
              </w:rPr>
            </w:pPr>
          </w:p>
        </w:tc>
        <w:tc>
          <w:tcPr>
            <w:tcW w:w="931" w:type="pct"/>
          </w:tcPr>
          <w:p w14:paraId="14FE2582">
            <w:pPr>
              <w:rPr>
                <w:rFonts w:ascii="宋体" w:hAnsi="宋体"/>
                <w:sz w:val="21"/>
                <w:szCs w:val="21"/>
              </w:rPr>
            </w:pPr>
          </w:p>
        </w:tc>
        <w:tc>
          <w:tcPr>
            <w:tcW w:w="1301" w:type="pct"/>
          </w:tcPr>
          <w:p w14:paraId="74F1BBDF">
            <w:pPr>
              <w:rPr>
                <w:rFonts w:ascii="宋体" w:hAnsi="宋体"/>
                <w:sz w:val="21"/>
                <w:szCs w:val="21"/>
              </w:rPr>
            </w:pPr>
          </w:p>
        </w:tc>
      </w:tr>
      <w:tr w14:paraId="28BA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2D2A5C3E">
            <w:pPr>
              <w:rPr>
                <w:rFonts w:ascii="宋体" w:hAnsi="宋体"/>
                <w:sz w:val="21"/>
                <w:szCs w:val="21"/>
              </w:rPr>
            </w:pPr>
          </w:p>
        </w:tc>
        <w:tc>
          <w:tcPr>
            <w:tcW w:w="527" w:type="pct"/>
          </w:tcPr>
          <w:p w14:paraId="4D21862C">
            <w:pPr>
              <w:rPr>
                <w:rFonts w:ascii="宋体" w:hAnsi="宋体"/>
                <w:sz w:val="21"/>
                <w:szCs w:val="21"/>
              </w:rPr>
            </w:pPr>
          </w:p>
        </w:tc>
        <w:tc>
          <w:tcPr>
            <w:tcW w:w="931" w:type="pct"/>
          </w:tcPr>
          <w:p w14:paraId="1A25230C">
            <w:pPr>
              <w:rPr>
                <w:rFonts w:ascii="宋体" w:hAnsi="宋体"/>
                <w:sz w:val="21"/>
                <w:szCs w:val="21"/>
              </w:rPr>
            </w:pPr>
          </w:p>
        </w:tc>
        <w:tc>
          <w:tcPr>
            <w:tcW w:w="1301" w:type="pct"/>
          </w:tcPr>
          <w:p w14:paraId="1DBE4DC4">
            <w:pPr>
              <w:rPr>
                <w:rFonts w:ascii="宋体" w:hAnsi="宋体"/>
                <w:sz w:val="21"/>
                <w:szCs w:val="21"/>
              </w:rPr>
            </w:pPr>
          </w:p>
        </w:tc>
      </w:tr>
      <w:tr w14:paraId="43EF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067E2B72">
            <w:pPr>
              <w:rPr>
                <w:rFonts w:ascii="宋体" w:hAnsi="宋体"/>
                <w:sz w:val="21"/>
                <w:szCs w:val="21"/>
              </w:rPr>
            </w:pPr>
          </w:p>
        </w:tc>
        <w:tc>
          <w:tcPr>
            <w:tcW w:w="527" w:type="pct"/>
          </w:tcPr>
          <w:p w14:paraId="31555BD4">
            <w:pPr>
              <w:rPr>
                <w:rFonts w:ascii="宋体" w:hAnsi="宋体"/>
                <w:sz w:val="21"/>
                <w:szCs w:val="21"/>
              </w:rPr>
            </w:pPr>
          </w:p>
        </w:tc>
        <w:tc>
          <w:tcPr>
            <w:tcW w:w="931" w:type="pct"/>
          </w:tcPr>
          <w:p w14:paraId="32B09C53">
            <w:pPr>
              <w:rPr>
                <w:rFonts w:ascii="宋体" w:hAnsi="宋体"/>
                <w:sz w:val="21"/>
                <w:szCs w:val="21"/>
              </w:rPr>
            </w:pPr>
          </w:p>
        </w:tc>
        <w:tc>
          <w:tcPr>
            <w:tcW w:w="1301" w:type="pct"/>
          </w:tcPr>
          <w:p w14:paraId="3C69DA7E">
            <w:pPr>
              <w:rPr>
                <w:rFonts w:ascii="宋体" w:hAnsi="宋体"/>
                <w:sz w:val="21"/>
                <w:szCs w:val="21"/>
              </w:rPr>
            </w:pPr>
          </w:p>
        </w:tc>
      </w:tr>
      <w:tr w14:paraId="6C40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6733696E">
            <w:pPr>
              <w:rPr>
                <w:rFonts w:ascii="宋体" w:hAnsi="宋体"/>
                <w:sz w:val="21"/>
                <w:szCs w:val="21"/>
              </w:rPr>
            </w:pPr>
          </w:p>
        </w:tc>
        <w:tc>
          <w:tcPr>
            <w:tcW w:w="527" w:type="pct"/>
          </w:tcPr>
          <w:p w14:paraId="3A607F25">
            <w:pPr>
              <w:rPr>
                <w:rFonts w:ascii="宋体" w:hAnsi="宋体"/>
                <w:sz w:val="21"/>
                <w:szCs w:val="21"/>
              </w:rPr>
            </w:pPr>
          </w:p>
        </w:tc>
        <w:tc>
          <w:tcPr>
            <w:tcW w:w="931" w:type="pct"/>
          </w:tcPr>
          <w:p w14:paraId="22FA94A5">
            <w:pPr>
              <w:rPr>
                <w:rFonts w:ascii="宋体" w:hAnsi="宋体"/>
                <w:sz w:val="21"/>
                <w:szCs w:val="21"/>
              </w:rPr>
            </w:pPr>
          </w:p>
        </w:tc>
        <w:tc>
          <w:tcPr>
            <w:tcW w:w="1301" w:type="pct"/>
          </w:tcPr>
          <w:p w14:paraId="02254E7E">
            <w:pPr>
              <w:rPr>
                <w:rFonts w:ascii="宋体" w:hAnsi="宋体"/>
                <w:sz w:val="21"/>
                <w:szCs w:val="21"/>
              </w:rPr>
            </w:pPr>
          </w:p>
        </w:tc>
      </w:tr>
      <w:tr w14:paraId="0A2A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1311D678">
            <w:pPr>
              <w:rPr>
                <w:rFonts w:ascii="宋体" w:hAnsi="宋体"/>
                <w:sz w:val="21"/>
                <w:szCs w:val="21"/>
              </w:rPr>
            </w:pPr>
          </w:p>
        </w:tc>
        <w:tc>
          <w:tcPr>
            <w:tcW w:w="527" w:type="pct"/>
          </w:tcPr>
          <w:p w14:paraId="2E5D705E">
            <w:pPr>
              <w:rPr>
                <w:rFonts w:ascii="宋体" w:hAnsi="宋体"/>
                <w:sz w:val="21"/>
                <w:szCs w:val="21"/>
              </w:rPr>
            </w:pPr>
          </w:p>
        </w:tc>
        <w:tc>
          <w:tcPr>
            <w:tcW w:w="931" w:type="pct"/>
          </w:tcPr>
          <w:p w14:paraId="51AC9785">
            <w:pPr>
              <w:rPr>
                <w:rFonts w:ascii="宋体" w:hAnsi="宋体"/>
                <w:sz w:val="21"/>
                <w:szCs w:val="21"/>
              </w:rPr>
            </w:pPr>
          </w:p>
        </w:tc>
        <w:tc>
          <w:tcPr>
            <w:tcW w:w="1301" w:type="pct"/>
          </w:tcPr>
          <w:p w14:paraId="653DAD32">
            <w:pPr>
              <w:rPr>
                <w:rFonts w:ascii="宋体" w:hAnsi="宋体"/>
                <w:sz w:val="21"/>
                <w:szCs w:val="21"/>
              </w:rPr>
            </w:pPr>
          </w:p>
        </w:tc>
      </w:tr>
      <w:tr w14:paraId="340D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10619CA2">
            <w:pPr>
              <w:rPr>
                <w:rFonts w:ascii="宋体" w:hAnsi="宋体"/>
                <w:sz w:val="21"/>
                <w:szCs w:val="21"/>
              </w:rPr>
            </w:pPr>
          </w:p>
        </w:tc>
        <w:tc>
          <w:tcPr>
            <w:tcW w:w="527" w:type="pct"/>
          </w:tcPr>
          <w:p w14:paraId="0BC2A68E">
            <w:pPr>
              <w:rPr>
                <w:rFonts w:ascii="宋体" w:hAnsi="宋体"/>
                <w:sz w:val="21"/>
                <w:szCs w:val="21"/>
              </w:rPr>
            </w:pPr>
          </w:p>
        </w:tc>
        <w:tc>
          <w:tcPr>
            <w:tcW w:w="931" w:type="pct"/>
          </w:tcPr>
          <w:p w14:paraId="457C55CD">
            <w:pPr>
              <w:rPr>
                <w:rFonts w:ascii="宋体" w:hAnsi="宋体"/>
                <w:sz w:val="21"/>
                <w:szCs w:val="21"/>
              </w:rPr>
            </w:pPr>
          </w:p>
        </w:tc>
        <w:tc>
          <w:tcPr>
            <w:tcW w:w="1301" w:type="pct"/>
          </w:tcPr>
          <w:p w14:paraId="4DF46680">
            <w:pPr>
              <w:rPr>
                <w:rFonts w:ascii="宋体" w:hAnsi="宋体"/>
                <w:sz w:val="21"/>
                <w:szCs w:val="21"/>
              </w:rPr>
            </w:pPr>
          </w:p>
        </w:tc>
      </w:tr>
      <w:tr w14:paraId="4660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738C6B61">
            <w:pPr>
              <w:rPr>
                <w:rFonts w:ascii="宋体" w:hAnsi="宋体"/>
                <w:sz w:val="21"/>
                <w:szCs w:val="21"/>
              </w:rPr>
            </w:pPr>
          </w:p>
        </w:tc>
        <w:tc>
          <w:tcPr>
            <w:tcW w:w="527" w:type="pct"/>
          </w:tcPr>
          <w:p w14:paraId="6D00697D">
            <w:pPr>
              <w:rPr>
                <w:rFonts w:ascii="宋体" w:hAnsi="宋体"/>
                <w:sz w:val="21"/>
                <w:szCs w:val="21"/>
              </w:rPr>
            </w:pPr>
          </w:p>
        </w:tc>
        <w:tc>
          <w:tcPr>
            <w:tcW w:w="931" w:type="pct"/>
          </w:tcPr>
          <w:p w14:paraId="43DBC6FD">
            <w:pPr>
              <w:rPr>
                <w:rFonts w:ascii="宋体" w:hAnsi="宋体"/>
                <w:sz w:val="21"/>
                <w:szCs w:val="21"/>
              </w:rPr>
            </w:pPr>
          </w:p>
        </w:tc>
        <w:tc>
          <w:tcPr>
            <w:tcW w:w="1301" w:type="pct"/>
          </w:tcPr>
          <w:p w14:paraId="616DA502">
            <w:pPr>
              <w:rPr>
                <w:rFonts w:ascii="宋体" w:hAnsi="宋体"/>
                <w:sz w:val="21"/>
                <w:szCs w:val="21"/>
              </w:rPr>
            </w:pPr>
          </w:p>
        </w:tc>
      </w:tr>
      <w:tr w14:paraId="497A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74AD8B35">
            <w:pPr>
              <w:rPr>
                <w:rFonts w:ascii="宋体" w:hAnsi="宋体"/>
                <w:sz w:val="21"/>
                <w:szCs w:val="21"/>
              </w:rPr>
            </w:pPr>
          </w:p>
        </w:tc>
        <w:tc>
          <w:tcPr>
            <w:tcW w:w="527" w:type="pct"/>
          </w:tcPr>
          <w:p w14:paraId="40C271E1">
            <w:pPr>
              <w:rPr>
                <w:rFonts w:ascii="宋体" w:hAnsi="宋体"/>
                <w:sz w:val="21"/>
                <w:szCs w:val="21"/>
              </w:rPr>
            </w:pPr>
          </w:p>
        </w:tc>
        <w:tc>
          <w:tcPr>
            <w:tcW w:w="931" w:type="pct"/>
          </w:tcPr>
          <w:p w14:paraId="7E97A7DD">
            <w:pPr>
              <w:rPr>
                <w:rFonts w:ascii="宋体" w:hAnsi="宋体"/>
                <w:sz w:val="21"/>
                <w:szCs w:val="21"/>
              </w:rPr>
            </w:pPr>
          </w:p>
        </w:tc>
        <w:tc>
          <w:tcPr>
            <w:tcW w:w="1301" w:type="pct"/>
          </w:tcPr>
          <w:p w14:paraId="1B0FD567">
            <w:pPr>
              <w:rPr>
                <w:rFonts w:ascii="宋体" w:hAnsi="宋体"/>
                <w:sz w:val="21"/>
                <w:szCs w:val="21"/>
              </w:rPr>
            </w:pPr>
          </w:p>
        </w:tc>
      </w:tr>
      <w:tr w14:paraId="5EFA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7FFF8D5F">
            <w:pPr>
              <w:rPr>
                <w:rFonts w:ascii="宋体" w:hAnsi="宋体"/>
                <w:sz w:val="21"/>
                <w:szCs w:val="21"/>
              </w:rPr>
            </w:pPr>
          </w:p>
        </w:tc>
        <w:tc>
          <w:tcPr>
            <w:tcW w:w="527" w:type="pct"/>
          </w:tcPr>
          <w:p w14:paraId="09DF7711">
            <w:pPr>
              <w:rPr>
                <w:rFonts w:ascii="宋体" w:hAnsi="宋体"/>
                <w:sz w:val="21"/>
                <w:szCs w:val="21"/>
              </w:rPr>
            </w:pPr>
          </w:p>
        </w:tc>
        <w:tc>
          <w:tcPr>
            <w:tcW w:w="931" w:type="pct"/>
          </w:tcPr>
          <w:p w14:paraId="5CE77CE6">
            <w:pPr>
              <w:rPr>
                <w:rFonts w:ascii="宋体" w:hAnsi="宋体"/>
                <w:sz w:val="21"/>
                <w:szCs w:val="21"/>
              </w:rPr>
            </w:pPr>
          </w:p>
        </w:tc>
        <w:tc>
          <w:tcPr>
            <w:tcW w:w="1301" w:type="pct"/>
          </w:tcPr>
          <w:p w14:paraId="37AF6676">
            <w:pPr>
              <w:rPr>
                <w:rFonts w:ascii="宋体" w:hAnsi="宋体"/>
                <w:sz w:val="21"/>
                <w:szCs w:val="21"/>
              </w:rPr>
            </w:pPr>
          </w:p>
        </w:tc>
      </w:tr>
      <w:tr w14:paraId="461D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4D1B7EF2">
            <w:pPr>
              <w:rPr>
                <w:rFonts w:ascii="宋体" w:hAnsi="宋体"/>
                <w:sz w:val="21"/>
                <w:szCs w:val="21"/>
              </w:rPr>
            </w:pPr>
          </w:p>
        </w:tc>
        <w:tc>
          <w:tcPr>
            <w:tcW w:w="527" w:type="pct"/>
          </w:tcPr>
          <w:p w14:paraId="32E1DF1C">
            <w:pPr>
              <w:rPr>
                <w:rFonts w:ascii="宋体" w:hAnsi="宋体"/>
                <w:sz w:val="21"/>
                <w:szCs w:val="21"/>
              </w:rPr>
            </w:pPr>
          </w:p>
        </w:tc>
        <w:tc>
          <w:tcPr>
            <w:tcW w:w="931" w:type="pct"/>
          </w:tcPr>
          <w:p w14:paraId="1E38FCCE">
            <w:pPr>
              <w:rPr>
                <w:rFonts w:ascii="宋体" w:hAnsi="宋体"/>
                <w:sz w:val="21"/>
                <w:szCs w:val="21"/>
              </w:rPr>
            </w:pPr>
          </w:p>
        </w:tc>
        <w:tc>
          <w:tcPr>
            <w:tcW w:w="1301" w:type="pct"/>
          </w:tcPr>
          <w:p w14:paraId="0B473731">
            <w:pPr>
              <w:rPr>
                <w:rFonts w:ascii="宋体" w:hAnsi="宋体"/>
                <w:sz w:val="21"/>
                <w:szCs w:val="21"/>
              </w:rPr>
            </w:pPr>
          </w:p>
        </w:tc>
      </w:tr>
      <w:tr w14:paraId="2CDF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630DBD62">
            <w:pPr>
              <w:rPr>
                <w:rFonts w:ascii="宋体" w:hAnsi="宋体"/>
                <w:sz w:val="21"/>
                <w:szCs w:val="21"/>
              </w:rPr>
            </w:pPr>
          </w:p>
        </w:tc>
        <w:tc>
          <w:tcPr>
            <w:tcW w:w="527" w:type="pct"/>
          </w:tcPr>
          <w:p w14:paraId="2127567C">
            <w:pPr>
              <w:rPr>
                <w:rFonts w:ascii="宋体" w:hAnsi="宋体"/>
                <w:sz w:val="21"/>
                <w:szCs w:val="21"/>
              </w:rPr>
            </w:pPr>
          </w:p>
        </w:tc>
        <w:tc>
          <w:tcPr>
            <w:tcW w:w="931" w:type="pct"/>
          </w:tcPr>
          <w:p w14:paraId="7D2D8C83">
            <w:pPr>
              <w:rPr>
                <w:rFonts w:ascii="宋体" w:hAnsi="宋体"/>
                <w:sz w:val="21"/>
                <w:szCs w:val="21"/>
              </w:rPr>
            </w:pPr>
          </w:p>
        </w:tc>
        <w:tc>
          <w:tcPr>
            <w:tcW w:w="1301" w:type="pct"/>
          </w:tcPr>
          <w:p w14:paraId="57748A01">
            <w:pPr>
              <w:rPr>
                <w:rFonts w:ascii="宋体" w:hAnsi="宋体"/>
                <w:sz w:val="21"/>
                <w:szCs w:val="21"/>
              </w:rPr>
            </w:pPr>
          </w:p>
        </w:tc>
      </w:tr>
      <w:tr w14:paraId="69E2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097A5C2F">
            <w:pPr>
              <w:rPr>
                <w:rFonts w:ascii="宋体" w:hAnsi="宋体"/>
                <w:sz w:val="21"/>
                <w:szCs w:val="21"/>
              </w:rPr>
            </w:pPr>
          </w:p>
        </w:tc>
        <w:tc>
          <w:tcPr>
            <w:tcW w:w="527" w:type="pct"/>
          </w:tcPr>
          <w:p w14:paraId="362F2D66">
            <w:pPr>
              <w:rPr>
                <w:rFonts w:ascii="宋体" w:hAnsi="宋体"/>
                <w:sz w:val="21"/>
                <w:szCs w:val="21"/>
              </w:rPr>
            </w:pPr>
          </w:p>
        </w:tc>
        <w:tc>
          <w:tcPr>
            <w:tcW w:w="931" w:type="pct"/>
          </w:tcPr>
          <w:p w14:paraId="4AED6FFB">
            <w:pPr>
              <w:rPr>
                <w:rFonts w:ascii="宋体" w:hAnsi="宋体"/>
                <w:sz w:val="21"/>
                <w:szCs w:val="21"/>
              </w:rPr>
            </w:pPr>
          </w:p>
        </w:tc>
        <w:tc>
          <w:tcPr>
            <w:tcW w:w="1301" w:type="pct"/>
          </w:tcPr>
          <w:p w14:paraId="11EDC66E">
            <w:pPr>
              <w:rPr>
                <w:rFonts w:ascii="宋体" w:hAnsi="宋体"/>
                <w:sz w:val="21"/>
                <w:szCs w:val="21"/>
              </w:rPr>
            </w:pPr>
          </w:p>
        </w:tc>
      </w:tr>
      <w:tr w14:paraId="496A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22F4BED6">
            <w:pPr>
              <w:rPr>
                <w:rFonts w:ascii="宋体" w:hAnsi="宋体"/>
                <w:sz w:val="21"/>
                <w:szCs w:val="21"/>
              </w:rPr>
            </w:pPr>
          </w:p>
        </w:tc>
        <w:tc>
          <w:tcPr>
            <w:tcW w:w="527" w:type="pct"/>
          </w:tcPr>
          <w:p w14:paraId="2249D3FD">
            <w:pPr>
              <w:rPr>
                <w:rFonts w:ascii="宋体" w:hAnsi="宋体"/>
                <w:sz w:val="21"/>
                <w:szCs w:val="21"/>
              </w:rPr>
            </w:pPr>
          </w:p>
        </w:tc>
        <w:tc>
          <w:tcPr>
            <w:tcW w:w="931" w:type="pct"/>
          </w:tcPr>
          <w:p w14:paraId="055645E3">
            <w:pPr>
              <w:rPr>
                <w:rFonts w:ascii="宋体" w:hAnsi="宋体"/>
                <w:sz w:val="21"/>
                <w:szCs w:val="21"/>
              </w:rPr>
            </w:pPr>
          </w:p>
        </w:tc>
        <w:tc>
          <w:tcPr>
            <w:tcW w:w="1301" w:type="pct"/>
          </w:tcPr>
          <w:p w14:paraId="59C3D90D">
            <w:pPr>
              <w:rPr>
                <w:rFonts w:ascii="宋体" w:hAnsi="宋体"/>
                <w:sz w:val="21"/>
                <w:szCs w:val="21"/>
              </w:rPr>
            </w:pPr>
          </w:p>
        </w:tc>
      </w:tr>
      <w:tr w14:paraId="52D7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19D92D97">
            <w:pPr>
              <w:rPr>
                <w:rFonts w:ascii="宋体" w:hAnsi="宋体"/>
                <w:sz w:val="21"/>
                <w:szCs w:val="21"/>
              </w:rPr>
            </w:pPr>
          </w:p>
        </w:tc>
        <w:tc>
          <w:tcPr>
            <w:tcW w:w="527" w:type="pct"/>
          </w:tcPr>
          <w:p w14:paraId="3BB6CBE7">
            <w:pPr>
              <w:rPr>
                <w:rFonts w:ascii="宋体" w:hAnsi="宋体"/>
                <w:sz w:val="21"/>
                <w:szCs w:val="21"/>
              </w:rPr>
            </w:pPr>
          </w:p>
        </w:tc>
        <w:tc>
          <w:tcPr>
            <w:tcW w:w="931" w:type="pct"/>
          </w:tcPr>
          <w:p w14:paraId="6EB932C9">
            <w:pPr>
              <w:rPr>
                <w:rFonts w:ascii="宋体" w:hAnsi="宋体"/>
                <w:sz w:val="21"/>
                <w:szCs w:val="21"/>
              </w:rPr>
            </w:pPr>
          </w:p>
        </w:tc>
        <w:tc>
          <w:tcPr>
            <w:tcW w:w="1301" w:type="pct"/>
          </w:tcPr>
          <w:p w14:paraId="51DE2900">
            <w:pPr>
              <w:rPr>
                <w:rFonts w:ascii="宋体" w:hAnsi="宋体"/>
                <w:sz w:val="21"/>
                <w:szCs w:val="21"/>
              </w:rPr>
            </w:pPr>
          </w:p>
        </w:tc>
      </w:tr>
      <w:tr w14:paraId="482F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3DAF2284">
            <w:pPr>
              <w:rPr>
                <w:rFonts w:ascii="宋体" w:hAnsi="宋体"/>
                <w:sz w:val="21"/>
                <w:szCs w:val="21"/>
              </w:rPr>
            </w:pPr>
          </w:p>
        </w:tc>
        <w:tc>
          <w:tcPr>
            <w:tcW w:w="527" w:type="pct"/>
          </w:tcPr>
          <w:p w14:paraId="02CBE46B">
            <w:pPr>
              <w:rPr>
                <w:rFonts w:ascii="宋体" w:hAnsi="宋体"/>
                <w:sz w:val="21"/>
                <w:szCs w:val="21"/>
              </w:rPr>
            </w:pPr>
          </w:p>
        </w:tc>
        <w:tc>
          <w:tcPr>
            <w:tcW w:w="931" w:type="pct"/>
          </w:tcPr>
          <w:p w14:paraId="630694C4">
            <w:pPr>
              <w:rPr>
                <w:rFonts w:ascii="宋体" w:hAnsi="宋体"/>
                <w:sz w:val="21"/>
                <w:szCs w:val="21"/>
              </w:rPr>
            </w:pPr>
          </w:p>
        </w:tc>
        <w:tc>
          <w:tcPr>
            <w:tcW w:w="1301" w:type="pct"/>
          </w:tcPr>
          <w:p w14:paraId="0E861061">
            <w:pPr>
              <w:rPr>
                <w:rFonts w:ascii="宋体" w:hAnsi="宋体"/>
                <w:sz w:val="21"/>
                <w:szCs w:val="21"/>
              </w:rPr>
            </w:pPr>
          </w:p>
        </w:tc>
      </w:tr>
      <w:bookmarkEnd w:id="171"/>
      <w:bookmarkEnd w:id="172"/>
    </w:tbl>
    <w:p w14:paraId="51778999">
      <w:pPr>
        <w:rPr>
          <w:rFonts w:ascii="宋体" w:hAnsi="宋体"/>
          <w:sz w:val="21"/>
          <w:szCs w:val="21"/>
        </w:rPr>
      </w:pPr>
      <w:bookmarkStart w:id="173" w:name="_Toc422322560"/>
      <w:bookmarkStart w:id="174" w:name="_Toc419045129"/>
    </w:p>
    <w:p w14:paraId="71E6958F">
      <w:pPr>
        <w:rPr>
          <w:rFonts w:ascii="宋体" w:hAnsi="宋体"/>
          <w:sz w:val="21"/>
          <w:szCs w:val="21"/>
        </w:rPr>
      </w:pPr>
      <w:r>
        <w:rPr>
          <w:rFonts w:ascii="宋体" w:hAnsi="宋体"/>
          <w:sz w:val="21"/>
          <w:szCs w:val="21"/>
        </w:rPr>
        <w:br w:type="page"/>
      </w:r>
    </w:p>
    <w:p w14:paraId="36048D21">
      <w:pPr>
        <w:jc w:val="center"/>
        <w:rPr>
          <w:rFonts w:ascii="宋体" w:hAnsi="宋体"/>
          <w:b/>
          <w:bCs/>
          <w:sz w:val="21"/>
          <w:szCs w:val="21"/>
        </w:rPr>
      </w:pPr>
      <w:r>
        <w:rPr>
          <w:rFonts w:hint="eastAsia" w:ascii="宋体" w:hAnsi="宋体"/>
          <w:b/>
          <w:bCs/>
          <w:sz w:val="21"/>
          <w:szCs w:val="21"/>
        </w:rPr>
        <w:t xml:space="preserve">附录D </w:t>
      </w:r>
      <w:r>
        <w:rPr>
          <w:rFonts w:ascii="宋体" w:hAnsi="宋体"/>
          <w:b/>
          <w:bCs/>
          <w:sz w:val="21"/>
          <w:szCs w:val="21"/>
        </w:rPr>
        <w:t>委托人提供房屋</w:t>
      </w:r>
      <w:r>
        <w:rPr>
          <w:rFonts w:hint="eastAsia" w:ascii="宋体" w:hAnsi="宋体"/>
          <w:b/>
          <w:bCs/>
          <w:sz w:val="21"/>
          <w:szCs w:val="21"/>
        </w:rPr>
        <w:t>及设备一览表</w:t>
      </w:r>
      <w:bookmarkEnd w:id="173"/>
      <w:bookmarkEnd w:id="174"/>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1094"/>
        <w:gridCol w:w="2922"/>
        <w:gridCol w:w="2267"/>
      </w:tblGrid>
      <w:tr w14:paraId="496E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67A70054">
            <w:pPr>
              <w:rPr>
                <w:rFonts w:ascii="宋体" w:hAnsi="宋体"/>
                <w:sz w:val="21"/>
                <w:szCs w:val="21"/>
              </w:rPr>
            </w:pPr>
            <w:r>
              <w:rPr>
                <w:rFonts w:hint="eastAsia" w:ascii="宋体" w:hAnsi="宋体"/>
                <w:sz w:val="21"/>
                <w:szCs w:val="21"/>
              </w:rPr>
              <w:t>名称</w:t>
            </w:r>
          </w:p>
        </w:tc>
        <w:tc>
          <w:tcPr>
            <w:tcW w:w="568" w:type="pct"/>
          </w:tcPr>
          <w:p w14:paraId="0CC49273">
            <w:pPr>
              <w:rPr>
                <w:rFonts w:ascii="宋体" w:hAnsi="宋体"/>
                <w:sz w:val="21"/>
                <w:szCs w:val="21"/>
              </w:rPr>
            </w:pPr>
            <w:r>
              <w:rPr>
                <w:rFonts w:hint="eastAsia" w:ascii="宋体" w:hAnsi="宋体"/>
                <w:sz w:val="21"/>
                <w:szCs w:val="21"/>
              </w:rPr>
              <w:t>数量</w:t>
            </w:r>
          </w:p>
        </w:tc>
        <w:tc>
          <w:tcPr>
            <w:tcW w:w="1517" w:type="pct"/>
          </w:tcPr>
          <w:p w14:paraId="6C3309E3">
            <w:pPr>
              <w:rPr>
                <w:rFonts w:ascii="宋体" w:hAnsi="宋体"/>
                <w:sz w:val="21"/>
                <w:szCs w:val="21"/>
              </w:rPr>
            </w:pPr>
            <w:r>
              <w:rPr>
                <w:rFonts w:hint="eastAsia" w:ascii="宋体" w:hAnsi="宋体"/>
                <w:sz w:val="21"/>
                <w:szCs w:val="21"/>
              </w:rPr>
              <w:t>面积、型号及规格</w:t>
            </w:r>
          </w:p>
        </w:tc>
        <w:tc>
          <w:tcPr>
            <w:tcW w:w="1177" w:type="pct"/>
          </w:tcPr>
          <w:p w14:paraId="7D0F2792">
            <w:pPr>
              <w:rPr>
                <w:rFonts w:ascii="宋体" w:hAnsi="宋体"/>
                <w:sz w:val="21"/>
                <w:szCs w:val="21"/>
              </w:rPr>
            </w:pPr>
            <w:r>
              <w:rPr>
                <w:rFonts w:hint="eastAsia" w:ascii="宋体" w:hAnsi="宋体"/>
                <w:sz w:val="21"/>
                <w:szCs w:val="21"/>
              </w:rPr>
              <w:t>提供时间</w:t>
            </w:r>
          </w:p>
        </w:tc>
      </w:tr>
      <w:tr w14:paraId="1CC2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1EA76EF6">
            <w:pPr>
              <w:rPr>
                <w:rFonts w:hint="eastAsia" w:ascii="宋体" w:hAnsi="宋体" w:eastAsia="宋体"/>
                <w:sz w:val="21"/>
                <w:szCs w:val="21"/>
                <w:lang w:val="en-US" w:eastAsia="zh-CN"/>
              </w:rPr>
            </w:pPr>
            <w:r>
              <w:rPr>
                <w:rFonts w:hint="eastAsia"/>
                <w:sz w:val="21"/>
                <w:szCs w:val="21"/>
                <w:lang w:val="en-US" w:eastAsia="zh-CN"/>
              </w:rPr>
              <w:t>办公室</w:t>
            </w:r>
          </w:p>
        </w:tc>
        <w:tc>
          <w:tcPr>
            <w:tcW w:w="568" w:type="pct"/>
          </w:tcPr>
          <w:p w14:paraId="1858978E">
            <w:pPr>
              <w:rPr>
                <w:rFonts w:hint="eastAsia" w:ascii="宋体" w:hAnsi="宋体" w:eastAsia="宋体"/>
                <w:sz w:val="21"/>
                <w:szCs w:val="21"/>
                <w:lang w:val="en-US" w:eastAsia="zh-CN"/>
              </w:rPr>
            </w:pPr>
            <w:r>
              <w:rPr>
                <w:rFonts w:hint="eastAsia"/>
                <w:sz w:val="21"/>
                <w:szCs w:val="21"/>
                <w:lang w:val="en-US" w:eastAsia="zh-CN"/>
              </w:rPr>
              <w:t>1</w:t>
            </w:r>
          </w:p>
        </w:tc>
        <w:tc>
          <w:tcPr>
            <w:tcW w:w="1517" w:type="pct"/>
          </w:tcPr>
          <w:p w14:paraId="19BAE14E">
            <w:pPr>
              <w:rPr>
                <w:rFonts w:ascii="宋体" w:hAnsi="宋体"/>
                <w:sz w:val="21"/>
                <w:szCs w:val="21"/>
              </w:rPr>
            </w:pPr>
          </w:p>
        </w:tc>
        <w:tc>
          <w:tcPr>
            <w:tcW w:w="1177" w:type="pct"/>
          </w:tcPr>
          <w:p w14:paraId="31622216">
            <w:pPr>
              <w:rPr>
                <w:rFonts w:ascii="宋体" w:hAnsi="宋体"/>
                <w:sz w:val="21"/>
                <w:szCs w:val="21"/>
              </w:rPr>
            </w:pPr>
            <w:r>
              <w:rPr>
                <w:rFonts w:hint="eastAsia" w:ascii="宋体" w:hAnsi="宋体"/>
                <w:sz w:val="21"/>
                <w:szCs w:val="21"/>
              </w:rPr>
              <w:t>按项目进度</w:t>
            </w:r>
          </w:p>
        </w:tc>
      </w:tr>
      <w:tr w14:paraId="1FCB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6BF6E853">
            <w:pPr>
              <w:rPr>
                <w:rFonts w:ascii="宋体" w:hAnsi="宋体"/>
                <w:sz w:val="21"/>
                <w:szCs w:val="21"/>
              </w:rPr>
            </w:pPr>
          </w:p>
        </w:tc>
        <w:tc>
          <w:tcPr>
            <w:tcW w:w="568" w:type="pct"/>
          </w:tcPr>
          <w:p w14:paraId="7A3BB31B">
            <w:pPr>
              <w:rPr>
                <w:rFonts w:ascii="宋体" w:hAnsi="宋体"/>
                <w:sz w:val="21"/>
                <w:szCs w:val="21"/>
              </w:rPr>
            </w:pPr>
            <w:r>
              <w:rPr>
                <w:rFonts w:hint="eastAsia" w:ascii="宋体" w:hAnsi="宋体"/>
                <w:sz w:val="21"/>
                <w:szCs w:val="21"/>
              </w:rPr>
              <w:t>　</w:t>
            </w:r>
          </w:p>
        </w:tc>
        <w:tc>
          <w:tcPr>
            <w:tcW w:w="1517" w:type="pct"/>
          </w:tcPr>
          <w:p w14:paraId="5F5315DB">
            <w:pPr>
              <w:rPr>
                <w:rFonts w:ascii="宋体" w:hAnsi="宋体"/>
                <w:sz w:val="21"/>
                <w:szCs w:val="21"/>
              </w:rPr>
            </w:pPr>
            <w:r>
              <w:rPr>
                <w:rFonts w:hint="eastAsia" w:ascii="宋体" w:hAnsi="宋体"/>
                <w:sz w:val="21"/>
                <w:szCs w:val="21"/>
              </w:rPr>
              <w:t>　</w:t>
            </w:r>
          </w:p>
        </w:tc>
        <w:tc>
          <w:tcPr>
            <w:tcW w:w="1177" w:type="pct"/>
          </w:tcPr>
          <w:p w14:paraId="117A66ED">
            <w:pPr>
              <w:rPr>
                <w:rFonts w:ascii="宋体" w:hAnsi="宋体"/>
                <w:sz w:val="21"/>
                <w:szCs w:val="21"/>
              </w:rPr>
            </w:pPr>
            <w:r>
              <w:rPr>
                <w:rFonts w:hint="eastAsia" w:ascii="宋体" w:hAnsi="宋体"/>
                <w:sz w:val="21"/>
                <w:szCs w:val="21"/>
              </w:rPr>
              <w:t>　</w:t>
            </w:r>
          </w:p>
        </w:tc>
      </w:tr>
      <w:tr w14:paraId="6A87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54BA4441">
            <w:pPr>
              <w:rPr>
                <w:rFonts w:ascii="宋体" w:hAnsi="宋体"/>
                <w:sz w:val="21"/>
                <w:szCs w:val="21"/>
              </w:rPr>
            </w:pPr>
          </w:p>
        </w:tc>
        <w:tc>
          <w:tcPr>
            <w:tcW w:w="568" w:type="pct"/>
          </w:tcPr>
          <w:p w14:paraId="08D95160">
            <w:pPr>
              <w:rPr>
                <w:rFonts w:ascii="宋体" w:hAnsi="宋体"/>
                <w:sz w:val="21"/>
                <w:szCs w:val="21"/>
              </w:rPr>
            </w:pPr>
            <w:r>
              <w:rPr>
                <w:rFonts w:hint="eastAsia" w:ascii="宋体" w:hAnsi="宋体"/>
                <w:sz w:val="21"/>
                <w:szCs w:val="21"/>
              </w:rPr>
              <w:t>　</w:t>
            </w:r>
          </w:p>
        </w:tc>
        <w:tc>
          <w:tcPr>
            <w:tcW w:w="1517" w:type="pct"/>
          </w:tcPr>
          <w:p w14:paraId="14138899">
            <w:pPr>
              <w:rPr>
                <w:rFonts w:ascii="宋体" w:hAnsi="宋体"/>
                <w:sz w:val="21"/>
                <w:szCs w:val="21"/>
              </w:rPr>
            </w:pPr>
            <w:r>
              <w:rPr>
                <w:rFonts w:hint="eastAsia" w:ascii="宋体" w:hAnsi="宋体"/>
                <w:sz w:val="21"/>
                <w:szCs w:val="21"/>
              </w:rPr>
              <w:t>　</w:t>
            </w:r>
          </w:p>
        </w:tc>
        <w:tc>
          <w:tcPr>
            <w:tcW w:w="1177" w:type="pct"/>
          </w:tcPr>
          <w:p w14:paraId="4C6C1C50">
            <w:pPr>
              <w:rPr>
                <w:rFonts w:ascii="宋体" w:hAnsi="宋体"/>
                <w:sz w:val="21"/>
                <w:szCs w:val="21"/>
              </w:rPr>
            </w:pPr>
            <w:r>
              <w:rPr>
                <w:rFonts w:hint="eastAsia" w:ascii="宋体" w:hAnsi="宋体"/>
                <w:sz w:val="21"/>
                <w:szCs w:val="21"/>
              </w:rPr>
              <w:t>　</w:t>
            </w:r>
          </w:p>
        </w:tc>
      </w:tr>
      <w:tr w14:paraId="225C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5B390A8D">
            <w:pPr>
              <w:rPr>
                <w:rFonts w:ascii="宋体" w:hAnsi="宋体"/>
                <w:sz w:val="21"/>
                <w:szCs w:val="21"/>
              </w:rPr>
            </w:pPr>
          </w:p>
        </w:tc>
        <w:tc>
          <w:tcPr>
            <w:tcW w:w="568" w:type="pct"/>
          </w:tcPr>
          <w:p w14:paraId="3656A501">
            <w:pPr>
              <w:rPr>
                <w:rFonts w:ascii="宋体" w:hAnsi="宋体"/>
                <w:sz w:val="21"/>
                <w:szCs w:val="21"/>
              </w:rPr>
            </w:pPr>
            <w:r>
              <w:rPr>
                <w:rFonts w:hint="eastAsia" w:ascii="宋体" w:hAnsi="宋体"/>
                <w:sz w:val="21"/>
                <w:szCs w:val="21"/>
              </w:rPr>
              <w:t>　</w:t>
            </w:r>
          </w:p>
        </w:tc>
        <w:tc>
          <w:tcPr>
            <w:tcW w:w="1517" w:type="pct"/>
          </w:tcPr>
          <w:p w14:paraId="3504F2C7">
            <w:pPr>
              <w:rPr>
                <w:rFonts w:ascii="宋体" w:hAnsi="宋体"/>
                <w:sz w:val="21"/>
                <w:szCs w:val="21"/>
              </w:rPr>
            </w:pPr>
            <w:r>
              <w:rPr>
                <w:rFonts w:hint="eastAsia" w:ascii="宋体" w:hAnsi="宋体"/>
                <w:sz w:val="21"/>
                <w:szCs w:val="21"/>
              </w:rPr>
              <w:t>　</w:t>
            </w:r>
          </w:p>
        </w:tc>
        <w:tc>
          <w:tcPr>
            <w:tcW w:w="1177" w:type="pct"/>
          </w:tcPr>
          <w:p w14:paraId="19E286D9">
            <w:pPr>
              <w:rPr>
                <w:rFonts w:ascii="宋体" w:hAnsi="宋体"/>
                <w:sz w:val="21"/>
                <w:szCs w:val="21"/>
              </w:rPr>
            </w:pPr>
            <w:r>
              <w:rPr>
                <w:rFonts w:hint="eastAsia" w:ascii="宋体" w:hAnsi="宋体"/>
                <w:sz w:val="21"/>
                <w:szCs w:val="21"/>
              </w:rPr>
              <w:t>　</w:t>
            </w:r>
          </w:p>
        </w:tc>
      </w:tr>
      <w:tr w14:paraId="5010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3ED525E0">
            <w:pPr>
              <w:rPr>
                <w:rFonts w:ascii="宋体" w:hAnsi="宋体"/>
                <w:sz w:val="21"/>
                <w:szCs w:val="21"/>
              </w:rPr>
            </w:pPr>
          </w:p>
        </w:tc>
        <w:tc>
          <w:tcPr>
            <w:tcW w:w="568" w:type="pct"/>
          </w:tcPr>
          <w:p w14:paraId="121AD0E7">
            <w:pPr>
              <w:rPr>
                <w:rFonts w:ascii="宋体" w:hAnsi="宋体"/>
                <w:sz w:val="21"/>
                <w:szCs w:val="21"/>
              </w:rPr>
            </w:pPr>
            <w:r>
              <w:rPr>
                <w:rFonts w:hint="eastAsia" w:ascii="宋体" w:hAnsi="宋体"/>
                <w:sz w:val="21"/>
                <w:szCs w:val="21"/>
              </w:rPr>
              <w:t>　</w:t>
            </w:r>
          </w:p>
        </w:tc>
        <w:tc>
          <w:tcPr>
            <w:tcW w:w="1517" w:type="pct"/>
          </w:tcPr>
          <w:p w14:paraId="29CCEF2F">
            <w:pPr>
              <w:rPr>
                <w:rFonts w:ascii="宋体" w:hAnsi="宋体"/>
                <w:sz w:val="21"/>
                <w:szCs w:val="21"/>
              </w:rPr>
            </w:pPr>
            <w:r>
              <w:rPr>
                <w:rFonts w:hint="eastAsia" w:ascii="宋体" w:hAnsi="宋体"/>
                <w:sz w:val="21"/>
                <w:szCs w:val="21"/>
              </w:rPr>
              <w:t>　</w:t>
            </w:r>
          </w:p>
        </w:tc>
        <w:tc>
          <w:tcPr>
            <w:tcW w:w="1177" w:type="pct"/>
          </w:tcPr>
          <w:p w14:paraId="36009991">
            <w:pPr>
              <w:rPr>
                <w:rFonts w:ascii="宋体" w:hAnsi="宋体"/>
                <w:sz w:val="21"/>
                <w:szCs w:val="21"/>
              </w:rPr>
            </w:pPr>
            <w:r>
              <w:rPr>
                <w:rFonts w:hint="eastAsia" w:ascii="宋体" w:hAnsi="宋体"/>
                <w:sz w:val="21"/>
                <w:szCs w:val="21"/>
              </w:rPr>
              <w:t>　</w:t>
            </w:r>
          </w:p>
        </w:tc>
      </w:tr>
      <w:tr w14:paraId="5411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185D2FE2">
            <w:pPr>
              <w:rPr>
                <w:rFonts w:ascii="宋体" w:hAnsi="宋体"/>
                <w:sz w:val="21"/>
                <w:szCs w:val="21"/>
              </w:rPr>
            </w:pPr>
          </w:p>
        </w:tc>
        <w:tc>
          <w:tcPr>
            <w:tcW w:w="568" w:type="pct"/>
          </w:tcPr>
          <w:p w14:paraId="4A02C10D">
            <w:pPr>
              <w:rPr>
                <w:rFonts w:ascii="宋体" w:hAnsi="宋体"/>
                <w:sz w:val="21"/>
                <w:szCs w:val="21"/>
              </w:rPr>
            </w:pPr>
            <w:r>
              <w:rPr>
                <w:rFonts w:hint="eastAsia" w:ascii="宋体" w:hAnsi="宋体"/>
                <w:sz w:val="21"/>
                <w:szCs w:val="21"/>
              </w:rPr>
              <w:t>　</w:t>
            </w:r>
          </w:p>
        </w:tc>
        <w:tc>
          <w:tcPr>
            <w:tcW w:w="1517" w:type="pct"/>
          </w:tcPr>
          <w:p w14:paraId="66B4E24B">
            <w:pPr>
              <w:rPr>
                <w:rFonts w:ascii="宋体" w:hAnsi="宋体"/>
                <w:sz w:val="21"/>
                <w:szCs w:val="21"/>
              </w:rPr>
            </w:pPr>
            <w:r>
              <w:rPr>
                <w:rFonts w:hint="eastAsia" w:ascii="宋体" w:hAnsi="宋体"/>
                <w:sz w:val="21"/>
                <w:szCs w:val="21"/>
              </w:rPr>
              <w:t>　</w:t>
            </w:r>
          </w:p>
        </w:tc>
        <w:tc>
          <w:tcPr>
            <w:tcW w:w="1177" w:type="pct"/>
          </w:tcPr>
          <w:p w14:paraId="445A3787">
            <w:pPr>
              <w:rPr>
                <w:rFonts w:ascii="宋体" w:hAnsi="宋体"/>
                <w:sz w:val="21"/>
                <w:szCs w:val="21"/>
              </w:rPr>
            </w:pPr>
            <w:r>
              <w:rPr>
                <w:rFonts w:hint="eastAsia" w:ascii="宋体" w:hAnsi="宋体"/>
                <w:sz w:val="21"/>
                <w:szCs w:val="21"/>
              </w:rPr>
              <w:t>　</w:t>
            </w:r>
          </w:p>
        </w:tc>
      </w:tr>
      <w:tr w14:paraId="01EA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2FF3E7BF">
            <w:pPr>
              <w:rPr>
                <w:rFonts w:ascii="宋体" w:hAnsi="宋体"/>
                <w:sz w:val="21"/>
                <w:szCs w:val="21"/>
              </w:rPr>
            </w:pPr>
          </w:p>
        </w:tc>
        <w:tc>
          <w:tcPr>
            <w:tcW w:w="568" w:type="pct"/>
          </w:tcPr>
          <w:p w14:paraId="3B0E5278">
            <w:pPr>
              <w:rPr>
                <w:rFonts w:ascii="宋体" w:hAnsi="宋体"/>
                <w:sz w:val="21"/>
                <w:szCs w:val="21"/>
              </w:rPr>
            </w:pPr>
            <w:r>
              <w:rPr>
                <w:rFonts w:hint="eastAsia" w:ascii="宋体" w:hAnsi="宋体"/>
                <w:sz w:val="21"/>
                <w:szCs w:val="21"/>
              </w:rPr>
              <w:t>　</w:t>
            </w:r>
          </w:p>
        </w:tc>
        <w:tc>
          <w:tcPr>
            <w:tcW w:w="1517" w:type="pct"/>
          </w:tcPr>
          <w:p w14:paraId="2F7E9565">
            <w:pPr>
              <w:rPr>
                <w:rFonts w:ascii="宋体" w:hAnsi="宋体"/>
                <w:sz w:val="21"/>
                <w:szCs w:val="21"/>
              </w:rPr>
            </w:pPr>
            <w:r>
              <w:rPr>
                <w:rFonts w:hint="eastAsia" w:ascii="宋体" w:hAnsi="宋体"/>
                <w:sz w:val="21"/>
                <w:szCs w:val="21"/>
              </w:rPr>
              <w:t>　</w:t>
            </w:r>
          </w:p>
        </w:tc>
        <w:tc>
          <w:tcPr>
            <w:tcW w:w="1177" w:type="pct"/>
          </w:tcPr>
          <w:p w14:paraId="26360854">
            <w:pPr>
              <w:rPr>
                <w:rFonts w:ascii="宋体" w:hAnsi="宋体"/>
                <w:sz w:val="21"/>
                <w:szCs w:val="21"/>
              </w:rPr>
            </w:pPr>
            <w:r>
              <w:rPr>
                <w:rFonts w:hint="eastAsia" w:ascii="宋体" w:hAnsi="宋体"/>
                <w:sz w:val="21"/>
                <w:szCs w:val="21"/>
              </w:rPr>
              <w:t>　</w:t>
            </w:r>
          </w:p>
        </w:tc>
      </w:tr>
      <w:tr w14:paraId="4545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12C0159A">
            <w:pPr>
              <w:rPr>
                <w:rFonts w:ascii="宋体" w:hAnsi="宋体"/>
                <w:sz w:val="21"/>
                <w:szCs w:val="21"/>
              </w:rPr>
            </w:pPr>
          </w:p>
        </w:tc>
        <w:tc>
          <w:tcPr>
            <w:tcW w:w="568" w:type="pct"/>
          </w:tcPr>
          <w:p w14:paraId="6E0965E0">
            <w:pPr>
              <w:rPr>
                <w:rFonts w:ascii="宋体" w:hAnsi="宋体"/>
                <w:sz w:val="21"/>
                <w:szCs w:val="21"/>
              </w:rPr>
            </w:pPr>
            <w:r>
              <w:rPr>
                <w:rFonts w:hint="eastAsia" w:ascii="宋体" w:hAnsi="宋体"/>
                <w:sz w:val="21"/>
                <w:szCs w:val="21"/>
              </w:rPr>
              <w:t>　</w:t>
            </w:r>
          </w:p>
        </w:tc>
        <w:tc>
          <w:tcPr>
            <w:tcW w:w="1517" w:type="pct"/>
          </w:tcPr>
          <w:p w14:paraId="7996244E">
            <w:pPr>
              <w:rPr>
                <w:rFonts w:ascii="宋体" w:hAnsi="宋体"/>
                <w:sz w:val="21"/>
                <w:szCs w:val="21"/>
              </w:rPr>
            </w:pPr>
            <w:r>
              <w:rPr>
                <w:rFonts w:hint="eastAsia" w:ascii="宋体" w:hAnsi="宋体"/>
                <w:sz w:val="21"/>
                <w:szCs w:val="21"/>
              </w:rPr>
              <w:t>　</w:t>
            </w:r>
          </w:p>
        </w:tc>
        <w:tc>
          <w:tcPr>
            <w:tcW w:w="1177" w:type="pct"/>
          </w:tcPr>
          <w:p w14:paraId="0FFBADC3">
            <w:pPr>
              <w:rPr>
                <w:rFonts w:ascii="宋体" w:hAnsi="宋体"/>
                <w:sz w:val="21"/>
                <w:szCs w:val="21"/>
              </w:rPr>
            </w:pPr>
            <w:r>
              <w:rPr>
                <w:rFonts w:hint="eastAsia" w:ascii="宋体" w:hAnsi="宋体"/>
                <w:sz w:val="21"/>
                <w:szCs w:val="21"/>
              </w:rPr>
              <w:t>　</w:t>
            </w:r>
          </w:p>
        </w:tc>
      </w:tr>
      <w:tr w14:paraId="7E8D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23F6E056">
            <w:pPr>
              <w:rPr>
                <w:rFonts w:ascii="宋体" w:hAnsi="宋体"/>
                <w:sz w:val="21"/>
                <w:szCs w:val="21"/>
              </w:rPr>
            </w:pPr>
          </w:p>
        </w:tc>
        <w:tc>
          <w:tcPr>
            <w:tcW w:w="568" w:type="pct"/>
          </w:tcPr>
          <w:p w14:paraId="51090E8B">
            <w:pPr>
              <w:rPr>
                <w:rFonts w:ascii="宋体" w:hAnsi="宋体"/>
                <w:sz w:val="21"/>
                <w:szCs w:val="21"/>
              </w:rPr>
            </w:pPr>
            <w:r>
              <w:rPr>
                <w:rFonts w:hint="eastAsia" w:ascii="宋体" w:hAnsi="宋体"/>
                <w:sz w:val="21"/>
                <w:szCs w:val="21"/>
              </w:rPr>
              <w:t>　</w:t>
            </w:r>
          </w:p>
        </w:tc>
        <w:tc>
          <w:tcPr>
            <w:tcW w:w="1517" w:type="pct"/>
          </w:tcPr>
          <w:p w14:paraId="637FD963">
            <w:pPr>
              <w:rPr>
                <w:rFonts w:ascii="宋体" w:hAnsi="宋体"/>
                <w:sz w:val="21"/>
                <w:szCs w:val="21"/>
              </w:rPr>
            </w:pPr>
            <w:r>
              <w:rPr>
                <w:rFonts w:hint="eastAsia" w:ascii="宋体" w:hAnsi="宋体"/>
                <w:sz w:val="21"/>
                <w:szCs w:val="21"/>
              </w:rPr>
              <w:t>　</w:t>
            </w:r>
          </w:p>
        </w:tc>
        <w:tc>
          <w:tcPr>
            <w:tcW w:w="1177" w:type="pct"/>
          </w:tcPr>
          <w:p w14:paraId="3AC3A493">
            <w:pPr>
              <w:rPr>
                <w:rFonts w:ascii="宋体" w:hAnsi="宋体"/>
                <w:sz w:val="21"/>
                <w:szCs w:val="21"/>
              </w:rPr>
            </w:pPr>
            <w:r>
              <w:rPr>
                <w:rFonts w:hint="eastAsia" w:ascii="宋体" w:hAnsi="宋体"/>
                <w:sz w:val="21"/>
                <w:szCs w:val="21"/>
              </w:rPr>
              <w:t>　</w:t>
            </w:r>
          </w:p>
        </w:tc>
      </w:tr>
      <w:tr w14:paraId="4982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12B54A43">
            <w:pPr>
              <w:rPr>
                <w:rFonts w:ascii="宋体" w:hAnsi="宋体"/>
                <w:sz w:val="21"/>
                <w:szCs w:val="21"/>
              </w:rPr>
            </w:pPr>
          </w:p>
        </w:tc>
        <w:tc>
          <w:tcPr>
            <w:tcW w:w="568" w:type="pct"/>
          </w:tcPr>
          <w:p w14:paraId="4FEE99AC">
            <w:pPr>
              <w:rPr>
                <w:rFonts w:ascii="宋体" w:hAnsi="宋体"/>
                <w:sz w:val="21"/>
                <w:szCs w:val="21"/>
              </w:rPr>
            </w:pPr>
          </w:p>
        </w:tc>
        <w:tc>
          <w:tcPr>
            <w:tcW w:w="1517" w:type="pct"/>
          </w:tcPr>
          <w:p w14:paraId="0F8A3135">
            <w:pPr>
              <w:rPr>
                <w:rFonts w:ascii="宋体" w:hAnsi="宋体"/>
                <w:sz w:val="21"/>
                <w:szCs w:val="21"/>
              </w:rPr>
            </w:pPr>
          </w:p>
        </w:tc>
        <w:tc>
          <w:tcPr>
            <w:tcW w:w="1177" w:type="pct"/>
          </w:tcPr>
          <w:p w14:paraId="438E69F0">
            <w:pPr>
              <w:rPr>
                <w:rFonts w:ascii="宋体" w:hAnsi="宋体"/>
                <w:sz w:val="21"/>
                <w:szCs w:val="21"/>
              </w:rPr>
            </w:pPr>
          </w:p>
        </w:tc>
      </w:tr>
      <w:tr w14:paraId="1ADD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3F8CE312">
            <w:pPr>
              <w:rPr>
                <w:rFonts w:ascii="宋体" w:hAnsi="宋体"/>
                <w:sz w:val="21"/>
                <w:szCs w:val="21"/>
              </w:rPr>
            </w:pPr>
          </w:p>
        </w:tc>
        <w:tc>
          <w:tcPr>
            <w:tcW w:w="568" w:type="pct"/>
          </w:tcPr>
          <w:p w14:paraId="1AEFF72B">
            <w:pPr>
              <w:rPr>
                <w:rFonts w:ascii="宋体" w:hAnsi="宋体"/>
                <w:sz w:val="21"/>
                <w:szCs w:val="21"/>
              </w:rPr>
            </w:pPr>
          </w:p>
        </w:tc>
        <w:tc>
          <w:tcPr>
            <w:tcW w:w="1517" w:type="pct"/>
          </w:tcPr>
          <w:p w14:paraId="02E9E6FF">
            <w:pPr>
              <w:rPr>
                <w:rFonts w:ascii="宋体" w:hAnsi="宋体"/>
                <w:sz w:val="21"/>
                <w:szCs w:val="21"/>
              </w:rPr>
            </w:pPr>
          </w:p>
        </w:tc>
        <w:tc>
          <w:tcPr>
            <w:tcW w:w="1177" w:type="pct"/>
          </w:tcPr>
          <w:p w14:paraId="624F64DB">
            <w:pPr>
              <w:rPr>
                <w:rFonts w:ascii="宋体" w:hAnsi="宋体"/>
                <w:sz w:val="21"/>
                <w:szCs w:val="21"/>
              </w:rPr>
            </w:pPr>
          </w:p>
        </w:tc>
      </w:tr>
      <w:tr w14:paraId="3D4B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2BDA0DBF">
            <w:pPr>
              <w:rPr>
                <w:rFonts w:ascii="宋体" w:hAnsi="宋体"/>
                <w:sz w:val="21"/>
                <w:szCs w:val="21"/>
              </w:rPr>
            </w:pPr>
          </w:p>
        </w:tc>
        <w:tc>
          <w:tcPr>
            <w:tcW w:w="568" w:type="pct"/>
          </w:tcPr>
          <w:p w14:paraId="674E305A">
            <w:pPr>
              <w:rPr>
                <w:rFonts w:ascii="宋体" w:hAnsi="宋体"/>
                <w:sz w:val="21"/>
                <w:szCs w:val="21"/>
              </w:rPr>
            </w:pPr>
          </w:p>
        </w:tc>
        <w:tc>
          <w:tcPr>
            <w:tcW w:w="1517" w:type="pct"/>
          </w:tcPr>
          <w:p w14:paraId="3DA1CFFA">
            <w:pPr>
              <w:rPr>
                <w:rFonts w:ascii="宋体" w:hAnsi="宋体"/>
                <w:sz w:val="21"/>
                <w:szCs w:val="21"/>
              </w:rPr>
            </w:pPr>
          </w:p>
        </w:tc>
        <w:tc>
          <w:tcPr>
            <w:tcW w:w="1177" w:type="pct"/>
          </w:tcPr>
          <w:p w14:paraId="03B47726">
            <w:pPr>
              <w:rPr>
                <w:rFonts w:ascii="宋体" w:hAnsi="宋体"/>
                <w:sz w:val="21"/>
                <w:szCs w:val="21"/>
              </w:rPr>
            </w:pPr>
          </w:p>
        </w:tc>
      </w:tr>
      <w:tr w14:paraId="7BB0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1BEB9DD4">
            <w:pPr>
              <w:rPr>
                <w:rFonts w:ascii="宋体" w:hAnsi="宋体"/>
                <w:sz w:val="21"/>
                <w:szCs w:val="21"/>
              </w:rPr>
            </w:pPr>
          </w:p>
        </w:tc>
        <w:tc>
          <w:tcPr>
            <w:tcW w:w="568" w:type="pct"/>
          </w:tcPr>
          <w:p w14:paraId="3912840A">
            <w:pPr>
              <w:rPr>
                <w:rFonts w:ascii="宋体" w:hAnsi="宋体"/>
                <w:sz w:val="21"/>
                <w:szCs w:val="21"/>
              </w:rPr>
            </w:pPr>
          </w:p>
        </w:tc>
        <w:tc>
          <w:tcPr>
            <w:tcW w:w="1517" w:type="pct"/>
          </w:tcPr>
          <w:p w14:paraId="16604C0D">
            <w:pPr>
              <w:rPr>
                <w:rFonts w:ascii="宋体" w:hAnsi="宋体"/>
                <w:sz w:val="21"/>
                <w:szCs w:val="21"/>
              </w:rPr>
            </w:pPr>
          </w:p>
        </w:tc>
        <w:tc>
          <w:tcPr>
            <w:tcW w:w="1177" w:type="pct"/>
          </w:tcPr>
          <w:p w14:paraId="07524F17">
            <w:pPr>
              <w:rPr>
                <w:rFonts w:ascii="宋体" w:hAnsi="宋体"/>
                <w:sz w:val="21"/>
                <w:szCs w:val="21"/>
              </w:rPr>
            </w:pPr>
          </w:p>
        </w:tc>
      </w:tr>
      <w:tr w14:paraId="7661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4AA6531C">
            <w:pPr>
              <w:rPr>
                <w:rFonts w:ascii="宋体" w:hAnsi="宋体"/>
                <w:sz w:val="21"/>
                <w:szCs w:val="21"/>
              </w:rPr>
            </w:pPr>
          </w:p>
        </w:tc>
        <w:tc>
          <w:tcPr>
            <w:tcW w:w="568" w:type="pct"/>
          </w:tcPr>
          <w:p w14:paraId="69CF418B">
            <w:pPr>
              <w:rPr>
                <w:rFonts w:ascii="宋体" w:hAnsi="宋体"/>
                <w:sz w:val="21"/>
                <w:szCs w:val="21"/>
              </w:rPr>
            </w:pPr>
          </w:p>
        </w:tc>
        <w:tc>
          <w:tcPr>
            <w:tcW w:w="1517" w:type="pct"/>
          </w:tcPr>
          <w:p w14:paraId="4F1272AC">
            <w:pPr>
              <w:rPr>
                <w:rFonts w:ascii="宋体" w:hAnsi="宋体"/>
                <w:sz w:val="21"/>
                <w:szCs w:val="21"/>
              </w:rPr>
            </w:pPr>
          </w:p>
        </w:tc>
        <w:tc>
          <w:tcPr>
            <w:tcW w:w="1177" w:type="pct"/>
          </w:tcPr>
          <w:p w14:paraId="11C61005">
            <w:pPr>
              <w:rPr>
                <w:rFonts w:ascii="宋体" w:hAnsi="宋体"/>
                <w:sz w:val="21"/>
                <w:szCs w:val="21"/>
              </w:rPr>
            </w:pPr>
          </w:p>
        </w:tc>
      </w:tr>
      <w:tr w14:paraId="5F21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6" w:type="pct"/>
          </w:tcPr>
          <w:p w14:paraId="0FC65EBC">
            <w:pPr>
              <w:rPr>
                <w:rFonts w:ascii="宋体" w:hAnsi="宋体"/>
                <w:sz w:val="21"/>
                <w:szCs w:val="21"/>
              </w:rPr>
            </w:pPr>
          </w:p>
        </w:tc>
        <w:tc>
          <w:tcPr>
            <w:tcW w:w="568" w:type="pct"/>
          </w:tcPr>
          <w:p w14:paraId="482D16B5">
            <w:pPr>
              <w:rPr>
                <w:rFonts w:ascii="宋体" w:hAnsi="宋体"/>
                <w:sz w:val="21"/>
                <w:szCs w:val="21"/>
              </w:rPr>
            </w:pPr>
          </w:p>
        </w:tc>
        <w:tc>
          <w:tcPr>
            <w:tcW w:w="1517" w:type="pct"/>
          </w:tcPr>
          <w:p w14:paraId="04CCF161">
            <w:pPr>
              <w:rPr>
                <w:rFonts w:ascii="宋体" w:hAnsi="宋体"/>
                <w:sz w:val="21"/>
                <w:szCs w:val="21"/>
              </w:rPr>
            </w:pPr>
          </w:p>
        </w:tc>
        <w:tc>
          <w:tcPr>
            <w:tcW w:w="1177" w:type="pct"/>
          </w:tcPr>
          <w:p w14:paraId="4554BEA0">
            <w:pPr>
              <w:rPr>
                <w:rFonts w:ascii="宋体" w:hAnsi="宋体"/>
                <w:sz w:val="21"/>
                <w:szCs w:val="21"/>
              </w:rPr>
            </w:pPr>
          </w:p>
        </w:tc>
      </w:tr>
      <w:tr w14:paraId="4D13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3026D0BE">
            <w:pPr>
              <w:rPr>
                <w:rFonts w:ascii="宋体" w:hAnsi="宋体"/>
                <w:sz w:val="21"/>
                <w:szCs w:val="21"/>
              </w:rPr>
            </w:pPr>
          </w:p>
        </w:tc>
        <w:tc>
          <w:tcPr>
            <w:tcW w:w="568" w:type="pct"/>
          </w:tcPr>
          <w:p w14:paraId="5C22C62A">
            <w:pPr>
              <w:rPr>
                <w:rFonts w:ascii="宋体" w:hAnsi="宋体"/>
                <w:sz w:val="21"/>
                <w:szCs w:val="21"/>
              </w:rPr>
            </w:pPr>
          </w:p>
        </w:tc>
        <w:tc>
          <w:tcPr>
            <w:tcW w:w="1517" w:type="pct"/>
          </w:tcPr>
          <w:p w14:paraId="3D191B7D">
            <w:pPr>
              <w:rPr>
                <w:rFonts w:ascii="宋体" w:hAnsi="宋体"/>
                <w:sz w:val="21"/>
                <w:szCs w:val="21"/>
              </w:rPr>
            </w:pPr>
          </w:p>
        </w:tc>
        <w:tc>
          <w:tcPr>
            <w:tcW w:w="1177" w:type="pct"/>
          </w:tcPr>
          <w:p w14:paraId="07406946">
            <w:pPr>
              <w:rPr>
                <w:rFonts w:ascii="宋体" w:hAnsi="宋体"/>
                <w:sz w:val="21"/>
                <w:szCs w:val="21"/>
              </w:rPr>
            </w:pPr>
          </w:p>
        </w:tc>
      </w:tr>
      <w:tr w14:paraId="6C85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799439CC">
            <w:pPr>
              <w:rPr>
                <w:rFonts w:ascii="宋体" w:hAnsi="宋体"/>
                <w:sz w:val="21"/>
                <w:szCs w:val="21"/>
              </w:rPr>
            </w:pPr>
          </w:p>
        </w:tc>
        <w:tc>
          <w:tcPr>
            <w:tcW w:w="568" w:type="pct"/>
          </w:tcPr>
          <w:p w14:paraId="467A2E6F">
            <w:pPr>
              <w:rPr>
                <w:rFonts w:ascii="宋体" w:hAnsi="宋体"/>
                <w:sz w:val="21"/>
                <w:szCs w:val="21"/>
              </w:rPr>
            </w:pPr>
          </w:p>
        </w:tc>
        <w:tc>
          <w:tcPr>
            <w:tcW w:w="1517" w:type="pct"/>
          </w:tcPr>
          <w:p w14:paraId="585444BF">
            <w:pPr>
              <w:rPr>
                <w:rFonts w:ascii="宋体" w:hAnsi="宋体"/>
                <w:sz w:val="21"/>
                <w:szCs w:val="21"/>
              </w:rPr>
            </w:pPr>
          </w:p>
        </w:tc>
        <w:tc>
          <w:tcPr>
            <w:tcW w:w="1177" w:type="pct"/>
          </w:tcPr>
          <w:p w14:paraId="33DE26DC">
            <w:pPr>
              <w:rPr>
                <w:rFonts w:ascii="宋体" w:hAnsi="宋体"/>
                <w:sz w:val="21"/>
                <w:szCs w:val="21"/>
              </w:rPr>
            </w:pPr>
          </w:p>
        </w:tc>
      </w:tr>
      <w:tr w14:paraId="1A82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598EB8B5">
            <w:pPr>
              <w:rPr>
                <w:rFonts w:ascii="宋体" w:hAnsi="宋体"/>
                <w:sz w:val="21"/>
                <w:szCs w:val="21"/>
              </w:rPr>
            </w:pPr>
          </w:p>
        </w:tc>
        <w:tc>
          <w:tcPr>
            <w:tcW w:w="568" w:type="pct"/>
          </w:tcPr>
          <w:p w14:paraId="5350CC7F">
            <w:pPr>
              <w:rPr>
                <w:rFonts w:ascii="宋体" w:hAnsi="宋体"/>
                <w:sz w:val="21"/>
                <w:szCs w:val="21"/>
              </w:rPr>
            </w:pPr>
          </w:p>
        </w:tc>
        <w:tc>
          <w:tcPr>
            <w:tcW w:w="1517" w:type="pct"/>
          </w:tcPr>
          <w:p w14:paraId="5DC20EAF">
            <w:pPr>
              <w:rPr>
                <w:rFonts w:ascii="宋体" w:hAnsi="宋体"/>
                <w:sz w:val="21"/>
                <w:szCs w:val="21"/>
              </w:rPr>
            </w:pPr>
          </w:p>
        </w:tc>
        <w:tc>
          <w:tcPr>
            <w:tcW w:w="1177" w:type="pct"/>
          </w:tcPr>
          <w:p w14:paraId="78BA34A6">
            <w:pPr>
              <w:rPr>
                <w:rFonts w:ascii="宋体" w:hAnsi="宋体"/>
                <w:sz w:val="21"/>
                <w:szCs w:val="21"/>
              </w:rPr>
            </w:pPr>
          </w:p>
        </w:tc>
      </w:tr>
      <w:tr w14:paraId="51E1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25EA5EB4">
            <w:pPr>
              <w:rPr>
                <w:rFonts w:ascii="宋体" w:hAnsi="宋体"/>
                <w:sz w:val="21"/>
                <w:szCs w:val="21"/>
              </w:rPr>
            </w:pPr>
          </w:p>
        </w:tc>
        <w:tc>
          <w:tcPr>
            <w:tcW w:w="568" w:type="pct"/>
          </w:tcPr>
          <w:p w14:paraId="2B3FD916">
            <w:pPr>
              <w:rPr>
                <w:rFonts w:ascii="宋体" w:hAnsi="宋体"/>
                <w:sz w:val="21"/>
                <w:szCs w:val="21"/>
              </w:rPr>
            </w:pPr>
          </w:p>
        </w:tc>
        <w:tc>
          <w:tcPr>
            <w:tcW w:w="1517" w:type="pct"/>
          </w:tcPr>
          <w:p w14:paraId="4B77F596">
            <w:pPr>
              <w:rPr>
                <w:rFonts w:ascii="宋体" w:hAnsi="宋体"/>
                <w:sz w:val="21"/>
                <w:szCs w:val="21"/>
              </w:rPr>
            </w:pPr>
          </w:p>
        </w:tc>
        <w:tc>
          <w:tcPr>
            <w:tcW w:w="1177" w:type="pct"/>
          </w:tcPr>
          <w:p w14:paraId="5415581A">
            <w:pPr>
              <w:rPr>
                <w:rFonts w:ascii="宋体" w:hAnsi="宋体"/>
                <w:sz w:val="21"/>
                <w:szCs w:val="21"/>
              </w:rPr>
            </w:pPr>
          </w:p>
        </w:tc>
      </w:tr>
      <w:tr w14:paraId="1266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5E2C9B91">
            <w:pPr>
              <w:rPr>
                <w:rFonts w:ascii="宋体" w:hAnsi="宋体"/>
                <w:sz w:val="21"/>
                <w:szCs w:val="21"/>
              </w:rPr>
            </w:pPr>
          </w:p>
        </w:tc>
        <w:tc>
          <w:tcPr>
            <w:tcW w:w="568" w:type="pct"/>
          </w:tcPr>
          <w:p w14:paraId="7058E5C3">
            <w:pPr>
              <w:rPr>
                <w:rFonts w:ascii="宋体" w:hAnsi="宋体"/>
                <w:sz w:val="21"/>
                <w:szCs w:val="21"/>
              </w:rPr>
            </w:pPr>
          </w:p>
        </w:tc>
        <w:tc>
          <w:tcPr>
            <w:tcW w:w="1517" w:type="pct"/>
          </w:tcPr>
          <w:p w14:paraId="1D734CBF">
            <w:pPr>
              <w:rPr>
                <w:rFonts w:ascii="宋体" w:hAnsi="宋体"/>
                <w:sz w:val="21"/>
                <w:szCs w:val="21"/>
              </w:rPr>
            </w:pPr>
          </w:p>
        </w:tc>
        <w:tc>
          <w:tcPr>
            <w:tcW w:w="1177" w:type="pct"/>
          </w:tcPr>
          <w:p w14:paraId="6B540C3B">
            <w:pPr>
              <w:rPr>
                <w:rFonts w:ascii="宋体" w:hAnsi="宋体"/>
                <w:sz w:val="21"/>
                <w:szCs w:val="21"/>
              </w:rPr>
            </w:pPr>
          </w:p>
        </w:tc>
      </w:tr>
      <w:tr w14:paraId="6F7E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75C966AE">
            <w:pPr>
              <w:rPr>
                <w:rFonts w:ascii="宋体" w:hAnsi="宋体"/>
                <w:sz w:val="21"/>
                <w:szCs w:val="21"/>
              </w:rPr>
            </w:pPr>
          </w:p>
        </w:tc>
        <w:tc>
          <w:tcPr>
            <w:tcW w:w="568" w:type="pct"/>
          </w:tcPr>
          <w:p w14:paraId="4A751D24">
            <w:pPr>
              <w:rPr>
                <w:rFonts w:ascii="宋体" w:hAnsi="宋体"/>
                <w:sz w:val="21"/>
                <w:szCs w:val="21"/>
              </w:rPr>
            </w:pPr>
          </w:p>
        </w:tc>
        <w:tc>
          <w:tcPr>
            <w:tcW w:w="1517" w:type="pct"/>
          </w:tcPr>
          <w:p w14:paraId="09EBD8B4">
            <w:pPr>
              <w:rPr>
                <w:rFonts w:ascii="宋体" w:hAnsi="宋体"/>
                <w:sz w:val="21"/>
                <w:szCs w:val="21"/>
              </w:rPr>
            </w:pPr>
          </w:p>
        </w:tc>
        <w:tc>
          <w:tcPr>
            <w:tcW w:w="1177" w:type="pct"/>
          </w:tcPr>
          <w:p w14:paraId="37E53713">
            <w:pPr>
              <w:rPr>
                <w:rFonts w:ascii="宋体" w:hAnsi="宋体"/>
                <w:sz w:val="21"/>
                <w:szCs w:val="21"/>
              </w:rPr>
            </w:pPr>
          </w:p>
        </w:tc>
      </w:tr>
      <w:tr w14:paraId="3330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696EE89C">
            <w:pPr>
              <w:rPr>
                <w:rFonts w:ascii="宋体" w:hAnsi="宋体"/>
                <w:sz w:val="21"/>
                <w:szCs w:val="21"/>
              </w:rPr>
            </w:pPr>
          </w:p>
        </w:tc>
        <w:tc>
          <w:tcPr>
            <w:tcW w:w="568" w:type="pct"/>
          </w:tcPr>
          <w:p w14:paraId="5EDE8535">
            <w:pPr>
              <w:rPr>
                <w:rFonts w:ascii="宋体" w:hAnsi="宋体"/>
                <w:sz w:val="21"/>
                <w:szCs w:val="21"/>
              </w:rPr>
            </w:pPr>
          </w:p>
        </w:tc>
        <w:tc>
          <w:tcPr>
            <w:tcW w:w="1517" w:type="pct"/>
          </w:tcPr>
          <w:p w14:paraId="19A9289C">
            <w:pPr>
              <w:rPr>
                <w:rFonts w:ascii="宋体" w:hAnsi="宋体"/>
                <w:sz w:val="21"/>
                <w:szCs w:val="21"/>
              </w:rPr>
            </w:pPr>
          </w:p>
        </w:tc>
        <w:tc>
          <w:tcPr>
            <w:tcW w:w="1177" w:type="pct"/>
          </w:tcPr>
          <w:p w14:paraId="0987A0CC">
            <w:pPr>
              <w:rPr>
                <w:rFonts w:ascii="宋体" w:hAnsi="宋体"/>
                <w:sz w:val="21"/>
                <w:szCs w:val="21"/>
              </w:rPr>
            </w:pPr>
          </w:p>
        </w:tc>
      </w:tr>
      <w:tr w14:paraId="7FB4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62FDD9EE">
            <w:pPr>
              <w:rPr>
                <w:rFonts w:ascii="宋体" w:hAnsi="宋体"/>
                <w:sz w:val="21"/>
                <w:szCs w:val="21"/>
              </w:rPr>
            </w:pPr>
          </w:p>
        </w:tc>
        <w:tc>
          <w:tcPr>
            <w:tcW w:w="568" w:type="pct"/>
          </w:tcPr>
          <w:p w14:paraId="3F9E64EA">
            <w:pPr>
              <w:rPr>
                <w:rFonts w:ascii="宋体" w:hAnsi="宋体"/>
                <w:sz w:val="21"/>
                <w:szCs w:val="21"/>
              </w:rPr>
            </w:pPr>
          </w:p>
        </w:tc>
        <w:tc>
          <w:tcPr>
            <w:tcW w:w="1517" w:type="pct"/>
          </w:tcPr>
          <w:p w14:paraId="3A923C9A">
            <w:pPr>
              <w:rPr>
                <w:rFonts w:ascii="宋体" w:hAnsi="宋体"/>
                <w:sz w:val="21"/>
                <w:szCs w:val="21"/>
              </w:rPr>
            </w:pPr>
          </w:p>
        </w:tc>
        <w:tc>
          <w:tcPr>
            <w:tcW w:w="1177" w:type="pct"/>
          </w:tcPr>
          <w:p w14:paraId="172BA063">
            <w:pPr>
              <w:rPr>
                <w:rFonts w:ascii="宋体" w:hAnsi="宋体"/>
                <w:sz w:val="21"/>
                <w:szCs w:val="21"/>
              </w:rPr>
            </w:pPr>
          </w:p>
        </w:tc>
      </w:tr>
      <w:tr w14:paraId="3196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520B97C1">
            <w:pPr>
              <w:rPr>
                <w:rFonts w:ascii="宋体" w:hAnsi="宋体"/>
                <w:sz w:val="21"/>
                <w:szCs w:val="21"/>
              </w:rPr>
            </w:pPr>
          </w:p>
        </w:tc>
        <w:tc>
          <w:tcPr>
            <w:tcW w:w="568" w:type="pct"/>
          </w:tcPr>
          <w:p w14:paraId="21C9AFF1">
            <w:pPr>
              <w:rPr>
                <w:rFonts w:ascii="宋体" w:hAnsi="宋体"/>
                <w:sz w:val="21"/>
                <w:szCs w:val="21"/>
              </w:rPr>
            </w:pPr>
          </w:p>
        </w:tc>
        <w:tc>
          <w:tcPr>
            <w:tcW w:w="1517" w:type="pct"/>
          </w:tcPr>
          <w:p w14:paraId="516F6872">
            <w:pPr>
              <w:rPr>
                <w:rFonts w:ascii="宋体" w:hAnsi="宋体"/>
                <w:sz w:val="21"/>
                <w:szCs w:val="21"/>
              </w:rPr>
            </w:pPr>
          </w:p>
        </w:tc>
        <w:tc>
          <w:tcPr>
            <w:tcW w:w="1177" w:type="pct"/>
          </w:tcPr>
          <w:p w14:paraId="3A06CA96">
            <w:pPr>
              <w:rPr>
                <w:rFonts w:ascii="宋体" w:hAnsi="宋体"/>
                <w:sz w:val="21"/>
                <w:szCs w:val="21"/>
              </w:rPr>
            </w:pPr>
          </w:p>
        </w:tc>
      </w:tr>
      <w:tr w14:paraId="339B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7BDB23B2">
            <w:pPr>
              <w:rPr>
                <w:rFonts w:ascii="宋体" w:hAnsi="宋体"/>
                <w:sz w:val="21"/>
                <w:szCs w:val="21"/>
              </w:rPr>
            </w:pPr>
          </w:p>
        </w:tc>
        <w:tc>
          <w:tcPr>
            <w:tcW w:w="568" w:type="pct"/>
          </w:tcPr>
          <w:p w14:paraId="20F56C30">
            <w:pPr>
              <w:rPr>
                <w:rFonts w:ascii="宋体" w:hAnsi="宋体"/>
                <w:sz w:val="21"/>
                <w:szCs w:val="21"/>
              </w:rPr>
            </w:pPr>
          </w:p>
        </w:tc>
        <w:tc>
          <w:tcPr>
            <w:tcW w:w="1517" w:type="pct"/>
          </w:tcPr>
          <w:p w14:paraId="02441F1E">
            <w:pPr>
              <w:rPr>
                <w:rFonts w:ascii="宋体" w:hAnsi="宋体"/>
                <w:sz w:val="21"/>
                <w:szCs w:val="21"/>
              </w:rPr>
            </w:pPr>
          </w:p>
        </w:tc>
        <w:tc>
          <w:tcPr>
            <w:tcW w:w="1177" w:type="pct"/>
          </w:tcPr>
          <w:p w14:paraId="0A6A85C9">
            <w:pPr>
              <w:rPr>
                <w:rFonts w:ascii="宋体" w:hAnsi="宋体"/>
                <w:sz w:val="21"/>
                <w:szCs w:val="21"/>
              </w:rPr>
            </w:pPr>
          </w:p>
        </w:tc>
      </w:tr>
      <w:tr w14:paraId="0ED1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64EF424C">
            <w:pPr>
              <w:rPr>
                <w:rFonts w:ascii="宋体" w:hAnsi="宋体"/>
                <w:sz w:val="21"/>
                <w:szCs w:val="21"/>
              </w:rPr>
            </w:pPr>
          </w:p>
        </w:tc>
        <w:tc>
          <w:tcPr>
            <w:tcW w:w="568" w:type="pct"/>
          </w:tcPr>
          <w:p w14:paraId="49CF3F34">
            <w:pPr>
              <w:rPr>
                <w:rFonts w:ascii="宋体" w:hAnsi="宋体"/>
                <w:sz w:val="21"/>
                <w:szCs w:val="21"/>
              </w:rPr>
            </w:pPr>
          </w:p>
        </w:tc>
        <w:tc>
          <w:tcPr>
            <w:tcW w:w="1517" w:type="pct"/>
          </w:tcPr>
          <w:p w14:paraId="2EB88B1A">
            <w:pPr>
              <w:rPr>
                <w:rFonts w:ascii="宋体" w:hAnsi="宋体"/>
                <w:sz w:val="21"/>
                <w:szCs w:val="21"/>
              </w:rPr>
            </w:pPr>
          </w:p>
        </w:tc>
        <w:tc>
          <w:tcPr>
            <w:tcW w:w="1177" w:type="pct"/>
          </w:tcPr>
          <w:p w14:paraId="78BD3CC8">
            <w:pPr>
              <w:rPr>
                <w:rFonts w:ascii="宋体" w:hAnsi="宋体"/>
                <w:sz w:val="21"/>
                <w:szCs w:val="21"/>
              </w:rPr>
            </w:pPr>
          </w:p>
        </w:tc>
      </w:tr>
      <w:tr w14:paraId="3079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215D1387">
            <w:pPr>
              <w:rPr>
                <w:rFonts w:ascii="宋体" w:hAnsi="宋体"/>
                <w:sz w:val="21"/>
                <w:szCs w:val="21"/>
              </w:rPr>
            </w:pPr>
          </w:p>
        </w:tc>
        <w:tc>
          <w:tcPr>
            <w:tcW w:w="568" w:type="pct"/>
          </w:tcPr>
          <w:p w14:paraId="0AC2F6B7">
            <w:pPr>
              <w:rPr>
                <w:rFonts w:ascii="宋体" w:hAnsi="宋体"/>
                <w:sz w:val="21"/>
                <w:szCs w:val="21"/>
              </w:rPr>
            </w:pPr>
          </w:p>
        </w:tc>
        <w:tc>
          <w:tcPr>
            <w:tcW w:w="1517" w:type="pct"/>
          </w:tcPr>
          <w:p w14:paraId="747F87B2">
            <w:pPr>
              <w:rPr>
                <w:rFonts w:ascii="宋体" w:hAnsi="宋体"/>
                <w:sz w:val="21"/>
                <w:szCs w:val="21"/>
              </w:rPr>
            </w:pPr>
          </w:p>
        </w:tc>
        <w:tc>
          <w:tcPr>
            <w:tcW w:w="1177" w:type="pct"/>
          </w:tcPr>
          <w:p w14:paraId="5B85A0DD">
            <w:pPr>
              <w:rPr>
                <w:rFonts w:ascii="宋体" w:hAnsi="宋体"/>
                <w:sz w:val="21"/>
                <w:szCs w:val="21"/>
              </w:rPr>
            </w:pPr>
          </w:p>
        </w:tc>
      </w:tr>
    </w:tbl>
    <w:p w14:paraId="0DA16333">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1"/>
          <w:szCs w:val="21"/>
        </w:rPr>
      </w:pPr>
    </w:p>
    <w:p w14:paraId="0DD38FC2">
      <w:pPr>
        <w:adjustRightInd w:val="0"/>
        <w:snapToGrid w:val="0"/>
        <w:spacing w:line="288" w:lineRule="auto"/>
        <w:rPr>
          <w:sz w:val="21"/>
          <w:szCs w:val="21"/>
        </w:rPr>
      </w:pPr>
      <w:r>
        <w:rPr>
          <w:rFonts w:hint="eastAsia"/>
          <w:sz w:val="21"/>
          <w:szCs w:val="21"/>
        </w:rPr>
        <w:br w:type="page"/>
      </w:r>
    </w:p>
    <w:p w14:paraId="273D2BF7">
      <w:pPr>
        <w:adjustRightInd w:val="0"/>
        <w:snapToGrid w:val="0"/>
        <w:spacing w:line="288" w:lineRule="auto"/>
        <w:jc w:val="center"/>
        <w:outlineLvl w:val="0"/>
        <w:rPr>
          <w:b/>
          <w:bCs/>
          <w:sz w:val="32"/>
          <w:szCs w:val="32"/>
        </w:rPr>
      </w:pPr>
      <w:r>
        <w:rPr>
          <w:rFonts w:hint="eastAsia"/>
          <w:b/>
          <w:bCs/>
          <w:sz w:val="32"/>
          <w:szCs w:val="32"/>
        </w:rPr>
        <w:t>第六章  响应文件格式</w:t>
      </w:r>
    </w:p>
    <w:p w14:paraId="15445C68">
      <w:pPr>
        <w:adjustRightInd w:val="0"/>
        <w:snapToGrid w:val="0"/>
        <w:spacing w:line="288" w:lineRule="auto"/>
        <w:rPr>
          <w:sz w:val="21"/>
          <w:szCs w:val="21"/>
        </w:rPr>
      </w:pPr>
    </w:p>
    <w:p w14:paraId="0173F638">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69497057">
      <w:pPr>
        <w:adjustRightInd w:val="0"/>
        <w:snapToGrid w:val="0"/>
        <w:spacing w:line="288" w:lineRule="auto"/>
        <w:rPr>
          <w:sz w:val="21"/>
          <w:szCs w:val="21"/>
        </w:rPr>
      </w:pPr>
    </w:p>
    <w:p w14:paraId="4D46E0C6">
      <w:pPr>
        <w:adjustRightInd w:val="0"/>
        <w:snapToGrid w:val="0"/>
        <w:spacing w:line="288" w:lineRule="auto"/>
        <w:ind w:firstLine="422" w:firstLineChars="200"/>
        <w:rPr>
          <w:b/>
          <w:bCs/>
          <w:sz w:val="21"/>
          <w:szCs w:val="21"/>
        </w:rPr>
      </w:pPr>
      <w:bookmarkStart w:id="175" w:name="_Hlk71884160"/>
      <w:r>
        <w:rPr>
          <w:rFonts w:hint="eastAsia"/>
          <w:b/>
          <w:bCs/>
          <w:sz w:val="21"/>
          <w:szCs w:val="21"/>
        </w:rPr>
        <w:t>▲1.资格文件（单独上传）。资格审查要求的资格证明材料（均需加盖公章）</w:t>
      </w:r>
    </w:p>
    <w:bookmarkEnd w:id="175"/>
    <w:p w14:paraId="62923CD6">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14:paraId="59993FD8">
      <w:pPr>
        <w:adjustRightInd w:val="0"/>
        <w:snapToGrid w:val="0"/>
        <w:spacing w:line="288" w:lineRule="auto"/>
        <w:ind w:firstLine="420" w:firstLineChars="200"/>
        <w:rPr>
          <w:sz w:val="21"/>
          <w:szCs w:val="21"/>
        </w:rPr>
      </w:pPr>
      <w:bookmarkStart w:id="176" w:name="_Hlk71884127"/>
      <w:r>
        <w:rPr>
          <w:rFonts w:hint="eastAsia"/>
          <w:sz w:val="21"/>
          <w:szCs w:val="21"/>
        </w:rPr>
        <w:t>（</w:t>
      </w:r>
      <w:r>
        <w:rPr>
          <w:sz w:val="21"/>
          <w:szCs w:val="21"/>
        </w:rPr>
        <w:t>2）符合参加政府采购活动应当具备的一般条件的承诺函</w:t>
      </w:r>
    </w:p>
    <w:p w14:paraId="6C076662">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3）落实政府采购</w:t>
      </w:r>
      <w:r>
        <w:rPr>
          <w:sz w:val="21"/>
          <w:szCs w:val="21"/>
          <w:highlight w:val="none"/>
        </w:rPr>
        <w:t>政策需满足的资格要求：</w:t>
      </w:r>
    </w:p>
    <w:p w14:paraId="528EC4B1">
      <w:pPr>
        <w:adjustRightInd w:val="0"/>
        <w:snapToGrid w:val="0"/>
        <w:spacing w:line="288" w:lineRule="auto"/>
        <w:ind w:firstLine="420" w:firstLineChars="200"/>
        <w:rPr>
          <w:rFonts w:hint="eastAsia"/>
          <w:sz w:val="21"/>
          <w:szCs w:val="21"/>
          <w:highlight w:val="none"/>
        </w:rPr>
      </w:pPr>
      <w:r>
        <w:rPr>
          <w:rFonts w:hint="eastAsia"/>
          <w:sz w:val="21"/>
          <w:szCs w:val="21"/>
          <w:highlight w:val="none"/>
        </w:rPr>
        <w:t>1）中小企业声明函（若属于中小企业）</w:t>
      </w:r>
    </w:p>
    <w:p w14:paraId="349DE21C">
      <w:pPr>
        <w:adjustRightInd w:val="0"/>
        <w:snapToGrid w:val="0"/>
        <w:spacing w:line="288" w:lineRule="auto"/>
        <w:ind w:firstLine="420" w:firstLineChars="200"/>
        <w:rPr>
          <w:rFonts w:hint="eastAsia"/>
          <w:sz w:val="21"/>
          <w:szCs w:val="21"/>
          <w:highlight w:val="none"/>
        </w:rPr>
      </w:pPr>
      <w:r>
        <w:rPr>
          <w:rFonts w:hint="eastAsia"/>
          <w:sz w:val="21"/>
          <w:szCs w:val="21"/>
          <w:highlight w:val="none"/>
        </w:rPr>
        <w:t>2）属于监狱企业的证明文件（若属于监狱企业）</w:t>
      </w:r>
    </w:p>
    <w:p w14:paraId="18CC1F31">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14:paraId="20368885">
      <w:pPr>
        <w:adjustRightInd w:val="0"/>
        <w:snapToGrid w:val="0"/>
        <w:spacing w:line="288" w:lineRule="auto"/>
        <w:ind w:firstLine="420" w:firstLineChars="200"/>
        <w:rPr>
          <w:rFonts w:hint="eastAsia"/>
          <w:sz w:val="21"/>
          <w:szCs w:val="21"/>
          <w:highlight w:val="none"/>
        </w:rPr>
      </w:pPr>
      <w:r>
        <w:rPr>
          <w:rFonts w:hint="eastAsia"/>
          <w:sz w:val="21"/>
          <w:szCs w:val="21"/>
          <w:highlight w:val="none"/>
        </w:rPr>
        <w:t>4）联合协议、分包意向协议（如有）</w:t>
      </w:r>
    </w:p>
    <w:p w14:paraId="67CE999A">
      <w:pPr>
        <w:adjustRightInd w:val="0"/>
        <w:snapToGrid w:val="0"/>
        <w:spacing w:line="288" w:lineRule="auto"/>
        <w:ind w:firstLine="420" w:firstLineChars="200"/>
        <w:rPr>
          <w:rFonts w:hint="eastAsia"/>
          <w:sz w:val="21"/>
          <w:szCs w:val="21"/>
          <w:highlight w:val="none"/>
        </w:rPr>
      </w:pPr>
      <w:r>
        <w:rPr>
          <w:rFonts w:hint="eastAsia"/>
          <w:sz w:val="21"/>
          <w:szCs w:val="21"/>
          <w:highlight w:val="none"/>
        </w:rPr>
        <w:t>（4）本项目的特定资格要求证明材料：无</w:t>
      </w:r>
    </w:p>
    <w:p w14:paraId="7B6695CB">
      <w:pPr>
        <w:adjustRightInd w:val="0"/>
        <w:snapToGrid w:val="0"/>
        <w:spacing w:line="288" w:lineRule="auto"/>
        <w:ind w:firstLine="420" w:firstLineChars="200"/>
        <w:rPr>
          <w:bCs/>
          <w:sz w:val="21"/>
          <w:szCs w:val="21"/>
          <w:highlight w:val="none"/>
        </w:rPr>
      </w:pPr>
      <w:r>
        <w:rPr>
          <w:rFonts w:hint="eastAsia"/>
          <w:sz w:val="21"/>
          <w:szCs w:val="21"/>
          <w:highlight w:val="none"/>
        </w:rPr>
        <w:t>▲联合体响应的，联合体各方均应提供资格文件（1）、（2）、（3）材料</w:t>
      </w:r>
    </w:p>
    <w:p w14:paraId="14D7BCC7">
      <w:pPr>
        <w:adjustRightInd w:val="0"/>
        <w:snapToGrid w:val="0"/>
        <w:spacing w:line="288" w:lineRule="auto"/>
        <w:ind w:firstLine="422" w:firstLineChars="200"/>
        <w:rPr>
          <w:b/>
          <w:bCs/>
          <w:sz w:val="21"/>
          <w:szCs w:val="21"/>
          <w:highlight w:val="none"/>
        </w:rPr>
      </w:pPr>
    </w:p>
    <w:bookmarkEnd w:id="176"/>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2024年06月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A5E334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177" w:name="_Hlk71884196"/>
      <w:r>
        <w:rPr>
          <w:rFonts w:hint="eastAsia"/>
          <w:sz w:val="21"/>
          <w:szCs w:val="21"/>
          <w:highlight w:val="none"/>
          <w:lang w:val="en-US" w:eastAsia="zh-CN"/>
        </w:rPr>
        <w:t>服务</w:t>
      </w:r>
      <w:r>
        <w:rPr>
          <w:sz w:val="21"/>
          <w:szCs w:val="21"/>
          <w:highlight w:val="none"/>
        </w:rPr>
        <w:t>方案：</w:t>
      </w:r>
    </w:p>
    <w:p w14:paraId="4FE3F97E">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项目实施方案</w:t>
      </w:r>
    </w:p>
    <w:p w14:paraId="51477820">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施工图预算编制和审核方案</w:t>
      </w:r>
    </w:p>
    <w:p w14:paraId="78F9407B">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施工阶段全过程跟踪审计服务方案</w:t>
      </w:r>
    </w:p>
    <w:p w14:paraId="1B63C38B">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工程竣工结算审核服务方案</w:t>
      </w:r>
    </w:p>
    <w:p w14:paraId="51D8EC6B">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拟投入人员（需提供人员配置清单）</w:t>
      </w:r>
    </w:p>
    <w:p w14:paraId="21A868BE">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6</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177"/>
    </w:p>
    <w:p w14:paraId="0E122B22">
      <w:pPr>
        <w:adjustRightInd w:val="0"/>
        <w:snapToGrid w:val="0"/>
        <w:spacing w:line="288" w:lineRule="auto"/>
        <w:ind w:firstLine="420" w:firstLineChars="200"/>
        <w:rPr>
          <w:rFonts w:hint="eastAsia"/>
          <w:sz w:val="21"/>
          <w:szCs w:val="21"/>
          <w:highlight w:val="none"/>
        </w:rPr>
      </w:pPr>
      <w:r>
        <w:rPr>
          <w:rFonts w:hint="eastAsia"/>
          <w:sz w:val="21"/>
          <w:szCs w:val="21"/>
          <w:highlight w:val="none"/>
        </w:rPr>
        <w:t>（7）政府采购供应商廉洁自律承诺书</w:t>
      </w:r>
    </w:p>
    <w:p w14:paraId="30ED6372">
      <w:pPr>
        <w:pStyle w:val="2"/>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9EC3FC8">
      <w:pPr>
        <w:widowControl/>
        <w:jc w:val="left"/>
        <w:rPr>
          <w:sz w:val="21"/>
          <w:szCs w:val="21"/>
          <w:highlight w:val="none"/>
        </w:rPr>
      </w:pPr>
      <w:r>
        <w:rPr>
          <w:sz w:val="21"/>
          <w:szCs w:val="21"/>
          <w:highlight w:val="none"/>
        </w:rPr>
        <w:br w:type="page"/>
      </w:r>
    </w:p>
    <w:p w14:paraId="2218EEB0">
      <w:pPr>
        <w:tabs>
          <w:tab w:val="center" w:pos="4706"/>
        </w:tabs>
        <w:adjustRightInd w:val="0"/>
        <w:snapToGrid w:val="0"/>
        <w:spacing w:line="288" w:lineRule="auto"/>
        <w:jc w:val="center"/>
        <w:outlineLvl w:val="2"/>
        <w:rPr>
          <w:rFonts w:cs="Times New Roman"/>
          <w:b/>
          <w:spacing w:val="-6"/>
          <w:sz w:val="21"/>
          <w:szCs w:val="21"/>
        </w:rPr>
      </w:pPr>
      <w:bookmarkStart w:id="178" w:name="_Hlk140130228"/>
      <w:r>
        <w:rPr>
          <w:rFonts w:hint="eastAsia" w:cs="Times New Roman"/>
          <w:b/>
          <w:spacing w:val="-6"/>
          <w:sz w:val="21"/>
          <w:szCs w:val="21"/>
        </w:rPr>
        <w:t>评分索引表</w:t>
      </w:r>
    </w:p>
    <w:tbl>
      <w:tblPr>
        <w:tblStyle w:val="1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14:paraId="29705795">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14:paraId="24FB67FF">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rPr>
            </w:pPr>
          </w:p>
        </w:tc>
        <w:tc>
          <w:tcPr>
            <w:tcW w:w="2091" w:type="dxa"/>
            <w:vAlign w:val="center"/>
          </w:tcPr>
          <w:p w14:paraId="5970A745">
            <w:pPr>
              <w:adjustRightInd w:val="0"/>
              <w:snapToGrid w:val="0"/>
              <w:spacing w:line="288" w:lineRule="auto"/>
              <w:jc w:val="center"/>
              <w:rPr>
                <w:rFonts w:cs="Times New Roman"/>
                <w:spacing w:val="-6"/>
                <w:sz w:val="21"/>
                <w:szCs w:val="21"/>
              </w:rPr>
            </w:pPr>
          </w:p>
        </w:tc>
        <w:tc>
          <w:tcPr>
            <w:tcW w:w="709" w:type="dxa"/>
            <w:vAlign w:val="center"/>
          </w:tcPr>
          <w:p w14:paraId="5B6E306F">
            <w:pPr>
              <w:adjustRightInd w:val="0"/>
              <w:snapToGrid w:val="0"/>
              <w:spacing w:line="288" w:lineRule="auto"/>
              <w:jc w:val="center"/>
              <w:rPr>
                <w:rFonts w:cs="Times New Roman"/>
                <w:spacing w:val="-6"/>
                <w:sz w:val="21"/>
                <w:szCs w:val="21"/>
              </w:rPr>
            </w:pPr>
          </w:p>
        </w:tc>
        <w:tc>
          <w:tcPr>
            <w:tcW w:w="3040" w:type="dxa"/>
            <w:vAlign w:val="center"/>
          </w:tcPr>
          <w:p w14:paraId="164996A2">
            <w:pPr>
              <w:adjustRightInd w:val="0"/>
              <w:snapToGrid w:val="0"/>
              <w:spacing w:line="288" w:lineRule="auto"/>
              <w:rPr>
                <w:rFonts w:cs="Times New Roman"/>
                <w:spacing w:val="-6"/>
                <w:sz w:val="21"/>
                <w:szCs w:val="21"/>
              </w:rPr>
            </w:pPr>
          </w:p>
        </w:tc>
        <w:tc>
          <w:tcPr>
            <w:tcW w:w="967" w:type="dxa"/>
            <w:vAlign w:val="center"/>
          </w:tcPr>
          <w:p w14:paraId="237D90EF">
            <w:pPr>
              <w:adjustRightInd w:val="0"/>
              <w:snapToGrid w:val="0"/>
              <w:spacing w:line="288" w:lineRule="auto"/>
              <w:jc w:val="center"/>
              <w:rPr>
                <w:rFonts w:cs="Times New Roman"/>
                <w:spacing w:val="-6"/>
                <w:sz w:val="21"/>
                <w:szCs w:val="21"/>
              </w:rPr>
            </w:pPr>
          </w:p>
        </w:tc>
        <w:tc>
          <w:tcPr>
            <w:tcW w:w="1053" w:type="dxa"/>
            <w:vAlign w:val="center"/>
          </w:tcPr>
          <w:p w14:paraId="4D2BAEEA">
            <w:pPr>
              <w:adjustRightInd w:val="0"/>
              <w:snapToGrid w:val="0"/>
              <w:spacing w:line="288" w:lineRule="auto"/>
              <w:jc w:val="center"/>
              <w:rPr>
                <w:rFonts w:cs="Times New Roman"/>
                <w:spacing w:val="-6"/>
                <w:sz w:val="21"/>
                <w:szCs w:val="21"/>
              </w:rPr>
            </w:pPr>
          </w:p>
        </w:tc>
        <w:tc>
          <w:tcPr>
            <w:tcW w:w="881" w:type="dxa"/>
          </w:tcPr>
          <w:p w14:paraId="313CE6E5">
            <w:pPr>
              <w:adjustRightInd w:val="0"/>
              <w:snapToGrid w:val="0"/>
              <w:spacing w:line="288" w:lineRule="auto"/>
              <w:jc w:val="center"/>
              <w:rPr>
                <w:rFonts w:cs="Times New Roman"/>
                <w:spacing w:val="-6"/>
                <w:sz w:val="21"/>
                <w:szCs w:val="21"/>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rPr>
            </w:pPr>
          </w:p>
        </w:tc>
        <w:tc>
          <w:tcPr>
            <w:tcW w:w="2091" w:type="dxa"/>
            <w:vAlign w:val="center"/>
          </w:tcPr>
          <w:p w14:paraId="2FEC1D23">
            <w:pPr>
              <w:adjustRightInd w:val="0"/>
              <w:snapToGrid w:val="0"/>
              <w:spacing w:line="288" w:lineRule="auto"/>
              <w:jc w:val="center"/>
              <w:rPr>
                <w:rFonts w:cs="Times New Roman"/>
                <w:spacing w:val="-6"/>
                <w:sz w:val="21"/>
                <w:szCs w:val="21"/>
              </w:rPr>
            </w:pPr>
          </w:p>
        </w:tc>
        <w:tc>
          <w:tcPr>
            <w:tcW w:w="709" w:type="dxa"/>
            <w:vAlign w:val="center"/>
          </w:tcPr>
          <w:p w14:paraId="4E7C5F16">
            <w:pPr>
              <w:adjustRightInd w:val="0"/>
              <w:snapToGrid w:val="0"/>
              <w:spacing w:line="288" w:lineRule="auto"/>
              <w:jc w:val="center"/>
              <w:rPr>
                <w:rFonts w:cs="Times New Roman"/>
                <w:spacing w:val="-6"/>
                <w:sz w:val="21"/>
                <w:szCs w:val="21"/>
              </w:rPr>
            </w:pPr>
          </w:p>
        </w:tc>
        <w:tc>
          <w:tcPr>
            <w:tcW w:w="3040" w:type="dxa"/>
            <w:vAlign w:val="center"/>
          </w:tcPr>
          <w:p w14:paraId="6B0AB190">
            <w:pPr>
              <w:adjustRightInd w:val="0"/>
              <w:snapToGrid w:val="0"/>
              <w:spacing w:line="288" w:lineRule="auto"/>
              <w:rPr>
                <w:rFonts w:cs="Times New Roman"/>
                <w:spacing w:val="-6"/>
                <w:sz w:val="21"/>
                <w:szCs w:val="21"/>
              </w:rPr>
            </w:pPr>
          </w:p>
        </w:tc>
        <w:tc>
          <w:tcPr>
            <w:tcW w:w="967" w:type="dxa"/>
            <w:vAlign w:val="center"/>
          </w:tcPr>
          <w:p w14:paraId="796DF8DC">
            <w:pPr>
              <w:adjustRightInd w:val="0"/>
              <w:snapToGrid w:val="0"/>
              <w:spacing w:line="288" w:lineRule="auto"/>
              <w:jc w:val="center"/>
              <w:rPr>
                <w:rFonts w:cs="Times New Roman"/>
                <w:spacing w:val="-6"/>
                <w:sz w:val="21"/>
                <w:szCs w:val="21"/>
              </w:rPr>
            </w:pPr>
          </w:p>
        </w:tc>
        <w:tc>
          <w:tcPr>
            <w:tcW w:w="1053" w:type="dxa"/>
            <w:vAlign w:val="center"/>
          </w:tcPr>
          <w:p w14:paraId="738F563D">
            <w:pPr>
              <w:adjustRightInd w:val="0"/>
              <w:snapToGrid w:val="0"/>
              <w:spacing w:line="288" w:lineRule="auto"/>
              <w:jc w:val="center"/>
              <w:rPr>
                <w:rFonts w:cs="Times New Roman"/>
                <w:spacing w:val="-6"/>
                <w:sz w:val="21"/>
                <w:szCs w:val="21"/>
              </w:rPr>
            </w:pPr>
          </w:p>
        </w:tc>
        <w:tc>
          <w:tcPr>
            <w:tcW w:w="881" w:type="dxa"/>
          </w:tcPr>
          <w:p w14:paraId="4AF4A704">
            <w:pPr>
              <w:adjustRightInd w:val="0"/>
              <w:snapToGrid w:val="0"/>
              <w:spacing w:line="288" w:lineRule="auto"/>
              <w:jc w:val="center"/>
              <w:rPr>
                <w:rFonts w:cs="Times New Roman"/>
                <w:spacing w:val="-6"/>
                <w:sz w:val="21"/>
                <w:szCs w:val="21"/>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rPr>
            </w:pPr>
          </w:p>
        </w:tc>
        <w:tc>
          <w:tcPr>
            <w:tcW w:w="2091" w:type="dxa"/>
            <w:vAlign w:val="center"/>
          </w:tcPr>
          <w:p w14:paraId="7A9A5977">
            <w:pPr>
              <w:adjustRightInd w:val="0"/>
              <w:snapToGrid w:val="0"/>
              <w:spacing w:line="288" w:lineRule="auto"/>
              <w:jc w:val="center"/>
              <w:rPr>
                <w:rFonts w:cs="Times New Roman"/>
                <w:kern w:val="0"/>
                <w:sz w:val="21"/>
                <w:szCs w:val="21"/>
              </w:rPr>
            </w:pPr>
          </w:p>
        </w:tc>
        <w:tc>
          <w:tcPr>
            <w:tcW w:w="709" w:type="dxa"/>
            <w:vAlign w:val="center"/>
          </w:tcPr>
          <w:p w14:paraId="21E2B9F8">
            <w:pPr>
              <w:adjustRightInd w:val="0"/>
              <w:snapToGrid w:val="0"/>
              <w:spacing w:line="288" w:lineRule="auto"/>
              <w:jc w:val="center"/>
              <w:rPr>
                <w:rFonts w:cs="Times New Roman"/>
                <w:kern w:val="0"/>
                <w:sz w:val="21"/>
                <w:szCs w:val="21"/>
              </w:rPr>
            </w:pPr>
          </w:p>
        </w:tc>
        <w:tc>
          <w:tcPr>
            <w:tcW w:w="3040" w:type="dxa"/>
            <w:vAlign w:val="center"/>
          </w:tcPr>
          <w:p w14:paraId="7747D252">
            <w:pPr>
              <w:adjustRightInd w:val="0"/>
              <w:snapToGrid w:val="0"/>
              <w:spacing w:line="288" w:lineRule="auto"/>
              <w:rPr>
                <w:rFonts w:cs="Times New Roman"/>
                <w:kern w:val="0"/>
                <w:sz w:val="21"/>
                <w:szCs w:val="21"/>
              </w:rPr>
            </w:pPr>
          </w:p>
        </w:tc>
        <w:tc>
          <w:tcPr>
            <w:tcW w:w="967" w:type="dxa"/>
            <w:vAlign w:val="center"/>
          </w:tcPr>
          <w:p w14:paraId="265789B1">
            <w:pPr>
              <w:adjustRightInd w:val="0"/>
              <w:snapToGrid w:val="0"/>
              <w:spacing w:line="288" w:lineRule="auto"/>
              <w:jc w:val="center"/>
              <w:rPr>
                <w:rFonts w:cs="Times New Roman"/>
                <w:sz w:val="21"/>
                <w:szCs w:val="21"/>
              </w:rPr>
            </w:pPr>
          </w:p>
        </w:tc>
        <w:tc>
          <w:tcPr>
            <w:tcW w:w="1053" w:type="dxa"/>
            <w:vAlign w:val="center"/>
          </w:tcPr>
          <w:p w14:paraId="159EE15B">
            <w:pPr>
              <w:adjustRightInd w:val="0"/>
              <w:snapToGrid w:val="0"/>
              <w:spacing w:line="288" w:lineRule="auto"/>
              <w:jc w:val="center"/>
              <w:rPr>
                <w:rFonts w:cs="Times New Roman"/>
                <w:sz w:val="21"/>
                <w:szCs w:val="21"/>
              </w:rPr>
            </w:pPr>
          </w:p>
        </w:tc>
        <w:tc>
          <w:tcPr>
            <w:tcW w:w="881" w:type="dxa"/>
          </w:tcPr>
          <w:p w14:paraId="6D50DA92">
            <w:pPr>
              <w:adjustRightInd w:val="0"/>
              <w:snapToGrid w:val="0"/>
              <w:spacing w:line="288" w:lineRule="auto"/>
              <w:jc w:val="center"/>
              <w:rPr>
                <w:rFonts w:cs="Times New Roman"/>
                <w:sz w:val="21"/>
                <w:szCs w:val="21"/>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rPr>
            </w:pPr>
          </w:p>
        </w:tc>
        <w:tc>
          <w:tcPr>
            <w:tcW w:w="2091" w:type="dxa"/>
            <w:vAlign w:val="center"/>
          </w:tcPr>
          <w:p w14:paraId="50CC5204">
            <w:pPr>
              <w:adjustRightInd w:val="0"/>
              <w:snapToGrid w:val="0"/>
              <w:spacing w:line="288" w:lineRule="auto"/>
              <w:jc w:val="center"/>
              <w:rPr>
                <w:rFonts w:cs="Times New Roman"/>
                <w:spacing w:val="-6"/>
                <w:sz w:val="21"/>
                <w:szCs w:val="21"/>
              </w:rPr>
            </w:pPr>
          </w:p>
        </w:tc>
        <w:tc>
          <w:tcPr>
            <w:tcW w:w="709" w:type="dxa"/>
            <w:vAlign w:val="center"/>
          </w:tcPr>
          <w:p w14:paraId="7BF38014">
            <w:pPr>
              <w:adjustRightInd w:val="0"/>
              <w:snapToGrid w:val="0"/>
              <w:spacing w:line="288" w:lineRule="auto"/>
              <w:jc w:val="center"/>
              <w:rPr>
                <w:rFonts w:cs="Times New Roman"/>
                <w:spacing w:val="-6"/>
                <w:sz w:val="21"/>
                <w:szCs w:val="21"/>
              </w:rPr>
            </w:pPr>
          </w:p>
        </w:tc>
        <w:tc>
          <w:tcPr>
            <w:tcW w:w="3040" w:type="dxa"/>
            <w:vAlign w:val="center"/>
          </w:tcPr>
          <w:p w14:paraId="3904266A">
            <w:pPr>
              <w:adjustRightInd w:val="0"/>
              <w:snapToGrid w:val="0"/>
              <w:spacing w:line="288" w:lineRule="auto"/>
              <w:rPr>
                <w:rFonts w:cs="Times New Roman"/>
                <w:spacing w:val="-6"/>
                <w:sz w:val="21"/>
                <w:szCs w:val="21"/>
              </w:rPr>
            </w:pPr>
          </w:p>
        </w:tc>
        <w:tc>
          <w:tcPr>
            <w:tcW w:w="967" w:type="dxa"/>
            <w:vAlign w:val="center"/>
          </w:tcPr>
          <w:p w14:paraId="7F227800">
            <w:pPr>
              <w:adjustRightInd w:val="0"/>
              <w:snapToGrid w:val="0"/>
              <w:spacing w:line="288" w:lineRule="auto"/>
              <w:jc w:val="center"/>
              <w:rPr>
                <w:rFonts w:cs="Times New Roman"/>
                <w:spacing w:val="-6"/>
                <w:sz w:val="21"/>
                <w:szCs w:val="21"/>
              </w:rPr>
            </w:pPr>
          </w:p>
        </w:tc>
        <w:tc>
          <w:tcPr>
            <w:tcW w:w="1053" w:type="dxa"/>
            <w:vAlign w:val="center"/>
          </w:tcPr>
          <w:p w14:paraId="43F2B082">
            <w:pPr>
              <w:adjustRightInd w:val="0"/>
              <w:snapToGrid w:val="0"/>
              <w:spacing w:line="288" w:lineRule="auto"/>
              <w:jc w:val="center"/>
              <w:rPr>
                <w:rFonts w:cs="Times New Roman"/>
                <w:spacing w:val="-6"/>
                <w:sz w:val="21"/>
                <w:szCs w:val="21"/>
              </w:rPr>
            </w:pPr>
          </w:p>
        </w:tc>
        <w:tc>
          <w:tcPr>
            <w:tcW w:w="881" w:type="dxa"/>
          </w:tcPr>
          <w:p w14:paraId="2927FA72">
            <w:pPr>
              <w:adjustRightInd w:val="0"/>
              <w:snapToGrid w:val="0"/>
              <w:spacing w:line="288" w:lineRule="auto"/>
              <w:jc w:val="center"/>
              <w:rPr>
                <w:rFonts w:cs="Times New Roman"/>
                <w:spacing w:val="-6"/>
                <w:sz w:val="21"/>
                <w:szCs w:val="21"/>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rPr>
            </w:pPr>
          </w:p>
        </w:tc>
        <w:tc>
          <w:tcPr>
            <w:tcW w:w="2091" w:type="dxa"/>
            <w:vAlign w:val="center"/>
          </w:tcPr>
          <w:p w14:paraId="7F40A3BB">
            <w:pPr>
              <w:adjustRightInd w:val="0"/>
              <w:snapToGrid w:val="0"/>
              <w:spacing w:line="288" w:lineRule="auto"/>
              <w:jc w:val="center"/>
              <w:rPr>
                <w:rFonts w:cs="Times New Roman"/>
                <w:spacing w:val="-6"/>
                <w:sz w:val="21"/>
                <w:szCs w:val="21"/>
              </w:rPr>
            </w:pPr>
          </w:p>
        </w:tc>
        <w:tc>
          <w:tcPr>
            <w:tcW w:w="709" w:type="dxa"/>
            <w:vAlign w:val="center"/>
          </w:tcPr>
          <w:p w14:paraId="663E1A19">
            <w:pPr>
              <w:adjustRightInd w:val="0"/>
              <w:snapToGrid w:val="0"/>
              <w:spacing w:line="288" w:lineRule="auto"/>
              <w:jc w:val="center"/>
              <w:rPr>
                <w:rFonts w:cs="Times New Roman"/>
                <w:spacing w:val="-6"/>
                <w:sz w:val="21"/>
                <w:szCs w:val="21"/>
              </w:rPr>
            </w:pPr>
          </w:p>
        </w:tc>
        <w:tc>
          <w:tcPr>
            <w:tcW w:w="3040" w:type="dxa"/>
            <w:vAlign w:val="center"/>
          </w:tcPr>
          <w:p w14:paraId="3E3D5C0B">
            <w:pPr>
              <w:adjustRightInd w:val="0"/>
              <w:snapToGrid w:val="0"/>
              <w:spacing w:line="288" w:lineRule="auto"/>
              <w:rPr>
                <w:rFonts w:cs="Times New Roman"/>
                <w:spacing w:val="-6"/>
                <w:sz w:val="21"/>
                <w:szCs w:val="21"/>
              </w:rPr>
            </w:pPr>
          </w:p>
        </w:tc>
        <w:tc>
          <w:tcPr>
            <w:tcW w:w="967" w:type="dxa"/>
            <w:vAlign w:val="center"/>
          </w:tcPr>
          <w:p w14:paraId="628173AB">
            <w:pPr>
              <w:adjustRightInd w:val="0"/>
              <w:snapToGrid w:val="0"/>
              <w:spacing w:line="288" w:lineRule="auto"/>
              <w:jc w:val="center"/>
              <w:rPr>
                <w:rFonts w:cs="Times New Roman"/>
                <w:spacing w:val="-6"/>
                <w:sz w:val="21"/>
                <w:szCs w:val="21"/>
              </w:rPr>
            </w:pPr>
          </w:p>
        </w:tc>
        <w:tc>
          <w:tcPr>
            <w:tcW w:w="1053" w:type="dxa"/>
            <w:vAlign w:val="center"/>
          </w:tcPr>
          <w:p w14:paraId="33285028">
            <w:pPr>
              <w:adjustRightInd w:val="0"/>
              <w:snapToGrid w:val="0"/>
              <w:spacing w:line="288" w:lineRule="auto"/>
              <w:jc w:val="center"/>
              <w:rPr>
                <w:rFonts w:cs="Times New Roman"/>
                <w:spacing w:val="-6"/>
                <w:sz w:val="21"/>
                <w:szCs w:val="21"/>
              </w:rPr>
            </w:pPr>
          </w:p>
        </w:tc>
        <w:tc>
          <w:tcPr>
            <w:tcW w:w="881" w:type="dxa"/>
          </w:tcPr>
          <w:p w14:paraId="00E6B586">
            <w:pPr>
              <w:adjustRightInd w:val="0"/>
              <w:snapToGrid w:val="0"/>
              <w:spacing w:line="288" w:lineRule="auto"/>
              <w:jc w:val="center"/>
              <w:rPr>
                <w:rFonts w:cs="Times New Roman"/>
                <w:spacing w:val="-6"/>
                <w:sz w:val="21"/>
                <w:szCs w:val="21"/>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rPr>
            </w:pPr>
          </w:p>
        </w:tc>
        <w:tc>
          <w:tcPr>
            <w:tcW w:w="2091" w:type="dxa"/>
            <w:vAlign w:val="center"/>
          </w:tcPr>
          <w:p w14:paraId="400590FD">
            <w:pPr>
              <w:adjustRightInd w:val="0"/>
              <w:snapToGrid w:val="0"/>
              <w:spacing w:line="288" w:lineRule="auto"/>
              <w:jc w:val="center"/>
              <w:rPr>
                <w:rFonts w:cs="Times New Roman"/>
                <w:spacing w:val="-6"/>
                <w:sz w:val="21"/>
                <w:szCs w:val="21"/>
              </w:rPr>
            </w:pPr>
          </w:p>
        </w:tc>
        <w:tc>
          <w:tcPr>
            <w:tcW w:w="709" w:type="dxa"/>
            <w:vAlign w:val="center"/>
          </w:tcPr>
          <w:p w14:paraId="1D1C7D95">
            <w:pPr>
              <w:adjustRightInd w:val="0"/>
              <w:snapToGrid w:val="0"/>
              <w:spacing w:line="288" w:lineRule="auto"/>
              <w:jc w:val="center"/>
              <w:rPr>
                <w:rFonts w:cs="Times New Roman"/>
                <w:spacing w:val="-6"/>
                <w:sz w:val="21"/>
                <w:szCs w:val="21"/>
              </w:rPr>
            </w:pPr>
          </w:p>
        </w:tc>
        <w:tc>
          <w:tcPr>
            <w:tcW w:w="3040" w:type="dxa"/>
            <w:vAlign w:val="center"/>
          </w:tcPr>
          <w:p w14:paraId="0F0B4697">
            <w:pPr>
              <w:adjustRightInd w:val="0"/>
              <w:snapToGrid w:val="0"/>
              <w:spacing w:line="288" w:lineRule="auto"/>
              <w:rPr>
                <w:rFonts w:cs="Times New Roman"/>
                <w:spacing w:val="-6"/>
                <w:sz w:val="21"/>
                <w:szCs w:val="21"/>
              </w:rPr>
            </w:pPr>
          </w:p>
        </w:tc>
        <w:tc>
          <w:tcPr>
            <w:tcW w:w="967" w:type="dxa"/>
            <w:vAlign w:val="center"/>
          </w:tcPr>
          <w:p w14:paraId="115F039C">
            <w:pPr>
              <w:adjustRightInd w:val="0"/>
              <w:snapToGrid w:val="0"/>
              <w:spacing w:line="288" w:lineRule="auto"/>
              <w:jc w:val="center"/>
              <w:rPr>
                <w:rFonts w:cs="Times New Roman"/>
                <w:spacing w:val="-6"/>
                <w:sz w:val="21"/>
                <w:szCs w:val="21"/>
              </w:rPr>
            </w:pPr>
          </w:p>
        </w:tc>
        <w:tc>
          <w:tcPr>
            <w:tcW w:w="1053" w:type="dxa"/>
            <w:vAlign w:val="center"/>
          </w:tcPr>
          <w:p w14:paraId="774EDCDC">
            <w:pPr>
              <w:adjustRightInd w:val="0"/>
              <w:snapToGrid w:val="0"/>
              <w:spacing w:line="288" w:lineRule="auto"/>
              <w:jc w:val="center"/>
              <w:rPr>
                <w:rFonts w:cs="Times New Roman"/>
                <w:spacing w:val="-6"/>
                <w:sz w:val="21"/>
                <w:szCs w:val="21"/>
              </w:rPr>
            </w:pPr>
          </w:p>
        </w:tc>
        <w:tc>
          <w:tcPr>
            <w:tcW w:w="881" w:type="dxa"/>
          </w:tcPr>
          <w:p w14:paraId="1E7A8913">
            <w:pPr>
              <w:adjustRightInd w:val="0"/>
              <w:snapToGrid w:val="0"/>
              <w:spacing w:line="288" w:lineRule="auto"/>
              <w:jc w:val="center"/>
              <w:rPr>
                <w:rFonts w:cs="Times New Roman"/>
                <w:spacing w:val="-6"/>
                <w:sz w:val="21"/>
                <w:szCs w:val="21"/>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rPr>
            </w:pPr>
          </w:p>
        </w:tc>
        <w:tc>
          <w:tcPr>
            <w:tcW w:w="2091" w:type="dxa"/>
            <w:vAlign w:val="center"/>
          </w:tcPr>
          <w:p w14:paraId="187F973F">
            <w:pPr>
              <w:adjustRightInd w:val="0"/>
              <w:snapToGrid w:val="0"/>
              <w:spacing w:line="288" w:lineRule="auto"/>
              <w:jc w:val="center"/>
              <w:rPr>
                <w:rFonts w:cs="Times New Roman"/>
                <w:spacing w:val="-6"/>
                <w:sz w:val="21"/>
                <w:szCs w:val="21"/>
              </w:rPr>
            </w:pPr>
          </w:p>
        </w:tc>
        <w:tc>
          <w:tcPr>
            <w:tcW w:w="709" w:type="dxa"/>
            <w:vAlign w:val="center"/>
          </w:tcPr>
          <w:p w14:paraId="7104A1AB">
            <w:pPr>
              <w:adjustRightInd w:val="0"/>
              <w:snapToGrid w:val="0"/>
              <w:spacing w:line="288" w:lineRule="auto"/>
              <w:jc w:val="center"/>
              <w:rPr>
                <w:rFonts w:cs="Times New Roman"/>
                <w:spacing w:val="-6"/>
                <w:sz w:val="21"/>
                <w:szCs w:val="21"/>
              </w:rPr>
            </w:pPr>
          </w:p>
        </w:tc>
        <w:tc>
          <w:tcPr>
            <w:tcW w:w="3040" w:type="dxa"/>
            <w:vAlign w:val="center"/>
          </w:tcPr>
          <w:p w14:paraId="5E3CA7A9">
            <w:pPr>
              <w:adjustRightInd w:val="0"/>
              <w:snapToGrid w:val="0"/>
              <w:spacing w:line="288" w:lineRule="auto"/>
              <w:rPr>
                <w:rFonts w:cs="Times New Roman"/>
                <w:spacing w:val="-6"/>
                <w:sz w:val="21"/>
                <w:szCs w:val="21"/>
              </w:rPr>
            </w:pPr>
          </w:p>
        </w:tc>
        <w:tc>
          <w:tcPr>
            <w:tcW w:w="967" w:type="dxa"/>
            <w:vAlign w:val="center"/>
          </w:tcPr>
          <w:p w14:paraId="54616CCF">
            <w:pPr>
              <w:adjustRightInd w:val="0"/>
              <w:snapToGrid w:val="0"/>
              <w:spacing w:line="288" w:lineRule="auto"/>
              <w:jc w:val="center"/>
              <w:rPr>
                <w:rFonts w:cs="Times New Roman"/>
                <w:spacing w:val="-6"/>
                <w:sz w:val="21"/>
                <w:szCs w:val="21"/>
              </w:rPr>
            </w:pPr>
          </w:p>
        </w:tc>
        <w:tc>
          <w:tcPr>
            <w:tcW w:w="1053" w:type="dxa"/>
            <w:vAlign w:val="center"/>
          </w:tcPr>
          <w:p w14:paraId="1A4EE923">
            <w:pPr>
              <w:adjustRightInd w:val="0"/>
              <w:snapToGrid w:val="0"/>
              <w:spacing w:line="288" w:lineRule="auto"/>
              <w:jc w:val="center"/>
              <w:rPr>
                <w:rFonts w:cs="Times New Roman"/>
                <w:spacing w:val="-6"/>
                <w:sz w:val="21"/>
                <w:szCs w:val="21"/>
              </w:rPr>
            </w:pPr>
          </w:p>
        </w:tc>
        <w:tc>
          <w:tcPr>
            <w:tcW w:w="881" w:type="dxa"/>
          </w:tcPr>
          <w:p w14:paraId="300083B7">
            <w:pPr>
              <w:adjustRightInd w:val="0"/>
              <w:snapToGrid w:val="0"/>
              <w:spacing w:line="288" w:lineRule="auto"/>
              <w:jc w:val="center"/>
              <w:rPr>
                <w:rFonts w:cs="Times New Roman"/>
                <w:spacing w:val="-6"/>
                <w:sz w:val="21"/>
                <w:szCs w:val="21"/>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rPr>
            </w:pPr>
          </w:p>
        </w:tc>
        <w:tc>
          <w:tcPr>
            <w:tcW w:w="2091" w:type="dxa"/>
            <w:vAlign w:val="center"/>
          </w:tcPr>
          <w:p w14:paraId="0EEBDE19">
            <w:pPr>
              <w:adjustRightInd w:val="0"/>
              <w:snapToGrid w:val="0"/>
              <w:spacing w:line="288" w:lineRule="auto"/>
              <w:jc w:val="center"/>
              <w:rPr>
                <w:rFonts w:cs="Times New Roman"/>
                <w:spacing w:val="-6"/>
                <w:sz w:val="21"/>
                <w:szCs w:val="21"/>
              </w:rPr>
            </w:pPr>
          </w:p>
        </w:tc>
        <w:tc>
          <w:tcPr>
            <w:tcW w:w="709" w:type="dxa"/>
            <w:vAlign w:val="center"/>
          </w:tcPr>
          <w:p w14:paraId="5ABF0D36">
            <w:pPr>
              <w:adjustRightInd w:val="0"/>
              <w:snapToGrid w:val="0"/>
              <w:spacing w:line="288" w:lineRule="auto"/>
              <w:jc w:val="center"/>
              <w:rPr>
                <w:rFonts w:cs="Times New Roman"/>
                <w:spacing w:val="-6"/>
                <w:sz w:val="21"/>
                <w:szCs w:val="21"/>
              </w:rPr>
            </w:pPr>
          </w:p>
        </w:tc>
        <w:tc>
          <w:tcPr>
            <w:tcW w:w="3040" w:type="dxa"/>
            <w:vAlign w:val="center"/>
          </w:tcPr>
          <w:p w14:paraId="518C21F2">
            <w:pPr>
              <w:adjustRightInd w:val="0"/>
              <w:snapToGrid w:val="0"/>
              <w:spacing w:line="288" w:lineRule="auto"/>
              <w:rPr>
                <w:rFonts w:cs="Times New Roman"/>
                <w:spacing w:val="-6"/>
                <w:sz w:val="21"/>
                <w:szCs w:val="21"/>
              </w:rPr>
            </w:pPr>
          </w:p>
        </w:tc>
        <w:tc>
          <w:tcPr>
            <w:tcW w:w="967" w:type="dxa"/>
            <w:vAlign w:val="center"/>
          </w:tcPr>
          <w:p w14:paraId="293232A9">
            <w:pPr>
              <w:adjustRightInd w:val="0"/>
              <w:snapToGrid w:val="0"/>
              <w:spacing w:line="288" w:lineRule="auto"/>
              <w:jc w:val="center"/>
              <w:rPr>
                <w:rFonts w:cs="Times New Roman"/>
                <w:spacing w:val="-6"/>
                <w:sz w:val="21"/>
                <w:szCs w:val="21"/>
              </w:rPr>
            </w:pPr>
          </w:p>
        </w:tc>
        <w:tc>
          <w:tcPr>
            <w:tcW w:w="1053" w:type="dxa"/>
            <w:vAlign w:val="center"/>
          </w:tcPr>
          <w:p w14:paraId="0C77209E">
            <w:pPr>
              <w:adjustRightInd w:val="0"/>
              <w:snapToGrid w:val="0"/>
              <w:spacing w:line="288" w:lineRule="auto"/>
              <w:jc w:val="center"/>
              <w:rPr>
                <w:rFonts w:cs="Times New Roman"/>
                <w:spacing w:val="-6"/>
                <w:sz w:val="21"/>
                <w:szCs w:val="21"/>
              </w:rPr>
            </w:pPr>
          </w:p>
        </w:tc>
        <w:tc>
          <w:tcPr>
            <w:tcW w:w="881" w:type="dxa"/>
          </w:tcPr>
          <w:p w14:paraId="64A66E78">
            <w:pPr>
              <w:adjustRightInd w:val="0"/>
              <w:snapToGrid w:val="0"/>
              <w:spacing w:line="288" w:lineRule="auto"/>
              <w:jc w:val="center"/>
              <w:rPr>
                <w:rFonts w:cs="Times New Roman"/>
                <w:spacing w:val="-6"/>
                <w:sz w:val="21"/>
                <w:szCs w:val="21"/>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rPr>
            </w:pPr>
          </w:p>
        </w:tc>
        <w:tc>
          <w:tcPr>
            <w:tcW w:w="2091" w:type="dxa"/>
            <w:vAlign w:val="center"/>
          </w:tcPr>
          <w:p w14:paraId="75CE42A0">
            <w:pPr>
              <w:adjustRightInd w:val="0"/>
              <w:snapToGrid w:val="0"/>
              <w:spacing w:line="288" w:lineRule="auto"/>
              <w:jc w:val="center"/>
              <w:rPr>
                <w:rFonts w:cs="Times New Roman"/>
                <w:spacing w:val="-6"/>
                <w:sz w:val="21"/>
                <w:szCs w:val="21"/>
              </w:rPr>
            </w:pPr>
          </w:p>
        </w:tc>
        <w:tc>
          <w:tcPr>
            <w:tcW w:w="709" w:type="dxa"/>
            <w:vAlign w:val="center"/>
          </w:tcPr>
          <w:p w14:paraId="68BC2DA1">
            <w:pPr>
              <w:adjustRightInd w:val="0"/>
              <w:snapToGrid w:val="0"/>
              <w:spacing w:line="288" w:lineRule="auto"/>
              <w:jc w:val="center"/>
              <w:rPr>
                <w:rFonts w:cs="Times New Roman"/>
                <w:spacing w:val="-6"/>
                <w:sz w:val="21"/>
                <w:szCs w:val="21"/>
              </w:rPr>
            </w:pPr>
          </w:p>
        </w:tc>
        <w:tc>
          <w:tcPr>
            <w:tcW w:w="3040" w:type="dxa"/>
            <w:vAlign w:val="center"/>
          </w:tcPr>
          <w:p w14:paraId="56D92ED2">
            <w:pPr>
              <w:adjustRightInd w:val="0"/>
              <w:snapToGrid w:val="0"/>
              <w:spacing w:line="288" w:lineRule="auto"/>
              <w:rPr>
                <w:rFonts w:cs="Times New Roman"/>
                <w:spacing w:val="-6"/>
                <w:sz w:val="21"/>
                <w:szCs w:val="21"/>
              </w:rPr>
            </w:pPr>
          </w:p>
        </w:tc>
        <w:tc>
          <w:tcPr>
            <w:tcW w:w="967" w:type="dxa"/>
            <w:vAlign w:val="center"/>
          </w:tcPr>
          <w:p w14:paraId="6E302D1E">
            <w:pPr>
              <w:adjustRightInd w:val="0"/>
              <w:snapToGrid w:val="0"/>
              <w:spacing w:line="288" w:lineRule="auto"/>
              <w:jc w:val="center"/>
              <w:rPr>
                <w:rFonts w:cs="Times New Roman"/>
                <w:spacing w:val="-6"/>
                <w:sz w:val="21"/>
                <w:szCs w:val="21"/>
              </w:rPr>
            </w:pPr>
          </w:p>
        </w:tc>
        <w:tc>
          <w:tcPr>
            <w:tcW w:w="1053" w:type="dxa"/>
            <w:vAlign w:val="center"/>
          </w:tcPr>
          <w:p w14:paraId="429AC5CB">
            <w:pPr>
              <w:adjustRightInd w:val="0"/>
              <w:snapToGrid w:val="0"/>
              <w:spacing w:line="288" w:lineRule="auto"/>
              <w:jc w:val="center"/>
              <w:rPr>
                <w:rFonts w:cs="Times New Roman"/>
                <w:spacing w:val="-6"/>
                <w:sz w:val="21"/>
                <w:szCs w:val="21"/>
              </w:rPr>
            </w:pPr>
          </w:p>
        </w:tc>
        <w:tc>
          <w:tcPr>
            <w:tcW w:w="881" w:type="dxa"/>
          </w:tcPr>
          <w:p w14:paraId="118B842B">
            <w:pPr>
              <w:adjustRightInd w:val="0"/>
              <w:snapToGrid w:val="0"/>
              <w:spacing w:line="288" w:lineRule="auto"/>
              <w:jc w:val="center"/>
              <w:rPr>
                <w:rFonts w:cs="Times New Roman"/>
                <w:spacing w:val="-6"/>
                <w:sz w:val="21"/>
                <w:szCs w:val="21"/>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rPr>
            </w:pPr>
          </w:p>
        </w:tc>
        <w:tc>
          <w:tcPr>
            <w:tcW w:w="2091" w:type="dxa"/>
            <w:vAlign w:val="center"/>
          </w:tcPr>
          <w:p w14:paraId="2ED1B0F1">
            <w:pPr>
              <w:adjustRightInd w:val="0"/>
              <w:snapToGrid w:val="0"/>
              <w:spacing w:line="288" w:lineRule="auto"/>
              <w:jc w:val="center"/>
              <w:rPr>
                <w:rFonts w:cs="Times New Roman"/>
                <w:spacing w:val="-6"/>
                <w:sz w:val="21"/>
                <w:szCs w:val="21"/>
              </w:rPr>
            </w:pPr>
          </w:p>
        </w:tc>
        <w:tc>
          <w:tcPr>
            <w:tcW w:w="709" w:type="dxa"/>
            <w:vAlign w:val="center"/>
          </w:tcPr>
          <w:p w14:paraId="304E6D99">
            <w:pPr>
              <w:adjustRightInd w:val="0"/>
              <w:snapToGrid w:val="0"/>
              <w:spacing w:line="288" w:lineRule="auto"/>
              <w:jc w:val="center"/>
              <w:rPr>
                <w:rFonts w:cs="Times New Roman"/>
                <w:spacing w:val="-6"/>
                <w:sz w:val="21"/>
                <w:szCs w:val="21"/>
              </w:rPr>
            </w:pPr>
          </w:p>
        </w:tc>
        <w:tc>
          <w:tcPr>
            <w:tcW w:w="3040" w:type="dxa"/>
            <w:vAlign w:val="center"/>
          </w:tcPr>
          <w:p w14:paraId="01F21DDC">
            <w:pPr>
              <w:adjustRightInd w:val="0"/>
              <w:snapToGrid w:val="0"/>
              <w:spacing w:line="288" w:lineRule="auto"/>
              <w:rPr>
                <w:rFonts w:cs="Times New Roman"/>
                <w:spacing w:val="-6"/>
                <w:sz w:val="21"/>
                <w:szCs w:val="21"/>
              </w:rPr>
            </w:pPr>
          </w:p>
        </w:tc>
        <w:tc>
          <w:tcPr>
            <w:tcW w:w="967" w:type="dxa"/>
            <w:vAlign w:val="center"/>
          </w:tcPr>
          <w:p w14:paraId="3E0CE2A9">
            <w:pPr>
              <w:adjustRightInd w:val="0"/>
              <w:snapToGrid w:val="0"/>
              <w:spacing w:line="288" w:lineRule="auto"/>
              <w:jc w:val="center"/>
              <w:rPr>
                <w:rFonts w:cs="Times New Roman"/>
                <w:spacing w:val="-6"/>
                <w:sz w:val="21"/>
                <w:szCs w:val="21"/>
              </w:rPr>
            </w:pPr>
          </w:p>
        </w:tc>
        <w:tc>
          <w:tcPr>
            <w:tcW w:w="1053" w:type="dxa"/>
            <w:vAlign w:val="center"/>
          </w:tcPr>
          <w:p w14:paraId="3630D674">
            <w:pPr>
              <w:adjustRightInd w:val="0"/>
              <w:snapToGrid w:val="0"/>
              <w:spacing w:line="288" w:lineRule="auto"/>
              <w:jc w:val="center"/>
              <w:rPr>
                <w:rFonts w:cs="Times New Roman"/>
                <w:spacing w:val="-6"/>
                <w:sz w:val="21"/>
                <w:szCs w:val="21"/>
              </w:rPr>
            </w:pPr>
          </w:p>
        </w:tc>
        <w:tc>
          <w:tcPr>
            <w:tcW w:w="881" w:type="dxa"/>
          </w:tcPr>
          <w:p w14:paraId="1E0C951B">
            <w:pPr>
              <w:adjustRightInd w:val="0"/>
              <w:snapToGrid w:val="0"/>
              <w:spacing w:line="288" w:lineRule="auto"/>
              <w:jc w:val="center"/>
              <w:rPr>
                <w:rFonts w:cs="Times New Roman"/>
                <w:spacing w:val="-6"/>
                <w:sz w:val="21"/>
                <w:szCs w:val="21"/>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rPr>
            </w:pPr>
          </w:p>
        </w:tc>
        <w:tc>
          <w:tcPr>
            <w:tcW w:w="2091" w:type="dxa"/>
            <w:vAlign w:val="center"/>
          </w:tcPr>
          <w:p w14:paraId="5F86F940">
            <w:pPr>
              <w:adjustRightInd w:val="0"/>
              <w:snapToGrid w:val="0"/>
              <w:spacing w:line="288" w:lineRule="auto"/>
              <w:jc w:val="center"/>
              <w:rPr>
                <w:rFonts w:cs="Times New Roman"/>
                <w:spacing w:val="-6"/>
                <w:sz w:val="21"/>
                <w:szCs w:val="21"/>
              </w:rPr>
            </w:pPr>
          </w:p>
        </w:tc>
        <w:tc>
          <w:tcPr>
            <w:tcW w:w="709" w:type="dxa"/>
            <w:vAlign w:val="center"/>
          </w:tcPr>
          <w:p w14:paraId="7164F7F1">
            <w:pPr>
              <w:adjustRightInd w:val="0"/>
              <w:snapToGrid w:val="0"/>
              <w:spacing w:line="288" w:lineRule="auto"/>
              <w:jc w:val="center"/>
              <w:rPr>
                <w:rFonts w:cs="Times New Roman"/>
                <w:spacing w:val="-6"/>
                <w:sz w:val="21"/>
                <w:szCs w:val="21"/>
              </w:rPr>
            </w:pPr>
          </w:p>
        </w:tc>
        <w:tc>
          <w:tcPr>
            <w:tcW w:w="3040" w:type="dxa"/>
            <w:vAlign w:val="center"/>
          </w:tcPr>
          <w:p w14:paraId="0CEAB730">
            <w:pPr>
              <w:adjustRightInd w:val="0"/>
              <w:snapToGrid w:val="0"/>
              <w:spacing w:line="288" w:lineRule="auto"/>
              <w:rPr>
                <w:rFonts w:cs="Times New Roman"/>
                <w:spacing w:val="-6"/>
                <w:sz w:val="21"/>
                <w:szCs w:val="21"/>
              </w:rPr>
            </w:pPr>
          </w:p>
        </w:tc>
        <w:tc>
          <w:tcPr>
            <w:tcW w:w="967" w:type="dxa"/>
            <w:vAlign w:val="center"/>
          </w:tcPr>
          <w:p w14:paraId="495264AE">
            <w:pPr>
              <w:adjustRightInd w:val="0"/>
              <w:snapToGrid w:val="0"/>
              <w:spacing w:line="288" w:lineRule="auto"/>
              <w:jc w:val="center"/>
              <w:rPr>
                <w:rFonts w:cs="Times New Roman"/>
                <w:spacing w:val="-6"/>
                <w:sz w:val="21"/>
                <w:szCs w:val="21"/>
              </w:rPr>
            </w:pPr>
          </w:p>
        </w:tc>
        <w:tc>
          <w:tcPr>
            <w:tcW w:w="1053" w:type="dxa"/>
            <w:vAlign w:val="center"/>
          </w:tcPr>
          <w:p w14:paraId="2CC4F591">
            <w:pPr>
              <w:adjustRightInd w:val="0"/>
              <w:snapToGrid w:val="0"/>
              <w:spacing w:line="288" w:lineRule="auto"/>
              <w:jc w:val="center"/>
              <w:rPr>
                <w:rFonts w:cs="Times New Roman"/>
                <w:spacing w:val="-6"/>
                <w:sz w:val="21"/>
                <w:szCs w:val="21"/>
              </w:rPr>
            </w:pPr>
          </w:p>
        </w:tc>
        <w:tc>
          <w:tcPr>
            <w:tcW w:w="881" w:type="dxa"/>
          </w:tcPr>
          <w:p w14:paraId="5511EDE4">
            <w:pPr>
              <w:adjustRightInd w:val="0"/>
              <w:snapToGrid w:val="0"/>
              <w:spacing w:line="288" w:lineRule="auto"/>
              <w:jc w:val="center"/>
              <w:rPr>
                <w:rFonts w:cs="Times New Roman"/>
                <w:spacing w:val="-6"/>
                <w:sz w:val="21"/>
                <w:szCs w:val="21"/>
              </w:rPr>
            </w:pPr>
          </w:p>
        </w:tc>
      </w:tr>
    </w:tbl>
    <w:p w14:paraId="3A2BD1D6">
      <w:pPr>
        <w:adjustRightInd w:val="0"/>
        <w:snapToGrid w:val="0"/>
        <w:spacing w:line="288" w:lineRule="auto"/>
        <w:rPr>
          <w:rFonts w:cs="Times New Roman"/>
          <w:spacing w:val="-6"/>
          <w:sz w:val="21"/>
          <w:szCs w:val="21"/>
        </w:rPr>
      </w:pPr>
    </w:p>
    <w:p w14:paraId="724B188C">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178"/>
    <w:p w14:paraId="467E489C">
      <w:pPr>
        <w:widowControl/>
        <w:jc w:val="left"/>
        <w:rPr>
          <w:b/>
          <w:bCs/>
          <w:sz w:val="21"/>
          <w:szCs w:val="21"/>
        </w:rPr>
      </w:pPr>
      <w:r>
        <w:rPr>
          <w:b/>
          <w:bCs/>
          <w:sz w:val="21"/>
          <w:szCs w:val="21"/>
        </w:rPr>
        <w:br w:type="page"/>
      </w:r>
    </w:p>
    <w:p w14:paraId="7E93209B">
      <w:pPr>
        <w:adjustRightInd w:val="0"/>
        <w:snapToGrid w:val="0"/>
        <w:spacing w:line="288" w:lineRule="auto"/>
      </w:pPr>
    </w:p>
    <w:p w14:paraId="2F93D511">
      <w:pPr>
        <w:adjustRightInd w:val="0"/>
        <w:snapToGrid w:val="0"/>
        <w:spacing w:line="288" w:lineRule="auto"/>
        <w:jc w:val="center"/>
        <w:outlineLvl w:val="1"/>
        <w:rPr>
          <w:b/>
          <w:bCs/>
          <w:sz w:val="84"/>
          <w:szCs w:val="84"/>
        </w:rPr>
      </w:pPr>
      <w:r>
        <w:rPr>
          <w:rFonts w:hint="eastAsia"/>
          <w:b/>
          <w:bCs/>
          <w:sz w:val="84"/>
          <w:szCs w:val="84"/>
        </w:rPr>
        <w:t>资格文件</w:t>
      </w:r>
    </w:p>
    <w:p w14:paraId="619F1617">
      <w:pPr>
        <w:adjustRightInd w:val="0"/>
        <w:snapToGrid w:val="0"/>
        <w:spacing w:line="288" w:lineRule="auto"/>
        <w:jc w:val="center"/>
        <w:rPr>
          <w:b/>
          <w:bCs/>
          <w:sz w:val="21"/>
          <w:szCs w:val="21"/>
        </w:rPr>
      </w:pPr>
    </w:p>
    <w:p w14:paraId="386261F0">
      <w:pPr>
        <w:adjustRightInd w:val="0"/>
        <w:snapToGrid w:val="0"/>
        <w:spacing w:line="288" w:lineRule="auto"/>
        <w:jc w:val="center"/>
        <w:rPr>
          <w:b/>
          <w:bCs/>
          <w:sz w:val="21"/>
          <w:szCs w:val="21"/>
        </w:rPr>
      </w:pPr>
    </w:p>
    <w:p w14:paraId="158B61D3">
      <w:pPr>
        <w:adjustRightInd w:val="0"/>
        <w:snapToGrid w:val="0"/>
        <w:spacing w:line="288" w:lineRule="auto"/>
        <w:jc w:val="center"/>
        <w:rPr>
          <w:b/>
          <w:bCs/>
          <w:sz w:val="21"/>
          <w:szCs w:val="21"/>
        </w:rPr>
      </w:pPr>
      <w:bookmarkStart w:id="179" w:name="_Hlk94097338"/>
      <w:r>
        <w:rPr>
          <w:rFonts w:hint="eastAsia"/>
          <w:b/>
          <w:bCs/>
          <w:sz w:val="21"/>
          <w:szCs w:val="21"/>
        </w:rPr>
        <w:t>资格审查要求的资格证明材料（均需加盖公章）</w:t>
      </w:r>
    </w:p>
    <w:bookmarkEnd w:id="179"/>
    <w:p w14:paraId="08AABABC">
      <w:pPr>
        <w:adjustRightInd w:val="0"/>
        <w:snapToGrid w:val="0"/>
        <w:spacing w:line="288" w:lineRule="auto"/>
        <w:rPr>
          <w:sz w:val="21"/>
          <w:szCs w:val="21"/>
        </w:rPr>
      </w:pPr>
      <w:r>
        <w:rPr>
          <w:rFonts w:hint="eastAsia"/>
          <w:sz w:val="21"/>
          <w:szCs w:val="21"/>
        </w:rPr>
        <w:br w:type="page"/>
      </w:r>
    </w:p>
    <w:p w14:paraId="05CF05C3">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0DFA4C5E">
      <w:pPr>
        <w:adjustRightInd w:val="0"/>
        <w:snapToGrid w:val="0"/>
        <w:spacing w:line="288" w:lineRule="auto"/>
        <w:rPr>
          <w:sz w:val="21"/>
          <w:szCs w:val="21"/>
        </w:rPr>
      </w:pPr>
    </w:p>
    <w:p w14:paraId="217E1D50">
      <w:pPr>
        <w:adjustRightInd w:val="0"/>
        <w:snapToGrid w:val="0"/>
        <w:spacing w:line="288" w:lineRule="auto"/>
        <w:rPr>
          <w:sz w:val="21"/>
          <w:szCs w:val="21"/>
        </w:rPr>
      </w:pPr>
      <w:r>
        <w:rPr>
          <w:rFonts w:hint="eastAsia"/>
          <w:sz w:val="21"/>
          <w:szCs w:val="21"/>
        </w:rPr>
        <w:t>说明：</w:t>
      </w:r>
    </w:p>
    <w:p w14:paraId="4B0AA0AE">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5911F9D6">
      <w:pPr>
        <w:adjustRightInd w:val="0"/>
        <w:snapToGrid w:val="0"/>
        <w:spacing w:line="288" w:lineRule="auto"/>
        <w:rPr>
          <w:sz w:val="21"/>
          <w:szCs w:val="21"/>
        </w:rPr>
      </w:pPr>
      <w:r>
        <w:rPr>
          <w:rFonts w:hint="eastAsia"/>
          <w:sz w:val="21"/>
          <w:szCs w:val="21"/>
        </w:rPr>
        <w:t>2.如供应商是事业单位，提供有效的“事业单位法人证书”；</w:t>
      </w:r>
    </w:p>
    <w:p w14:paraId="2706F046">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73A10C39">
      <w:pPr>
        <w:adjustRightInd w:val="0"/>
        <w:snapToGrid w:val="0"/>
        <w:spacing w:line="288" w:lineRule="auto"/>
        <w:rPr>
          <w:sz w:val="21"/>
          <w:szCs w:val="21"/>
        </w:rPr>
      </w:pPr>
      <w:r>
        <w:rPr>
          <w:rFonts w:hint="eastAsia"/>
          <w:sz w:val="21"/>
          <w:szCs w:val="21"/>
        </w:rPr>
        <w:t>4.如供应商是个体工商户，提供有效的“个体工商户营业执照”；</w:t>
      </w:r>
    </w:p>
    <w:p w14:paraId="4E211249">
      <w:pPr>
        <w:adjustRightInd w:val="0"/>
        <w:snapToGrid w:val="0"/>
        <w:spacing w:line="288" w:lineRule="auto"/>
        <w:rPr>
          <w:sz w:val="21"/>
          <w:szCs w:val="21"/>
        </w:rPr>
      </w:pPr>
      <w:r>
        <w:rPr>
          <w:rFonts w:hint="eastAsia"/>
          <w:sz w:val="21"/>
          <w:szCs w:val="21"/>
        </w:rPr>
        <w:t>5.如供应商是自然人，提供有效的自然人身份证明。</w:t>
      </w:r>
    </w:p>
    <w:p w14:paraId="03D008E7">
      <w:pPr>
        <w:adjustRightInd w:val="0"/>
        <w:snapToGrid w:val="0"/>
        <w:spacing w:line="288" w:lineRule="auto"/>
        <w:rPr>
          <w:sz w:val="21"/>
          <w:szCs w:val="21"/>
        </w:rPr>
      </w:pPr>
      <w:r>
        <w:rPr>
          <w:rFonts w:hint="eastAsia"/>
          <w:sz w:val="21"/>
          <w:szCs w:val="21"/>
        </w:rPr>
        <w:br w:type="page"/>
      </w:r>
    </w:p>
    <w:p w14:paraId="1FF0196D">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4885BBD2">
      <w:pPr>
        <w:adjustRightInd w:val="0"/>
        <w:snapToGrid w:val="0"/>
        <w:spacing w:line="288" w:lineRule="auto"/>
        <w:rPr>
          <w:rFonts w:cs="Times New Roman"/>
          <w:color w:val="000000"/>
          <w:sz w:val="21"/>
          <w:szCs w:val="21"/>
          <w:shd w:val="clear" w:color="auto" w:fill="FFFFFF"/>
        </w:rPr>
      </w:pPr>
    </w:p>
    <w:p w14:paraId="4E7DF852">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浙江科技大学</w:t>
      </w:r>
      <w:r>
        <w:rPr>
          <w:rFonts w:hint="eastAsia" w:cs="Times New Roman"/>
          <w:b/>
          <w:bCs/>
          <w:spacing w:val="-6"/>
          <w:sz w:val="21"/>
          <w:szCs w:val="21"/>
        </w:rPr>
        <w:t>、浙江求是招标代理有限公司</w:t>
      </w:r>
    </w:p>
    <w:p w14:paraId="7E9CDD8D">
      <w:pPr>
        <w:adjustRightInd w:val="0"/>
        <w:snapToGrid w:val="0"/>
        <w:spacing w:line="288" w:lineRule="auto"/>
        <w:rPr>
          <w:rFonts w:cs="Times New Roman"/>
          <w:spacing w:val="-6"/>
          <w:sz w:val="21"/>
          <w:szCs w:val="21"/>
        </w:rPr>
      </w:pPr>
    </w:p>
    <w:p w14:paraId="1F81B80E">
      <w:pPr>
        <w:adjustRightInd w:val="0"/>
        <w:snapToGrid w:val="0"/>
        <w:spacing w:line="288" w:lineRule="auto"/>
        <w:ind w:firstLine="396" w:firstLineChars="200"/>
        <w:rPr>
          <w:rFonts w:cs="Times New Roman"/>
          <w:spacing w:val="-6"/>
          <w:sz w:val="21"/>
          <w:szCs w:val="21"/>
        </w:rPr>
      </w:pPr>
      <w:bookmarkStart w:id="180"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47CBDF3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1D64BCD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1B29920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756D5B4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299555C9">
      <w:pPr>
        <w:adjustRightInd w:val="0"/>
        <w:snapToGrid w:val="0"/>
        <w:spacing w:line="288" w:lineRule="auto"/>
        <w:rPr>
          <w:rFonts w:cs="Times New Roman"/>
          <w:sz w:val="21"/>
          <w:szCs w:val="21"/>
        </w:rPr>
      </w:pPr>
    </w:p>
    <w:p w14:paraId="0A1D31A4">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AD1922F">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180"/>
    <w:p w14:paraId="4C753257">
      <w:pPr>
        <w:widowControl/>
        <w:adjustRightInd w:val="0"/>
        <w:snapToGrid w:val="0"/>
        <w:spacing w:line="288" w:lineRule="auto"/>
        <w:jc w:val="left"/>
        <w:rPr>
          <w:sz w:val="21"/>
          <w:szCs w:val="21"/>
        </w:rPr>
      </w:pPr>
      <w:r>
        <w:rPr>
          <w:sz w:val="21"/>
          <w:szCs w:val="21"/>
        </w:rPr>
        <w:br w:type="page"/>
      </w:r>
    </w:p>
    <w:p w14:paraId="23FAAC2E">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14:paraId="11B3C7EE">
      <w:pPr>
        <w:adjustRightInd w:val="0"/>
        <w:snapToGrid w:val="0"/>
        <w:spacing w:line="288" w:lineRule="auto"/>
        <w:ind w:firstLine="498" w:firstLineChars="236"/>
        <w:jc w:val="center"/>
        <w:outlineLvl w:val="9"/>
        <w:rPr>
          <w:b/>
          <w:bCs/>
          <w:sz w:val="21"/>
          <w:szCs w:val="21"/>
        </w:rPr>
      </w:pPr>
      <w:r>
        <w:rPr>
          <w:rFonts w:hint="eastAsia"/>
          <w:b/>
          <w:bCs/>
          <w:sz w:val="21"/>
          <w:szCs w:val="21"/>
          <w:lang w:val="en-US" w:eastAsia="zh-CN"/>
        </w:rPr>
        <w:t>1</w:t>
      </w:r>
      <w:r>
        <w:rPr>
          <w:rFonts w:hint="eastAsia"/>
          <w:b/>
          <w:bCs/>
          <w:sz w:val="21"/>
          <w:szCs w:val="21"/>
        </w:rPr>
        <w:t>）</w:t>
      </w:r>
      <w:r>
        <w:rPr>
          <w:b/>
          <w:bCs/>
          <w:sz w:val="21"/>
          <w:szCs w:val="21"/>
        </w:rPr>
        <w:t>中小企业声明函（服务）</w:t>
      </w:r>
      <w:r>
        <w:rPr>
          <w:rFonts w:hint="eastAsia"/>
          <w:b/>
          <w:bCs/>
          <w:sz w:val="21"/>
          <w:szCs w:val="21"/>
        </w:rPr>
        <w:t>（若属于中小企业）</w:t>
      </w:r>
    </w:p>
    <w:p w14:paraId="1B105E4D">
      <w:pPr>
        <w:adjustRightInd w:val="0"/>
        <w:snapToGrid w:val="0"/>
        <w:spacing w:line="288" w:lineRule="auto"/>
        <w:ind w:firstLine="498" w:firstLineChars="236"/>
        <w:outlineLvl w:val="9"/>
        <w:rPr>
          <w:b/>
          <w:color w:val="auto"/>
          <w:sz w:val="21"/>
          <w:szCs w:val="21"/>
          <w:highlight w:val="none"/>
        </w:rPr>
      </w:pPr>
    </w:p>
    <w:p w14:paraId="6DE435F1">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i w:val="0"/>
          <w:iCs/>
          <w:color w:val="auto"/>
          <w:sz w:val="21"/>
          <w:szCs w:val="21"/>
          <w:highlight w:val="none"/>
          <w:u w:val="single"/>
          <w:lang w:val="en-US" w:eastAsia="zh-CN"/>
        </w:rPr>
        <w:t>浙江科技大学</w:t>
      </w:r>
      <w:r>
        <w:rPr>
          <w:i w:val="0"/>
          <w:iCs/>
          <w:color w:val="auto"/>
          <w:sz w:val="21"/>
          <w:szCs w:val="21"/>
          <w:highlight w:val="none"/>
        </w:rPr>
        <w:t>的</w:t>
      </w:r>
      <w:r>
        <w:rPr>
          <w:rFonts w:hint="eastAsia"/>
          <w:i w:val="0"/>
          <w:iCs/>
          <w:color w:val="auto"/>
          <w:sz w:val="21"/>
          <w:szCs w:val="21"/>
          <w:highlight w:val="none"/>
          <w:u w:val="single"/>
          <w:lang w:eastAsia="zh-CN"/>
        </w:rPr>
        <w:t>数字化技术与智能制造产教融合实训基地（中德科创中心）EPC项目全过程跟踪审计</w:t>
      </w:r>
      <w:r>
        <w:rPr>
          <w:color w:val="auto"/>
          <w:sz w:val="21"/>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1E75806A">
      <w:pPr>
        <w:adjustRightInd w:val="0"/>
        <w:snapToGrid w:val="0"/>
        <w:spacing w:line="288" w:lineRule="auto"/>
        <w:ind w:firstLine="495" w:firstLineChars="236"/>
        <w:outlineLvl w:val="9"/>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w:t>
      </w:r>
      <w:r>
        <w:rPr>
          <w:rFonts w:hint="eastAsia"/>
          <w:i w:val="0"/>
          <w:iCs/>
          <w:color w:val="auto"/>
          <w:sz w:val="21"/>
          <w:szCs w:val="21"/>
          <w:highlight w:val="none"/>
          <w:u w:val="single"/>
          <w:lang w:eastAsia="zh-CN"/>
        </w:rPr>
        <w:t>数字化技术与智能制造产教融合实训基地（中德科创中心）EPC项目全过程跟踪审计</w:t>
      </w:r>
      <w:r>
        <w:rPr>
          <w:i/>
          <w:color w:val="auto"/>
          <w:sz w:val="21"/>
          <w:szCs w:val="21"/>
          <w:highlight w:val="none"/>
          <w:u w:val="single"/>
        </w:rPr>
        <w:t>，</w:t>
      </w:r>
      <w:r>
        <w:rPr>
          <w:i w:val="0"/>
          <w:iCs/>
          <w:color w:val="auto"/>
          <w:sz w:val="21"/>
          <w:szCs w:val="21"/>
          <w:highlight w:val="none"/>
          <w:u w:val="none"/>
        </w:rPr>
        <w:t>属于</w:t>
      </w:r>
      <w:r>
        <w:rPr>
          <w:rFonts w:hint="eastAsia"/>
          <w:i w:val="0"/>
          <w:iCs/>
          <w:color w:val="auto"/>
          <w:sz w:val="21"/>
          <w:szCs w:val="21"/>
          <w:highlight w:val="none"/>
          <w:u w:val="single"/>
          <w:lang w:val="en-US" w:eastAsia="zh-CN"/>
        </w:rPr>
        <w:t>其他未列明行业</w:t>
      </w:r>
      <w:r>
        <w:rPr>
          <w:i/>
          <w:color w:val="auto"/>
          <w:sz w:val="21"/>
          <w:szCs w:val="21"/>
          <w:highlight w:val="none"/>
          <w:u w:val="single"/>
        </w:rPr>
        <w:t>；</w:t>
      </w:r>
      <w:r>
        <w:rPr>
          <w:color w:val="auto"/>
          <w:sz w:val="21"/>
          <w:szCs w:val="21"/>
          <w:highlight w:val="none"/>
        </w:rPr>
        <w:t>承接企业为</w:t>
      </w:r>
      <w:r>
        <w:rPr>
          <w:rFonts w:hint="eastAsia"/>
          <w:color w:val="auto"/>
          <w:sz w:val="21"/>
          <w:szCs w:val="21"/>
          <w:highlight w:val="none"/>
          <w:u w:val="single"/>
          <w:lang w:val="en-US" w:eastAsia="zh-CN"/>
        </w:rPr>
        <w:t xml:space="preserve">     </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rFonts w:hint="eastAsia"/>
          <w:color w:val="auto"/>
          <w:sz w:val="21"/>
          <w:szCs w:val="21"/>
          <w:highlight w:val="none"/>
          <w:u w:val="single"/>
          <w:lang w:val="en-US" w:eastAsia="zh-CN"/>
        </w:rPr>
        <w:t xml:space="preserve">     </w:t>
      </w:r>
      <w:r>
        <w:rPr>
          <w:i/>
          <w:color w:val="auto"/>
          <w:sz w:val="21"/>
          <w:szCs w:val="21"/>
          <w:highlight w:val="none"/>
          <w:u w:val="single"/>
        </w:rPr>
        <w:t>（中型企业、小型企业、微型企业）</w:t>
      </w:r>
      <w:r>
        <w:rPr>
          <w:color w:val="auto"/>
          <w:sz w:val="21"/>
          <w:szCs w:val="21"/>
          <w:highlight w:val="none"/>
        </w:rPr>
        <w:t>；</w:t>
      </w:r>
    </w:p>
    <w:p w14:paraId="0B90CD16">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3BDE4E57">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本企业对上述声明内容的真实性负责。如有虚假，将依法承担相应责任。</w:t>
      </w:r>
    </w:p>
    <w:p w14:paraId="27EC591D">
      <w:pPr>
        <w:adjustRightInd w:val="0"/>
        <w:snapToGrid w:val="0"/>
        <w:spacing w:line="288" w:lineRule="auto"/>
        <w:ind w:firstLine="495" w:firstLineChars="236"/>
        <w:outlineLvl w:val="9"/>
        <w:rPr>
          <w:color w:val="auto"/>
          <w:sz w:val="21"/>
          <w:szCs w:val="21"/>
          <w:highlight w:val="none"/>
        </w:rPr>
      </w:pPr>
    </w:p>
    <w:p w14:paraId="05B1F28B">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企业名称（盖章）：</w:t>
      </w:r>
    </w:p>
    <w:p w14:paraId="48703E6B">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日期：</w:t>
      </w:r>
    </w:p>
    <w:p w14:paraId="586CF875">
      <w:pPr>
        <w:adjustRightInd w:val="0"/>
        <w:snapToGrid w:val="0"/>
        <w:spacing w:line="288" w:lineRule="auto"/>
        <w:ind w:firstLine="495" w:firstLineChars="236"/>
        <w:outlineLvl w:val="9"/>
        <w:rPr>
          <w:color w:val="auto"/>
          <w:sz w:val="21"/>
          <w:szCs w:val="21"/>
          <w:highlight w:val="none"/>
        </w:rPr>
      </w:pPr>
    </w:p>
    <w:p w14:paraId="07663931">
      <w:pPr>
        <w:adjustRightInd w:val="0"/>
        <w:snapToGrid w:val="0"/>
        <w:spacing w:line="288" w:lineRule="auto"/>
        <w:ind w:firstLine="495" w:firstLineChars="236"/>
        <w:outlineLvl w:val="9"/>
        <w:rPr>
          <w:color w:val="auto"/>
          <w:sz w:val="21"/>
          <w:szCs w:val="21"/>
          <w:highlight w:val="none"/>
        </w:rPr>
      </w:pPr>
      <w:r>
        <w:rPr>
          <w:rFonts w:hint="eastAsia"/>
          <w:color w:val="auto"/>
          <w:sz w:val="21"/>
          <w:szCs w:val="21"/>
          <w:highlight w:val="none"/>
        </w:rPr>
        <w:t>注：</w:t>
      </w:r>
    </w:p>
    <w:p w14:paraId="62AEDE6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3DBBDC6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6148CC6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EF6E12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1E5E37D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▲5.企业类型（包括新成立企业），按照《中小企业划型标准规定》（工信部联企业〔2011〕300号）规定和【磋商文件】中明确的标的“所属行业”，选择“中型企业、小型企业、微型企业”其中之一；</w:t>
      </w:r>
    </w:p>
    <w:p w14:paraId="7CFE482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336A1B92">
      <w:pPr>
        <w:adjustRightInd w:val="0"/>
        <w:snapToGrid w:val="0"/>
        <w:spacing w:line="288" w:lineRule="auto"/>
        <w:ind w:firstLine="495" w:firstLineChars="236"/>
        <w:outlineLvl w:val="9"/>
        <w:rPr>
          <w:sz w:val="21"/>
          <w:szCs w:val="21"/>
        </w:rPr>
      </w:pPr>
      <w:r>
        <w:rPr>
          <w:rFonts w:hint="eastAsia"/>
          <w:sz w:val="21"/>
          <w:szCs w:val="21"/>
        </w:rPr>
        <w:br w:type="page"/>
      </w:r>
    </w:p>
    <w:p w14:paraId="024E29B2">
      <w:pPr>
        <w:adjustRightInd w:val="0"/>
        <w:snapToGrid w:val="0"/>
        <w:spacing w:line="288" w:lineRule="auto"/>
        <w:jc w:val="center"/>
        <w:outlineLvl w:val="9"/>
        <w:rPr>
          <w:color w:val="000000"/>
          <w:kern w:val="0"/>
          <w:sz w:val="21"/>
          <w:szCs w:val="21"/>
          <w:highlight w:val="yellow"/>
        </w:rPr>
      </w:pPr>
      <w:r>
        <w:rPr>
          <w:rFonts w:hint="eastAsia"/>
          <w:b/>
          <w:spacing w:val="-6"/>
          <w:sz w:val="21"/>
          <w:szCs w:val="21"/>
          <w:lang w:val="en-US" w:eastAsia="zh-CN"/>
        </w:rPr>
        <w:t>2</w:t>
      </w:r>
      <w:r>
        <w:rPr>
          <w:rFonts w:hint="eastAsia"/>
          <w:b/>
          <w:spacing w:val="-6"/>
          <w:sz w:val="21"/>
          <w:szCs w:val="21"/>
        </w:rPr>
        <w:t>）属于监狱企业的证明文件（若属于监狱企业）</w:t>
      </w:r>
    </w:p>
    <w:p w14:paraId="72F7BAC5">
      <w:pPr>
        <w:adjustRightInd w:val="0"/>
        <w:snapToGrid w:val="0"/>
        <w:spacing w:line="288" w:lineRule="auto"/>
        <w:outlineLvl w:val="9"/>
        <w:rPr>
          <w:color w:val="000000"/>
          <w:kern w:val="0"/>
          <w:sz w:val="21"/>
          <w:szCs w:val="21"/>
        </w:rPr>
      </w:pPr>
    </w:p>
    <w:p w14:paraId="12FFB66D">
      <w:pPr>
        <w:adjustRightInd w:val="0"/>
        <w:snapToGrid w:val="0"/>
        <w:spacing w:line="288" w:lineRule="auto"/>
        <w:ind w:firstLine="373" w:firstLineChars="177"/>
        <w:outlineLvl w:val="9"/>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2604C93A">
      <w:pPr>
        <w:adjustRightInd w:val="0"/>
        <w:snapToGrid w:val="0"/>
        <w:spacing w:line="288" w:lineRule="auto"/>
        <w:outlineLvl w:val="9"/>
        <w:rPr>
          <w:sz w:val="21"/>
          <w:szCs w:val="21"/>
        </w:rPr>
      </w:pPr>
    </w:p>
    <w:p w14:paraId="41F3E1F0">
      <w:pPr>
        <w:adjustRightInd w:val="0"/>
        <w:snapToGrid w:val="0"/>
        <w:spacing w:line="288" w:lineRule="auto"/>
        <w:outlineLvl w:val="9"/>
        <w:rPr>
          <w:b/>
          <w:bCs/>
          <w:sz w:val="21"/>
          <w:szCs w:val="21"/>
        </w:rPr>
      </w:pPr>
      <w:r>
        <w:rPr>
          <w:rFonts w:hint="eastAsia"/>
          <w:b/>
          <w:bCs/>
          <w:sz w:val="21"/>
          <w:szCs w:val="21"/>
        </w:rPr>
        <w:t>说明：</w:t>
      </w:r>
    </w:p>
    <w:p w14:paraId="54A872A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70C102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747F6821">
      <w:pPr>
        <w:widowControl/>
        <w:adjustRightInd w:val="0"/>
        <w:snapToGrid w:val="0"/>
        <w:spacing w:line="288" w:lineRule="auto"/>
        <w:jc w:val="left"/>
        <w:outlineLvl w:val="9"/>
        <w:rPr>
          <w:b/>
          <w:spacing w:val="-6"/>
          <w:sz w:val="21"/>
          <w:szCs w:val="21"/>
        </w:rPr>
      </w:pPr>
      <w:r>
        <w:rPr>
          <w:b/>
          <w:spacing w:val="-6"/>
          <w:sz w:val="21"/>
          <w:szCs w:val="21"/>
        </w:rPr>
        <w:br w:type="page"/>
      </w:r>
    </w:p>
    <w:p w14:paraId="1040C63A">
      <w:pPr>
        <w:adjustRightInd w:val="0"/>
        <w:snapToGrid w:val="0"/>
        <w:spacing w:line="288" w:lineRule="auto"/>
        <w:jc w:val="center"/>
        <w:outlineLvl w:val="9"/>
        <w:rPr>
          <w:b/>
          <w:spacing w:val="-6"/>
          <w:sz w:val="21"/>
          <w:szCs w:val="21"/>
        </w:rPr>
      </w:pPr>
      <w:r>
        <w:rPr>
          <w:rFonts w:hint="eastAsia"/>
          <w:b/>
          <w:spacing w:val="-6"/>
          <w:sz w:val="21"/>
          <w:szCs w:val="21"/>
          <w:lang w:val="en-US" w:eastAsia="zh-CN"/>
        </w:rPr>
        <w:t>3）</w:t>
      </w:r>
      <w:r>
        <w:rPr>
          <w:rFonts w:hint="eastAsia"/>
          <w:b/>
          <w:spacing w:val="-6"/>
          <w:sz w:val="21"/>
          <w:szCs w:val="21"/>
        </w:rPr>
        <w:t>残疾人福利性单位声明函（若属于残疾人福利性单位）</w:t>
      </w:r>
    </w:p>
    <w:p w14:paraId="56402A56">
      <w:pPr>
        <w:adjustRightInd w:val="0"/>
        <w:snapToGrid w:val="0"/>
        <w:spacing w:line="288" w:lineRule="auto"/>
        <w:outlineLvl w:val="9"/>
        <w:rPr>
          <w:rFonts w:cs="Times New Roman"/>
          <w:b/>
          <w:spacing w:val="6"/>
          <w:sz w:val="21"/>
          <w:szCs w:val="21"/>
        </w:rPr>
      </w:pPr>
    </w:p>
    <w:p w14:paraId="65F69DEA">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w:t>
      </w:r>
      <w:r>
        <w:rPr>
          <w:rFonts w:hint="eastAsia" w:cs="Times New Roman"/>
          <w:b/>
          <w:bCs/>
          <w:spacing w:val="6"/>
          <w:sz w:val="21"/>
          <w:szCs w:val="21"/>
          <w:highlight w:val="none"/>
        </w:rPr>
        <w:t>件的残疾人福利性单位</w:t>
      </w:r>
      <w:r>
        <w:rPr>
          <w:rFonts w:hint="eastAsia" w:cs="Times New Roman"/>
          <w:spacing w:val="6"/>
          <w:sz w:val="21"/>
          <w:szCs w:val="21"/>
          <w:highlight w:val="none"/>
        </w:rPr>
        <w:t>，且本单位参加______（采购人）单位的______（项目名称）项目采购活动由本单位提供服务。</w:t>
      </w:r>
    </w:p>
    <w:p w14:paraId="0734D556">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797940CA">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单位名称（盖章）：</w:t>
      </w:r>
    </w:p>
    <w:p w14:paraId="4D46F2F1">
      <w:pPr>
        <w:tabs>
          <w:tab w:val="left" w:pos="4860"/>
        </w:tabs>
        <w:adjustRightInd w:val="0"/>
        <w:snapToGrid w:val="0"/>
        <w:spacing w:line="288" w:lineRule="auto"/>
        <w:ind w:right="1560" w:firstLine="444" w:firstLineChars="200"/>
        <w:outlineLvl w:val="9"/>
        <w:rPr>
          <w:rFonts w:cs="Times New Roman"/>
          <w:spacing w:val="6"/>
          <w:sz w:val="21"/>
          <w:szCs w:val="21"/>
        </w:rPr>
      </w:pPr>
      <w:r>
        <w:rPr>
          <w:rFonts w:hint="eastAsia" w:cs="Times New Roman"/>
          <w:spacing w:val="6"/>
          <w:sz w:val="21"/>
          <w:szCs w:val="21"/>
        </w:rPr>
        <w:t>日  期：</w:t>
      </w:r>
    </w:p>
    <w:p w14:paraId="2E330D3E">
      <w:pPr>
        <w:adjustRightInd w:val="0"/>
        <w:snapToGrid w:val="0"/>
        <w:spacing w:line="288" w:lineRule="auto"/>
        <w:outlineLvl w:val="9"/>
        <w:rPr>
          <w:sz w:val="21"/>
          <w:szCs w:val="21"/>
        </w:rPr>
      </w:pPr>
    </w:p>
    <w:p w14:paraId="70EEE5C0">
      <w:pPr>
        <w:adjustRightInd w:val="0"/>
        <w:snapToGrid w:val="0"/>
        <w:spacing w:line="288" w:lineRule="auto"/>
        <w:outlineLvl w:val="9"/>
        <w:rPr>
          <w:b/>
          <w:bCs/>
          <w:sz w:val="21"/>
          <w:szCs w:val="21"/>
        </w:rPr>
      </w:pPr>
      <w:r>
        <w:rPr>
          <w:rFonts w:hint="eastAsia"/>
          <w:b/>
          <w:bCs/>
          <w:sz w:val="21"/>
          <w:szCs w:val="21"/>
        </w:rPr>
        <w:t>说明：</w:t>
      </w:r>
    </w:p>
    <w:p w14:paraId="0D6762AD">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一、享受政府采购支持政策的残疾人福利性单位应当同时满足以下条件：</w:t>
      </w:r>
    </w:p>
    <w:p w14:paraId="2D4761B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0170FF5D">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（二）依法与安置的每位残疾人签订了一年以上（含一年）的劳动合同或服务协议；</w:t>
      </w:r>
    </w:p>
    <w:p w14:paraId="0A512154">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08E44660">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7EB096F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63A89CB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C5840E">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47F3AF72">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4F6E5383">
      <w:pPr>
        <w:widowControl/>
        <w:shd w:val="clear" w:color="auto" w:fill="FFFFFF"/>
        <w:adjustRightInd w:val="0"/>
        <w:snapToGrid w:val="0"/>
        <w:spacing w:line="288" w:lineRule="auto"/>
        <w:ind w:firstLine="371" w:firstLineChars="177"/>
        <w:jc w:val="left"/>
        <w:outlineLvl w:val="9"/>
        <w:rPr>
          <w:kern w:val="0"/>
          <w:sz w:val="21"/>
          <w:szCs w:val="21"/>
        </w:rPr>
      </w:pPr>
      <w:r>
        <w:rPr>
          <w:rFonts w:hint="eastAsia"/>
          <w:kern w:val="0"/>
          <w:sz w:val="21"/>
          <w:szCs w:val="21"/>
        </w:rPr>
        <w:t>残疾人福利性单位属于小型、微型企业的，不重复享受政策。</w:t>
      </w:r>
    </w:p>
    <w:p w14:paraId="7BFA3CCC">
      <w:pPr>
        <w:outlineLvl w:val="9"/>
        <w:rPr>
          <w:rFonts w:hint="eastAsia"/>
          <w:b/>
          <w:spacing w:val="-6"/>
          <w:sz w:val="21"/>
          <w:szCs w:val="21"/>
        </w:rPr>
      </w:pPr>
      <w:r>
        <w:rPr>
          <w:rFonts w:hint="eastAsia"/>
          <w:b/>
          <w:spacing w:val="-6"/>
          <w:sz w:val="21"/>
          <w:szCs w:val="21"/>
        </w:rPr>
        <w:br w:type="page"/>
      </w:r>
    </w:p>
    <w:p w14:paraId="5194A5E4">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55083C31">
      <w:pPr>
        <w:adjustRightInd w:val="0"/>
        <w:snapToGrid w:val="0"/>
        <w:spacing w:line="288" w:lineRule="auto"/>
        <w:rPr>
          <w:sz w:val="21"/>
          <w:szCs w:val="21"/>
        </w:rPr>
      </w:pPr>
      <w:r>
        <w:rPr>
          <w:rFonts w:hint="eastAsia"/>
          <w:sz w:val="21"/>
          <w:szCs w:val="21"/>
        </w:rPr>
        <w:br w:type="page"/>
      </w:r>
    </w:p>
    <w:p w14:paraId="2A3CD000">
      <w:pPr>
        <w:adjustRightInd w:val="0"/>
        <w:snapToGrid w:val="0"/>
        <w:spacing w:line="288" w:lineRule="auto"/>
      </w:pPr>
    </w:p>
    <w:p w14:paraId="33ED314D">
      <w:pPr>
        <w:adjustRightInd w:val="0"/>
        <w:snapToGrid w:val="0"/>
        <w:spacing w:line="288" w:lineRule="auto"/>
        <w:jc w:val="center"/>
        <w:outlineLvl w:val="1"/>
        <w:rPr>
          <w:b/>
          <w:bCs/>
          <w:sz w:val="84"/>
          <w:szCs w:val="84"/>
        </w:rPr>
      </w:pPr>
      <w:r>
        <w:rPr>
          <w:rFonts w:hint="eastAsia"/>
          <w:b/>
          <w:bCs/>
          <w:sz w:val="84"/>
          <w:szCs w:val="84"/>
        </w:rPr>
        <w:t>商务和技术文件</w:t>
      </w:r>
    </w:p>
    <w:p w14:paraId="3A137D49">
      <w:pPr>
        <w:adjustRightInd w:val="0"/>
        <w:snapToGrid w:val="0"/>
        <w:spacing w:line="288" w:lineRule="auto"/>
      </w:pPr>
      <w:r>
        <w:rPr>
          <w:rFonts w:hint="eastAsia"/>
        </w:rPr>
        <w:br w:type="page"/>
      </w:r>
    </w:p>
    <w:p w14:paraId="29BC2294">
      <w:pPr>
        <w:adjustRightInd w:val="0"/>
        <w:snapToGrid w:val="0"/>
        <w:spacing w:line="288" w:lineRule="auto"/>
        <w:jc w:val="center"/>
        <w:outlineLvl w:val="2"/>
        <w:rPr>
          <w:b/>
          <w:bCs/>
          <w:sz w:val="21"/>
          <w:szCs w:val="21"/>
        </w:rPr>
      </w:pPr>
      <w:r>
        <w:rPr>
          <w:rFonts w:hint="eastAsia"/>
          <w:b/>
          <w:bCs/>
          <w:sz w:val="21"/>
          <w:szCs w:val="21"/>
        </w:rPr>
        <w:t>（1）响应函</w:t>
      </w:r>
    </w:p>
    <w:p w14:paraId="32EE7AC5">
      <w:pPr>
        <w:adjustRightInd w:val="0"/>
        <w:snapToGrid w:val="0"/>
        <w:spacing w:line="288" w:lineRule="auto"/>
        <w:rPr>
          <w:sz w:val="21"/>
          <w:szCs w:val="21"/>
        </w:rPr>
      </w:pPr>
    </w:p>
    <w:p w14:paraId="21333716">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浙江科技大学</w:t>
      </w:r>
      <w:r>
        <w:rPr>
          <w:rFonts w:hint="eastAsia"/>
          <w:b/>
          <w:bCs/>
          <w:sz w:val="21"/>
          <w:szCs w:val="21"/>
        </w:rPr>
        <w:t>、浙江求是招标代理有限公司</w:t>
      </w:r>
    </w:p>
    <w:p w14:paraId="43EE54D7">
      <w:pPr>
        <w:adjustRightInd w:val="0"/>
        <w:snapToGrid w:val="0"/>
        <w:spacing w:line="288" w:lineRule="auto"/>
        <w:rPr>
          <w:rFonts w:cs="Times New Roman"/>
          <w:spacing w:val="-6"/>
          <w:sz w:val="21"/>
          <w:szCs w:val="21"/>
          <w:highlight w:val="cyan"/>
        </w:rPr>
      </w:pPr>
    </w:p>
    <w:p w14:paraId="6B5C9601">
      <w:pPr>
        <w:adjustRightInd w:val="0"/>
        <w:snapToGrid w:val="0"/>
        <w:spacing w:line="288" w:lineRule="auto"/>
        <w:ind w:firstLine="396" w:firstLineChars="200"/>
        <w:rPr>
          <w:sz w:val="21"/>
          <w:szCs w:val="21"/>
        </w:rPr>
      </w:pPr>
      <w:bookmarkStart w:id="181" w:name="_Hlk97040115"/>
      <w:r>
        <w:rPr>
          <w:rFonts w:hint="eastAsia" w:cs="Times New Roman"/>
          <w:spacing w:val="-6"/>
          <w:sz w:val="21"/>
          <w:szCs w:val="21"/>
        </w:rPr>
        <w:t>我方参加</w:t>
      </w:r>
      <w:r>
        <w:rPr>
          <w:rFonts w:hint="eastAsia" w:cs="Times New Roman"/>
          <w:bCs/>
          <w:spacing w:val="-6"/>
          <w:sz w:val="21"/>
          <w:szCs w:val="21"/>
          <w:u w:val="single"/>
          <w:lang w:eastAsia="zh-CN"/>
        </w:rPr>
        <w:t>浙江科技大学数字化技术与智能制造产教融合实训基地（中德科创中心）EPC项目全过程跟踪造价咨询</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QSZB-Z(F)-B24629(CS)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181"/>
    <w:p w14:paraId="6F9BFE8D">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2B8EA38B">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703D9AA1">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adjustRightInd w:val="0"/>
              <w:snapToGrid w:val="0"/>
              <w:spacing w:line="288" w:lineRule="auto"/>
              <w:rPr>
                <w:rFonts w:cs="Times New Roman"/>
                <w:spacing w:val="-6"/>
                <w:kern w:val="0"/>
                <w:sz w:val="21"/>
                <w:szCs w:val="21"/>
              </w:rPr>
            </w:pPr>
            <w:bookmarkStart w:id="182" w:name="_Hlk97040154"/>
            <w:r>
              <w:rPr>
                <w:rFonts w:hint="eastAsia" w:cs="Times New Roman"/>
                <w:spacing w:val="-6"/>
                <w:kern w:val="0"/>
                <w:sz w:val="21"/>
                <w:szCs w:val="21"/>
              </w:rPr>
              <w:t>联系人：</w:t>
            </w:r>
          </w:p>
        </w:tc>
        <w:tc>
          <w:tcPr>
            <w:tcW w:w="6808" w:type="dxa"/>
          </w:tcPr>
          <w:p w14:paraId="5CA21881">
            <w:pPr>
              <w:adjustRightInd w:val="0"/>
              <w:snapToGrid w:val="0"/>
              <w:spacing w:line="288" w:lineRule="auto"/>
              <w:rPr>
                <w:rFonts w:cs="Times New Roman"/>
                <w:spacing w:val="-6"/>
                <w:kern w:val="0"/>
                <w:sz w:val="21"/>
                <w:szCs w:val="21"/>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14:paraId="2B98E98F">
            <w:pPr>
              <w:adjustRightInd w:val="0"/>
              <w:snapToGrid w:val="0"/>
              <w:spacing w:line="288" w:lineRule="auto"/>
              <w:rPr>
                <w:rFonts w:cs="Times New Roman"/>
                <w:spacing w:val="-6"/>
                <w:kern w:val="0"/>
                <w:sz w:val="21"/>
                <w:szCs w:val="21"/>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14:paraId="0FCF97DD">
            <w:pPr>
              <w:adjustRightInd w:val="0"/>
              <w:snapToGrid w:val="0"/>
              <w:spacing w:line="288" w:lineRule="auto"/>
              <w:rPr>
                <w:rFonts w:cs="Times New Roman"/>
                <w:spacing w:val="-6"/>
                <w:kern w:val="0"/>
                <w:sz w:val="21"/>
                <w:szCs w:val="21"/>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14:paraId="0927E6BB">
            <w:pPr>
              <w:adjustRightInd w:val="0"/>
              <w:snapToGrid w:val="0"/>
              <w:spacing w:line="288" w:lineRule="auto"/>
              <w:rPr>
                <w:rFonts w:cs="Times New Roman"/>
                <w:spacing w:val="-6"/>
                <w:kern w:val="0"/>
                <w:sz w:val="21"/>
                <w:szCs w:val="21"/>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14:paraId="4AEC3BA0">
            <w:pPr>
              <w:adjustRightInd w:val="0"/>
              <w:snapToGrid w:val="0"/>
              <w:spacing w:line="288" w:lineRule="auto"/>
              <w:rPr>
                <w:rFonts w:cs="Times New Roman"/>
                <w:spacing w:val="-6"/>
                <w:kern w:val="0"/>
                <w:sz w:val="21"/>
                <w:szCs w:val="21"/>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14:paraId="30EEF53A">
            <w:pPr>
              <w:adjustRightInd w:val="0"/>
              <w:snapToGrid w:val="0"/>
              <w:spacing w:line="288" w:lineRule="auto"/>
              <w:rPr>
                <w:rFonts w:cs="Times New Roman"/>
                <w:spacing w:val="-6"/>
                <w:kern w:val="0"/>
                <w:sz w:val="21"/>
                <w:szCs w:val="21"/>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14:paraId="06288E77">
            <w:pPr>
              <w:adjustRightInd w:val="0"/>
              <w:snapToGrid w:val="0"/>
              <w:spacing w:line="288" w:lineRule="auto"/>
              <w:rPr>
                <w:rFonts w:cs="Times New Roman"/>
                <w:spacing w:val="-6"/>
                <w:kern w:val="0"/>
                <w:sz w:val="21"/>
                <w:szCs w:val="21"/>
              </w:rPr>
            </w:pPr>
          </w:p>
        </w:tc>
      </w:tr>
      <w:bookmarkEnd w:id="182"/>
    </w:tbl>
    <w:p w14:paraId="5581B906">
      <w:pPr>
        <w:adjustRightInd w:val="0"/>
        <w:snapToGrid w:val="0"/>
        <w:spacing w:line="288" w:lineRule="auto"/>
        <w:rPr>
          <w:sz w:val="21"/>
          <w:szCs w:val="21"/>
        </w:rPr>
      </w:pPr>
    </w:p>
    <w:p w14:paraId="5561F3DB">
      <w:pPr>
        <w:adjustRightInd w:val="0"/>
        <w:snapToGrid w:val="0"/>
        <w:spacing w:line="288" w:lineRule="auto"/>
        <w:rPr>
          <w:sz w:val="21"/>
          <w:szCs w:val="21"/>
        </w:rPr>
      </w:pPr>
    </w:p>
    <w:p w14:paraId="561430D5">
      <w:pPr>
        <w:adjustRightInd w:val="0"/>
        <w:snapToGrid w:val="0"/>
        <w:spacing w:line="288" w:lineRule="auto"/>
        <w:rPr>
          <w:rFonts w:cs="Times New Roman"/>
          <w:b/>
          <w:bCs/>
          <w:spacing w:val="-6"/>
          <w:sz w:val="21"/>
          <w:szCs w:val="21"/>
        </w:rPr>
      </w:pPr>
      <w:bookmarkStart w:id="183"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90438ED">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183"/>
    <w:p w14:paraId="2AEDF632">
      <w:pPr>
        <w:widowControl/>
        <w:adjustRightInd w:val="0"/>
        <w:snapToGrid w:val="0"/>
        <w:spacing w:line="288" w:lineRule="auto"/>
        <w:jc w:val="left"/>
        <w:rPr>
          <w:sz w:val="21"/>
          <w:szCs w:val="21"/>
        </w:rPr>
      </w:pPr>
      <w:r>
        <w:rPr>
          <w:sz w:val="21"/>
          <w:szCs w:val="21"/>
        </w:rPr>
        <w:br w:type="page"/>
      </w:r>
    </w:p>
    <w:p w14:paraId="1679D33D">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78DC4D31">
      <w:pPr>
        <w:adjustRightInd w:val="0"/>
        <w:snapToGrid w:val="0"/>
        <w:spacing w:line="288" w:lineRule="auto"/>
        <w:rPr>
          <w:rFonts w:cs="Times New Roman"/>
          <w:b/>
          <w:bCs/>
          <w:spacing w:val="-6"/>
          <w:sz w:val="21"/>
          <w:szCs w:val="21"/>
        </w:rPr>
      </w:pPr>
    </w:p>
    <w:p w14:paraId="2ADC2B36">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浙江科技大学</w:t>
      </w:r>
      <w:r>
        <w:rPr>
          <w:rFonts w:hint="eastAsia" w:cs="Times New Roman"/>
          <w:b/>
          <w:spacing w:val="-6"/>
          <w:sz w:val="21"/>
          <w:szCs w:val="21"/>
        </w:rPr>
        <w:t>、浙江求是招标代理有限公司</w:t>
      </w:r>
    </w:p>
    <w:p w14:paraId="5092949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浙江科技大学数字化技术与智能制造产教融合实训基地（中德科创中心）EPC项目全过程跟踪审计</w:t>
      </w:r>
      <w:r>
        <w:rPr>
          <w:rFonts w:hint="eastAsia" w:cs="Times New Roman"/>
          <w:bCs/>
          <w:spacing w:val="-6"/>
          <w:sz w:val="21"/>
          <w:szCs w:val="21"/>
        </w:rPr>
        <w:t>项目（项目编号：</w:t>
      </w:r>
      <w:r>
        <w:rPr>
          <w:rFonts w:hint="eastAsia" w:cs="Times New Roman"/>
          <w:bCs/>
          <w:spacing w:val="-6"/>
          <w:sz w:val="21"/>
          <w:szCs w:val="21"/>
          <w:lang w:eastAsia="zh-CN"/>
        </w:rPr>
        <w:t>QSZB-Z(F)-B24629(CS)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4B140F9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14:paraId="7C3BF24D">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2024年06月</w:t>
      </w:r>
      <w:r>
        <w:rPr>
          <w:rFonts w:hint="eastAsia" w:cs="Times New Roman"/>
          <w:spacing w:val="-6"/>
          <w:sz w:val="21"/>
          <w:szCs w:val="21"/>
          <w:u w:val="single"/>
        </w:rPr>
        <w:t>（含）以后任意一月）。</w:t>
      </w:r>
    </w:p>
    <w:p w14:paraId="66C9024A">
      <w:pPr>
        <w:adjustRightInd w:val="0"/>
        <w:snapToGrid w:val="0"/>
        <w:spacing w:line="288" w:lineRule="auto"/>
        <w:rPr>
          <w:rFonts w:cs="Times New Roman"/>
          <w:spacing w:val="-6"/>
          <w:sz w:val="21"/>
          <w:szCs w:val="21"/>
        </w:rPr>
      </w:pPr>
    </w:p>
    <w:p w14:paraId="4EC3B3B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E5EDDDA">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18A89C82">
      <w:pPr>
        <w:adjustRightInd w:val="0"/>
        <w:snapToGrid w:val="0"/>
        <w:spacing w:line="288" w:lineRule="auto"/>
        <w:rPr>
          <w:rFonts w:cs="Times New Roman"/>
          <w:sz w:val="21"/>
          <w:szCs w:val="21"/>
        </w:rPr>
      </w:pPr>
    </w:p>
    <w:p w14:paraId="59C6D7DB">
      <w:pPr>
        <w:adjustRightInd w:val="0"/>
        <w:snapToGrid w:val="0"/>
        <w:spacing w:line="288" w:lineRule="auto"/>
        <w:rPr>
          <w:rFonts w:cs="Times New Roman"/>
          <w:sz w:val="21"/>
          <w:szCs w:val="21"/>
        </w:rPr>
      </w:pPr>
      <w:r>
        <w:rPr>
          <w:rFonts w:hint="eastAsia" w:cs="Times New Roman"/>
          <w:sz w:val="21"/>
          <w:szCs w:val="21"/>
        </w:rPr>
        <w:t>注：</w:t>
      </w:r>
    </w:p>
    <w:p w14:paraId="60B50263">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3B71D032">
      <w:pPr>
        <w:adjustRightInd w:val="0"/>
        <w:snapToGrid w:val="0"/>
        <w:spacing w:line="288" w:lineRule="auto"/>
        <w:rPr>
          <w:rFonts w:cs="Times New Roman"/>
          <w:sz w:val="21"/>
          <w:szCs w:val="21"/>
        </w:rPr>
      </w:pPr>
    </w:p>
    <w:p w14:paraId="1E980223">
      <w:pPr>
        <w:adjustRightInd w:val="0"/>
        <w:snapToGrid w:val="0"/>
        <w:spacing w:line="288" w:lineRule="auto"/>
        <w:rPr>
          <w:rFonts w:cs="Times New Roman"/>
          <w:sz w:val="21"/>
          <w:szCs w:val="21"/>
        </w:rPr>
      </w:pPr>
    </w:p>
    <w:p w14:paraId="09F9C2A7">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3900371">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5D1FD0A5">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3"/>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rPr>
            </w:pPr>
            <w:r>
              <w:rPr>
                <w:rFonts w:hint="eastAsia"/>
                <w:bCs/>
                <w:sz w:val="21"/>
                <w:szCs w:val="21"/>
              </w:rPr>
              <w:t>正面：</w:t>
            </w:r>
          </w:p>
        </w:tc>
        <w:tc>
          <w:tcPr>
            <w:tcW w:w="4951" w:type="dxa"/>
          </w:tcPr>
          <w:p w14:paraId="0B5F5CC0">
            <w:pPr>
              <w:adjustRightInd w:val="0"/>
              <w:snapToGrid w:val="0"/>
              <w:spacing w:line="288" w:lineRule="auto"/>
              <w:rPr>
                <w:bCs/>
                <w:sz w:val="21"/>
                <w:szCs w:val="21"/>
              </w:rPr>
            </w:pPr>
            <w:r>
              <w:rPr>
                <w:rFonts w:hint="eastAsia"/>
                <w:bCs/>
                <w:sz w:val="21"/>
                <w:szCs w:val="21"/>
              </w:rPr>
              <w:t>反面：</w:t>
            </w:r>
          </w:p>
        </w:tc>
      </w:tr>
    </w:tbl>
    <w:p w14:paraId="4DFE6729">
      <w:pPr>
        <w:adjustRightInd w:val="0"/>
        <w:snapToGrid w:val="0"/>
        <w:spacing w:line="288" w:lineRule="auto"/>
        <w:rPr>
          <w:rFonts w:cs="Times New Roman"/>
          <w:sz w:val="21"/>
          <w:szCs w:val="21"/>
        </w:rPr>
      </w:pPr>
    </w:p>
    <w:p w14:paraId="544CCE0B">
      <w:pPr>
        <w:widowControl/>
        <w:adjustRightInd w:val="0"/>
        <w:snapToGrid w:val="0"/>
        <w:spacing w:line="288" w:lineRule="auto"/>
        <w:jc w:val="left"/>
        <w:rPr>
          <w:rFonts w:cs="Times New Roman"/>
          <w:sz w:val="21"/>
          <w:szCs w:val="21"/>
        </w:rPr>
      </w:pPr>
      <w:r>
        <w:rPr>
          <w:rFonts w:cs="Times New Roman"/>
          <w:sz w:val="21"/>
          <w:szCs w:val="21"/>
        </w:rPr>
        <w:br w:type="page"/>
      </w:r>
    </w:p>
    <w:p w14:paraId="435B60B1">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2024年06月</w:t>
      </w:r>
      <w:r>
        <w:rPr>
          <w:rFonts w:hint="eastAsia" w:cs="Times New Roman"/>
          <w:b/>
          <w:bCs/>
          <w:sz w:val="21"/>
          <w:szCs w:val="21"/>
        </w:rPr>
        <w:t>（含）以后任意一月）</w:t>
      </w:r>
    </w:p>
    <w:p w14:paraId="06C406B9">
      <w:pPr>
        <w:adjustRightInd w:val="0"/>
        <w:snapToGrid w:val="0"/>
        <w:spacing w:line="288" w:lineRule="auto"/>
        <w:rPr>
          <w:sz w:val="21"/>
          <w:szCs w:val="21"/>
        </w:rPr>
      </w:pPr>
      <w:r>
        <w:rPr>
          <w:rFonts w:hint="eastAsia"/>
          <w:sz w:val="21"/>
          <w:szCs w:val="21"/>
        </w:rPr>
        <w:br w:type="page"/>
      </w:r>
    </w:p>
    <w:p w14:paraId="7217127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3BB20084">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3EEEA952">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054DF84E">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63DAC5D8">
            <w:pPr>
              <w:adjustRightInd w:val="0"/>
              <w:snapToGrid w:val="0"/>
              <w:spacing w:line="288" w:lineRule="auto"/>
              <w:jc w:val="center"/>
              <w:rPr>
                <w:b/>
                <w:bCs/>
                <w:kern w:val="0"/>
                <w:sz w:val="21"/>
                <w:szCs w:val="21"/>
              </w:rPr>
            </w:pPr>
            <w:r>
              <w:rPr>
                <w:rFonts w:hint="eastAsia"/>
                <w:b/>
                <w:bCs/>
                <w:kern w:val="0"/>
                <w:sz w:val="21"/>
                <w:szCs w:val="21"/>
              </w:rPr>
              <w:t>合同金额</w:t>
            </w:r>
          </w:p>
          <w:p w14:paraId="0DDE61F3">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50D0172F">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5997BA63">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232F284A">
            <w:pPr>
              <w:adjustRightInd w:val="0"/>
              <w:snapToGrid w:val="0"/>
              <w:spacing w:line="288" w:lineRule="auto"/>
              <w:jc w:val="center"/>
              <w:rPr>
                <w:b/>
                <w:bCs/>
                <w:kern w:val="0"/>
                <w:sz w:val="21"/>
                <w:szCs w:val="21"/>
              </w:rPr>
            </w:pPr>
            <w:r>
              <w:rPr>
                <w:rFonts w:hint="eastAsia"/>
                <w:b/>
                <w:bCs/>
                <w:kern w:val="0"/>
                <w:sz w:val="21"/>
                <w:szCs w:val="21"/>
              </w:rPr>
              <w:t>采购人联系人</w:t>
            </w:r>
          </w:p>
          <w:p w14:paraId="5B03E122">
            <w:pPr>
              <w:adjustRightInd w:val="0"/>
              <w:snapToGrid w:val="0"/>
              <w:spacing w:line="288" w:lineRule="auto"/>
              <w:jc w:val="center"/>
              <w:rPr>
                <w:b/>
                <w:bCs/>
                <w:kern w:val="0"/>
                <w:sz w:val="21"/>
                <w:szCs w:val="21"/>
              </w:rPr>
            </w:pPr>
            <w:r>
              <w:rPr>
                <w:rFonts w:hint="eastAsia"/>
                <w:b/>
                <w:bCs/>
                <w:kern w:val="0"/>
                <w:sz w:val="21"/>
                <w:szCs w:val="21"/>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rPr>
            </w:pPr>
          </w:p>
        </w:tc>
        <w:tc>
          <w:tcPr>
            <w:tcW w:w="1268" w:type="dxa"/>
            <w:vAlign w:val="center"/>
          </w:tcPr>
          <w:p w14:paraId="4EAEC6FD">
            <w:pPr>
              <w:adjustRightInd w:val="0"/>
              <w:snapToGrid w:val="0"/>
              <w:spacing w:line="288" w:lineRule="auto"/>
              <w:jc w:val="center"/>
              <w:rPr>
                <w:kern w:val="0"/>
                <w:sz w:val="21"/>
                <w:szCs w:val="21"/>
              </w:rPr>
            </w:pPr>
          </w:p>
        </w:tc>
        <w:tc>
          <w:tcPr>
            <w:tcW w:w="1282" w:type="dxa"/>
            <w:vAlign w:val="center"/>
          </w:tcPr>
          <w:p w14:paraId="189630DE">
            <w:pPr>
              <w:adjustRightInd w:val="0"/>
              <w:snapToGrid w:val="0"/>
              <w:spacing w:line="288" w:lineRule="auto"/>
              <w:jc w:val="center"/>
              <w:rPr>
                <w:kern w:val="0"/>
                <w:sz w:val="21"/>
                <w:szCs w:val="21"/>
              </w:rPr>
            </w:pPr>
          </w:p>
        </w:tc>
        <w:tc>
          <w:tcPr>
            <w:tcW w:w="1432" w:type="dxa"/>
            <w:vAlign w:val="center"/>
          </w:tcPr>
          <w:p w14:paraId="6257C1A1">
            <w:pPr>
              <w:adjustRightInd w:val="0"/>
              <w:snapToGrid w:val="0"/>
              <w:spacing w:line="288" w:lineRule="auto"/>
              <w:jc w:val="center"/>
              <w:rPr>
                <w:kern w:val="0"/>
                <w:sz w:val="21"/>
                <w:szCs w:val="21"/>
              </w:rPr>
            </w:pPr>
          </w:p>
        </w:tc>
        <w:tc>
          <w:tcPr>
            <w:tcW w:w="1256" w:type="dxa"/>
            <w:vAlign w:val="center"/>
          </w:tcPr>
          <w:p w14:paraId="4974486D">
            <w:pPr>
              <w:adjustRightInd w:val="0"/>
              <w:snapToGrid w:val="0"/>
              <w:spacing w:line="288" w:lineRule="auto"/>
              <w:jc w:val="center"/>
              <w:rPr>
                <w:kern w:val="0"/>
                <w:sz w:val="21"/>
                <w:szCs w:val="21"/>
              </w:rPr>
            </w:pPr>
          </w:p>
        </w:tc>
        <w:tc>
          <w:tcPr>
            <w:tcW w:w="899" w:type="dxa"/>
            <w:vAlign w:val="center"/>
          </w:tcPr>
          <w:p w14:paraId="3E4980A2">
            <w:pPr>
              <w:adjustRightInd w:val="0"/>
              <w:snapToGrid w:val="0"/>
              <w:spacing w:line="288" w:lineRule="auto"/>
              <w:jc w:val="center"/>
              <w:rPr>
                <w:kern w:val="0"/>
                <w:sz w:val="21"/>
                <w:szCs w:val="21"/>
              </w:rPr>
            </w:pPr>
          </w:p>
        </w:tc>
        <w:tc>
          <w:tcPr>
            <w:tcW w:w="995" w:type="dxa"/>
            <w:vAlign w:val="center"/>
          </w:tcPr>
          <w:p w14:paraId="1B35052E">
            <w:pPr>
              <w:adjustRightInd w:val="0"/>
              <w:snapToGrid w:val="0"/>
              <w:spacing w:line="288" w:lineRule="auto"/>
              <w:jc w:val="center"/>
              <w:rPr>
                <w:kern w:val="0"/>
                <w:sz w:val="21"/>
                <w:szCs w:val="21"/>
              </w:rPr>
            </w:pPr>
          </w:p>
        </w:tc>
        <w:tc>
          <w:tcPr>
            <w:tcW w:w="1718" w:type="dxa"/>
            <w:vAlign w:val="center"/>
          </w:tcPr>
          <w:p w14:paraId="1DFE0221">
            <w:pPr>
              <w:adjustRightInd w:val="0"/>
              <w:snapToGrid w:val="0"/>
              <w:spacing w:line="288" w:lineRule="auto"/>
              <w:jc w:val="center"/>
              <w:rPr>
                <w:kern w:val="0"/>
                <w:sz w:val="21"/>
                <w:szCs w:val="21"/>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rPr>
            </w:pPr>
          </w:p>
        </w:tc>
        <w:tc>
          <w:tcPr>
            <w:tcW w:w="1268" w:type="dxa"/>
            <w:vAlign w:val="center"/>
          </w:tcPr>
          <w:p w14:paraId="423378C9">
            <w:pPr>
              <w:adjustRightInd w:val="0"/>
              <w:snapToGrid w:val="0"/>
              <w:spacing w:line="288" w:lineRule="auto"/>
              <w:jc w:val="center"/>
              <w:rPr>
                <w:kern w:val="0"/>
                <w:sz w:val="21"/>
                <w:szCs w:val="21"/>
              </w:rPr>
            </w:pPr>
          </w:p>
        </w:tc>
        <w:tc>
          <w:tcPr>
            <w:tcW w:w="1282" w:type="dxa"/>
            <w:vAlign w:val="center"/>
          </w:tcPr>
          <w:p w14:paraId="147FDEB7">
            <w:pPr>
              <w:adjustRightInd w:val="0"/>
              <w:snapToGrid w:val="0"/>
              <w:spacing w:line="288" w:lineRule="auto"/>
              <w:jc w:val="center"/>
              <w:rPr>
                <w:kern w:val="0"/>
                <w:sz w:val="21"/>
                <w:szCs w:val="21"/>
              </w:rPr>
            </w:pPr>
          </w:p>
        </w:tc>
        <w:tc>
          <w:tcPr>
            <w:tcW w:w="1432" w:type="dxa"/>
            <w:vAlign w:val="center"/>
          </w:tcPr>
          <w:p w14:paraId="5F76B399">
            <w:pPr>
              <w:adjustRightInd w:val="0"/>
              <w:snapToGrid w:val="0"/>
              <w:spacing w:line="288" w:lineRule="auto"/>
              <w:jc w:val="center"/>
              <w:rPr>
                <w:kern w:val="0"/>
                <w:sz w:val="21"/>
                <w:szCs w:val="21"/>
              </w:rPr>
            </w:pPr>
          </w:p>
        </w:tc>
        <w:tc>
          <w:tcPr>
            <w:tcW w:w="1256" w:type="dxa"/>
            <w:vAlign w:val="center"/>
          </w:tcPr>
          <w:p w14:paraId="442F3D19">
            <w:pPr>
              <w:adjustRightInd w:val="0"/>
              <w:snapToGrid w:val="0"/>
              <w:spacing w:line="288" w:lineRule="auto"/>
              <w:jc w:val="center"/>
              <w:rPr>
                <w:kern w:val="0"/>
                <w:sz w:val="21"/>
                <w:szCs w:val="21"/>
              </w:rPr>
            </w:pPr>
          </w:p>
        </w:tc>
        <w:tc>
          <w:tcPr>
            <w:tcW w:w="899" w:type="dxa"/>
            <w:vAlign w:val="center"/>
          </w:tcPr>
          <w:p w14:paraId="3602EBE7">
            <w:pPr>
              <w:adjustRightInd w:val="0"/>
              <w:snapToGrid w:val="0"/>
              <w:spacing w:line="288" w:lineRule="auto"/>
              <w:jc w:val="center"/>
              <w:rPr>
                <w:kern w:val="0"/>
                <w:sz w:val="21"/>
                <w:szCs w:val="21"/>
              </w:rPr>
            </w:pPr>
          </w:p>
        </w:tc>
        <w:tc>
          <w:tcPr>
            <w:tcW w:w="995" w:type="dxa"/>
            <w:vAlign w:val="center"/>
          </w:tcPr>
          <w:p w14:paraId="42162A9B">
            <w:pPr>
              <w:adjustRightInd w:val="0"/>
              <w:snapToGrid w:val="0"/>
              <w:spacing w:line="288" w:lineRule="auto"/>
              <w:jc w:val="center"/>
              <w:rPr>
                <w:kern w:val="0"/>
                <w:sz w:val="21"/>
                <w:szCs w:val="21"/>
              </w:rPr>
            </w:pPr>
          </w:p>
        </w:tc>
        <w:tc>
          <w:tcPr>
            <w:tcW w:w="1718" w:type="dxa"/>
            <w:vAlign w:val="center"/>
          </w:tcPr>
          <w:p w14:paraId="27E672D4">
            <w:pPr>
              <w:adjustRightInd w:val="0"/>
              <w:snapToGrid w:val="0"/>
              <w:spacing w:line="288" w:lineRule="auto"/>
              <w:jc w:val="center"/>
              <w:rPr>
                <w:kern w:val="0"/>
                <w:sz w:val="21"/>
                <w:szCs w:val="21"/>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kern w:val="0"/>
                <w:sz w:val="21"/>
                <w:szCs w:val="21"/>
              </w:rPr>
            </w:pPr>
          </w:p>
        </w:tc>
        <w:tc>
          <w:tcPr>
            <w:tcW w:w="1268" w:type="dxa"/>
            <w:vAlign w:val="center"/>
          </w:tcPr>
          <w:p w14:paraId="3301E582">
            <w:pPr>
              <w:adjustRightInd w:val="0"/>
              <w:snapToGrid w:val="0"/>
              <w:spacing w:line="288" w:lineRule="auto"/>
              <w:jc w:val="center"/>
              <w:rPr>
                <w:kern w:val="0"/>
                <w:sz w:val="21"/>
                <w:szCs w:val="21"/>
              </w:rPr>
            </w:pPr>
          </w:p>
        </w:tc>
        <w:tc>
          <w:tcPr>
            <w:tcW w:w="1282" w:type="dxa"/>
            <w:vAlign w:val="center"/>
          </w:tcPr>
          <w:p w14:paraId="288FFA68">
            <w:pPr>
              <w:adjustRightInd w:val="0"/>
              <w:snapToGrid w:val="0"/>
              <w:spacing w:line="288" w:lineRule="auto"/>
              <w:jc w:val="center"/>
              <w:rPr>
                <w:kern w:val="0"/>
                <w:sz w:val="21"/>
                <w:szCs w:val="21"/>
              </w:rPr>
            </w:pPr>
          </w:p>
        </w:tc>
        <w:tc>
          <w:tcPr>
            <w:tcW w:w="1432" w:type="dxa"/>
            <w:vAlign w:val="center"/>
          </w:tcPr>
          <w:p w14:paraId="72B40043">
            <w:pPr>
              <w:adjustRightInd w:val="0"/>
              <w:snapToGrid w:val="0"/>
              <w:spacing w:line="288" w:lineRule="auto"/>
              <w:jc w:val="center"/>
              <w:rPr>
                <w:kern w:val="0"/>
                <w:sz w:val="21"/>
                <w:szCs w:val="21"/>
              </w:rPr>
            </w:pPr>
          </w:p>
        </w:tc>
        <w:tc>
          <w:tcPr>
            <w:tcW w:w="1256" w:type="dxa"/>
            <w:vAlign w:val="center"/>
          </w:tcPr>
          <w:p w14:paraId="57221D29">
            <w:pPr>
              <w:adjustRightInd w:val="0"/>
              <w:snapToGrid w:val="0"/>
              <w:spacing w:line="288" w:lineRule="auto"/>
              <w:jc w:val="center"/>
              <w:rPr>
                <w:kern w:val="0"/>
                <w:sz w:val="21"/>
                <w:szCs w:val="21"/>
              </w:rPr>
            </w:pPr>
          </w:p>
        </w:tc>
        <w:tc>
          <w:tcPr>
            <w:tcW w:w="899" w:type="dxa"/>
            <w:vAlign w:val="center"/>
          </w:tcPr>
          <w:p w14:paraId="775EC2D2">
            <w:pPr>
              <w:adjustRightInd w:val="0"/>
              <w:snapToGrid w:val="0"/>
              <w:spacing w:line="288" w:lineRule="auto"/>
              <w:jc w:val="center"/>
              <w:rPr>
                <w:kern w:val="0"/>
                <w:sz w:val="21"/>
                <w:szCs w:val="21"/>
              </w:rPr>
            </w:pPr>
          </w:p>
        </w:tc>
        <w:tc>
          <w:tcPr>
            <w:tcW w:w="995" w:type="dxa"/>
            <w:vAlign w:val="center"/>
          </w:tcPr>
          <w:p w14:paraId="5F1526E4">
            <w:pPr>
              <w:adjustRightInd w:val="0"/>
              <w:snapToGrid w:val="0"/>
              <w:spacing w:line="288" w:lineRule="auto"/>
              <w:jc w:val="center"/>
              <w:rPr>
                <w:kern w:val="0"/>
                <w:sz w:val="21"/>
                <w:szCs w:val="21"/>
              </w:rPr>
            </w:pPr>
          </w:p>
        </w:tc>
        <w:tc>
          <w:tcPr>
            <w:tcW w:w="1718" w:type="dxa"/>
            <w:vAlign w:val="center"/>
          </w:tcPr>
          <w:p w14:paraId="21840474">
            <w:pPr>
              <w:adjustRightInd w:val="0"/>
              <w:snapToGrid w:val="0"/>
              <w:spacing w:line="288" w:lineRule="auto"/>
              <w:jc w:val="center"/>
              <w:rPr>
                <w:kern w:val="0"/>
                <w:sz w:val="21"/>
                <w:szCs w:val="21"/>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rPr>
            </w:pPr>
          </w:p>
        </w:tc>
        <w:tc>
          <w:tcPr>
            <w:tcW w:w="1268" w:type="dxa"/>
            <w:vAlign w:val="center"/>
          </w:tcPr>
          <w:p w14:paraId="1A7D39DF">
            <w:pPr>
              <w:adjustRightInd w:val="0"/>
              <w:snapToGrid w:val="0"/>
              <w:spacing w:line="288" w:lineRule="auto"/>
              <w:jc w:val="center"/>
              <w:rPr>
                <w:kern w:val="0"/>
                <w:sz w:val="21"/>
                <w:szCs w:val="21"/>
              </w:rPr>
            </w:pPr>
          </w:p>
        </w:tc>
        <w:tc>
          <w:tcPr>
            <w:tcW w:w="1282" w:type="dxa"/>
            <w:vAlign w:val="center"/>
          </w:tcPr>
          <w:p w14:paraId="4B3CF8B0">
            <w:pPr>
              <w:adjustRightInd w:val="0"/>
              <w:snapToGrid w:val="0"/>
              <w:spacing w:line="288" w:lineRule="auto"/>
              <w:jc w:val="center"/>
              <w:rPr>
                <w:kern w:val="0"/>
                <w:sz w:val="21"/>
                <w:szCs w:val="21"/>
              </w:rPr>
            </w:pPr>
          </w:p>
        </w:tc>
        <w:tc>
          <w:tcPr>
            <w:tcW w:w="1432" w:type="dxa"/>
            <w:vAlign w:val="center"/>
          </w:tcPr>
          <w:p w14:paraId="35A1659A">
            <w:pPr>
              <w:adjustRightInd w:val="0"/>
              <w:snapToGrid w:val="0"/>
              <w:spacing w:line="288" w:lineRule="auto"/>
              <w:jc w:val="center"/>
              <w:rPr>
                <w:kern w:val="0"/>
                <w:sz w:val="21"/>
                <w:szCs w:val="21"/>
              </w:rPr>
            </w:pPr>
          </w:p>
        </w:tc>
        <w:tc>
          <w:tcPr>
            <w:tcW w:w="1256" w:type="dxa"/>
            <w:vAlign w:val="center"/>
          </w:tcPr>
          <w:p w14:paraId="10BD2C77">
            <w:pPr>
              <w:adjustRightInd w:val="0"/>
              <w:snapToGrid w:val="0"/>
              <w:spacing w:line="288" w:lineRule="auto"/>
              <w:jc w:val="center"/>
              <w:rPr>
                <w:kern w:val="0"/>
                <w:sz w:val="21"/>
                <w:szCs w:val="21"/>
              </w:rPr>
            </w:pPr>
          </w:p>
        </w:tc>
        <w:tc>
          <w:tcPr>
            <w:tcW w:w="899" w:type="dxa"/>
            <w:vAlign w:val="center"/>
          </w:tcPr>
          <w:p w14:paraId="7F4E671F">
            <w:pPr>
              <w:adjustRightInd w:val="0"/>
              <w:snapToGrid w:val="0"/>
              <w:spacing w:line="288" w:lineRule="auto"/>
              <w:jc w:val="center"/>
              <w:rPr>
                <w:kern w:val="0"/>
                <w:sz w:val="21"/>
                <w:szCs w:val="21"/>
              </w:rPr>
            </w:pPr>
          </w:p>
        </w:tc>
        <w:tc>
          <w:tcPr>
            <w:tcW w:w="995" w:type="dxa"/>
            <w:vAlign w:val="center"/>
          </w:tcPr>
          <w:p w14:paraId="4B5E4233">
            <w:pPr>
              <w:adjustRightInd w:val="0"/>
              <w:snapToGrid w:val="0"/>
              <w:spacing w:line="288" w:lineRule="auto"/>
              <w:jc w:val="center"/>
              <w:rPr>
                <w:kern w:val="0"/>
                <w:sz w:val="21"/>
                <w:szCs w:val="21"/>
              </w:rPr>
            </w:pPr>
          </w:p>
        </w:tc>
        <w:tc>
          <w:tcPr>
            <w:tcW w:w="1718" w:type="dxa"/>
            <w:vAlign w:val="center"/>
          </w:tcPr>
          <w:p w14:paraId="5064B69F">
            <w:pPr>
              <w:adjustRightInd w:val="0"/>
              <w:snapToGrid w:val="0"/>
              <w:spacing w:line="288" w:lineRule="auto"/>
              <w:jc w:val="center"/>
              <w:rPr>
                <w:kern w:val="0"/>
                <w:sz w:val="21"/>
                <w:szCs w:val="21"/>
              </w:rPr>
            </w:pPr>
          </w:p>
        </w:tc>
      </w:tr>
    </w:tbl>
    <w:p w14:paraId="40FE4C06">
      <w:pPr>
        <w:adjustRightInd w:val="0"/>
        <w:snapToGrid w:val="0"/>
        <w:spacing w:line="288" w:lineRule="auto"/>
        <w:rPr>
          <w:sz w:val="21"/>
          <w:szCs w:val="21"/>
        </w:rPr>
      </w:pPr>
    </w:p>
    <w:p w14:paraId="67194B02">
      <w:pPr>
        <w:adjustRightInd w:val="0"/>
        <w:snapToGrid w:val="0"/>
        <w:spacing w:line="288" w:lineRule="auto"/>
        <w:rPr>
          <w:b/>
          <w:bCs/>
          <w:sz w:val="21"/>
          <w:szCs w:val="21"/>
        </w:rPr>
      </w:pPr>
      <w:r>
        <w:rPr>
          <w:rFonts w:hint="eastAsia"/>
          <w:b/>
          <w:bCs/>
          <w:sz w:val="21"/>
          <w:szCs w:val="21"/>
        </w:rPr>
        <w:t>说明：</w:t>
      </w:r>
    </w:p>
    <w:p w14:paraId="238C008F">
      <w:pPr>
        <w:adjustRightInd w:val="0"/>
        <w:snapToGrid w:val="0"/>
        <w:spacing w:line="288" w:lineRule="auto"/>
        <w:rPr>
          <w:b/>
          <w:bCs/>
          <w:sz w:val="21"/>
          <w:szCs w:val="21"/>
        </w:rPr>
      </w:pPr>
      <w:r>
        <w:rPr>
          <w:rFonts w:hint="eastAsia"/>
          <w:b/>
          <w:bCs/>
          <w:sz w:val="21"/>
          <w:szCs w:val="21"/>
        </w:rPr>
        <w:t>1.供应商须提供上述业绩合同扫描件；</w:t>
      </w:r>
    </w:p>
    <w:p w14:paraId="59CDA0E5">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46480192">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6D6E8D89">
      <w:pPr>
        <w:adjustRightInd w:val="0"/>
        <w:snapToGrid w:val="0"/>
        <w:spacing w:line="288" w:lineRule="auto"/>
        <w:rPr>
          <w:sz w:val="21"/>
          <w:szCs w:val="21"/>
        </w:rPr>
      </w:pPr>
    </w:p>
    <w:p w14:paraId="422DB361">
      <w:pPr>
        <w:adjustRightInd w:val="0"/>
        <w:snapToGrid w:val="0"/>
        <w:spacing w:line="288" w:lineRule="auto"/>
        <w:rPr>
          <w:sz w:val="21"/>
          <w:szCs w:val="21"/>
        </w:rPr>
      </w:pPr>
    </w:p>
    <w:p w14:paraId="0084B065">
      <w:pPr>
        <w:adjustRightInd w:val="0"/>
        <w:snapToGrid w:val="0"/>
        <w:spacing w:line="288" w:lineRule="auto"/>
        <w:rPr>
          <w:sz w:val="21"/>
          <w:szCs w:val="21"/>
        </w:rPr>
      </w:pPr>
    </w:p>
    <w:p w14:paraId="20CC609B">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CEB6789">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4EED832B">
      <w:pPr>
        <w:adjustRightInd w:val="0"/>
        <w:snapToGrid w:val="0"/>
        <w:spacing w:line="288" w:lineRule="auto"/>
        <w:rPr>
          <w:sz w:val="21"/>
          <w:szCs w:val="21"/>
        </w:rPr>
      </w:pPr>
      <w:r>
        <w:rPr>
          <w:rFonts w:hint="eastAsia"/>
          <w:sz w:val="21"/>
          <w:szCs w:val="21"/>
        </w:rPr>
        <w:br w:type="page"/>
      </w:r>
    </w:p>
    <w:p w14:paraId="18F1ABF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26E4227D">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F3C87C8">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数字化技术与智能制造产教融合实训基地（中德科创中心）EPC项目全过程跟踪审计</w:t>
      </w:r>
    </w:p>
    <w:p w14:paraId="020F03A7">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QSZB-Z(F)-B24629(CS)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163283DD">
            <w:pPr>
              <w:adjustRightInd w:val="0"/>
              <w:snapToGrid w:val="0"/>
              <w:spacing w:line="288" w:lineRule="auto"/>
              <w:jc w:val="center"/>
              <w:rPr>
                <w:b/>
                <w:bCs/>
                <w:kern w:val="0"/>
                <w:sz w:val="21"/>
                <w:szCs w:val="21"/>
              </w:rPr>
            </w:pPr>
            <w:bookmarkStart w:id="184" w:name="_Hlk97040421"/>
            <w:r>
              <w:rPr>
                <w:rFonts w:hint="eastAsia"/>
                <w:b/>
                <w:bCs/>
                <w:kern w:val="0"/>
                <w:sz w:val="21"/>
                <w:szCs w:val="21"/>
              </w:rPr>
              <w:t>序号</w:t>
            </w:r>
          </w:p>
        </w:tc>
        <w:tc>
          <w:tcPr>
            <w:tcW w:w="3286" w:type="dxa"/>
            <w:vAlign w:val="center"/>
          </w:tcPr>
          <w:p w14:paraId="5277C874">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37E4EA9D">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715A9BAE">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E0FBEA2">
            <w:pPr>
              <w:adjustRightInd w:val="0"/>
              <w:snapToGrid w:val="0"/>
              <w:spacing w:line="288" w:lineRule="auto"/>
              <w:rPr>
                <w:b/>
                <w:bCs/>
                <w:kern w:val="0"/>
                <w:sz w:val="21"/>
                <w:szCs w:val="21"/>
              </w:rPr>
            </w:pPr>
            <w:r>
              <w:rPr>
                <w:rFonts w:hint="eastAsia"/>
                <w:b/>
                <w:bCs/>
                <w:kern w:val="0"/>
                <w:sz w:val="21"/>
                <w:szCs w:val="21"/>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CB115FF">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E68B5B3">
            <w:pPr>
              <w:adjustRightInd w:val="0"/>
              <w:snapToGrid w:val="0"/>
              <w:spacing w:line="288" w:lineRule="auto"/>
              <w:jc w:val="center"/>
              <w:rPr>
                <w:kern w:val="0"/>
                <w:sz w:val="21"/>
                <w:szCs w:val="21"/>
              </w:rPr>
            </w:pPr>
          </w:p>
        </w:tc>
        <w:tc>
          <w:tcPr>
            <w:tcW w:w="2911" w:type="dxa"/>
            <w:vAlign w:val="center"/>
          </w:tcPr>
          <w:p w14:paraId="527AB942">
            <w:pPr>
              <w:adjustRightInd w:val="0"/>
              <w:snapToGrid w:val="0"/>
              <w:spacing w:line="288" w:lineRule="auto"/>
              <w:jc w:val="center"/>
              <w:rPr>
                <w:kern w:val="0"/>
                <w:sz w:val="21"/>
                <w:szCs w:val="21"/>
              </w:rPr>
            </w:pPr>
          </w:p>
        </w:tc>
        <w:tc>
          <w:tcPr>
            <w:tcW w:w="2407" w:type="dxa"/>
            <w:vAlign w:val="center"/>
          </w:tcPr>
          <w:p w14:paraId="2546C737">
            <w:pPr>
              <w:adjustRightInd w:val="0"/>
              <w:snapToGrid w:val="0"/>
              <w:spacing w:line="288" w:lineRule="auto"/>
              <w:jc w:val="center"/>
              <w:rPr>
                <w:kern w:val="0"/>
                <w:sz w:val="21"/>
                <w:szCs w:val="21"/>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9F2FB8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3F6753AD">
            <w:pPr>
              <w:adjustRightInd w:val="0"/>
              <w:snapToGrid w:val="0"/>
              <w:spacing w:line="288" w:lineRule="auto"/>
              <w:jc w:val="center"/>
              <w:rPr>
                <w:kern w:val="0"/>
                <w:sz w:val="21"/>
                <w:szCs w:val="21"/>
              </w:rPr>
            </w:pPr>
          </w:p>
        </w:tc>
        <w:tc>
          <w:tcPr>
            <w:tcW w:w="2911" w:type="dxa"/>
            <w:vAlign w:val="center"/>
          </w:tcPr>
          <w:p w14:paraId="2C45E96B">
            <w:pPr>
              <w:adjustRightInd w:val="0"/>
              <w:snapToGrid w:val="0"/>
              <w:spacing w:line="288" w:lineRule="auto"/>
              <w:jc w:val="center"/>
              <w:rPr>
                <w:kern w:val="0"/>
                <w:sz w:val="21"/>
                <w:szCs w:val="21"/>
              </w:rPr>
            </w:pPr>
          </w:p>
        </w:tc>
        <w:tc>
          <w:tcPr>
            <w:tcW w:w="2407" w:type="dxa"/>
            <w:vAlign w:val="center"/>
          </w:tcPr>
          <w:p w14:paraId="69668F53">
            <w:pPr>
              <w:adjustRightInd w:val="0"/>
              <w:snapToGrid w:val="0"/>
              <w:spacing w:line="288" w:lineRule="auto"/>
              <w:jc w:val="center"/>
              <w:rPr>
                <w:kern w:val="0"/>
                <w:sz w:val="21"/>
                <w:szCs w:val="21"/>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0C736F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746707D">
            <w:pPr>
              <w:adjustRightInd w:val="0"/>
              <w:snapToGrid w:val="0"/>
              <w:spacing w:line="288" w:lineRule="auto"/>
              <w:jc w:val="center"/>
              <w:rPr>
                <w:kern w:val="0"/>
                <w:sz w:val="21"/>
                <w:szCs w:val="21"/>
              </w:rPr>
            </w:pPr>
          </w:p>
        </w:tc>
        <w:tc>
          <w:tcPr>
            <w:tcW w:w="2911" w:type="dxa"/>
            <w:vAlign w:val="center"/>
          </w:tcPr>
          <w:p w14:paraId="064F0E85">
            <w:pPr>
              <w:adjustRightInd w:val="0"/>
              <w:snapToGrid w:val="0"/>
              <w:spacing w:line="288" w:lineRule="auto"/>
              <w:jc w:val="center"/>
              <w:rPr>
                <w:kern w:val="0"/>
                <w:sz w:val="21"/>
                <w:szCs w:val="21"/>
              </w:rPr>
            </w:pPr>
          </w:p>
        </w:tc>
        <w:tc>
          <w:tcPr>
            <w:tcW w:w="2407" w:type="dxa"/>
            <w:vAlign w:val="center"/>
          </w:tcPr>
          <w:p w14:paraId="2D431690">
            <w:pPr>
              <w:adjustRightInd w:val="0"/>
              <w:snapToGrid w:val="0"/>
              <w:spacing w:line="288" w:lineRule="auto"/>
              <w:jc w:val="center"/>
              <w:rPr>
                <w:kern w:val="0"/>
                <w:sz w:val="21"/>
                <w:szCs w:val="21"/>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3D65DF70">
            <w:pPr>
              <w:adjustRightInd w:val="0"/>
              <w:snapToGrid w:val="0"/>
              <w:spacing w:line="288" w:lineRule="auto"/>
              <w:rPr>
                <w:kern w:val="0"/>
                <w:sz w:val="21"/>
                <w:szCs w:val="21"/>
              </w:rPr>
            </w:pPr>
            <w:r>
              <w:rPr>
                <w:rFonts w:hint="eastAsia"/>
                <w:b/>
                <w:bCs/>
                <w:kern w:val="0"/>
                <w:sz w:val="21"/>
                <w:szCs w:val="21"/>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BD860A3">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3C49B74">
            <w:pPr>
              <w:adjustRightInd w:val="0"/>
              <w:snapToGrid w:val="0"/>
              <w:spacing w:line="288" w:lineRule="auto"/>
              <w:jc w:val="center"/>
              <w:rPr>
                <w:kern w:val="0"/>
                <w:sz w:val="21"/>
                <w:szCs w:val="21"/>
              </w:rPr>
            </w:pPr>
          </w:p>
        </w:tc>
        <w:tc>
          <w:tcPr>
            <w:tcW w:w="2911" w:type="dxa"/>
            <w:vAlign w:val="center"/>
          </w:tcPr>
          <w:p w14:paraId="1B8B4DB5">
            <w:pPr>
              <w:adjustRightInd w:val="0"/>
              <w:snapToGrid w:val="0"/>
              <w:spacing w:line="288" w:lineRule="auto"/>
              <w:jc w:val="center"/>
              <w:rPr>
                <w:kern w:val="0"/>
                <w:sz w:val="21"/>
                <w:szCs w:val="21"/>
              </w:rPr>
            </w:pPr>
          </w:p>
        </w:tc>
        <w:tc>
          <w:tcPr>
            <w:tcW w:w="2407" w:type="dxa"/>
            <w:vAlign w:val="center"/>
          </w:tcPr>
          <w:p w14:paraId="5BAEE259">
            <w:pPr>
              <w:adjustRightInd w:val="0"/>
              <w:snapToGrid w:val="0"/>
              <w:spacing w:line="288" w:lineRule="auto"/>
              <w:jc w:val="center"/>
              <w:rPr>
                <w:kern w:val="0"/>
                <w:sz w:val="21"/>
                <w:szCs w:val="21"/>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50AB302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25E26FEC">
            <w:pPr>
              <w:adjustRightInd w:val="0"/>
              <w:snapToGrid w:val="0"/>
              <w:spacing w:line="288" w:lineRule="auto"/>
              <w:jc w:val="center"/>
              <w:rPr>
                <w:kern w:val="0"/>
                <w:sz w:val="21"/>
                <w:szCs w:val="21"/>
              </w:rPr>
            </w:pPr>
          </w:p>
        </w:tc>
        <w:tc>
          <w:tcPr>
            <w:tcW w:w="2911" w:type="dxa"/>
            <w:vAlign w:val="center"/>
          </w:tcPr>
          <w:p w14:paraId="75E577F7">
            <w:pPr>
              <w:adjustRightInd w:val="0"/>
              <w:snapToGrid w:val="0"/>
              <w:spacing w:line="288" w:lineRule="auto"/>
              <w:jc w:val="center"/>
              <w:rPr>
                <w:kern w:val="0"/>
                <w:sz w:val="21"/>
                <w:szCs w:val="21"/>
              </w:rPr>
            </w:pPr>
          </w:p>
        </w:tc>
        <w:tc>
          <w:tcPr>
            <w:tcW w:w="2407" w:type="dxa"/>
            <w:vAlign w:val="center"/>
          </w:tcPr>
          <w:p w14:paraId="3E759538">
            <w:pPr>
              <w:adjustRightInd w:val="0"/>
              <w:snapToGrid w:val="0"/>
              <w:spacing w:line="288" w:lineRule="auto"/>
              <w:jc w:val="center"/>
              <w:rPr>
                <w:kern w:val="0"/>
                <w:sz w:val="21"/>
                <w:szCs w:val="21"/>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0B87A5A2">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13EF2C90">
            <w:pPr>
              <w:adjustRightInd w:val="0"/>
              <w:snapToGrid w:val="0"/>
              <w:spacing w:line="288" w:lineRule="auto"/>
              <w:jc w:val="center"/>
              <w:rPr>
                <w:kern w:val="0"/>
                <w:sz w:val="21"/>
                <w:szCs w:val="21"/>
              </w:rPr>
            </w:pPr>
          </w:p>
        </w:tc>
        <w:tc>
          <w:tcPr>
            <w:tcW w:w="2911" w:type="dxa"/>
            <w:vAlign w:val="center"/>
          </w:tcPr>
          <w:p w14:paraId="1B9F46E1">
            <w:pPr>
              <w:adjustRightInd w:val="0"/>
              <w:snapToGrid w:val="0"/>
              <w:spacing w:line="288" w:lineRule="auto"/>
              <w:jc w:val="center"/>
              <w:rPr>
                <w:kern w:val="0"/>
                <w:sz w:val="21"/>
                <w:szCs w:val="21"/>
              </w:rPr>
            </w:pPr>
          </w:p>
        </w:tc>
        <w:tc>
          <w:tcPr>
            <w:tcW w:w="2407" w:type="dxa"/>
            <w:vAlign w:val="center"/>
          </w:tcPr>
          <w:p w14:paraId="63A201AB">
            <w:pPr>
              <w:adjustRightInd w:val="0"/>
              <w:snapToGrid w:val="0"/>
              <w:spacing w:line="288" w:lineRule="auto"/>
              <w:jc w:val="center"/>
              <w:rPr>
                <w:kern w:val="0"/>
                <w:sz w:val="21"/>
                <w:szCs w:val="21"/>
              </w:rPr>
            </w:pPr>
          </w:p>
        </w:tc>
      </w:tr>
      <w:bookmarkEnd w:id="184"/>
    </w:tbl>
    <w:p w14:paraId="1DA52751">
      <w:pPr>
        <w:adjustRightInd w:val="0"/>
        <w:snapToGrid w:val="0"/>
        <w:spacing w:line="288" w:lineRule="auto"/>
        <w:rPr>
          <w:sz w:val="21"/>
          <w:szCs w:val="21"/>
        </w:rPr>
      </w:pPr>
    </w:p>
    <w:p w14:paraId="04542723">
      <w:pPr>
        <w:adjustRightInd w:val="0"/>
        <w:snapToGrid w:val="0"/>
        <w:spacing w:line="288" w:lineRule="auto"/>
        <w:rPr>
          <w:b/>
          <w:bCs/>
          <w:sz w:val="21"/>
          <w:szCs w:val="21"/>
        </w:rPr>
      </w:pPr>
      <w:r>
        <w:rPr>
          <w:rFonts w:hint="eastAsia"/>
          <w:b/>
          <w:bCs/>
          <w:sz w:val="21"/>
          <w:szCs w:val="21"/>
        </w:rPr>
        <w:t>说明：</w:t>
      </w:r>
    </w:p>
    <w:p w14:paraId="2E487C17">
      <w:pPr>
        <w:adjustRightInd w:val="0"/>
        <w:snapToGrid w:val="0"/>
        <w:spacing w:line="288" w:lineRule="auto"/>
        <w:rPr>
          <w:b/>
          <w:bCs/>
          <w:sz w:val="21"/>
          <w:szCs w:val="21"/>
        </w:rPr>
      </w:pPr>
      <w:r>
        <w:rPr>
          <w:rFonts w:hint="eastAsia"/>
          <w:b/>
          <w:bCs/>
          <w:sz w:val="21"/>
          <w:szCs w:val="21"/>
        </w:rPr>
        <w:t>1.逐项按照磋商文件要求填写响应规格；</w:t>
      </w:r>
    </w:p>
    <w:p w14:paraId="149ED775">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rPr>
      </w:pPr>
      <w:r>
        <w:rPr>
          <w:rFonts w:hint="eastAsia"/>
          <w:b/>
          <w:bCs/>
          <w:sz w:val="21"/>
          <w:szCs w:val="21"/>
        </w:rPr>
        <w:t>3.如不填写或未如实填写，自行承担磋商响应风险。</w:t>
      </w:r>
    </w:p>
    <w:p w14:paraId="3BB5E678">
      <w:pPr>
        <w:adjustRightInd w:val="0"/>
        <w:snapToGrid w:val="0"/>
        <w:spacing w:line="288" w:lineRule="auto"/>
        <w:rPr>
          <w:sz w:val="21"/>
          <w:szCs w:val="21"/>
        </w:rPr>
      </w:pPr>
    </w:p>
    <w:p w14:paraId="3E80382B">
      <w:pPr>
        <w:adjustRightInd w:val="0"/>
        <w:snapToGrid w:val="0"/>
        <w:spacing w:line="288" w:lineRule="auto"/>
        <w:rPr>
          <w:sz w:val="21"/>
          <w:szCs w:val="21"/>
        </w:rPr>
      </w:pPr>
    </w:p>
    <w:p w14:paraId="71150967">
      <w:pPr>
        <w:adjustRightInd w:val="0"/>
        <w:snapToGrid w:val="0"/>
        <w:spacing w:line="288" w:lineRule="auto"/>
        <w:rPr>
          <w:sz w:val="21"/>
          <w:szCs w:val="21"/>
        </w:rPr>
      </w:pPr>
    </w:p>
    <w:p w14:paraId="1C3E849A">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F5257BC">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75ED3AE6">
      <w:pPr>
        <w:adjustRightInd w:val="0"/>
        <w:snapToGrid w:val="0"/>
        <w:spacing w:line="288" w:lineRule="auto"/>
        <w:rPr>
          <w:sz w:val="21"/>
          <w:szCs w:val="21"/>
        </w:rPr>
      </w:pPr>
      <w:r>
        <w:rPr>
          <w:rFonts w:hint="eastAsia"/>
          <w:sz w:val="21"/>
          <w:szCs w:val="21"/>
        </w:rPr>
        <w:br w:type="page"/>
      </w:r>
    </w:p>
    <w:p w14:paraId="600F9027">
      <w:pPr>
        <w:adjustRightInd w:val="0"/>
        <w:snapToGrid w:val="0"/>
        <w:spacing w:line="288" w:lineRule="auto"/>
        <w:jc w:val="left"/>
        <w:outlineLvl w:val="2"/>
        <w:rPr>
          <w:rFonts w:hint="eastAsia" w:eastAsia="宋体"/>
          <w:b/>
          <w:spacing w:val="-6"/>
          <w:sz w:val="21"/>
          <w:szCs w:val="21"/>
          <w:lang w:eastAsia="zh-CN"/>
        </w:rPr>
      </w:pPr>
      <w:r>
        <w:rPr>
          <w:rFonts w:hint="eastAsia"/>
          <w:b/>
          <w:bCs/>
          <w:sz w:val="21"/>
          <w:szCs w:val="21"/>
        </w:rPr>
        <w:t>（</w:t>
      </w:r>
      <w:r>
        <w:rPr>
          <w:b/>
          <w:bCs/>
          <w:sz w:val="21"/>
          <w:szCs w:val="21"/>
        </w:rPr>
        <w:t>5</w:t>
      </w:r>
      <w:r>
        <w:rPr>
          <w:rFonts w:hint="eastAsia"/>
          <w:b/>
          <w:bCs/>
          <w:sz w:val="21"/>
          <w:szCs w:val="21"/>
        </w:rPr>
        <w:t>）</w:t>
      </w:r>
      <w:bookmarkStart w:id="185" w:name="_Hlk71885757"/>
      <w:r>
        <w:rPr>
          <w:rFonts w:hint="eastAsia"/>
          <w:b/>
          <w:bCs/>
          <w:sz w:val="21"/>
          <w:szCs w:val="21"/>
          <w:lang w:val="en-US" w:eastAsia="zh-CN"/>
        </w:rPr>
        <w:t>服务</w:t>
      </w:r>
      <w:r>
        <w:rPr>
          <w:rFonts w:hint="eastAsia"/>
          <w:b/>
          <w:spacing w:val="-6"/>
          <w:sz w:val="21"/>
          <w:szCs w:val="21"/>
        </w:rPr>
        <w:t>方案</w:t>
      </w:r>
      <w:r>
        <w:rPr>
          <w:rFonts w:hint="eastAsia"/>
          <w:b/>
          <w:spacing w:val="-6"/>
          <w:sz w:val="21"/>
          <w:szCs w:val="21"/>
          <w:lang w:eastAsia="zh-CN"/>
        </w:rPr>
        <w:t>：</w:t>
      </w:r>
    </w:p>
    <w:p w14:paraId="54DFDB92">
      <w:pPr>
        <w:adjustRightInd w:val="0"/>
        <w:snapToGrid w:val="0"/>
        <w:spacing w:line="288" w:lineRule="auto"/>
        <w:rPr>
          <w:rFonts w:hint="eastAsia"/>
          <w:b/>
          <w:spacing w:val="-6"/>
          <w:sz w:val="21"/>
          <w:szCs w:val="21"/>
        </w:rPr>
      </w:pPr>
      <w:r>
        <w:rPr>
          <w:rFonts w:hint="eastAsia"/>
          <w:b/>
          <w:spacing w:val="-6"/>
          <w:sz w:val="21"/>
          <w:szCs w:val="21"/>
        </w:rPr>
        <w:t>项目实施方案</w:t>
      </w:r>
    </w:p>
    <w:p w14:paraId="59CB6044">
      <w:pPr>
        <w:adjustRightInd w:val="0"/>
        <w:snapToGrid w:val="0"/>
        <w:spacing w:line="288" w:lineRule="auto"/>
        <w:rPr>
          <w:rFonts w:hint="eastAsia"/>
          <w:b/>
          <w:spacing w:val="-6"/>
          <w:sz w:val="21"/>
          <w:szCs w:val="21"/>
        </w:rPr>
      </w:pPr>
    </w:p>
    <w:p w14:paraId="4DE8DBA0">
      <w:pPr>
        <w:adjustRightInd w:val="0"/>
        <w:snapToGrid w:val="0"/>
        <w:spacing w:line="288" w:lineRule="auto"/>
        <w:rPr>
          <w:rFonts w:hint="eastAsia"/>
          <w:b/>
          <w:spacing w:val="-6"/>
          <w:sz w:val="21"/>
          <w:szCs w:val="21"/>
        </w:rPr>
      </w:pPr>
      <w:r>
        <w:rPr>
          <w:rFonts w:hint="eastAsia"/>
          <w:b/>
          <w:spacing w:val="-6"/>
          <w:sz w:val="21"/>
          <w:szCs w:val="21"/>
        </w:rPr>
        <w:t>施工图预算编制和审核方案</w:t>
      </w:r>
    </w:p>
    <w:p w14:paraId="4A611C84">
      <w:pPr>
        <w:adjustRightInd w:val="0"/>
        <w:snapToGrid w:val="0"/>
        <w:spacing w:line="288" w:lineRule="auto"/>
        <w:rPr>
          <w:rFonts w:hint="eastAsia"/>
          <w:b/>
          <w:spacing w:val="-6"/>
          <w:sz w:val="21"/>
          <w:szCs w:val="21"/>
        </w:rPr>
      </w:pPr>
    </w:p>
    <w:p w14:paraId="2741C288">
      <w:pPr>
        <w:adjustRightInd w:val="0"/>
        <w:snapToGrid w:val="0"/>
        <w:spacing w:line="288" w:lineRule="auto"/>
        <w:rPr>
          <w:rFonts w:hint="eastAsia"/>
          <w:b/>
          <w:spacing w:val="-6"/>
          <w:sz w:val="21"/>
          <w:szCs w:val="21"/>
        </w:rPr>
      </w:pPr>
      <w:r>
        <w:rPr>
          <w:rFonts w:hint="eastAsia"/>
          <w:b/>
          <w:spacing w:val="-6"/>
          <w:sz w:val="21"/>
          <w:szCs w:val="21"/>
        </w:rPr>
        <w:t>施工阶段全过程跟踪审计服务方案</w:t>
      </w:r>
    </w:p>
    <w:p w14:paraId="3EAA8533">
      <w:pPr>
        <w:adjustRightInd w:val="0"/>
        <w:snapToGrid w:val="0"/>
        <w:spacing w:line="288" w:lineRule="auto"/>
        <w:rPr>
          <w:rFonts w:hint="eastAsia"/>
          <w:b/>
          <w:spacing w:val="-6"/>
          <w:sz w:val="21"/>
          <w:szCs w:val="21"/>
        </w:rPr>
      </w:pPr>
    </w:p>
    <w:p w14:paraId="50908253">
      <w:pPr>
        <w:adjustRightInd w:val="0"/>
        <w:snapToGrid w:val="0"/>
        <w:spacing w:line="288" w:lineRule="auto"/>
        <w:rPr>
          <w:rFonts w:hint="eastAsia" w:ascii="宋体" w:hAnsi="宋体" w:eastAsia="宋体" w:cs="宋体"/>
          <w:b/>
          <w:spacing w:val="-6"/>
          <w:sz w:val="21"/>
          <w:szCs w:val="21"/>
        </w:rPr>
      </w:pPr>
      <w:r>
        <w:rPr>
          <w:rFonts w:hint="eastAsia"/>
          <w:b/>
          <w:spacing w:val="-6"/>
          <w:sz w:val="21"/>
          <w:szCs w:val="21"/>
        </w:rPr>
        <w:t>工程</w:t>
      </w:r>
      <w:r>
        <w:rPr>
          <w:rFonts w:hint="eastAsia" w:ascii="宋体" w:hAnsi="宋体" w:eastAsia="宋体" w:cs="宋体"/>
          <w:b/>
          <w:spacing w:val="-6"/>
          <w:sz w:val="21"/>
          <w:szCs w:val="21"/>
        </w:rPr>
        <w:t>竣工结算审核服务方案</w:t>
      </w:r>
    </w:p>
    <w:p w14:paraId="6F878C91">
      <w:pPr>
        <w:adjustRightInd w:val="0"/>
        <w:snapToGrid w:val="0"/>
        <w:spacing w:line="288" w:lineRule="auto"/>
        <w:rPr>
          <w:rFonts w:hint="eastAsia" w:ascii="宋体" w:hAnsi="宋体" w:eastAsia="宋体" w:cs="宋体"/>
          <w:b/>
          <w:spacing w:val="-6"/>
          <w:sz w:val="21"/>
          <w:szCs w:val="21"/>
        </w:rPr>
      </w:pPr>
    </w:p>
    <w:p w14:paraId="243651B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拟投入人员（需提供人员配置清单）</w:t>
      </w:r>
    </w:p>
    <w:p w14:paraId="5474104D">
      <w:pPr>
        <w:keepNext w:val="0"/>
        <w:keepLines w:val="0"/>
        <w:pageBreakBefore w:val="0"/>
        <w:widowControl w:val="0"/>
        <w:kinsoku/>
        <w:wordWrap/>
        <w:overflowPunct/>
        <w:topLinePunct w:val="0"/>
        <w:autoSpaceDE/>
        <w:autoSpaceDN/>
        <w:bidi w:val="0"/>
        <w:snapToGrid w:val="0"/>
        <w:spacing w:line="288" w:lineRule="auto"/>
        <w:ind w:firstLine="424" w:firstLineChars="201"/>
        <w:textAlignment w:val="auto"/>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附：</w:t>
      </w:r>
      <w:r>
        <w:rPr>
          <w:rFonts w:hint="eastAsia" w:ascii="宋体" w:hAnsi="宋体" w:eastAsia="宋体" w:cs="宋体"/>
          <w:b/>
          <w:sz w:val="21"/>
          <w:szCs w:val="21"/>
        </w:rPr>
        <w:t>项目人员清单</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055"/>
        <w:gridCol w:w="1217"/>
        <w:gridCol w:w="1323"/>
        <w:gridCol w:w="1479"/>
        <w:gridCol w:w="1323"/>
        <w:gridCol w:w="1319"/>
        <w:gridCol w:w="1315"/>
      </w:tblGrid>
      <w:tr w14:paraId="11F4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03A23DEE">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548" w:type="pct"/>
            <w:tcBorders>
              <w:top w:val="single" w:color="auto" w:sz="4" w:space="0"/>
              <w:left w:val="single" w:color="auto" w:sz="4" w:space="0"/>
              <w:bottom w:val="single" w:color="auto" w:sz="4" w:space="0"/>
              <w:right w:val="single" w:color="auto" w:sz="4" w:space="0"/>
            </w:tcBorders>
            <w:vAlign w:val="center"/>
          </w:tcPr>
          <w:p w14:paraId="022E92C8">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姓名</w:t>
            </w:r>
          </w:p>
        </w:tc>
        <w:tc>
          <w:tcPr>
            <w:tcW w:w="632" w:type="pct"/>
            <w:tcBorders>
              <w:top w:val="single" w:color="auto" w:sz="4" w:space="0"/>
              <w:left w:val="single" w:color="auto" w:sz="4" w:space="0"/>
              <w:bottom w:val="single" w:color="auto" w:sz="4" w:space="0"/>
              <w:right w:val="single" w:color="auto" w:sz="4" w:space="0"/>
            </w:tcBorders>
            <w:vAlign w:val="center"/>
          </w:tcPr>
          <w:p w14:paraId="4FC1A26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联系方式</w:t>
            </w:r>
          </w:p>
        </w:tc>
        <w:tc>
          <w:tcPr>
            <w:tcW w:w="687" w:type="pct"/>
            <w:tcBorders>
              <w:top w:val="single" w:color="auto" w:sz="4" w:space="0"/>
              <w:left w:val="single" w:color="auto" w:sz="4" w:space="0"/>
              <w:bottom w:val="single" w:color="auto" w:sz="4" w:space="0"/>
              <w:right w:val="single" w:color="auto" w:sz="4" w:space="0"/>
            </w:tcBorders>
            <w:vAlign w:val="center"/>
          </w:tcPr>
          <w:p w14:paraId="52810A0A">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身份证号码</w:t>
            </w:r>
          </w:p>
        </w:tc>
        <w:tc>
          <w:tcPr>
            <w:tcW w:w="768" w:type="pct"/>
            <w:tcBorders>
              <w:top w:val="single" w:color="auto" w:sz="4" w:space="0"/>
              <w:left w:val="single" w:color="auto" w:sz="4" w:space="0"/>
              <w:bottom w:val="single" w:color="auto" w:sz="4" w:space="0"/>
              <w:right w:val="single" w:color="auto" w:sz="4" w:space="0"/>
            </w:tcBorders>
            <w:vAlign w:val="center"/>
          </w:tcPr>
          <w:p w14:paraId="3B6AF554">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本项目承担的岗位</w:t>
            </w:r>
          </w:p>
        </w:tc>
        <w:tc>
          <w:tcPr>
            <w:tcW w:w="687" w:type="pct"/>
            <w:tcBorders>
              <w:top w:val="single" w:color="auto" w:sz="4" w:space="0"/>
              <w:left w:val="single" w:color="auto" w:sz="4" w:space="0"/>
              <w:bottom w:val="single" w:color="auto" w:sz="4" w:space="0"/>
              <w:right w:val="single" w:color="auto" w:sz="4" w:space="0"/>
            </w:tcBorders>
            <w:vAlign w:val="center"/>
          </w:tcPr>
          <w:p w14:paraId="11526D3D">
            <w:pPr>
              <w:keepNext w:val="0"/>
              <w:keepLines w:val="0"/>
              <w:pageBreakBefore w:val="0"/>
              <w:widowControl w:val="0"/>
              <w:tabs>
                <w:tab w:val="left" w:pos="449"/>
              </w:tabs>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人员资历</w:t>
            </w:r>
          </w:p>
        </w:tc>
        <w:tc>
          <w:tcPr>
            <w:tcW w:w="685" w:type="pct"/>
            <w:tcBorders>
              <w:top w:val="single" w:color="auto" w:sz="4" w:space="0"/>
              <w:left w:val="single" w:color="auto" w:sz="4" w:space="0"/>
              <w:bottom w:val="single" w:color="auto" w:sz="4" w:space="0"/>
              <w:right w:val="single" w:color="auto" w:sz="4" w:space="0"/>
            </w:tcBorders>
            <w:vAlign w:val="center"/>
          </w:tcPr>
          <w:p w14:paraId="223568D8">
            <w:pPr>
              <w:keepNext w:val="0"/>
              <w:keepLines w:val="0"/>
              <w:pageBreakBefore w:val="0"/>
              <w:widowControl w:val="0"/>
              <w:tabs>
                <w:tab w:val="left" w:pos="449"/>
              </w:tabs>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人员资质证书</w:t>
            </w:r>
          </w:p>
        </w:tc>
        <w:tc>
          <w:tcPr>
            <w:tcW w:w="683" w:type="pct"/>
            <w:tcBorders>
              <w:top w:val="single" w:color="auto" w:sz="4" w:space="0"/>
              <w:left w:val="single" w:color="auto" w:sz="4" w:space="0"/>
              <w:bottom w:val="single" w:color="auto" w:sz="4" w:space="0"/>
              <w:right w:val="single" w:color="auto" w:sz="4" w:space="0"/>
            </w:tcBorders>
            <w:vAlign w:val="center"/>
          </w:tcPr>
          <w:p w14:paraId="7603FC55">
            <w:pPr>
              <w:keepNext w:val="0"/>
              <w:keepLines w:val="0"/>
              <w:pageBreakBefore w:val="0"/>
              <w:widowControl w:val="0"/>
              <w:tabs>
                <w:tab w:val="left" w:pos="449"/>
              </w:tabs>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备注</w:t>
            </w:r>
          </w:p>
        </w:tc>
      </w:tr>
      <w:tr w14:paraId="3335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649031C5">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548" w:type="pct"/>
            <w:tcBorders>
              <w:top w:val="single" w:color="auto" w:sz="4" w:space="0"/>
              <w:left w:val="single" w:color="auto" w:sz="4" w:space="0"/>
              <w:bottom w:val="single" w:color="auto" w:sz="4" w:space="0"/>
              <w:right w:val="single" w:color="auto" w:sz="4" w:space="0"/>
            </w:tcBorders>
            <w:vAlign w:val="center"/>
          </w:tcPr>
          <w:p w14:paraId="0AD23A45">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3E122B87">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5A1CB84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1AD74F25">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tcPr>
          <w:p w14:paraId="51040ADE">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2321CAFB">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cBorders>
          </w:tcPr>
          <w:p w14:paraId="6274BAF9">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r>
      <w:tr w14:paraId="54F8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34FA826E">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548" w:type="pct"/>
            <w:tcBorders>
              <w:top w:val="single" w:color="auto" w:sz="4" w:space="0"/>
              <w:left w:val="single" w:color="auto" w:sz="4" w:space="0"/>
              <w:bottom w:val="single" w:color="auto" w:sz="4" w:space="0"/>
              <w:right w:val="single" w:color="auto" w:sz="4" w:space="0"/>
            </w:tcBorders>
            <w:vAlign w:val="center"/>
          </w:tcPr>
          <w:p w14:paraId="096A8769">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56D98BA1">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72CE7A13">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762E1BE4">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7" w:type="pct"/>
            <w:tcBorders>
              <w:top w:val="single" w:color="auto" w:sz="4" w:space="0"/>
              <w:left w:val="single" w:color="auto" w:sz="4" w:space="0"/>
              <w:bottom w:val="single" w:color="auto" w:sz="4" w:space="0"/>
              <w:right w:val="single" w:color="auto" w:sz="4" w:space="0"/>
            </w:tcBorders>
          </w:tcPr>
          <w:p w14:paraId="61F0F6BB">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74365C57">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3" w:type="pct"/>
            <w:tcBorders>
              <w:top w:val="single" w:color="auto" w:sz="4" w:space="0"/>
              <w:left w:val="single" w:color="auto" w:sz="4" w:space="0"/>
              <w:bottom w:val="single" w:color="auto" w:sz="4" w:space="0"/>
              <w:right w:val="single" w:color="auto" w:sz="4" w:space="0"/>
            </w:tcBorders>
          </w:tcPr>
          <w:p w14:paraId="648171D6">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r>
      <w:tr w14:paraId="58AC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6F56B2EF">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548" w:type="pct"/>
            <w:tcBorders>
              <w:top w:val="single" w:color="auto" w:sz="4" w:space="0"/>
              <w:left w:val="single" w:color="auto" w:sz="4" w:space="0"/>
              <w:bottom w:val="single" w:color="auto" w:sz="4" w:space="0"/>
              <w:right w:val="single" w:color="auto" w:sz="4" w:space="0"/>
            </w:tcBorders>
            <w:vAlign w:val="center"/>
          </w:tcPr>
          <w:p w14:paraId="6C1B79A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7517CF9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2D84BE49">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5884C0EC">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7" w:type="pct"/>
            <w:tcBorders>
              <w:top w:val="single" w:color="auto" w:sz="4" w:space="0"/>
              <w:left w:val="single" w:color="auto" w:sz="4" w:space="0"/>
              <w:bottom w:val="single" w:color="auto" w:sz="4" w:space="0"/>
              <w:right w:val="single" w:color="auto" w:sz="4" w:space="0"/>
            </w:tcBorders>
          </w:tcPr>
          <w:p w14:paraId="77EA05BB">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67EADBA1">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3" w:type="pct"/>
            <w:tcBorders>
              <w:top w:val="single" w:color="auto" w:sz="4" w:space="0"/>
              <w:left w:val="single" w:color="auto" w:sz="4" w:space="0"/>
              <w:bottom w:val="single" w:color="auto" w:sz="4" w:space="0"/>
              <w:right w:val="single" w:color="auto" w:sz="4" w:space="0"/>
            </w:tcBorders>
          </w:tcPr>
          <w:p w14:paraId="37F8A3B4">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r>
      <w:tr w14:paraId="3BB5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7FD8FD56">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548" w:type="pct"/>
            <w:tcBorders>
              <w:top w:val="single" w:color="auto" w:sz="4" w:space="0"/>
              <w:left w:val="single" w:color="auto" w:sz="4" w:space="0"/>
              <w:bottom w:val="single" w:color="auto" w:sz="4" w:space="0"/>
              <w:right w:val="single" w:color="auto" w:sz="4" w:space="0"/>
            </w:tcBorders>
            <w:vAlign w:val="center"/>
          </w:tcPr>
          <w:p w14:paraId="427BD19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23255A2A">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6B00C6D6">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17D8E7D2">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7" w:type="pct"/>
            <w:tcBorders>
              <w:top w:val="single" w:color="auto" w:sz="4" w:space="0"/>
              <w:left w:val="single" w:color="auto" w:sz="4" w:space="0"/>
              <w:bottom w:val="single" w:color="auto" w:sz="4" w:space="0"/>
              <w:right w:val="single" w:color="auto" w:sz="4" w:space="0"/>
            </w:tcBorders>
          </w:tcPr>
          <w:p w14:paraId="7742224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3F2ADAF6">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3" w:type="pct"/>
            <w:tcBorders>
              <w:top w:val="single" w:color="auto" w:sz="4" w:space="0"/>
              <w:left w:val="single" w:color="auto" w:sz="4" w:space="0"/>
              <w:bottom w:val="single" w:color="auto" w:sz="4" w:space="0"/>
              <w:right w:val="single" w:color="auto" w:sz="4" w:space="0"/>
            </w:tcBorders>
          </w:tcPr>
          <w:p w14:paraId="6A1ED3E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r>
      <w:tr w14:paraId="09C2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2BB34F8A">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c>
          <w:tcPr>
            <w:tcW w:w="548" w:type="pct"/>
            <w:tcBorders>
              <w:top w:val="single" w:color="auto" w:sz="4" w:space="0"/>
              <w:left w:val="single" w:color="auto" w:sz="4" w:space="0"/>
              <w:bottom w:val="single" w:color="auto" w:sz="4" w:space="0"/>
              <w:right w:val="single" w:color="auto" w:sz="4" w:space="0"/>
            </w:tcBorders>
            <w:vAlign w:val="center"/>
          </w:tcPr>
          <w:p w14:paraId="18FF380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1216192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74D08DA4">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7FD6B28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7" w:type="pct"/>
            <w:tcBorders>
              <w:top w:val="single" w:color="auto" w:sz="4" w:space="0"/>
              <w:left w:val="single" w:color="auto" w:sz="4" w:space="0"/>
              <w:bottom w:val="single" w:color="auto" w:sz="4" w:space="0"/>
              <w:right w:val="single" w:color="auto" w:sz="4" w:space="0"/>
            </w:tcBorders>
          </w:tcPr>
          <w:p w14:paraId="6A8CD3AA">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37A1181F">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3" w:type="pct"/>
            <w:tcBorders>
              <w:top w:val="single" w:color="auto" w:sz="4" w:space="0"/>
              <w:left w:val="single" w:color="auto" w:sz="4" w:space="0"/>
              <w:bottom w:val="single" w:color="auto" w:sz="4" w:space="0"/>
              <w:right w:val="single" w:color="auto" w:sz="4" w:space="0"/>
            </w:tcBorders>
          </w:tcPr>
          <w:p w14:paraId="3A271E4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r>
      <w:tr w14:paraId="518D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7BA8187A">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6</w:t>
            </w:r>
          </w:p>
        </w:tc>
        <w:tc>
          <w:tcPr>
            <w:tcW w:w="548" w:type="pct"/>
            <w:tcBorders>
              <w:top w:val="single" w:color="auto" w:sz="4" w:space="0"/>
              <w:left w:val="single" w:color="auto" w:sz="4" w:space="0"/>
              <w:bottom w:val="single" w:color="auto" w:sz="4" w:space="0"/>
              <w:right w:val="single" w:color="auto" w:sz="4" w:space="0"/>
            </w:tcBorders>
            <w:vAlign w:val="center"/>
          </w:tcPr>
          <w:p w14:paraId="7ABFEBF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2FCD49D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71976DFC">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5963606B">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7" w:type="pct"/>
            <w:tcBorders>
              <w:top w:val="single" w:color="auto" w:sz="4" w:space="0"/>
              <w:left w:val="single" w:color="auto" w:sz="4" w:space="0"/>
              <w:bottom w:val="single" w:color="auto" w:sz="4" w:space="0"/>
              <w:right w:val="single" w:color="auto" w:sz="4" w:space="0"/>
            </w:tcBorders>
          </w:tcPr>
          <w:p w14:paraId="5476DD15">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6F0C6444">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3" w:type="pct"/>
            <w:tcBorders>
              <w:top w:val="single" w:color="auto" w:sz="4" w:space="0"/>
              <w:left w:val="single" w:color="auto" w:sz="4" w:space="0"/>
              <w:bottom w:val="single" w:color="auto" w:sz="4" w:space="0"/>
              <w:right w:val="single" w:color="auto" w:sz="4" w:space="0"/>
            </w:tcBorders>
          </w:tcPr>
          <w:p w14:paraId="496F6549">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r>
      <w:tr w14:paraId="1D80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3C8B810B">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7</w:t>
            </w:r>
          </w:p>
        </w:tc>
        <w:tc>
          <w:tcPr>
            <w:tcW w:w="548" w:type="pct"/>
            <w:tcBorders>
              <w:top w:val="single" w:color="auto" w:sz="4" w:space="0"/>
              <w:left w:val="single" w:color="auto" w:sz="4" w:space="0"/>
              <w:bottom w:val="single" w:color="auto" w:sz="4" w:space="0"/>
              <w:right w:val="single" w:color="auto" w:sz="4" w:space="0"/>
            </w:tcBorders>
            <w:vAlign w:val="center"/>
          </w:tcPr>
          <w:p w14:paraId="4EE24874">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5A027297">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2AF2ECA3">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446D04A1">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7" w:type="pct"/>
            <w:tcBorders>
              <w:top w:val="single" w:color="auto" w:sz="4" w:space="0"/>
              <w:left w:val="single" w:color="auto" w:sz="4" w:space="0"/>
              <w:bottom w:val="single" w:color="auto" w:sz="4" w:space="0"/>
              <w:right w:val="single" w:color="auto" w:sz="4" w:space="0"/>
            </w:tcBorders>
          </w:tcPr>
          <w:p w14:paraId="25575F0B">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23E5F892">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3" w:type="pct"/>
            <w:tcBorders>
              <w:top w:val="single" w:color="auto" w:sz="4" w:space="0"/>
              <w:left w:val="single" w:color="auto" w:sz="4" w:space="0"/>
              <w:bottom w:val="single" w:color="auto" w:sz="4" w:space="0"/>
              <w:right w:val="single" w:color="auto" w:sz="4" w:space="0"/>
            </w:tcBorders>
          </w:tcPr>
          <w:p w14:paraId="487DCF22">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r>
    </w:tbl>
    <w:p w14:paraId="257E7287">
      <w:pPr>
        <w:adjustRightInd w:val="0"/>
        <w:snapToGrid w:val="0"/>
        <w:spacing w:line="288" w:lineRule="auto"/>
        <w:outlineLvl w:val="9"/>
        <w:rPr>
          <w:rFonts w:hint="eastAsia"/>
          <w:b/>
          <w:spacing w:val="-6"/>
          <w:sz w:val="21"/>
          <w:szCs w:val="21"/>
        </w:rPr>
      </w:pPr>
    </w:p>
    <w:p w14:paraId="51315AE9">
      <w:pPr>
        <w:adjustRightInd w:val="0"/>
        <w:snapToGrid w:val="0"/>
        <w:spacing w:line="288" w:lineRule="auto"/>
        <w:outlineLvl w:val="2"/>
        <w:rPr>
          <w:b/>
          <w:spacing w:val="-6"/>
          <w:sz w:val="21"/>
          <w:szCs w:val="21"/>
        </w:rPr>
      </w:pPr>
      <w:r>
        <w:rPr>
          <w:rFonts w:hint="eastAsia"/>
          <w:b/>
          <w:spacing w:val="-6"/>
          <w:sz w:val="21"/>
          <w:szCs w:val="21"/>
        </w:rPr>
        <w:t>（</w:t>
      </w:r>
      <w:r>
        <w:rPr>
          <w:rFonts w:hint="eastAsia"/>
          <w:b/>
          <w:spacing w:val="-6"/>
          <w:sz w:val="21"/>
          <w:szCs w:val="21"/>
          <w:lang w:val="en-US" w:eastAsia="zh-CN"/>
        </w:rPr>
        <w:t>6</w:t>
      </w:r>
      <w:r>
        <w:rPr>
          <w:rFonts w:hint="eastAsia"/>
          <w:b/>
          <w:spacing w:val="-6"/>
          <w:sz w:val="21"/>
          <w:szCs w:val="21"/>
        </w:rPr>
        <w:t>）供应商需要说明的其他文件和材料。</w:t>
      </w:r>
      <w:bookmarkEnd w:id="185"/>
    </w:p>
    <w:p w14:paraId="208C5C6F">
      <w:pPr>
        <w:rPr>
          <w:rFonts w:hint="eastAsia"/>
          <w:b/>
          <w:spacing w:val="-6"/>
          <w:sz w:val="21"/>
          <w:szCs w:val="21"/>
          <w:lang w:eastAsia="zh-CN"/>
        </w:rPr>
      </w:pPr>
      <w:r>
        <w:rPr>
          <w:rFonts w:hint="eastAsia"/>
          <w:b/>
          <w:spacing w:val="-6"/>
          <w:sz w:val="21"/>
          <w:szCs w:val="21"/>
          <w:lang w:eastAsia="zh-CN"/>
        </w:rPr>
        <w:br w:type="page"/>
      </w:r>
    </w:p>
    <w:p w14:paraId="5550B202">
      <w:pPr>
        <w:snapToGrid w:val="0"/>
        <w:spacing w:line="360" w:lineRule="auto"/>
        <w:jc w:val="center"/>
        <w:outlineLvl w:val="2"/>
        <w:rPr>
          <w:rFonts w:ascii="宋体" w:hAnsi="宋体" w:cs="仿宋_GB2312"/>
          <w:b/>
          <w:kern w:val="0"/>
          <w:sz w:val="21"/>
          <w:szCs w:val="21"/>
        </w:rPr>
      </w:pPr>
      <w:r>
        <w:rPr>
          <w:rFonts w:hint="eastAsia"/>
          <w:b/>
          <w:spacing w:val="-6"/>
          <w:sz w:val="21"/>
          <w:szCs w:val="21"/>
          <w:lang w:eastAsia="zh-CN"/>
        </w:rPr>
        <w:t>（</w:t>
      </w:r>
      <w:r>
        <w:rPr>
          <w:rFonts w:hint="eastAsia"/>
          <w:b/>
          <w:spacing w:val="-6"/>
          <w:sz w:val="21"/>
          <w:szCs w:val="21"/>
          <w:lang w:val="en-US" w:eastAsia="zh-CN"/>
        </w:rPr>
        <w:t>7</w:t>
      </w:r>
      <w:r>
        <w:rPr>
          <w:rFonts w:hint="eastAsia"/>
          <w:b/>
          <w:spacing w:val="-6"/>
          <w:sz w:val="21"/>
          <w:szCs w:val="21"/>
          <w:lang w:eastAsia="zh-CN"/>
        </w:rPr>
        <w:t>）</w:t>
      </w:r>
      <w:r>
        <w:rPr>
          <w:rFonts w:hint="eastAsia" w:ascii="宋体" w:hAnsi="宋体" w:cs="仿宋_GB2312"/>
          <w:b/>
          <w:kern w:val="0"/>
          <w:sz w:val="21"/>
          <w:szCs w:val="21"/>
        </w:rPr>
        <w:t>政府采购供应商廉洁自律承诺书</w:t>
      </w:r>
    </w:p>
    <w:p w14:paraId="47EF61D2">
      <w:pPr>
        <w:autoSpaceDE w:val="0"/>
        <w:autoSpaceDN w:val="0"/>
        <w:spacing w:line="360" w:lineRule="auto"/>
        <w:jc w:val="left"/>
        <w:rPr>
          <w:rFonts w:ascii="宋体" w:hAnsi="宋体" w:cs="仿宋_GB2312"/>
          <w:kern w:val="0"/>
          <w:sz w:val="21"/>
          <w:szCs w:val="21"/>
          <w:lang w:val="zh-CN"/>
        </w:rPr>
      </w:pPr>
      <w:r>
        <w:rPr>
          <w:rFonts w:hint="eastAsia" w:ascii="宋体" w:hAnsi="宋体" w:cs="仿宋_GB2312"/>
          <w:b/>
          <w:bCs/>
          <w:kern w:val="0"/>
          <w:sz w:val="21"/>
          <w:szCs w:val="21"/>
          <w:lang w:val="zh-CN"/>
        </w:rPr>
        <w:t>致：浙江科技大学、浙江求是招标代理有限公司</w:t>
      </w:r>
      <w:r>
        <w:rPr>
          <w:rFonts w:hint="eastAsia" w:ascii="宋体" w:hAnsi="宋体" w:cs="仿宋_GB2312"/>
          <w:kern w:val="0"/>
          <w:sz w:val="21"/>
          <w:szCs w:val="21"/>
          <w:lang w:val="zh-CN"/>
        </w:rPr>
        <w:t xml:space="preserve">    </w:t>
      </w:r>
    </w:p>
    <w:p w14:paraId="28322471">
      <w:pPr>
        <w:autoSpaceDE w:val="0"/>
        <w:autoSpaceDN w:val="0"/>
        <w:spacing w:line="360" w:lineRule="auto"/>
        <w:ind w:left="2" w:leftChars="1"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我单位响应你</w:t>
      </w:r>
      <w:r>
        <w:rPr>
          <w:rFonts w:hint="eastAsia" w:ascii="宋体" w:hAnsi="宋体" w:cs="仿宋_GB2312"/>
          <w:sz w:val="21"/>
          <w:szCs w:val="21"/>
        </w:rPr>
        <w:t>单位</w:t>
      </w:r>
      <w:r>
        <w:rPr>
          <w:rFonts w:hint="eastAsia" w:ascii="宋体" w:hAnsi="宋体" w:cs="仿宋_GB2312"/>
          <w:kern w:val="0"/>
          <w:sz w:val="21"/>
          <w:szCs w:val="21"/>
          <w:lang w:val="zh-CN"/>
        </w:rPr>
        <w:t>项目采购要求参加响应。在这次响应过程中和成交后，我们将严格遵守国家法律法规要求，并郑重承诺：</w:t>
      </w:r>
    </w:p>
    <w:p w14:paraId="474B1BBF">
      <w:pPr>
        <w:autoSpaceDE w:val="0"/>
        <w:autoSpaceDN w:val="0"/>
        <w:spacing w:line="360" w:lineRule="auto"/>
        <w:ind w:left="2" w:leftChars="1"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 xml:space="preserve">一、不向项目有关人员及部门赠送礼金礼物、有价证券、回扣以及中介费、介绍费、咨询费等好处费； </w:t>
      </w:r>
    </w:p>
    <w:p w14:paraId="3E201A50">
      <w:pPr>
        <w:autoSpaceDE w:val="0"/>
        <w:autoSpaceDN w:val="0"/>
        <w:spacing w:line="360" w:lineRule="auto"/>
        <w:ind w:left="2" w:leftChars="1"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 xml:space="preserve">二、不为项目有关人员及部门报销应由你方单位或个人支付的费用； </w:t>
      </w:r>
    </w:p>
    <w:p w14:paraId="3679F379">
      <w:pPr>
        <w:autoSpaceDE w:val="0"/>
        <w:autoSpaceDN w:val="0"/>
        <w:spacing w:line="360" w:lineRule="auto"/>
        <w:ind w:left="2" w:leftChars="1"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 xml:space="preserve">三、不向项目有关人员及部门提供有可能影响公正的宴请和健身娱乐等活动； </w:t>
      </w:r>
    </w:p>
    <w:p w14:paraId="4FA37D01">
      <w:pPr>
        <w:autoSpaceDE w:val="0"/>
        <w:autoSpaceDN w:val="0"/>
        <w:spacing w:line="360" w:lineRule="auto"/>
        <w:ind w:left="2" w:leftChars="1"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四、不为项目有关人员及部门出国（境）、旅游等提供方便；</w:t>
      </w:r>
    </w:p>
    <w:p w14:paraId="528E82B9">
      <w:pPr>
        <w:autoSpaceDE w:val="0"/>
        <w:autoSpaceDN w:val="0"/>
        <w:spacing w:line="360" w:lineRule="auto"/>
        <w:ind w:left="550" w:leftChars="229"/>
        <w:jc w:val="left"/>
        <w:rPr>
          <w:rFonts w:ascii="宋体" w:hAnsi="宋体" w:cs="仿宋_GB2312"/>
          <w:kern w:val="0"/>
          <w:sz w:val="21"/>
          <w:szCs w:val="21"/>
          <w:lang w:val="zh-CN"/>
        </w:rPr>
      </w:pPr>
      <w:r>
        <w:rPr>
          <w:rFonts w:hint="eastAsia" w:ascii="宋体" w:hAnsi="宋体" w:cs="仿宋_GB2312"/>
          <w:kern w:val="0"/>
          <w:sz w:val="21"/>
          <w:szCs w:val="21"/>
          <w:lang w:val="zh-CN"/>
        </w:rPr>
        <w:t>五、不为项目有关人员个人装修住房、婚丧嫁娶、配偶子女工作安排等提供</w:t>
      </w:r>
    </w:p>
    <w:p w14:paraId="14B2B033">
      <w:pPr>
        <w:autoSpaceDE w:val="0"/>
        <w:autoSpaceDN w:val="0"/>
        <w:spacing w:line="360" w:lineRule="auto"/>
        <w:jc w:val="left"/>
        <w:rPr>
          <w:rFonts w:ascii="宋体" w:hAnsi="宋体" w:cs="仿宋_GB2312"/>
          <w:kern w:val="0"/>
          <w:sz w:val="21"/>
          <w:szCs w:val="21"/>
          <w:lang w:val="zh-CN"/>
        </w:rPr>
      </w:pPr>
      <w:r>
        <w:rPr>
          <w:rFonts w:hint="eastAsia" w:ascii="宋体" w:hAnsi="宋体" w:cs="仿宋_GB2312"/>
          <w:kern w:val="0"/>
          <w:sz w:val="21"/>
          <w:szCs w:val="21"/>
          <w:lang w:val="zh-CN"/>
        </w:rPr>
        <w:t>好处；</w:t>
      </w:r>
    </w:p>
    <w:p w14:paraId="5D0EE439">
      <w:pPr>
        <w:autoSpaceDE w:val="0"/>
        <w:autoSpaceDN w:val="0"/>
        <w:spacing w:line="360" w:lineRule="auto"/>
        <w:ind w:left="2" w:leftChars="1"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 xml:space="preserve">六、严格遵守《中华人民共和国政府采购法》《中华人民共和国招标投标法》《中华人民共和国民法典》等法律法规，诚实守信，合法经营，坚决抵制各种违法违纪行为。 </w:t>
      </w:r>
    </w:p>
    <w:p w14:paraId="11499626">
      <w:pPr>
        <w:autoSpaceDE w:val="0"/>
        <w:autoSpaceDN w:val="0"/>
        <w:spacing w:line="360" w:lineRule="auto"/>
        <w:ind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如违反上述承诺，你</w:t>
      </w:r>
      <w:r>
        <w:rPr>
          <w:rFonts w:hint="eastAsia" w:ascii="宋体" w:hAnsi="宋体" w:cs="仿宋_GB2312"/>
          <w:sz w:val="21"/>
          <w:szCs w:val="21"/>
        </w:rPr>
        <w:t>单位</w:t>
      </w:r>
      <w:r>
        <w:rPr>
          <w:rFonts w:hint="eastAsia" w:ascii="宋体" w:hAnsi="宋体" w:cs="仿宋_GB2312"/>
          <w:kern w:val="0"/>
          <w:sz w:val="21"/>
          <w:szCs w:val="21"/>
          <w:lang w:val="zh-CN"/>
        </w:rPr>
        <w:t>有权立即取消我单位响应、成交或在建项目的建设资格，有权拒绝我单位在一定时期内进入你</w:t>
      </w:r>
      <w:r>
        <w:rPr>
          <w:rFonts w:hint="eastAsia" w:ascii="宋体" w:hAnsi="宋体" w:cs="仿宋_GB2312"/>
          <w:sz w:val="21"/>
          <w:szCs w:val="21"/>
        </w:rPr>
        <w:t>单位</w:t>
      </w:r>
      <w:r>
        <w:rPr>
          <w:rFonts w:hint="eastAsia" w:ascii="宋体" w:hAnsi="宋体" w:cs="仿宋_GB2312"/>
          <w:kern w:val="0"/>
          <w:sz w:val="21"/>
          <w:szCs w:val="21"/>
          <w:lang w:val="zh-CN"/>
        </w:rPr>
        <w:t>进行项目建设或其他经营活动，并通报市财政局。由此引起的相应损失均由我单位承担。</w:t>
      </w:r>
    </w:p>
    <w:p w14:paraId="368EF662">
      <w:pPr>
        <w:autoSpaceDE w:val="0"/>
        <w:autoSpaceDN w:val="0"/>
        <w:spacing w:line="360" w:lineRule="auto"/>
        <w:ind w:left="2"/>
        <w:jc w:val="left"/>
        <w:rPr>
          <w:rFonts w:ascii="宋体" w:hAnsi="宋体" w:cs="仿宋_GB2312"/>
          <w:kern w:val="0"/>
          <w:sz w:val="21"/>
          <w:szCs w:val="21"/>
          <w:lang w:val="zh-CN"/>
        </w:rPr>
      </w:pPr>
    </w:p>
    <w:p w14:paraId="0BBE48E6">
      <w:pPr>
        <w:autoSpaceDE w:val="0"/>
        <w:autoSpaceDN w:val="0"/>
        <w:spacing w:line="360" w:lineRule="auto"/>
        <w:ind w:left="2"/>
        <w:jc w:val="left"/>
        <w:rPr>
          <w:rFonts w:ascii="宋体" w:hAnsi="宋体" w:cs="仿宋_GB2312"/>
          <w:kern w:val="0"/>
          <w:sz w:val="21"/>
          <w:szCs w:val="21"/>
          <w:lang w:val="zh-CN"/>
        </w:rPr>
      </w:pPr>
    </w:p>
    <w:p w14:paraId="70956D5B">
      <w:pPr>
        <w:snapToGrid w:val="0"/>
        <w:spacing w:line="360" w:lineRule="auto"/>
        <w:ind w:left="4800" w:leftChars="2000"/>
        <w:jc w:val="left"/>
        <w:rPr>
          <w:rFonts w:ascii="宋体" w:hAnsi="宋体" w:cs="仿宋_GB2312"/>
          <w:sz w:val="21"/>
          <w:szCs w:val="21"/>
        </w:rPr>
      </w:pPr>
      <w:r>
        <w:rPr>
          <w:rFonts w:hint="eastAsia" w:ascii="宋体" w:hAnsi="宋体" w:cs="仿宋_GB2312"/>
          <w:sz w:val="21"/>
          <w:szCs w:val="21"/>
        </w:rPr>
        <w:t>供应商</w:t>
      </w:r>
      <w:r>
        <w:rPr>
          <w:rFonts w:hint="eastAsia" w:ascii="宋体" w:hAnsi="宋体" w:cs="仿宋_GB2312"/>
          <w:kern w:val="0"/>
          <w:sz w:val="21"/>
          <w:szCs w:val="21"/>
          <w:lang w:val="zh-CN"/>
        </w:rPr>
        <w:t>名称</w:t>
      </w:r>
      <w:r>
        <w:rPr>
          <w:rFonts w:hint="eastAsia" w:ascii="宋体" w:hAnsi="宋体" w:cs="仿宋_GB2312"/>
          <w:sz w:val="21"/>
          <w:szCs w:val="21"/>
        </w:rPr>
        <w:t>（电子签名）：</w:t>
      </w:r>
    </w:p>
    <w:p w14:paraId="1DB4A4A6">
      <w:pPr>
        <w:snapToGrid w:val="0"/>
        <w:spacing w:line="360" w:lineRule="auto"/>
        <w:ind w:left="4800" w:leftChars="2000"/>
        <w:jc w:val="left"/>
        <w:rPr>
          <w:rFonts w:ascii="宋体" w:hAnsi="宋体"/>
          <w:sz w:val="21"/>
          <w:szCs w:val="21"/>
        </w:rPr>
      </w:pPr>
      <w:r>
        <w:rPr>
          <w:rFonts w:hint="eastAsia" w:ascii="宋体" w:hAnsi="宋体" w:cs="仿宋_GB2312"/>
          <w:kern w:val="0"/>
          <w:sz w:val="21"/>
          <w:szCs w:val="21"/>
          <w:lang w:val="zh-CN"/>
        </w:rPr>
        <w:t>日期</w:t>
      </w:r>
      <w:r>
        <w:rPr>
          <w:rFonts w:hint="eastAsia" w:ascii="宋体" w:hAnsi="宋体" w:cs="仿宋_GB2312"/>
          <w:sz w:val="21"/>
          <w:szCs w:val="21"/>
        </w:rPr>
        <w:t>：</w:t>
      </w:r>
      <w:r>
        <w:rPr>
          <w:rFonts w:ascii="宋体" w:hAnsi="宋体" w:cs="仿宋_GB2312"/>
          <w:sz w:val="21"/>
          <w:szCs w:val="21"/>
        </w:rPr>
        <w:t xml:space="preserve">  </w:t>
      </w:r>
      <w:r>
        <w:rPr>
          <w:rFonts w:hint="eastAsia" w:ascii="宋体" w:hAnsi="宋体" w:cs="仿宋_GB2312"/>
          <w:sz w:val="21"/>
          <w:szCs w:val="21"/>
        </w:rPr>
        <w:t>年</w:t>
      </w:r>
      <w:r>
        <w:rPr>
          <w:rFonts w:ascii="宋体" w:hAnsi="宋体" w:cs="仿宋_GB2312"/>
          <w:sz w:val="21"/>
          <w:szCs w:val="21"/>
        </w:rPr>
        <w:t xml:space="preserve">   </w:t>
      </w:r>
      <w:r>
        <w:rPr>
          <w:rFonts w:hint="eastAsia" w:ascii="宋体" w:hAnsi="宋体" w:cs="仿宋_GB2312"/>
          <w:sz w:val="21"/>
          <w:szCs w:val="21"/>
        </w:rPr>
        <w:t>月</w:t>
      </w:r>
      <w:r>
        <w:rPr>
          <w:rFonts w:ascii="宋体" w:hAnsi="宋体" w:cs="仿宋_GB2312"/>
          <w:sz w:val="21"/>
          <w:szCs w:val="21"/>
        </w:rPr>
        <w:t xml:space="preserve">   </w:t>
      </w:r>
      <w:r>
        <w:rPr>
          <w:rFonts w:hint="eastAsia" w:ascii="宋体" w:hAnsi="宋体" w:cs="仿宋_GB2312"/>
          <w:sz w:val="21"/>
          <w:szCs w:val="21"/>
        </w:rPr>
        <w:t>日</w:t>
      </w:r>
    </w:p>
    <w:p w14:paraId="4ACF8D87">
      <w:pPr>
        <w:widowControl/>
        <w:jc w:val="left"/>
        <w:rPr>
          <w:rFonts w:hint="eastAsia" w:eastAsia="宋体"/>
          <w:b/>
          <w:spacing w:val="-6"/>
          <w:sz w:val="21"/>
          <w:szCs w:val="21"/>
          <w:lang w:eastAsia="zh-CN"/>
        </w:rPr>
      </w:pPr>
    </w:p>
    <w:p w14:paraId="1AF9E762">
      <w:pPr>
        <w:adjustRightInd w:val="0"/>
        <w:snapToGrid w:val="0"/>
        <w:spacing w:line="288" w:lineRule="auto"/>
      </w:pPr>
    </w:p>
    <w:p w14:paraId="1F65B3CE">
      <w:pPr>
        <w:rPr>
          <w:rFonts w:hint="eastAsia"/>
          <w:b/>
          <w:bCs/>
          <w:sz w:val="84"/>
          <w:szCs w:val="84"/>
        </w:rPr>
      </w:pPr>
      <w:r>
        <w:rPr>
          <w:rFonts w:hint="eastAsia"/>
          <w:b/>
          <w:bCs/>
          <w:sz w:val="84"/>
          <w:szCs w:val="84"/>
        </w:rPr>
        <w:br w:type="page"/>
      </w:r>
    </w:p>
    <w:p w14:paraId="2BCBECA1">
      <w:pPr>
        <w:adjustRightInd w:val="0"/>
        <w:snapToGrid w:val="0"/>
        <w:spacing w:line="288" w:lineRule="auto"/>
        <w:jc w:val="center"/>
        <w:outlineLvl w:val="1"/>
        <w:rPr>
          <w:b/>
          <w:bCs/>
          <w:sz w:val="84"/>
          <w:szCs w:val="84"/>
        </w:rPr>
      </w:pPr>
      <w:r>
        <w:rPr>
          <w:rFonts w:hint="eastAsia"/>
          <w:b/>
          <w:bCs/>
          <w:sz w:val="84"/>
          <w:szCs w:val="84"/>
        </w:rPr>
        <w:t>报价文件</w:t>
      </w:r>
    </w:p>
    <w:p w14:paraId="2EBBA499">
      <w:pPr>
        <w:adjustRightInd w:val="0"/>
        <w:snapToGrid w:val="0"/>
        <w:spacing w:line="288" w:lineRule="auto"/>
      </w:pPr>
      <w:r>
        <w:rPr>
          <w:rFonts w:hint="eastAsia"/>
        </w:rPr>
        <w:br w:type="page"/>
      </w:r>
    </w:p>
    <w:p w14:paraId="5184B57D">
      <w:pPr>
        <w:adjustRightInd w:val="0"/>
        <w:snapToGrid w:val="0"/>
        <w:spacing w:line="288" w:lineRule="auto"/>
        <w:jc w:val="center"/>
        <w:outlineLvl w:val="2"/>
        <w:rPr>
          <w:b/>
          <w:bCs/>
          <w:sz w:val="21"/>
          <w:szCs w:val="21"/>
        </w:rPr>
      </w:pPr>
      <w:r>
        <w:rPr>
          <w:rFonts w:hint="eastAsia"/>
          <w:b/>
          <w:bCs/>
          <w:sz w:val="21"/>
          <w:szCs w:val="21"/>
        </w:rPr>
        <w:t>（1）初次报价一览表</w:t>
      </w:r>
    </w:p>
    <w:p w14:paraId="42577783">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29F3E05">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数字化技术与智能制造产教融合实训基地（中德科创中心）EPC项目全过程跟踪审计</w:t>
      </w:r>
    </w:p>
    <w:p w14:paraId="7F7DB56B">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QSZB-Z(F)-B24629(CS)</w:t>
      </w:r>
    </w:p>
    <w:tbl>
      <w:tblPr>
        <w:tblStyle w:val="17"/>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8"/>
        <w:gridCol w:w="1671"/>
        <w:gridCol w:w="3684"/>
        <w:gridCol w:w="735"/>
        <w:gridCol w:w="1415"/>
        <w:gridCol w:w="147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bookmarkStart w:id="186" w:name="_Hlk97040072"/>
            <w:r>
              <w:rPr>
                <w:rFonts w:hint="eastAsia" w:ascii="宋体" w:hAnsi="宋体" w:eastAsia="宋体" w:cs="宋体"/>
                <w:b/>
                <w:bCs/>
                <w:sz w:val="21"/>
                <w:szCs w:val="21"/>
              </w:rPr>
              <w:t>序号</w:t>
            </w: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916"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187" w:name="_Hlk177717733"/>
            <w:r>
              <w:rPr>
                <w:rFonts w:hint="eastAsia" w:ascii="宋体" w:hAnsi="宋体" w:eastAsia="宋体" w:cs="宋体"/>
                <w:b/>
                <w:bCs/>
                <w:sz w:val="21"/>
                <w:szCs w:val="21"/>
              </w:rPr>
              <w:t>具体服务</w:t>
            </w:r>
            <w:bookmarkEnd w:id="187"/>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761"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916"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382"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736"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761"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916"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382"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736"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761"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916"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382"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736"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761"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916"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382" w:type="pct"/>
            <w:tcBorders>
              <w:top w:val="single" w:color="auto" w:sz="4" w:space="0"/>
              <w:left w:val="single" w:color="auto" w:sz="4" w:space="0"/>
              <w:bottom w:val="single" w:color="auto" w:sz="4" w:space="0"/>
              <w:right w:val="single" w:color="auto" w:sz="4" w:space="0"/>
            </w:tcBorders>
            <w:shd w:val="clear" w:color="auto" w:fill="FFFFFF"/>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736" w:type="pct"/>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761"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1916"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382" w:type="pct"/>
            <w:tcBorders>
              <w:top w:val="single" w:color="auto" w:sz="4" w:space="0"/>
              <w:left w:val="single" w:color="auto" w:sz="4" w:space="0"/>
              <w:bottom w:val="single" w:color="auto" w:sz="4" w:space="0"/>
              <w:right w:val="single" w:color="auto" w:sz="4" w:space="0"/>
            </w:tcBorders>
            <w:shd w:val="clear" w:color="auto" w:fill="FFFFFF"/>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736" w:type="pct"/>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761"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总价（人民币元）</w:t>
            </w:r>
          </w:p>
          <w:p w14:paraId="59577BD1">
            <w:pPr>
              <w:adjustRightInd w:val="0"/>
              <w:snapToGrid w:val="0"/>
              <w:spacing w:line="288" w:lineRule="auto"/>
              <w:rPr>
                <w:rFonts w:hint="eastAsia" w:ascii="宋体" w:hAnsi="宋体" w:eastAsia="宋体" w:cs="宋体"/>
                <w:b/>
                <w:bCs/>
                <w:sz w:val="21"/>
                <w:szCs w:val="21"/>
              </w:rPr>
            </w:pPr>
          </w:p>
          <w:p w14:paraId="0C631DFA">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2DD61A79">
            <w:pPr>
              <w:adjustRightInd w:val="0"/>
              <w:snapToGrid w:val="0"/>
              <w:spacing w:line="288" w:lineRule="auto"/>
              <w:rPr>
                <w:rFonts w:hint="eastAsia" w:ascii="宋体" w:hAnsi="宋体" w:eastAsia="宋体" w:cs="宋体"/>
                <w:b/>
                <w:bCs/>
                <w:sz w:val="21"/>
                <w:szCs w:val="21"/>
              </w:rPr>
            </w:pPr>
          </w:p>
          <w:p w14:paraId="5FEFE13F">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76081A6A">
            <w:pPr>
              <w:adjustRightInd w:val="0"/>
              <w:snapToGrid w:val="0"/>
              <w:spacing w:line="288" w:lineRule="auto"/>
              <w:rPr>
                <w:rFonts w:hint="eastAsia" w:ascii="宋体" w:hAnsi="宋体" w:eastAsia="宋体" w:cs="宋体"/>
                <w:b/>
                <w:bCs/>
                <w:sz w:val="21"/>
                <w:szCs w:val="21"/>
              </w:rPr>
            </w:pPr>
          </w:p>
        </w:tc>
      </w:tr>
    </w:tbl>
    <w:p w14:paraId="3D76638D">
      <w:pPr>
        <w:adjustRightInd w:val="0"/>
        <w:snapToGrid w:val="0"/>
        <w:spacing w:line="288" w:lineRule="auto"/>
        <w:rPr>
          <w:rFonts w:hint="eastAsia" w:ascii="宋体" w:hAnsi="宋体" w:eastAsia="宋体" w:cs="宋体"/>
          <w:spacing w:val="-6"/>
          <w:sz w:val="21"/>
          <w:szCs w:val="21"/>
        </w:rPr>
      </w:pPr>
    </w:p>
    <w:p w14:paraId="42BE46DF">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7760D6D1">
      <w:pPr>
        <w:adjustRightInd w:val="0"/>
        <w:snapToGrid w:val="0"/>
        <w:spacing w:line="288"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cs="宋体"/>
          <w:b w:val="0"/>
          <w:bCs w:val="0"/>
          <w:sz w:val="21"/>
          <w:szCs w:val="21"/>
          <w:lang w:val="en-US" w:eastAsia="zh-CN"/>
        </w:rPr>
        <w:t>初次报价</w:t>
      </w:r>
      <w:r>
        <w:rPr>
          <w:rFonts w:hint="eastAsia" w:ascii="宋体" w:hAnsi="宋体" w:eastAsia="宋体" w:cs="宋体"/>
          <w:b w:val="0"/>
          <w:bCs w:val="0"/>
          <w:sz w:val="21"/>
          <w:szCs w:val="21"/>
          <w:lang w:val="en-US" w:eastAsia="zh-CN"/>
        </w:rPr>
        <w:t>一览表应按照本</w:t>
      </w:r>
      <w:r>
        <w:rPr>
          <w:rFonts w:hint="eastAsia" w:cs="宋体"/>
          <w:b w:val="0"/>
          <w:bCs w:val="0"/>
          <w:sz w:val="21"/>
          <w:szCs w:val="21"/>
          <w:lang w:val="en-US" w:eastAsia="zh-CN"/>
        </w:rPr>
        <w:t>磋商</w:t>
      </w:r>
      <w:r>
        <w:rPr>
          <w:rFonts w:hint="eastAsia" w:ascii="宋体" w:hAnsi="宋体" w:eastAsia="宋体" w:cs="宋体"/>
          <w:b w:val="0"/>
          <w:bCs w:val="0"/>
          <w:sz w:val="21"/>
          <w:szCs w:val="21"/>
          <w:lang w:val="en-US" w:eastAsia="zh-CN"/>
        </w:rPr>
        <w:t xml:space="preserve">文件“第三章 </w:t>
      </w:r>
      <w:r>
        <w:rPr>
          <w:rFonts w:hint="eastAsia" w:cs="宋体"/>
          <w:b w:val="0"/>
          <w:bCs w:val="0"/>
          <w:sz w:val="21"/>
          <w:szCs w:val="21"/>
          <w:lang w:val="en-US" w:eastAsia="zh-CN"/>
        </w:rPr>
        <w:t>供应商</w:t>
      </w:r>
      <w:r>
        <w:rPr>
          <w:rFonts w:hint="eastAsia" w:ascii="宋体" w:hAnsi="宋体" w:eastAsia="宋体" w:cs="宋体"/>
          <w:b w:val="0"/>
          <w:bCs w:val="0"/>
          <w:sz w:val="21"/>
          <w:szCs w:val="21"/>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联合体其他成员承担的部分、分包单位承担的部分，应在表中列明。</w:t>
      </w:r>
    </w:p>
    <w:p w14:paraId="14FDCBF5">
      <w:pPr>
        <w:adjustRightInd w:val="0"/>
        <w:snapToGrid w:val="0"/>
        <w:spacing w:line="288" w:lineRule="auto"/>
        <w:rPr>
          <w:sz w:val="21"/>
          <w:szCs w:val="21"/>
        </w:rPr>
      </w:pPr>
    </w:p>
    <w:p w14:paraId="728B78EB">
      <w:pPr>
        <w:adjustRightInd w:val="0"/>
        <w:snapToGrid w:val="0"/>
        <w:spacing w:line="288" w:lineRule="auto"/>
        <w:rPr>
          <w:sz w:val="21"/>
          <w:szCs w:val="21"/>
        </w:rPr>
      </w:pPr>
    </w:p>
    <w:p w14:paraId="1E2488BC">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17A65E7">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186"/>
    <w:p w14:paraId="797A3D4D">
      <w:pPr>
        <w:adjustRightInd w:val="0"/>
        <w:snapToGrid w:val="0"/>
        <w:spacing w:line="288" w:lineRule="auto"/>
        <w:rPr>
          <w:sz w:val="21"/>
          <w:szCs w:val="21"/>
        </w:rPr>
      </w:pPr>
      <w:r>
        <w:rPr>
          <w:rFonts w:hint="eastAsia"/>
          <w:sz w:val="21"/>
          <w:szCs w:val="21"/>
        </w:rPr>
        <w:br w:type="page"/>
      </w:r>
    </w:p>
    <w:p w14:paraId="54F380FD">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23CA2884">
      <w:pPr>
        <w:snapToGrid w:val="0"/>
        <w:spacing w:line="288" w:lineRule="auto"/>
        <w:rPr>
          <w:rFonts w:cs="仿宋_GB2312"/>
          <w:sz w:val="21"/>
          <w:szCs w:val="21"/>
          <w:u w:val="single"/>
        </w:rPr>
      </w:pPr>
    </w:p>
    <w:p w14:paraId="33740DBF">
      <w:pPr>
        <w:snapToGrid w:val="0"/>
        <w:spacing w:line="288" w:lineRule="auto"/>
        <w:rPr>
          <w:rFonts w:cs="Times New Roman"/>
          <w:sz w:val="21"/>
          <w:szCs w:val="21"/>
        </w:rPr>
      </w:pPr>
      <w:r>
        <w:rPr>
          <w:rFonts w:hint="eastAsia" w:cs="仿宋_GB2312"/>
          <w:sz w:val="21"/>
          <w:szCs w:val="21"/>
          <w:u w:val="single"/>
        </w:rPr>
        <w:t>（采购人）、（采购代理机构）</w:t>
      </w:r>
    </w:p>
    <w:p w14:paraId="41DFAF28">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3EE5DF5D">
      <w:pPr>
        <w:snapToGrid w:val="0"/>
        <w:spacing w:line="288" w:lineRule="auto"/>
        <w:ind w:firstLine="424" w:firstLineChars="202"/>
        <w:rPr>
          <w:sz w:val="21"/>
          <w:szCs w:val="21"/>
        </w:rPr>
      </w:pPr>
      <w:r>
        <w:rPr>
          <w:rFonts w:hint="eastAsia"/>
          <w:sz w:val="21"/>
          <w:szCs w:val="21"/>
        </w:rPr>
        <w:t>特此说明。</w:t>
      </w:r>
    </w:p>
    <w:p w14:paraId="454441E0">
      <w:pPr>
        <w:snapToGrid w:val="0"/>
        <w:spacing w:line="288" w:lineRule="auto"/>
        <w:ind w:right="480" w:firstLine="424" w:firstLineChars="202"/>
        <w:rPr>
          <w:sz w:val="21"/>
          <w:szCs w:val="21"/>
        </w:rPr>
      </w:pPr>
      <w:r>
        <w:rPr>
          <w:rFonts w:hint="eastAsia"/>
          <w:sz w:val="21"/>
          <w:szCs w:val="21"/>
        </w:rPr>
        <w:t>供应商（法定名称章）：</w:t>
      </w:r>
    </w:p>
    <w:p w14:paraId="6BA61898">
      <w:pPr>
        <w:snapToGrid w:val="0"/>
        <w:spacing w:line="288" w:lineRule="auto"/>
        <w:ind w:right="1440" w:firstLine="424" w:firstLineChars="202"/>
        <w:rPr>
          <w:sz w:val="21"/>
          <w:szCs w:val="21"/>
        </w:rPr>
      </w:pPr>
      <w:r>
        <w:rPr>
          <w:sz w:val="21"/>
          <w:szCs w:val="21"/>
        </w:rPr>
        <w:t>日期：       年     月     日</w:t>
      </w:r>
    </w:p>
    <w:p w14:paraId="19527ECB">
      <w:pPr>
        <w:snapToGrid w:val="0"/>
        <w:spacing w:line="288" w:lineRule="auto"/>
        <w:rPr>
          <w:b/>
          <w:bCs/>
          <w:sz w:val="21"/>
          <w:szCs w:val="21"/>
        </w:rPr>
      </w:pPr>
    </w:p>
    <w:p w14:paraId="4D2E5B19">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39E446DA">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rPr>
      </w:pPr>
      <w:r>
        <w:rPr>
          <w:b/>
          <w:spacing w:val="-6"/>
          <w:sz w:val="21"/>
          <w:szCs w:val="21"/>
        </w:rPr>
        <w:br w:type="page"/>
      </w:r>
    </w:p>
    <w:p w14:paraId="0AB921C0">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061EDAF2">
      <w:pPr>
        <w:widowControl/>
        <w:snapToGrid w:val="0"/>
        <w:spacing w:line="288" w:lineRule="auto"/>
        <w:ind w:firstLine="424" w:firstLineChars="201"/>
        <w:jc w:val="left"/>
        <w:rPr>
          <w:rFonts w:cs="仿宋_GB2312"/>
          <w:b/>
          <w:color w:val="auto"/>
          <w:sz w:val="21"/>
          <w:szCs w:val="21"/>
        </w:rPr>
      </w:pPr>
      <w:r>
        <w:rPr>
          <w:rFonts w:hint="eastAsia" w:cs="仿宋_GB2312"/>
          <w:b/>
          <w:sz w:val="21"/>
          <w:szCs w:val="21"/>
        </w:rPr>
        <w:t>（以联合体形式响应的，提供联合协议；本项目不接受联合体响应或者供应商不以联合体形式响应的，则不需要提供）</w:t>
      </w:r>
    </w:p>
    <w:p w14:paraId="3B3DE89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投标。</w:t>
      </w:r>
    </w:p>
    <w:p w14:paraId="7D9C036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w:t>
      </w:r>
      <w:r>
        <w:rPr>
          <w:rFonts w:hint="eastAsia" w:ascii="宋体" w:hAnsi="宋体" w:eastAsia="宋体" w:cs="宋体"/>
          <w:sz w:val="21"/>
          <w:szCs w:val="21"/>
          <w:lang w:val="en-US" w:eastAsia="zh-CN"/>
        </w:rPr>
        <w:t>响应</w:t>
      </w:r>
      <w:r>
        <w:rPr>
          <w:rFonts w:hint="eastAsia" w:ascii="宋体" w:hAnsi="宋体" w:eastAsia="宋体" w:cs="宋体"/>
          <w:sz w:val="21"/>
          <w:szCs w:val="21"/>
        </w:rPr>
        <w:t>和合同实施阶段的主办、协调工作</w:t>
      </w:r>
      <w:r>
        <w:rPr>
          <w:rFonts w:hint="eastAsia" w:ascii="宋体" w:hAnsi="宋体" w:eastAsia="宋体" w:cs="宋体"/>
          <w:kern w:val="0"/>
          <w:sz w:val="21"/>
          <w:szCs w:val="21"/>
          <w:lang w:val="zh-CN"/>
        </w:rPr>
        <w:t>。</w:t>
      </w:r>
    </w:p>
    <w:p w14:paraId="263C5C4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lang w:val="zh-CN"/>
        </w:rPr>
        <w:t>文件规定及</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内容而对采购人、采购代理机构所作的任何合法承诺，包括书面澄清及</w:t>
      </w:r>
      <w:r>
        <w:rPr>
          <w:rFonts w:hint="eastAsia" w:cs="宋体"/>
          <w:kern w:val="0"/>
          <w:sz w:val="21"/>
          <w:szCs w:val="21"/>
          <w:lang w:val="en-US" w:eastAsia="zh-CN"/>
        </w:rPr>
        <w:t>响应</w:t>
      </w:r>
      <w:r>
        <w:rPr>
          <w:rFonts w:hint="eastAsia" w:ascii="宋体" w:hAnsi="宋体" w:eastAsia="宋体" w:cs="宋体"/>
          <w:kern w:val="0"/>
          <w:sz w:val="21"/>
          <w:szCs w:val="21"/>
          <w:lang w:val="zh-CN"/>
        </w:rPr>
        <w:t>等均对联合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各方产生约束力。</w:t>
      </w:r>
    </w:p>
    <w:p w14:paraId="713B369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14:paraId="3478010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26AC8F3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w:t>
      </w:r>
      <w:r>
        <w:rPr>
          <w:rFonts w:ascii="宋体" w:hAnsi="宋体" w:eastAsia="宋体" w:cs="宋体"/>
          <w:kern w:val="0"/>
          <w:sz w:val="21"/>
          <w:szCs w:val="21"/>
          <w:u w:val="single"/>
        </w:rPr>
        <w:t>2</w:t>
      </w:r>
      <w:r>
        <w:rPr>
          <w:rFonts w:hint="eastAsia" w:ascii="宋体" w:hAnsi="宋体" w:eastAsia="宋体" w:cs="宋体"/>
          <w:kern w:val="0"/>
          <w:sz w:val="21"/>
          <w:szCs w:val="21"/>
          <w:u w:val="single"/>
        </w:rPr>
        <w:t>）</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5B8D0CB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B4F473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14:paraId="143D22D1">
      <w:pPr>
        <w:snapToGrid w:val="0"/>
        <w:spacing w:line="288" w:lineRule="auto"/>
        <w:ind w:firstLine="424" w:firstLineChars="202"/>
        <w:rPr>
          <w:rFonts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188" w:name="_Hlk101131882"/>
      <w:r>
        <w:rPr>
          <w:rFonts w:hint="eastAsia" w:ascii="宋体" w:hAnsi="宋体" w:eastAsia="宋体" w:cs="宋体"/>
          <w:kern w:val="0"/>
          <w:sz w:val="21"/>
          <w:szCs w:val="21"/>
          <w:u w:val="single"/>
        </w:rPr>
        <w:t>联合体成员X</w:t>
      </w:r>
      <w:r>
        <w:rPr>
          <w:rFonts w:ascii="宋体" w:hAnsi="宋体" w:eastAsia="宋体" w:cs="宋体"/>
          <w:kern w:val="0"/>
          <w:sz w:val="21"/>
          <w:szCs w:val="21"/>
          <w:u w:val="single"/>
        </w:rPr>
        <w:t>,</w:t>
      </w:r>
      <w:r>
        <w:rPr>
          <w:rFonts w:hint="eastAsia" w:ascii="宋体" w:hAnsi="宋体" w:eastAsia="宋体" w:cs="宋体"/>
          <w:kern w:val="0"/>
          <w:sz w:val="21"/>
          <w:szCs w:val="21"/>
          <w:u w:val="single"/>
        </w:rPr>
        <w:t>……</w:t>
      </w:r>
      <w:bookmarkEnd w:id="188"/>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189"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rPr>
        <w:t>拟享受以上价格扣除政策的，填写有关内容。</w:t>
      </w:r>
      <w:bookmarkEnd w:id="189"/>
      <w:r>
        <w:rPr>
          <w:rFonts w:hint="eastAsia" w:ascii="宋体" w:hAnsi="宋体" w:eastAsia="宋体" w:cs="宋体"/>
          <w:b/>
          <w:kern w:val="0"/>
          <w:sz w:val="21"/>
          <w:szCs w:val="21"/>
          <w:lang w:val="zh-CN"/>
        </w:rPr>
        <w:t>）</w:t>
      </w:r>
    </w:p>
    <w:p w14:paraId="0721616B">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w:t>
      </w:r>
      <w:bookmarkStart w:id="190" w:name="_Hlk101133173"/>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文件第一</w:t>
      </w:r>
      <w:r>
        <w:rPr>
          <w:rFonts w:hint="eastAsia" w:ascii="宋体" w:hAnsi="宋体" w:eastAsia="宋体" w:cs="宋体"/>
          <w:b/>
          <w:bCs/>
          <w:sz w:val="21"/>
          <w:szCs w:val="21"/>
          <w:lang w:val="en-US" w:eastAsia="zh-CN"/>
        </w:rPr>
        <w:t>章采购邀请</w:t>
      </w:r>
      <w:r>
        <w:rPr>
          <w:rFonts w:hint="eastAsia" w:ascii="宋体" w:hAnsi="宋体" w:eastAsia="宋体" w:cs="宋体"/>
          <w:b/>
          <w:bCs/>
          <w:sz w:val="21"/>
          <w:szCs w:val="21"/>
        </w:rPr>
        <w:t>申请人的资格要求中规定的联合协议中中小企业、小微企业合同金额应当达到的比例要求填写。</w:t>
      </w:r>
      <w:r>
        <w:rPr>
          <w:rFonts w:hint="eastAsia" w:ascii="宋体" w:hAnsi="宋体" w:eastAsia="宋体" w:cs="宋体"/>
          <w:b/>
          <w:bCs/>
          <w:kern w:val="0"/>
          <w:sz w:val="21"/>
          <w:szCs w:val="21"/>
          <w:lang w:val="zh-CN"/>
        </w:rPr>
        <w:t>）</w:t>
      </w:r>
      <w:bookmarkEnd w:id="190"/>
    </w:p>
    <w:p w14:paraId="718EC22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14:paraId="68443B4A">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14:paraId="190CCF9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1、联合体各方不再单独参加或者与其他供应商另外组成联合体参加同一合同项下的政府采购活动。</w:t>
      </w:r>
    </w:p>
    <w:p w14:paraId="144C644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2、联合体中有同类资质的各方按照联合体分工承担相同工作的，按照资质等级较低的供应商确定资质等级。</w:t>
      </w:r>
    </w:p>
    <w:p w14:paraId="539CB11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14:paraId="38C97B0D">
      <w:pPr>
        <w:snapToGrid w:val="0"/>
        <w:spacing w:line="288" w:lineRule="auto"/>
        <w:ind w:firstLine="424" w:firstLineChars="202"/>
        <w:rPr>
          <w:rFonts w:ascii="宋体" w:hAnsi="宋体" w:eastAsia="宋体" w:cs="宋体"/>
          <w:kern w:val="0"/>
          <w:sz w:val="21"/>
          <w:szCs w:val="21"/>
          <w:lang w:val="zh-CN"/>
        </w:rPr>
      </w:pPr>
    </w:p>
    <w:p w14:paraId="0CB13C4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5DE5220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28778019">
      <w:pPr>
        <w:snapToGrid w:val="0"/>
        <w:spacing w:line="288" w:lineRule="auto"/>
        <w:ind w:right="96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5929654">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2D968268">
      <w:pPr>
        <w:snapToGrid w:val="0"/>
        <w:spacing w:line="288" w:lineRule="auto"/>
        <w:ind w:right="420" w:firstLine="424" w:firstLineChars="202"/>
        <w:rPr>
          <w:rFonts w:ascii="宋体" w:hAnsi="宋体" w:eastAsia="宋体" w:cs="宋体"/>
          <w:sz w:val="21"/>
          <w:szCs w:val="21"/>
        </w:rPr>
      </w:pPr>
    </w:p>
    <w:p w14:paraId="5219D369">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14:paraId="7BCCAC02">
      <w:pPr>
        <w:widowControl/>
        <w:jc w:val="left"/>
        <w:rPr>
          <w:rFonts w:cs="仿宋_GB2312"/>
          <w:b/>
          <w:kern w:val="0"/>
          <w:sz w:val="21"/>
          <w:szCs w:val="21"/>
        </w:rPr>
      </w:pPr>
      <w:r>
        <w:rPr>
          <w:rFonts w:cs="仿宋_GB2312"/>
          <w:b/>
          <w:kern w:val="0"/>
          <w:sz w:val="21"/>
          <w:szCs w:val="21"/>
        </w:rPr>
        <w:br w:type="page"/>
      </w:r>
    </w:p>
    <w:p w14:paraId="3970BEE0">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69212FF5">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1A8F154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若成为</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的</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lang w:val="zh-CN"/>
        </w:rPr>
        <w:t>供应商，将依法采取分包方式履行合同。</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rPr>
        <w:t>与</w:t>
      </w:r>
      <w:r>
        <w:rPr>
          <w:rFonts w:hint="eastAsia" w:ascii="宋体" w:hAnsi="宋体" w:eastAsia="宋体" w:cs="宋体"/>
          <w:kern w:val="0"/>
          <w:sz w:val="21"/>
          <w:szCs w:val="21"/>
          <w:u w:val="single"/>
        </w:rPr>
        <w:t>（所有分包供应商名称）</w:t>
      </w:r>
      <w:r>
        <w:rPr>
          <w:rFonts w:hint="eastAsia" w:ascii="宋体" w:hAnsi="宋体" w:eastAsia="宋体" w:cs="宋体"/>
          <w:kern w:val="0"/>
          <w:sz w:val="21"/>
          <w:szCs w:val="21"/>
        </w:rPr>
        <w:t>达成分包意向协议</w:t>
      </w:r>
      <w:r>
        <w:rPr>
          <w:rFonts w:hint="eastAsia" w:ascii="宋体" w:hAnsi="宋体" w:eastAsia="宋体" w:cs="宋体"/>
          <w:kern w:val="0"/>
          <w:sz w:val="21"/>
          <w:szCs w:val="21"/>
          <w:lang w:val="zh-CN"/>
        </w:rPr>
        <w:t xml:space="preserve">。 </w:t>
      </w:r>
    </w:p>
    <w:p w14:paraId="16619DDA">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一、分包标的及数量</w:t>
      </w:r>
    </w:p>
    <w:p w14:paraId="42D9ECB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将</w:t>
      </w:r>
      <w:r>
        <w:rPr>
          <w:rFonts w:hint="eastAsia" w:ascii="宋体" w:hAnsi="宋体" w:eastAsia="宋体" w:cs="宋体"/>
          <w:sz w:val="21"/>
          <w:szCs w:val="21"/>
          <w:u w:val="single"/>
        </w:rPr>
        <w:t xml:space="preserve">  </w:t>
      </w:r>
      <w:r>
        <w:rPr>
          <w:rFonts w:ascii="宋体" w:hAnsi="宋体" w:eastAsia="宋体" w:cs="宋体"/>
          <w:kern w:val="0"/>
          <w:sz w:val="21"/>
          <w:szCs w:val="21"/>
          <w:u w:val="single"/>
        </w:rPr>
        <w:t xml:space="preserve"> XX工作内容   </w:t>
      </w:r>
      <w:r>
        <w:rPr>
          <w:rFonts w:hint="eastAsia" w:ascii="宋体" w:hAnsi="宋体" w:eastAsia="宋体" w:cs="宋体"/>
          <w:sz w:val="21"/>
          <w:szCs w:val="21"/>
        </w:rPr>
        <w:t>分包给</w:t>
      </w:r>
      <w:r>
        <w:rPr>
          <w:rFonts w:hint="eastAsia" w:ascii="宋体" w:hAnsi="宋体" w:eastAsia="宋体" w:cs="宋体"/>
          <w:kern w:val="0"/>
          <w:sz w:val="21"/>
          <w:szCs w:val="21"/>
          <w:u w:val="single"/>
        </w:rPr>
        <w:t>（分包供应商1名称）</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rPr>
        <w:t>（分包供应商2名称），</w:t>
      </w:r>
      <w:r>
        <w:rPr>
          <w:rFonts w:hint="eastAsia" w:ascii="宋体" w:hAnsi="宋体" w:eastAsia="宋体" w:cs="宋体"/>
          <w:kern w:val="0"/>
          <w:sz w:val="21"/>
          <w:szCs w:val="21"/>
          <w:lang w:val="zh-CN"/>
        </w:rPr>
        <w:t>具备承</w:t>
      </w:r>
      <w:r>
        <w:rPr>
          <w:rFonts w:hint="eastAsia" w:ascii="宋体" w:hAnsi="宋体" w:eastAsia="宋体" w:cs="宋体"/>
          <w:kern w:val="0"/>
          <w:sz w:val="21"/>
          <w:szCs w:val="21"/>
        </w:rPr>
        <w:t>担</w:t>
      </w:r>
      <w:r>
        <w:rPr>
          <w:rFonts w:hint="eastAsia" w:ascii="宋体" w:hAnsi="宋体" w:eastAsia="宋体" w:cs="宋体"/>
          <w:kern w:val="0"/>
          <w:sz w:val="21"/>
          <w:szCs w:val="21"/>
          <w:u w:val="single"/>
          <w:lang w:val="zh-CN"/>
        </w:rPr>
        <w:t>XX工作内容</w:t>
      </w:r>
      <w:r>
        <w:rPr>
          <w:rFonts w:hint="eastAsia" w:ascii="宋体" w:hAnsi="宋体" w:eastAsia="宋体" w:cs="宋体"/>
          <w:kern w:val="0"/>
          <w:sz w:val="21"/>
          <w:szCs w:val="21"/>
          <w:lang w:val="zh-CN"/>
        </w:rPr>
        <w:t>相应资质条件且不得再次分包；</w:t>
      </w:r>
    </w:p>
    <w:p w14:paraId="70266F67">
      <w:pPr>
        <w:snapToGrid w:val="0"/>
        <w:spacing w:line="288" w:lineRule="auto"/>
        <w:ind w:firstLine="424" w:firstLineChars="202"/>
        <w:rPr>
          <w:rFonts w:ascii="宋体" w:hAnsi="宋体" w:eastAsia="宋体" w:cs="宋体"/>
          <w:kern w:val="0"/>
          <w:sz w:val="21"/>
          <w:szCs w:val="21"/>
        </w:rPr>
      </w:pPr>
      <w:r>
        <w:rPr>
          <w:rFonts w:hint="eastAsia" w:ascii="宋体" w:hAnsi="宋体" w:eastAsia="宋体" w:cs="宋体"/>
          <w:kern w:val="0"/>
          <w:sz w:val="21"/>
          <w:szCs w:val="21"/>
        </w:rPr>
        <w:t>……</w:t>
      </w:r>
    </w:p>
    <w:p w14:paraId="3D0BE683">
      <w:pPr>
        <w:snapToGrid w:val="0"/>
        <w:spacing w:line="288" w:lineRule="auto"/>
        <w:ind w:firstLine="424" w:firstLineChars="202"/>
        <w:rPr>
          <w:rFonts w:ascii="宋体" w:hAnsi="宋体" w:eastAsia="宋体"/>
          <w:sz w:val="21"/>
          <w:szCs w:val="21"/>
        </w:rPr>
      </w:pPr>
    </w:p>
    <w:p w14:paraId="10DCFCA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二、分包供应商中小企业合同份额</w:t>
      </w:r>
    </w:p>
    <w:p w14:paraId="767C9922">
      <w:pPr>
        <w:snapToGrid w:val="0"/>
        <w:spacing w:line="288" w:lineRule="auto"/>
        <w:ind w:firstLine="424" w:firstLineChars="202"/>
        <w:rPr>
          <w:rFonts w:ascii="宋体" w:hAnsi="宋体" w:eastAsia="宋体" w:cs="宋体"/>
          <w:b/>
          <w:kern w:val="0"/>
          <w:sz w:val="21"/>
          <w:szCs w:val="21"/>
          <w:lang w:val="zh-CN"/>
        </w:rPr>
      </w:pPr>
      <w:r>
        <w:rPr>
          <w:rFonts w:ascii="宋体" w:hAnsi="宋体" w:eastAsia="宋体" w:cs="宋体"/>
          <w:kern w:val="0"/>
          <w:sz w:val="21"/>
          <w:szCs w:val="21"/>
        </w:rPr>
        <w:t>1、</w:t>
      </w:r>
      <w:r>
        <w:rPr>
          <w:rFonts w:hint="eastAsia" w:ascii="宋体" w:hAnsi="宋体" w:eastAsia="宋体" w:cs="宋体"/>
          <w:kern w:val="0"/>
          <w:sz w:val="21"/>
          <w:szCs w:val="21"/>
          <w:u w:val="single"/>
        </w:rPr>
        <w:t>（分包供应商X</w:t>
      </w:r>
      <w:r>
        <w:rPr>
          <w:rFonts w:ascii="宋体" w:hAnsi="宋体" w:eastAsia="宋体" w:cs="宋体"/>
          <w:kern w:val="0"/>
          <w:sz w:val="21"/>
          <w:szCs w:val="21"/>
          <w:u w:val="single"/>
        </w:rPr>
        <w:t>,</w:t>
      </w:r>
      <w:r>
        <w:rPr>
          <w:rFonts w:hint="eastAsia" w:ascii="宋体" w:hAnsi="宋体" w:eastAsia="宋体" w:cs="宋体"/>
          <w:kern w:val="0"/>
          <w:sz w:val="21"/>
          <w:szCs w:val="21"/>
          <w:u w:val="single"/>
        </w:rPr>
        <w:t>……）提供的服务全部由小微企业承接，</w:t>
      </w:r>
      <w:r>
        <w:rPr>
          <w:rFonts w:hint="eastAsia" w:ascii="宋体" w:hAnsi="宋体" w:eastAsia="宋体" w:cs="宋体"/>
          <w:kern w:val="0"/>
          <w:sz w:val="21"/>
          <w:szCs w:val="21"/>
        </w:rPr>
        <w:t>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sz w:val="21"/>
          <w:szCs w:val="21"/>
        </w:rPr>
        <w:t>。</w:t>
      </w:r>
      <w:r>
        <w:rPr>
          <w:rFonts w:hint="eastAsia" w:ascii="宋体" w:hAnsi="宋体" w:eastAsia="宋体" w:cs="宋体"/>
          <w:b/>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rPr>
        <w:t>拟享受以上价格扣除政策的，填写有关内容。</w:t>
      </w:r>
      <w:r>
        <w:rPr>
          <w:rFonts w:hint="eastAsia" w:ascii="宋体" w:hAnsi="宋体" w:eastAsia="宋体" w:cs="宋体"/>
          <w:b/>
          <w:kern w:val="0"/>
          <w:sz w:val="21"/>
          <w:szCs w:val="21"/>
          <w:lang w:val="zh-CN"/>
        </w:rPr>
        <w:t>）</w:t>
      </w:r>
    </w:p>
    <w:p w14:paraId="0667B84A">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要求合同分包形式参加的项目或采购包，供应商按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w:t>
      </w:r>
      <w:r>
        <w:rPr>
          <w:rFonts w:hint="eastAsia" w:ascii="宋体" w:hAnsi="宋体" w:eastAsia="宋体" w:cs="宋体"/>
          <w:b/>
          <w:bCs/>
          <w:sz w:val="21"/>
          <w:szCs w:val="21"/>
          <w:lang w:val="en-US" w:eastAsia="zh-CN"/>
        </w:rPr>
        <w:t>一章采购邀请</w:t>
      </w:r>
      <w:r>
        <w:rPr>
          <w:rFonts w:hint="eastAsia" w:ascii="宋体" w:hAnsi="宋体" w:eastAsia="宋体" w:cs="宋体"/>
          <w:b/>
          <w:bCs/>
          <w:sz w:val="21"/>
          <w:szCs w:val="21"/>
        </w:rPr>
        <w:t>申请人的资格要求中规定的</w:t>
      </w:r>
      <w:r>
        <w:rPr>
          <w:rFonts w:hint="eastAsia" w:ascii="宋体" w:hAnsi="宋体" w:eastAsia="宋体" w:cs="宋体"/>
          <w:b/>
          <w:kern w:val="0"/>
          <w:sz w:val="21"/>
          <w:szCs w:val="21"/>
          <w:lang w:val="zh-CN"/>
        </w:rPr>
        <w:t>分包意向协议</w:t>
      </w:r>
      <w:r>
        <w:rPr>
          <w:rFonts w:hint="eastAsia" w:ascii="宋体" w:hAnsi="宋体" w:eastAsia="宋体" w:cs="宋体"/>
          <w:b/>
          <w:bCs/>
          <w:sz w:val="21"/>
          <w:szCs w:val="21"/>
        </w:rPr>
        <w:t>中中小企业、小微企业合同金额应当达到的比例要求填写。</w:t>
      </w:r>
      <w:r>
        <w:rPr>
          <w:rFonts w:hint="eastAsia" w:ascii="宋体" w:hAnsi="宋体" w:eastAsia="宋体" w:cs="宋体"/>
          <w:b/>
          <w:bCs/>
          <w:kern w:val="0"/>
          <w:sz w:val="21"/>
          <w:szCs w:val="21"/>
          <w:lang w:val="zh-CN"/>
        </w:rPr>
        <w:t>）</w:t>
      </w:r>
    </w:p>
    <w:p w14:paraId="479344B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三、分包工作履行期限、地点、方式</w:t>
      </w:r>
    </w:p>
    <w:p w14:paraId="29403C93">
      <w:pPr>
        <w:snapToGrid w:val="0"/>
        <w:spacing w:line="288" w:lineRule="auto"/>
        <w:ind w:firstLine="424" w:firstLineChars="202"/>
        <w:rPr>
          <w:rFonts w:ascii="宋体" w:hAnsi="宋体" w:eastAsia="宋体" w:cs="宋体"/>
          <w:sz w:val="21"/>
          <w:szCs w:val="21"/>
          <w:u w:val="single"/>
        </w:rPr>
      </w:pPr>
      <w:r>
        <w:rPr>
          <w:rFonts w:hint="eastAsia" w:ascii="宋体" w:hAnsi="宋体" w:eastAsia="宋体" w:cs="宋体"/>
          <w:sz w:val="21"/>
          <w:szCs w:val="21"/>
          <w:u w:val="single"/>
        </w:rPr>
        <w:t xml:space="preserve">                                                                                  </w:t>
      </w:r>
    </w:p>
    <w:p w14:paraId="15C3853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四、质量</w:t>
      </w:r>
    </w:p>
    <w:p w14:paraId="2AFDD73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386E6E8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五、价款或者报酬</w:t>
      </w:r>
    </w:p>
    <w:p w14:paraId="5AA386E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03BDF86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六、违约责任</w:t>
      </w:r>
    </w:p>
    <w:p w14:paraId="17F5D26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75232DB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七、争议解决的办法</w:t>
      </w:r>
    </w:p>
    <w:p w14:paraId="37ADD17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2881B3E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八、其他</w:t>
      </w:r>
    </w:p>
    <w:p w14:paraId="7D9EBA7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  。</w:t>
      </w:r>
    </w:p>
    <w:p w14:paraId="0EB4B24E">
      <w:pPr>
        <w:snapToGrid w:val="0"/>
        <w:spacing w:line="288" w:lineRule="auto"/>
        <w:ind w:firstLine="424" w:firstLineChars="202"/>
        <w:rPr>
          <w:rFonts w:ascii="宋体" w:hAnsi="宋体" w:eastAsia="宋体" w:cs="宋体"/>
          <w:kern w:val="0"/>
          <w:sz w:val="21"/>
          <w:szCs w:val="21"/>
          <w:lang w:val="zh-CN"/>
        </w:rPr>
      </w:pPr>
    </w:p>
    <w:p w14:paraId="41CA13F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名称(电子签名)：</w:t>
      </w:r>
    </w:p>
    <w:p w14:paraId="51036DB9">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分包供应商名称(电子签名/公章)：</w:t>
      </w:r>
    </w:p>
    <w:p w14:paraId="6CAB124A">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w:t>
      </w:r>
    </w:p>
    <w:p w14:paraId="2489712E">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日期：  年  月   日</w:t>
      </w:r>
    </w:p>
    <w:p w14:paraId="4AA5DB13">
      <w:pPr>
        <w:snapToGrid w:val="0"/>
        <w:spacing w:line="288" w:lineRule="auto"/>
        <w:ind w:right="420" w:firstLine="424" w:firstLineChars="202"/>
        <w:rPr>
          <w:rFonts w:ascii="宋体" w:hAnsi="宋体" w:eastAsia="宋体" w:cs="宋体"/>
          <w:sz w:val="21"/>
          <w:szCs w:val="21"/>
        </w:rPr>
      </w:pPr>
    </w:p>
    <w:p w14:paraId="18D1759A">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14:paraId="6AF47826"/>
    <w:sectPr>
      <w:footerReference r:id="rId7" w:type="default"/>
      <w:pgSz w:w="11905" w:h="16838"/>
      <w:pgMar w:top="1247" w:right="1247" w:bottom="1247" w:left="1247" w:header="113" w:footer="992" w:gutter="0"/>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11"/>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3793">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72085" cy="147955"/>
                      </a:xfrm>
                      <a:prstGeom prst="rect">
                        <a:avLst/>
                      </a:prstGeom>
                      <a:noFill/>
                      <a:ln>
                        <a:noFill/>
                      </a:ln>
                    </wps:spPr>
                    <wps:txbx>
                      <w:txbxContent>
                        <w:p w14:paraId="279BAF18">
                          <w:r>
                            <w:rPr>
                              <w:rFonts w:hint="eastAsia"/>
                            </w:rPr>
                            <w:t>-</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13.55pt;mso-position-horizontal:center;mso-position-horizontal-relative:margin;mso-wrap-style:none;z-index:251660288;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C5mM9qCAIAAAIEAAAOAAAAZHJzL2Uyb0RvYy54bWytU82O0zAQviPx&#10;DpbvNGlF2SVqulq2KkJafqSFB3Adp7GIPdbYbVIeAN6AExfuPFefg7HTlGW57IGLNbbH33zfN+PF&#10;VW9atlfoNdiSTyc5Z8pKqLTdlvzTx/WzS858ELYSLVhV8oPy/Gr59Mmic4WaQQNtpZARiPVF50re&#10;hOCKLPOyUUb4CThl6bIGNCLQFrdZhaIjdNNmszx/k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8mKWX845k3Q1fX7xcj6P3DJRjI8d+vBagWExKDlS5xO42N/6MKSO&#10;KbGWhbVu29T91v51QJjxJJGPfAfmod/0JzM2UB1IBsIwTPSVKGgAv3DW0SCV3NK/4ax9Y8mIOHNj&#10;gGOwGQNhJT0seeBsCG/CMJs7h3rbEO5o9TWZtdZJSHR14HBiSaORrDiNcZy9+/uU9efr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URo9EAAAADAQAADwAAAAAAAAABACAAAAAiAAAAZHJzL2Rv&#10;d25yZXYueG1sUEsBAhQAFAAAAAgAh07iQLmYz2oIAgAAAgQAAA4AAAAAAAAAAQAgAAAAIAEAAGRy&#10;cy9lMm9Eb2MueG1sUEsFBgAAAAAGAAYAWQEAAJoFAAAAAA==&#10;">
              <v:fill on="f" focussize="0,0"/>
              <v:stroke on="f"/>
              <v:imagedata o:title=""/>
              <o:lock v:ext="edit" aspectratio="f"/>
              <v:textbox inset="0mm,0mm,0mm,0mm" style="mso-fit-shape-to-text:t;">
                <w:txbxContent>
                  <w:p w14:paraId="279BAF18">
                    <w:r>
                      <w:rPr>
                        <w:rFonts w:hint="eastAsia"/>
                      </w:rPr>
                      <w:t>-</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5FB55">
    <w:pPr>
      <w:jc w:val="center"/>
    </w:pPr>
    <w:r>
      <w:drawing>
        <wp:inline distT="0" distB="0" distL="0" distR="0">
          <wp:extent cx="5905500" cy="679450"/>
          <wp:effectExtent l="0" t="0" r="0" b="635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E1FFD"/>
    <w:multiLevelType w:val="singleLevel"/>
    <w:tmpl w:val="B8AE1F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AF33471"/>
    <w:rsid w:val="0CF34325"/>
    <w:rsid w:val="143E2204"/>
    <w:rsid w:val="15ED232D"/>
    <w:rsid w:val="1B0C5606"/>
    <w:rsid w:val="1D0079FF"/>
    <w:rsid w:val="1D121E99"/>
    <w:rsid w:val="1D340697"/>
    <w:rsid w:val="262033D8"/>
    <w:rsid w:val="28220306"/>
    <w:rsid w:val="2B731BD4"/>
    <w:rsid w:val="2DC72F38"/>
    <w:rsid w:val="2DE74C9D"/>
    <w:rsid w:val="2EC8340B"/>
    <w:rsid w:val="318921E5"/>
    <w:rsid w:val="37AA0086"/>
    <w:rsid w:val="3CF36ED1"/>
    <w:rsid w:val="3D935FA6"/>
    <w:rsid w:val="3FE16D38"/>
    <w:rsid w:val="4080377B"/>
    <w:rsid w:val="40BE0B58"/>
    <w:rsid w:val="446815CA"/>
    <w:rsid w:val="46742991"/>
    <w:rsid w:val="48211CD3"/>
    <w:rsid w:val="48715062"/>
    <w:rsid w:val="4B9B4FC2"/>
    <w:rsid w:val="4C793DF2"/>
    <w:rsid w:val="4DCB05E7"/>
    <w:rsid w:val="4E7D6D7D"/>
    <w:rsid w:val="508825A3"/>
    <w:rsid w:val="51942202"/>
    <w:rsid w:val="52146791"/>
    <w:rsid w:val="555C7D6F"/>
    <w:rsid w:val="57541D3F"/>
    <w:rsid w:val="597B6F21"/>
    <w:rsid w:val="5B122177"/>
    <w:rsid w:val="5BFD69A3"/>
    <w:rsid w:val="5C9E44C4"/>
    <w:rsid w:val="5D41435A"/>
    <w:rsid w:val="5EBA7671"/>
    <w:rsid w:val="5EFB2A62"/>
    <w:rsid w:val="6265548D"/>
    <w:rsid w:val="66CE5F3A"/>
    <w:rsid w:val="68D93CAA"/>
    <w:rsid w:val="6E2869F8"/>
    <w:rsid w:val="6E290AC9"/>
    <w:rsid w:val="6E9007AE"/>
    <w:rsid w:val="6FDE3292"/>
    <w:rsid w:val="70781701"/>
    <w:rsid w:val="7386210B"/>
    <w:rsid w:val="76797A09"/>
    <w:rsid w:val="77216EC1"/>
    <w:rsid w:val="7A8D6155"/>
    <w:rsid w:val="7D074354"/>
    <w:rsid w:val="7EA0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3">
    <w:name w:val="heading 3"/>
    <w:basedOn w:val="1"/>
    <w:qFormat/>
    <w:uiPriority w:val="1"/>
    <w:pPr>
      <w:ind w:left="1041"/>
      <w:outlineLvl w:val="3"/>
    </w:pPr>
    <w:rPr>
      <w:rFonts w:ascii="宋体" w:hAnsi="宋体" w:eastAsia="宋体" w:cs="宋体"/>
      <w:b/>
      <w:bCs/>
      <w:sz w:val="24"/>
      <w:szCs w:val="24"/>
    </w:rPr>
  </w:style>
  <w:style w:type="paragraph" w:styleId="4">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Normal Indent"/>
    <w:basedOn w:val="1"/>
    <w:semiHidden/>
    <w:unhideWhenUsed/>
    <w:qFormat/>
    <w:uiPriority w:val="99"/>
    <w:pPr>
      <w:ind w:firstLine="420" w:firstLineChars="200"/>
    </w:pPr>
  </w:style>
  <w:style w:type="paragraph" w:styleId="6">
    <w:name w:val="annotation text"/>
    <w:basedOn w:val="1"/>
    <w:link w:val="24"/>
    <w:unhideWhenUsed/>
    <w:qFormat/>
    <w:uiPriority w:val="99"/>
    <w:pPr>
      <w:jc w:val="left"/>
    </w:pPr>
    <w:rPr>
      <w:rFonts w:ascii="Times New Roman" w:hAnsi="Times New Roman" w:cs="Times New Roman"/>
      <w:sz w:val="28"/>
    </w:rPr>
  </w:style>
  <w:style w:type="paragraph" w:styleId="7">
    <w:name w:val="Body Text"/>
    <w:basedOn w:val="1"/>
    <w:next w:val="1"/>
    <w:link w:val="36"/>
    <w:qFormat/>
    <w:uiPriority w:val="0"/>
    <w:pPr>
      <w:spacing w:after="120"/>
    </w:pPr>
  </w:style>
  <w:style w:type="paragraph" w:styleId="8">
    <w:name w:val="Body Text Indent"/>
    <w:basedOn w:val="1"/>
    <w:next w:val="1"/>
    <w:link w:val="27"/>
    <w:qFormat/>
    <w:uiPriority w:val="0"/>
    <w:pPr>
      <w:spacing w:line="200" w:lineRule="atLeast"/>
      <w:ind w:firstLine="301"/>
    </w:pPr>
    <w:rPr>
      <w:rFonts w:hAnsi="Courier New" w:cs="Times New Roman"/>
      <w:spacing w:val="-4"/>
      <w:sz w:val="18"/>
      <w:szCs w:val="20"/>
    </w:rPr>
  </w:style>
  <w:style w:type="paragraph" w:styleId="9">
    <w:name w:val="Plain Text"/>
    <w:basedOn w:val="1"/>
    <w:link w:val="37"/>
    <w:semiHidden/>
    <w:unhideWhenUsed/>
    <w:qFormat/>
    <w:uiPriority w:val="99"/>
    <w:rPr>
      <w:rFonts w:hAnsi="Courier New" w:cs="Courier New" w:asciiTheme="minorEastAsia" w:eastAsiaTheme="minorEastAsia"/>
    </w:rPr>
  </w:style>
  <w:style w:type="paragraph" w:styleId="10">
    <w:name w:val="Balloon Text"/>
    <w:basedOn w:val="1"/>
    <w:link w:val="26"/>
    <w:qFormat/>
    <w:uiPriority w:val="0"/>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kern w:val="0"/>
    </w:rPr>
  </w:style>
  <w:style w:type="paragraph" w:styleId="14">
    <w:name w:val="annotation subject"/>
    <w:basedOn w:val="6"/>
    <w:next w:val="6"/>
    <w:link w:val="34"/>
    <w:semiHidden/>
    <w:unhideWhenUsed/>
    <w:qFormat/>
    <w:uiPriority w:val="0"/>
    <w:rPr>
      <w:rFonts w:ascii="宋体" w:hAnsi="宋体" w:cs="宋体"/>
      <w:b/>
      <w:bCs/>
      <w:sz w:val="24"/>
    </w:rPr>
  </w:style>
  <w:style w:type="paragraph" w:styleId="15">
    <w:name w:val="Body Text First Indent"/>
    <w:basedOn w:val="7"/>
    <w:next w:val="16"/>
    <w:qFormat/>
    <w:uiPriority w:val="0"/>
    <w:pPr>
      <w:ind w:firstLine="420" w:firstLineChars="100"/>
    </w:pPr>
    <w:rPr>
      <w:rFonts w:cs="Times New Roman"/>
      <w:sz w:val="21"/>
    </w:rPr>
  </w:style>
  <w:style w:type="paragraph" w:styleId="16">
    <w:name w:val="Body Text First Indent 2"/>
    <w:basedOn w:val="8"/>
    <w:next w:val="15"/>
    <w:unhideWhenUsed/>
    <w:qFormat/>
    <w:uiPriority w:val="99"/>
    <w:pPr>
      <w:ind w:firstLine="420"/>
    </w:pPr>
  </w:style>
  <w:style w:type="table" w:styleId="18">
    <w:name w:val="Table Grid"/>
    <w:basedOn w:val="1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页眉 字符"/>
    <w:basedOn w:val="19"/>
    <w:link w:val="12"/>
    <w:qFormat/>
    <w:uiPriority w:val="99"/>
    <w:rPr>
      <w:sz w:val="18"/>
      <w:szCs w:val="18"/>
    </w:rPr>
  </w:style>
  <w:style w:type="character" w:customStyle="1" w:styleId="23">
    <w:name w:val="页脚 字符"/>
    <w:basedOn w:val="19"/>
    <w:link w:val="11"/>
    <w:qFormat/>
    <w:uiPriority w:val="99"/>
    <w:rPr>
      <w:sz w:val="18"/>
      <w:szCs w:val="18"/>
    </w:rPr>
  </w:style>
  <w:style w:type="character" w:customStyle="1" w:styleId="24">
    <w:name w:val="批注文字 字符"/>
    <w:basedOn w:val="19"/>
    <w:link w:val="6"/>
    <w:qFormat/>
    <w:uiPriority w:val="99"/>
    <w:rPr>
      <w:rFonts w:ascii="Times New Roman" w:hAnsi="Times New Roman" w:eastAsia="宋体" w:cs="Times New Roman"/>
      <w:sz w:val="28"/>
      <w:szCs w:val="24"/>
    </w:rPr>
  </w:style>
  <w:style w:type="character" w:customStyle="1" w:styleId="25">
    <w:name w:val="正文文本缩进 字符"/>
    <w:basedOn w:val="19"/>
    <w:qFormat/>
    <w:uiPriority w:val="0"/>
    <w:rPr>
      <w:rFonts w:ascii="宋体" w:hAnsi="宋体" w:eastAsia="宋体" w:cs="宋体"/>
      <w:sz w:val="24"/>
      <w:szCs w:val="24"/>
    </w:rPr>
  </w:style>
  <w:style w:type="character" w:customStyle="1" w:styleId="26">
    <w:name w:val="批注框文本 字符"/>
    <w:basedOn w:val="19"/>
    <w:link w:val="10"/>
    <w:qFormat/>
    <w:uiPriority w:val="0"/>
    <w:rPr>
      <w:rFonts w:ascii="宋体" w:hAnsi="宋体" w:eastAsia="宋体" w:cs="宋体"/>
      <w:sz w:val="18"/>
      <w:szCs w:val="18"/>
    </w:rPr>
  </w:style>
  <w:style w:type="character" w:customStyle="1" w:styleId="27">
    <w:name w:val="正文文本缩进 字符1"/>
    <w:link w:val="8"/>
    <w:qFormat/>
    <w:uiPriority w:val="0"/>
    <w:rPr>
      <w:rFonts w:ascii="宋体" w:hAnsi="Courier New" w:eastAsia="宋体" w:cs="Times New Roman"/>
      <w:spacing w:val="-4"/>
      <w:sz w:val="18"/>
      <w:szCs w:val="20"/>
    </w:rPr>
  </w:style>
  <w:style w:type="character" w:customStyle="1" w:styleId="28">
    <w:name w:val="正文文本缩进 字符2"/>
    <w:qFormat/>
    <w:uiPriority w:val="0"/>
    <w:rPr>
      <w:rFonts w:ascii="宋体" w:hAnsi="Courier New"/>
      <w:spacing w:val="-4"/>
      <w:kern w:val="2"/>
      <w:sz w:val="18"/>
    </w:rPr>
  </w:style>
  <w:style w:type="character" w:customStyle="1" w:styleId="29">
    <w:name w:val="未处理的提及1"/>
    <w:basedOn w:val="19"/>
    <w:semiHidden/>
    <w:unhideWhenUsed/>
    <w:qFormat/>
    <w:uiPriority w:val="99"/>
    <w:rPr>
      <w:color w:val="605E5C"/>
      <w:shd w:val="clear" w:color="auto" w:fill="E1DFDD"/>
    </w:rPr>
  </w:style>
  <w:style w:type="paragraph" w:styleId="30">
    <w:name w:val="List Paragraph"/>
    <w:basedOn w:val="1"/>
    <w:qFormat/>
    <w:uiPriority w:val="99"/>
    <w:pPr>
      <w:ind w:firstLine="420" w:firstLineChars="200"/>
    </w:pPr>
  </w:style>
  <w:style w:type="paragraph" w:customStyle="1" w:styleId="31">
    <w:name w:val="纯文本1"/>
    <w:basedOn w:val="1"/>
    <w:next w:val="9"/>
    <w:link w:val="33"/>
    <w:qFormat/>
    <w:uiPriority w:val="99"/>
    <w:pPr>
      <w:spacing w:before="156" w:beforeLines="50" w:after="156" w:afterLines="50" w:line="400" w:lineRule="atLeast"/>
    </w:pPr>
    <w:rPr>
      <w:rFonts w:hAnsi="Courier New" w:cs="Times New Roman"/>
    </w:rPr>
  </w:style>
  <w:style w:type="character" w:customStyle="1" w:styleId="32">
    <w:name w:val="纯文本 字符"/>
    <w:basedOn w:val="19"/>
    <w:qFormat/>
    <w:uiPriority w:val="0"/>
    <w:rPr>
      <w:rFonts w:ascii="宋体" w:hAnsi="Courier New" w:eastAsia="宋体" w:cs="Courier New"/>
      <w:kern w:val="2"/>
      <w:sz w:val="24"/>
      <w:szCs w:val="24"/>
    </w:rPr>
  </w:style>
  <w:style w:type="character" w:customStyle="1" w:styleId="33">
    <w:name w:val="纯文本 字符1"/>
    <w:link w:val="31"/>
    <w:qFormat/>
    <w:uiPriority w:val="99"/>
    <w:rPr>
      <w:rFonts w:ascii="宋体" w:hAnsi="Courier New" w:eastAsia="宋体" w:cs="Times New Roman"/>
      <w:kern w:val="2"/>
      <w:sz w:val="24"/>
      <w:szCs w:val="24"/>
    </w:rPr>
  </w:style>
  <w:style w:type="character" w:customStyle="1" w:styleId="34">
    <w:name w:val="批注主题 字符"/>
    <w:basedOn w:val="24"/>
    <w:link w:val="14"/>
    <w:semiHidden/>
    <w:qFormat/>
    <w:uiPriority w:val="0"/>
    <w:rPr>
      <w:rFonts w:ascii="宋体" w:hAnsi="宋体" w:eastAsia="宋体" w:cs="宋体"/>
      <w:b/>
      <w:bCs/>
      <w:sz w:val="24"/>
      <w:szCs w:val="24"/>
    </w:rPr>
  </w:style>
  <w:style w:type="character" w:customStyle="1" w:styleId="35">
    <w:name w:val="Unresolved Mention"/>
    <w:basedOn w:val="19"/>
    <w:semiHidden/>
    <w:unhideWhenUsed/>
    <w:qFormat/>
    <w:uiPriority w:val="99"/>
    <w:rPr>
      <w:color w:val="605E5C"/>
      <w:shd w:val="clear" w:color="auto" w:fill="E1DFDD"/>
    </w:rPr>
  </w:style>
  <w:style w:type="character" w:customStyle="1" w:styleId="36">
    <w:name w:val="正文文本 字符"/>
    <w:basedOn w:val="19"/>
    <w:link w:val="7"/>
    <w:qFormat/>
    <w:uiPriority w:val="0"/>
    <w:rPr>
      <w:rFonts w:ascii="宋体" w:hAnsi="宋体" w:eastAsia="宋体" w:cs="宋体"/>
      <w:sz w:val="24"/>
      <w:szCs w:val="24"/>
    </w:rPr>
  </w:style>
  <w:style w:type="character" w:customStyle="1" w:styleId="37">
    <w:name w:val="纯文本 字符2"/>
    <w:basedOn w:val="19"/>
    <w:link w:val="9"/>
    <w:semiHidden/>
    <w:qFormat/>
    <w:uiPriority w:val="99"/>
    <w:rPr>
      <w:rFonts w:hAnsi="Courier New" w:cs="Courier New" w:asciiTheme="minorEastAsia"/>
      <w:sz w:val="24"/>
      <w:szCs w:val="24"/>
    </w:rPr>
  </w:style>
  <w:style w:type="table" w:customStyle="1" w:styleId="38">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0">
    <w:name w:val="p0"/>
    <w:basedOn w:val="1"/>
    <w:qFormat/>
    <w:uiPriority w:val="0"/>
    <w:pPr>
      <w:widowControl/>
      <w:adjustRightInd/>
    </w:pPr>
    <w:rPr>
      <w:kern w:val="0"/>
      <w:szCs w:val="21"/>
    </w:rPr>
  </w:style>
  <w:style w:type="paragraph" w:customStyle="1" w:styleId="4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22496</Words>
  <Characters>23510</Characters>
  <Lines>223</Lines>
  <Paragraphs>62</Paragraphs>
  <TotalTime>9</TotalTime>
  <ScaleCrop>false</ScaleCrop>
  <LinksUpToDate>false</LinksUpToDate>
  <CharactersWithSpaces>23565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Lenovo</cp:lastModifiedBy>
  <dcterms:modified xsi:type="dcterms:W3CDTF">2024-12-02T09:23:20Z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A51A911505624C84A5FC23BD10F24265_13</vt:lpwstr>
  </property>
</Properties>
</file>