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rPr>
      </w:pPr>
    </w:p>
    <w:p w14:paraId="312EED65">
      <w:pPr>
        <w:adjustRightInd w:val="0"/>
        <w:snapToGrid w:val="0"/>
        <w:spacing w:line="288" w:lineRule="auto"/>
        <w:rPr>
          <w:rFonts w:ascii="楷体" w:hAnsi="楷体" w:eastAsia="楷体" w:cs="Times New Roman"/>
          <w:b/>
          <w:spacing w:val="-6"/>
          <w:sz w:val="44"/>
          <w:szCs w:val="44"/>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浙江经济职业技术学院</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网络安全等级保护与保障服务</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网络安全等级保护与保障服务</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QSZB-Z(F)-B24567(CS)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浙江经济职业技术学院</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采购计划文号：[2024]73560号、[2024]73561号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3F06760C">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网络安全等级保护与保障服务</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2024年11月21日09:00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28359002"/>
      <w:bookmarkStart w:id="1" w:name="_Toc35393790"/>
      <w:bookmarkStart w:id="2" w:name="_Toc28359079"/>
      <w:bookmarkStart w:id="3" w:name="_Toc35393621"/>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QSZB-Z(F)-B24567(CS)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网络安全等级保护与保障服务</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730000元</w:t>
      </w:r>
    </w:p>
    <w:p w14:paraId="0A334808">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730000元</w:t>
      </w:r>
    </w:p>
    <w:p w14:paraId="79A3FC8D">
      <w:pPr>
        <w:adjustRightInd w:val="0"/>
        <w:snapToGrid w:val="0"/>
        <w:spacing w:line="288" w:lineRule="auto"/>
        <w:ind w:firstLine="420" w:firstLineChars="200"/>
        <w:rPr>
          <w:rFonts w:hint="default" w:eastAsia="宋体"/>
          <w:spacing w:val="-6"/>
          <w:sz w:val="21"/>
          <w:szCs w:val="21"/>
          <w:highlight w:val="none"/>
          <w:lang w:val="en-US" w:eastAsia="zh-CN"/>
        </w:rPr>
      </w:pPr>
      <w:r>
        <w:rPr>
          <w:sz w:val="21"/>
          <w:szCs w:val="21"/>
          <w:highlight w:val="none"/>
        </w:rPr>
        <w:t>6.</w:t>
      </w:r>
      <w:r>
        <w:rPr>
          <w:rFonts w:hint="eastAsia"/>
          <w:sz w:val="21"/>
          <w:szCs w:val="21"/>
          <w:highlight w:val="none"/>
        </w:rPr>
        <w:t>合同履约期限：</w:t>
      </w:r>
      <w:r>
        <w:rPr>
          <w:rFonts w:hint="eastAsia"/>
          <w:sz w:val="21"/>
          <w:szCs w:val="21"/>
          <w:highlight w:val="none"/>
          <w:lang w:val="en-US" w:eastAsia="zh-CN"/>
        </w:rPr>
        <w:t>服务期为</w:t>
      </w:r>
      <w:r>
        <w:rPr>
          <w:rFonts w:hint="eastAsia"/>
          <w:spacing w:val="-6"/>
          <w:sz w:val="21"/>
          <w:szCs w:val="21"/>
          <w:highlight w:val="none"/>
          <w:lang w:val="en-US" w:eastAsia="zh-CN"/>
        </w:rPr>
        <w:t>2年，合同签订后15个工作日内完成项目部署</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47D875DD">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29" w:type="pct"/>
            <w:tcBorders>
              <w:right w:val="single" w:color="auto" w:sz="4" w:space="0"/>
              <w:tl2br w:val="nil"/>
              <w:tr2bl w:val="nil"/>
            </w:tcBorders>
            <w:vAlign w:val="center"/>
          </w:tcPr>
          <w:p w14:paraId="6D3BB63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30" w:type="pct"/>
            <w:tcBorders>
              <w:tl2br w:val="nil"/>
              <w:tr2bl w:val="nil"/>
            </w:tcBorders>
            <w:vAlign w:val="center"/>
          </w:tcPr>
          <w:p w14:paraId="05A6AF33">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431" w:type="pct"/>
            <w:tcBorders>
              <w:tl2br w:val="nil"/>
              <w:tr2bl w:val="nil"/>
            </w:tcBorders>
            <w:vAlign w:val="center"/>
          </w:tcPr>
          <w:p w14:paraId="37CF11AC">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898" w:type="pct"/>
            <w:tcBorders>
              <w:right w:val="single" w:color="auto" w:sz="4" w:space="0"/>
              <w:tl2br w:val="nil"/>
              <w:tr2bl w:val="nil"/>
            </w:tcBorders>
            <w:vAlign w:val="center"/>
          </w:tcPr>
          <w:p w14:paraId="794B95D7">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5486C266">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1829" w:type="pct"/>
            <w:tcBorders>
              <w:right w:val="single" w:color="auto" w:sz="4" w:space="0"/>
              <w:tl2br w:val="nil"/>
              <w:tr2bl w:val="nil"/>
            </w:tcBorders>
            <w:vAlign w:val="center"/>
          </w:tcPr>
          <w:p w14:paraId="2C923CBB">
            <w:pPr>
              <w:adjustRightInd w:val="0"/>
              <w:snapToGrid w:val="0"/>
              <w:spacing w:line="288" w:lineRule="auto"/>
              <w:jc w:val="center"/>
              <w:rPr>
                <w:bCs/>
                <w:sz w:val="21"/>
                <w:szCs w:val="21"/>
                <w:highlight w:val="none"/>
              </w:rPr>
            </w:pPr>
            <w:r>
              <w:rPr>
                <w:rFonts w:hint="eastAsia"/>
                <w:sz w:val="21"/>
                <w:szCs w:val="21"/>
                <w:highlight w:val="none"/>
                <w:lang w:eastAsia="zh-CN"/>
              </w:rPr>
              <w:t>网络安全等级保护与保障服务</w:t>
            </w:r>
          </w:p>
        </w:tc>
        <w:tc>
          <w:tcPr>
            <w:tcW w:w="430" w:type="pct"/>
            <w:tcBorders>
              <w:tl2br w:val="nil"/>
              <w:tr2bl w:val="nil"/>
            </w:tcBorders>
            <w:vAlign w:val="center"/>
          </w:tcPr>
          <w:p w14:paraId="1F724F75">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431" w:type="pct"/>
            <w:tcBorders>
              <w:tl2br w:val="nil"/>
              <w:tr2bl w:val="nil"/>
            </w:tcBorders>
            <w:vAlign w:val="center"/>
          </w:tcPr>
          <w:p w14:paraId="41F221C0">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1898" w:type="pct"/>
            <w:tcBorders>
              <w:right w:val="single" w:color="auto" w:sz="4" w:space="0"/>
              <w:tl2br w:val="nil"/>
              <w:tr2bl w:val="nil"/>
            </w:tcBorders>
            <w:vAlign w:val="center"/>
          </w:tcPr>
          <w:p w14:paraId="4D08AB81">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详见第二章采购需求</w:t>
            </w:r>
          </w:p>
        </w:tc>
      </w:tr>
    </w:tbl>
    <w:p w14:paraId="2CF9088B">
      <w:pPr>
        <w:adjustRightInd w:val="0"/>
        <w:snapToGrid w:val="0"/>
        <w:spacing w:line="288" w:lineRule="auto"/>
        <w:rPr>
          <w:b/>
          <w:sz w:val="21"/>
          <w:szCs w:val="21"/>
          <w:highlight w:val="none"/>
        </w:rPr>
      </w:pPr>
      <w:bookmarkStart w:id="5" w:name="_Toc35393622"/>
      <w:bookmarkStart w:id="6" w:name="_Toc35393791"/>
      <w:bookmarkStart w:id="7" w:name="_Toc28359003"/>
      <w:bookmarkStart w:id="8" w:name="_Toc28359080"/>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4C452D9A">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2.落实政府采购政策需满足的资格要求：</w:t>
      </w:r>
      <w:r>
        <w:rPr>
          <w:rFonts w:hint="eastAsia"/>
          <w:sz w:val="21"/>
          <w:szCs w:val="21"/>
          <w:highlight w:val="none"/>
          <w:lang w:val="en-US" w:eastAsia="zh-CN"/>
        </w:rPr>
        <w:t>无；</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28359082"/>
      <w:bookmarkStart w:id="14" w:name="_Toc28359005"/>
      <w:bookmarkStart w:id="15" w:name="_Toc35393624"/>
      <w:bookmarkStart w:id="16" w:name="_Toc35393793"/>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2024年11月21日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w:t>
      </w:r>
      <w:r>
        <w:rPr>
          <w:sz w:val="21"/>
          <w:szCs w:val="21"/>
          <w:highlight w:val="none"/>
        </w:rPr>
        <w:t>，在获取采购文件菜单中选择项目，申请获取采购文件）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2024年11月21日09:00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35393794"/>
      <w:bookmarkStart w:id="18" w:name="_Toc28359007"/>
      <w:bookmarkStart w:id="19" w:name="_Toc35393625"/>
      <w:bookmarkStart w:id="20" w:name="_Toc28359084"/>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2024年11月21日09:00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/杭州市西湖区玉古路173号中田大厦21楼（求是招标会议室</w:t>
      </w:r>
      <w:r>
        <w:rPr>
          <w:rFonts w:hint="eastAsia" w:cs="Times New Roman"/>
          <w:sz w:val="21"/>
          <w:szCs w:val="21"/>
          <w:highlight w:val="none"/>
          <w:lang w:val="en-US" w:eastAsia="zh-CN"/>
        </w:rPr>
        <w:t>4</w:t>
      </w:r>
      <w:r>
        <w:rPr>
          <w:rFonts w:hint="eastAsia" w:cs="Times New Roman"/>
          <w:sz w:val="21"/>
          <w:szCs w:val="21"/>
          <w:highlight w:val="none"/>
        </w:rPr>
        <w:t>）</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rPr>
      </w:pPr>
      <w:bookmarkStart w:id="23" w:name="_Hlk97039575"/>
      <w:bookmarkStart w:id="24" w:name="_Toc35393796"/>
      <w:bookmarkStart w:id="25" w:name="_Toc35393627"/>
      <w:bookmarkStart w:id="26" w:name="_Toc28359085"/>
      <w:bookmarkStart w:id="27" w:name="_Toc28359008"/>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w:t>
      </w:r>
      <w:r>
        <w:rPr>
          <w:rFonts w:cs="Times New Roman"/>
          <w:sz w:val="21"/>
          <w:szCs w:val="21"/>
        </w:rPr>
        <w:t>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0671AC44">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6436FD3D">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sz w:val="21"/>
          <w:szCs w:val="21"/>
        </w:rPr>
      </w:pPr>
      <w:r>
        <w:rPr>
          <w:sz w:val="21"/>
          <w:szCs w:val="21"/>
        </w:rPr>
        <w:t>1.采购人信息</w:t>
      </w:r>
    </w:p>
    <w:p w14:paraId="1D24B021">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浙江经济职业技术学院</w:t>
      </w:r>
    </w:p>
    <w:p w14:paraId="51561768">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地址：</w:t>
      </w:r>
      <w:r>
        <w:rPr>
          <w:rFonts w:hint="eastAsia" w:ascii="宋体" w:hAnsi="宋体" w:eastAsia="宋体" w:cs="Times New Roman"/>
          <w:color w:val="auto"/>
          <w:sz w:val="21"/>
          <w:szCs w:val="21"/>
          <w:highlight w:val="none"/>
          <w:lang w:eastAsia="zh-CN"/>
        </w:rPr>
        <w:t>杭州市钱塘区学正街66号</w:t>
      </w:r>
    </w:p>
    <w:p w14:paraId="1D51C018">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传真：/</w:t>
      </w:r>
    </w:p>
    <w:p w14:paraId="66ECDA56">
      <w:pPr>
        <w:adjustRightInd w:val="0"/>
        <w:snapToGrid w:val="0"/>
        <w:spacing w:line="288" w:lineRule="auto"/>
        <w:ind w:firstLine="424" w:firstLineChars="202"/>
        <w:rPr>
          <w:rFonts w:hint="default" w:ascii="宋体" w:hAnsi="宋体" w:eastAsia="宋体" w:cs="Times New Roman"/>
          <w:sz w:val="21"/>
          <w:szCs w:val="21"/>
          <w:highlight w:val="none"/>
          <w:lang w:val="en-US"/>
        </w:rPr>
      </w:pPr>
      <w:r>
        <w:rPr>
          <w:rFonts w:hint="eastAsia" w:ascii="宋体" w:hAnsi="宋体" w:eastAsia="宋体" w:cs="Times New Roman"/>
          <w:sz w:val="21"/>
          <w:szCs w:val="21"/>
          <w:highlight w:val="none"/>
        </w:rPr>
        <w:t>项目联系人（询问）：</w:t>
      </w:r>
      <w:r>
        <w:rPr>
          <w:rFonts w:hint="eastAsia" w:cs="Times New Roman"/>
          <w:sz w:val="21"/>
          <w:szCs w:val="21"/>
          <w:highlight w:val="none"/>
          <w:lang w:val="en-US" w:eastAsia="zh-CN"/>
        </w:rPr>
        <w:t>李老师</w:t>
      </w:r>
    </w:p>
    <w:p w14:paraId="63056A29">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项目联系方式（询问）：0571-86928290</w:t>
      </w:r>
    </w:p>
    <w:p w14:paraId="0283C869">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郑老师</w:t>
      </w:r>
    </w:p>
    <w:p w14:paraId="5FB4ADD3">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rPr>
        <w:t>质疑联系方式：</w:t>
      </w:r>
      <w:r>
        <w:rPr>
          <w:rFonts w:hint="eastAsia" w:ascii="宋体" w:hAnsi="宋体" w:eastAsia="宋体" w:cs="Times New Roman"/>
          <w:color w:val="auto"/>
          <w:sz w:val="21"/>
          <w:szCs w:val="21"/>
          <w:highlight w:val="none"/>
          <w:lang w:val="en-US" w:eastAsia="zh-CN"/>
        </w:rPr>
        <w:t>0571-86928231</w:t>
      </w:r>
    </w:p>
    <w:p w14:paraId="68755504">
      <w:pPr>
        <w:adjustRightInd w:val="0"/>
        <w:snapToGrid w:val="0"/>
        <w:spacing w:line="288" w:lineRule="auto"/>
        <w:rPr>
          <w:sz w:val="21"/>
          <w:szCs w:val="21"/>
          <w:highlight w:val="none"/>
        </w:rPr>
      </w:pPr>
    </w:p>
    <w:p w14:paraId="69FE38AA">
      <w:pPr>
        <w:adjustRightInd w:val="0"/>
        <w:snapToGrid w:val="0"/>
        <w:spacing w:line="288" w:lineRule="auto"/>
        <w:ind w:firstLine="424" w:firstLineChars="202"/>
        <w:rPr>
          <w:sz w:val="21"/>
          <w:szCs w:val="21"/>
        </w:rPr>
      </w:pPr>
      <w:r>
        <w:rPr>
          <w:sz w:val="21"/>
          <w:szCs w:val="21"/>
        </w:rPr>
        <w:t>2.采购代理机构信息</w:t>
      </w:r>
    </w:p>
    <w:p w14:paraId="19753CA5">
      <w:pPr>
        <w:adjustRightInd w:val="0"/>
        <w:snapToGrid w:val="0"/>
        <w:spacing w:line="288" w:lineRule="auto"/>
        <w:ind w:firstLine="424" w:firstLineChars="202"/>
        <w:rPr>
          <w:sz w:val="21"/>
          <w:szCs w:val="21"/>
        </w:rPr>
      </w:pPr>
      <w:r>
        <w:rPr>
          <w:rFonts w:hint="eastAsia"/>
          <w:sz w:val="21"/>
          <w:szCs w:val="21"/>
        </w:rPr>
        <w:t>名称：浙江求是招标代理有限公司</w:t>
      </w:r>
    </w:p>
    <w:p w14:paraId="604B3CE5">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14:paraId="4AD91ABA">
      <w:pPr>
        <w:adjustRightInd w:val="0"/>
        <w:snapToGrid w:val="0"/>
        <w:spacing w:line="288" w:lineRule="auto"/>
        <w:ind w:firstLine="424" w:firstLineChars="202"/>
        <w:rPr>
          <w:sz w:val="21"/>
          <w:szCs w:val="21"/>
          <w:highlight w:val="none"/>
        </w:rPr>
      </w:pPr>
      <w:r>
        <w:rPr>
          <w:rFonts w:hint="eastAsia"/>
          <w:sz w:val="21"/>
          <w:szCs w:val="21"/>
        </w:rPr>
        <w:t>传真：</w:t>
      </w:r>
      <w:r>
        <w:rPr>
          <w:sz w:val="21"/>
          <w:szCs w:val="21"/>
        </w:rPr>
        <w:t>/</w:t>
      </w:r>
    </w:p>
    <w:p w14:paraId="596D4869">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eastAsia="zh-CN"/>
        </w:rPr>
        <w:t>阙家珍、</w:t>
      </w:r>
      <w:r>
        <w:rPr>
          <w:rFonts w:hint="eastAsia"/>
          <w:sz w:val="21"/>
          <w:szCs w:val="21"/>
          <w:highlight w:val="none"/>
          <w:lang w:val="en-US" w:eastAsia="zh-CN"/>
        </w:rPr>
        <w:t>林心怡</w:t>
      </w:r>
    </w:p>
    <w:p w14:paraId="37320CC8">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项目联系方式（询问）：0571-8</w:t>
      </w:r>
      <w:r>
        <w:rPr>
          <w:rFonts w:hint="eastAsia"/>
          <w:sz w:val="21"/>
          <w:szCs w:val="21"/>
          <w:highlight w:val="none"/>
          <w:lang w:eastAsia="zh-CN"/>
        </w:rPr>
        <w:t>7670301</w:t>
      </w:r>
    </w:p>
    <w:p w14:paraId="452319A6">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质疑联系人：</w:t>
      </w:r>
      <w:r>
        <w:rPr>
          <w:rFonts w:hint="eastAsia"/>
          <w:sz w:val="21"/>
          <w:szCs w:val="21"/>
          <w:highlight w:val="none"/>
          <w:lang w:val="en-US" w:eastAsia="zh-CN"/>
        </w:rPr>
        <w:t>周安琪</w:t>
      </w:r>
    </w:p>
    <w:p w14:paraId="3B1EF831">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14:paraId="7251741B">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14:paraId="0EB3B591">
      <w:pPr>
        <w:adjustRightInd w:val="0"/>
        <w:snapToGrid w:val="0"/>
        <w:spacing w:line="288" w:lineRule="auto"/>
        <w:ind w:firstLine="424" w:firstLineChars="202"/>
        <w:rPr>
          <w:rFonts w:cs="Times New Roman"/>
          <w:sz w:val="21"/>
          <w:szCs w:val="21"/>
        </w:rPr>
      </w:pPr>
    </w:p>
    <w:p w14:paraId="680B3E85">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hint="eastAsia" w:cs="Times New Roman"/>
          <w:spacing w:val="-6"/>
          <w:sz w:val="21"/>
          <w:szCs w:val="21"/>
          <w:highlight w:val="none"/>
        </w:rPr>
        <w:t>3.</w:t>
      </w:r>
      <w:r>
        <w:rPr>
          <w:rFonts w:hint="eastAsia" w:ascii="宋体" w:hAnsi="宋体" w:eastAsia="宋体" w:cs="Times New Roman"/>
          <w:spacing w:val="-6"/>
          <w:sz w:val="21"/>
          <w:szCs w:val="21"/>
          <w:highlight w:val="none"/>
          <w:lang w:val="en-US" w:eastAsia="zh-CN"/>
        </w:rPr>
        <w:t>投诉处理部门信息</w:t>
      </w:r>
    </w:p>
    <w:p w14:paraId="71DF9E6D">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名称：</w:t>
      </w:r>
      <w:r>
        <w:rPr>
          <w:rFonts w:hint="eastAsia" w:ascii="宋体" w:hAnsi="宋体" w:eastAsia="宋体" w:cs="Times New Roman"/>
          <w:spacing w:val="-6"/>
          <w:sz w:val="21"/>
          <w:szCs w:val="21"/>
          <w:highlight w:val="none"/>
        </w:rPr>
        <w:t>浙江经济职业技术学院</w:t>
      </w:r>
    </w:p>
    <w:p w14:paraId="59B3B8E6">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地址：</w:t>
      </w:r>
      <w:r>
        <w:rPr>
          <w:rFonts w:hint="eastAsia" w:ascii="宋体" w:hAnsi="宋体" w:eastAsia="宋体" w:cs="Times New Roman"/>
          <w:spacing w:val="-6"/>
          <w:sz w:val="21"/>
          <w:szCs w:val="21"/>
          <w:highlight w:val="none"/>
        </w:rPr>
        <w:t>杭州市钱塘区白杨街道学正街66号</w:t>
      </w:r>
    </w:p>
    <w:p w14:paraId="66761117">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传真：/</w:t>
      </w:r>
    </w:p>
    <w:p w14:paraId="5181ED1C">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王老师</w:t>
      </w:r>
    </w:p>
    <w:p w14:paraId="642643FA">
      <w:pPr>
        <w:adjustRightInd w:val="0"/>
        <w:snapToGrid w:val="0"/>
        <w:spacing w:line="288" w:lineRule="auto"/>
        <w:ind w:firstLine="425" w:firstLineChars="215"/>
        <w:rPr>
          <w:rFonts w:cs="Times New Roman"/>
          <w:color w:val="FF0000"/>
          <w:spacing w:val="-6"/>
          <w:sz w:val="21"/>
          <w:szCs w:val="21"/>
          <w:highlight w:val="none"/>
        </w:rPr>
      </w:pPr>
      <w:r>
        <w:rPr>
          <w:rFonts w:ascii="宋体" w:hAnsi="宋体" w:eastAsia="宋体" w:cs="Times New Roman"/>
          <w:spacing w:val="-6"/>
          <w:sz w:val="21"/>
          <w:szCs w:val="21"/>
          <w:highlight w:val="none"/>
        </w:rPr>
        <w:t>监督投诉电话：0571-8</w:t>
      </w:r>
      <w:r>
        <w:rPr>
          <w:rFonts w:hint="eastAsia" w:ascii="宋体" w:hAnsi="宋体" w:eastAsia="宋体" w:cs="Times New Roman"/>
          <w:spacing w:val="-6"/>
          <w:sz w:val="21"/>
          <w:szCs w:val="21"/>
          <w:highlight w:val="none"/>
          <w:lang w:val="en-US" w:eastAsia="zh-CN"/>
        </w:rPr>
        <w:t>6928208</w:t>
      </w:r>
    </w:p>
    <w:p w14:paraId="4C586EF2">
      <w:pPr>
        <w:adjustRightInd w:val="0"/>
        <w:snapToGrid w:val="0"/>
        <w:spacing w:line="288" w:lineRule="auto"/>
        <w:ind w:firstLine="425" w:firstLineChars="215"/>
        <w:rPr>
          <w:rFonts w:cs="Times New Roman"/>
          <w:spacing w:val="-6"/>
          <w:sz w:val="21"/>
          <w:szCs w:val="21"/>
          <w:highlight w:val="none"/>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rPr>
      </w:pPr>
      <w:r>
        <w:rPr>
          <w:rFonts w:hint="eastAsia"/>
          <w:sz w:val="21"/>
          <w:szCs w:val="21"/>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7FE19C82">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77DFABBD">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405A36C7">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327DC957">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31B77583">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447018BA">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rPr>
            </w:pPr>
            <w:r>
              <w:rPr>
                <w:rFonts w:hint="eastAsia"/>
                <w:sz w:val="21"/>
                <w:szCs w:val="21"/>
              </w:rPr>
              <w:t>4</w:t>
            </w:r>
          </w:p>
        </w:tc>
        <w:tc>
          <w:tcPr>
            <w:tcW w:w="3256" w:type="dxa"/>
            <w:vAlign w:val="center"/>
          </w:tcPr>
          <w:p w14:paraId="5D375408">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7065847D">
            <w:pPr>
              <w:adjustRightInd w:val="0"/>
              <w:snapToGrid w:val="0"/>
              <w:spacing w:line="288" w:lineRule="auto"/>
              <w:jc w:val="left"/>
              <w:rPr>
                <w:sz w:val="21"/>
                <w:szCs w:val="18"/>
                <w:highlight w:val="yellow"/>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69CCE6FF">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63B3453D">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报价</w:t>
            </w:r>
            <w:r>
              <w:rPr>
                <w:rFonts w:hint="eastAsia"/>
                <w:color w:val="auto"/>
                <w:sz w:val="21"/>
                <w:szCs w:val="21"/>
                <w:highlight w:val="none"/>
              </w:rPr>
              <w:t>文件”</w:t>
            </w:r>
          </w:p>
          <w:p w14:paraId="27F6AF1F">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14:paraId="2ECE19A5">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ascii="宋体" w:hAnsi="宋体" w:eastAsia="宋体" w:cs="Times New Roman"/>
                <w:color w:val="auto"/>
                <w:sz w:val="21"/>
                <w:szCs w:val="21"/>
                <w:highlight w:val="none"/>
              </w:rPr>
              <w:t>软件和信息技术服务业</w:t>
            </w:r>
          </w:p>
          <w:p w14:paraId="6449C28F">
            <w:pPr>
              <w:adjustRightInd w:val="0"/>
              <w:snapToGrid w:val="0"/>
              <w:spacing w:line="288" w:lineRule="auto"/>
              <w:jc w:val="left"/>
              <w:rPr>
                <w:b/>
                <w:bCs/>
                <w:sz w:val="21"/>
                <w:szCs w:val="21"/>
                <w:highlight w:val="yellow"/>
              </w:rPr>
            </w:pPr>
            <w:r>
              <w:rPr>
                <w:rFonts w:hint="eastAsia" w:cs="Times New Roman"/>
                <w:b/>
                <w:bCs/>
                <w:color w:val="auto"/>
                <w:sz w:val="21"/>
                <w:szCs w:val="21"/>
                <w:highlight w:val="none"/>
              </w:rPr>
              <w:t>中小企业划型标准：</w:t>
            </w:r>
            <w:r>
              <w:rPr>
                <w:rFonts w:hint="eastAsia" w:ascii="宋体" w:hAnsi="宋体" w:eastAsia="宋体" w:cs="Times New Roman"/>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rPr>
            </w:pPr>
            <w:r>
              <w:rPr>
                <w:rFonts w:hint="eastAsia"/>
                <w:sz w:val="21"/>
                <w:szCs w:val="21"/>
              </w:rPr>
              <w:t>6</w:t>
            </w:r>
          </w:p>
        </w:tc>
        <w:tc>
          <w:tcPr>
            <w:tcW w:w="3256" w:type="dxa"/>
            <w:vAlign w:val="center"/>
          </w:tcPr>
          <w:p w14:paraId="2E282D52">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00DBAA74">
            <w:pPr>
              <w:adjustRightInd w:val="0"/>
              <w:snapToGrid w:val="0"/>
              <w:spacing w:line="288" w:lineRule="auto"/>
              <w:jc w:val="left"/>
              <w:rPr>
                <w:rFonts w:cs="Times New Roman"/>
                <w:b/>
                <w:bCs/>
                <w:sz w:val="21"/>
                <w:szCs w:val="21"/>
                <w:highlight w:val="yellow"/>
              </w:rPr>
            </w:pPr>
            <w:r>
              <w:rPr>
                <w:rFonts w:hint="eastAsia" w:ascii="宋体" w:hAnsi="宋体" w:cs="宋体"/>
                <w:color w:val="auto"/>
                <w:sz w:val="21"/>
                <w:szCs w:val="21"/>
                <w:highlight w:val="none"/>
              </w:rPr>
              <w:t>提供材料详见磋商文件第六章“</w:t>
            </w:r>
            <w:r>
              <w:rPr>
                <w:rFonts w:hint="eastAsia" w:cs="宋体"/>
                <w:color w:val="auto"/>
                <w:sz w:val="21"/>
                <w:szCs w:val="21"/>
                <w:highlight w:val="none"/>
                <w:lang w:val="en-US" w:eastAsia="zh-CN"/>
              </w:rPr>
              <w:t>报价</w:t>
            </w:r>
            <w:r>
              <w:rPr>
                <w:rFonts w:hint="eastAsia" w:ascii="宋体" w:hAnsi="宋体" w:cs="宋体"/>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rPr>
            </w:pPr>
            <w:r>
              <w:rPr>
                <w:rFonts w:hint="eastAsia"/>
                <w:sz w:val="21"/>
                <w:szCs w:val="21"/>
              </w:rPr>
              <w:t>7</w:t>
            </w:r>
          </w:p>
        </w:tc>
        <w:tc>
          <w:tcPr>
            <w:tcW w:w="3256" w:type="dxa"/>
            <w:vAlign w:val="center"/>
          </w:tcPr>
          <w:p w14:paraId="1DC9528C">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4010F74C">
            <w:pPr>
              <w:adjustRightInd w:val="0"/>
              <w:snapToGrid w:val="0"/>
              <w:spacing w:line="288" w:lineRule="auto"/>
              <w:jc w:val="left"/>
              <w:rPr>
                <w:sz w:val="21"/>
                <w:szCs w:val="21"/>
                <w:highlight w:val="yellow"/>
              </w:rPr>
            </w:pPr>
            <w:r>
              <w:rPr>
                <w:rFonts w:hint="eastAsia" w:ascii="宋体" w:hAnsi="宋体" w:cs="宋体"/>
                <w:color w:val="auto"/>
                <w:sz w:val="21"/>
                <w:szCs w:val="21"/>
                <w:highlight w:val="none"/>
              </w:rPr>
              <w:t>提供材料详见磋商文件第六章“</w:t>
            </w:r>
            <w:r>
              <w:rPr>
                <w:rFonts w:hint="eastAsia" w:cs="宋体"/>
                <w:color w:val="auto"/>
                <w:sz w:val="21"/>
                <w:szCs w:val="21"/>
                <w:highlight w:val="none"/>
                <w:lang w:val="en-US" w:eastAsia="zh-CN"/>
              </w:rPr>
              <w:t>报价</w:t>
            </w:r>
            <w:r>
              <w:rPr>
                <w:rFonts w:hint="eastAsia" w:ascii="宋体" w:hAnsi="宋体" w:cs="宋体"/>
                <w:color w:val="auto"/>
                <w:sz w:val="21"/>
                <w:szCs w:val="21"/>
                <w:highlight w:val="none"/>
              </w:rPr>
              <w:t>文件”</w:t>
            </w:r>
          </w:p>
        </w:tc>
      </w:tr>
      <w:bookmarkEnd w:id="29"/>
    </w:tbl>
    <w:p w14:paraId="22EED783">
      <w:pPr>
        <w:adjustRightInd w:val="0"/>
        <w:snapToGrid w:val="0"/>
        <w:spacing w:line="288" w:lineRule="auto"/>
        <w:jc w:val="left"/>
        <w:rPr>
          <w:sz w:val="21"/>
          <w:szCs w:val="21"/>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D0058BD">
            <w:pPr>
              <w:adjustRightInd w:val="0"/>
              <w:snapToGrid w:val="0"/>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1.合同签订后一周内，成交供应商向采购人提交合同总价</w:t>
            </w:r>
            <w:r>
              <w:rPr>
                <w:rFonts w:ascii="宋体" w:hAnsi="宋体" w:cs="宋体"/>
                <w:spacing w:val="-6"/>
                <w:kern w:val="0"/>
                <w:sz w:val="21"/>
                <w:szCs w:val="21"/>
                <w:highlight w:val="none"/>
              </w:rPr>
              <w:t>1</w:t>
            </w:r>
            <w:r>
              <w:rPr>
                <w:rFonts w:hint="eastAsia" w:ascii="宋体" w:hAnsi="宋体" w:cs="宋体"/>
                <w:spacing w:val="-6"/>
                <w:kern w:val="0"/>
                <w:sz w:val="21"/>
                <w:szCs w:val="21"/>
                <w:highlight w:val="none"/>
              </w:rPr>
              <w:t>%的履约保证金，履约保证金在合同履约期间无违约情形的，项目验收结束后，于一周内退还（不计息）；</w:t>
            </w:r>
          </w:p>
          <w:p w14:paraId="267CB641">
            <w:pPr>
              <w:adjustRightInd w:val="0"/>
              <w:snapToGrid w:val="0"/>
              <w:spacing w:line="288" w:lineRule="auto"/>
              <w:ind w:firstLine="396" w:firstLineChars="200"/>
              <w:rPr>
                <w:spacing w:val="-6"/>
                <w:kern w:val="0"/>
                <w:sz w:val="21"/>
                <w:szCs w:val="21"/>
                <w:highlight w:val="yellow"/>
              </w:rPr>
            </w:pPr>
            <w:r>
              <w:rPr>
                <w:rFonts w:hint="eastAsia" w:ascii="宋体" w:hAnsi="宋体" w:cs="宋体"/>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8395FDE">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1.预付款：</w:t>
            </w:r>
          </w:p>
          <w:p w14:paraId="6F51C7D8">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1.1.支付条件：供应商提交银行出具的预付款保函；</w:t>
            </w:r>
          </w:p>
          <w:p w14:paraId="6FDFDF77">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1.2.支付时间、数额：合同生效且供应商出具预付款保函后七个工作日内，采购人向成交供应商支付合同金额</w:t>
            </w:r>
            <w:r>
              <w:rPr>
                <w:rFonts w:hint="eastAsia" w:cs="宋体"/>
                <w:spacing w:val="-6"/>
                <w:kern w:val="0"/>
                <w:sz w:val="21"/>
                <w:szCs w:val="21"/>
                <w:highlight w:val="none"/>
                <w:lang w:val="en-US" w:eastAsia="zh-CN"/>
              </w:rPr>
              <w:t>7</w:t>
            </w:r>
            <w:r>
              <w:rPr>
                <w:rFonts w:hint="eastAsia" w:ascii="宋体" w:hAnsi="宋体" w:cs="宋体"/>
                <w:spacing w:val="-6"/>
                <w:kern w:val="0"/>
                <w:sz w:val="21"/>
                <w:szCs w:val="21"/>
                <w:highlight w:val="none"/>
              </w:rPr>
              <w:t>0%的预付款。</w:t>
            </w:r>
          </w:p>
          <w:p w14:paraId="24CB34A6">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备注：签订合同时，供应商明确表示无需预付款或者主动要求降低预付款比例的，采购单位可不适用前述规定。</w:t>
            </w:r>
          </w:p>
          <w:p w14:paraId="5710F9AD">
            <w:pPr>
              <w:autoSpaceDE w:val="0"/>
              <w:autoSpaceDN w:val="0"/>
              <w:adjustRightInd w:val="0"/>
              <w:snapToGrid w:val="0"/>
              <w:spacing w:line="288" w:lineRule="auto"/>
              <w:ind w:firstLine="396" w:firstLineChars="200"/>
              <w:jc w:val="left"/>
              <w:rPr>
                <w:rFonts w:hint="default" w:ascii="宋体" w:hAnsi="宋体" w:eastAsia="宋体" w:cs="宋体"/>
                <w:spacing w:val="-6"/>
                <w:kern w:val="0"/>
                <w:sz w:val="21"/>
                <w:szCs w:val="21"/>
                <w:highlight w:val="none"/>
                <w:lang w:val="en-US" w:eastAsia="zh-CN"/>
              </w:rPr>
            </w:pPr>
            <w:r>
              <w:rPr>
                <w:rFonts w:hint="eastAsia" w:ascii="宋体" w:hAnsi="宋体" w:cs="宋体"/>
                <w:spacing w:val="-6"/>
                <w:kern w:val="0"/>
                <w:sz w:val="21"/>
                <w:szCs w:val="21"/>
                <w:highlight w:val="none"/>
              </w:rPr>
              <w:t>2.</w:t>
            </w:r>
            <w:r>
              <w:rPr>
                <w:rFonts w:hint="eastAsia" w:cs="宋体"/>
                <w:spacing w:val="-6"/>
                <w:kern w:val="0"/>
                <w:sz w:val="21"/>
                <w:szCs w:val="21"/>
                <w:highlight w:val="none"/>
                <w:lang w:val="en-US" w:eastAsia="zh-CN"/>
              </w:rPr>
              <w:t>采购人组织初期验收，初期验收通过后，采购人自收到发票后7个工作日内，支付采至采购合同金额的80%。</w:t>
            </w:r>
          </w:p>
          <w:p w14:paraId="07E04F91">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cs="宋体"/>
                <w:spacing w:val="-6"/>
                <w:kern w:val="0"/>
                <w:sz w:val="21"/>
                <w:szCs w:val="21"/>
                <w:highlight w:val="none"/>
                <w:lang w:val="en-US" w:eastAsia="zh-CN"/>
              </w:rPr>
              <w:t>3.</w:t>
            </w:r>
            <w:r>
              <w:rPr>
                <w:rFonts w:hint="eastAsia" w:ascii="宋体" w:hAnsi="宋体" w:cs="宋体"/>
                <w:spacing w:val="-6"/>
                <w:kern w:val="0"/>
                <w:sz w:val="21"/>
                <w:szCs w:val="21"/>
                <w:highlight w:val="none"/>
              </w:rPr>
              <w:t>采购人组织中期验收，中期验收通过后，</w:t>
            </w:r>
            <w:r>
              <w:rPr>
                <w:rFonts w:hint="eastAsia"/>
                <w:color w:val="auto"/>
                <w:spacing w:val="-6"/>
                <w:kern w:val="0"/>
                <w:sz w:val="21"/>
                <w:szCs w:val="21"/>
                <w:highlight w:val="none"/>
                <w:lang w:eastAsia="zh-CN"/>
              </w:rPr>
              <w:t>采购人自收到发票后</w:t>
            </w:r>
            <w:r>
              <w:rPr>
                <w:rFonts w:hint="eastAsia"/>
                <w:color w:val="auto"/>
                <w:spacing w:val="-6"/>
                <w:kern w:val="0"/>
                <w:sz w:val="21"/>
                <w:szCs w:val="21"/>
                <w:highlight w:val="none"/>
                <w:lang w:val="en-US" w:eastAsia="zh-CN"/>
              </w:rPr>
              <w:t>7个工作日内，</w:t>
            </w:r>
            <w:r>
              <w:rPr>
                <w:rFonts w:hint="eastAsia" w:ascii="宋体" w:hAnsi="宋体" w:cs="宋体"/>
                <w:spacing w:val="-6"/>
                <w:kern w:val="0"/>
                <w:sz w:val="21"/>
                <w:szCs w:val="21"/>
                <w:highlight w:val="none"/>
              </w:rPr>
              <w:t>支付至合同金额的90%。</w:t>
            </w:r>
          </w:p>
          <w:p w14:paraId="3306CB66">
            <w:pPr>
              <w:autoSpaceDE w:val="0"/>
              <w:autoSpaceDN w:val="0"/>
              <w:adjustRightInd w:val="0"/>
              <w:snapToGrid w:val="0"/>
              <w:spacing w:line="288" w:lineRule="auto"/>
              <w:ind w:firstLine="396" w:firstLineChars="200"/>
              <w:jc w:val="left"/>
              <w:rPr>
                <w:spacing w:val="-6"/>
                <w:kern w:val="0"/>
                <w:sz w:val="21"/>
                <w:szCs w:val="21"/>
                <w:highlight w:val="yellow"/>
              </w:rPr>
            </w:pPr>
            <w:r>
              <w:rPr>
                <w:rFonts w:hint="eastAsia" w:cs="宋体"/>
                <w:spacing w:val="-6"/>
                <w:kern w:val="0"/>
                <w:sz w:val="21"/>
                <w:szCs w:val="21"/>
                <w:highlight w:val="none"/>
                <w:lang w:val="en-US" w:eastAsia="zh-CN"/>
              </w:rPr>
              <w:t>4.</w:t>
            </w:r>
            <w:r>
              <w:rPr>
                <w:rFonts w:hint="eastAsia" w:ascii="宋体" w:hAnsi="宋体" w:cs="宋体"/>
                <w:spacing w:val="-6"/>
                <w:kern w:val="0"/>
                <w:sz w:val="21"/>
                <w:szCs w:val="21"/>
                <w:highlight w:val="none"/>
              </w:rPr>
              <w:t>服务期结束后，采购人组织项目终验，终验通过后，</w:t>
            </w:r>
            <w:r>
              <w:rPr>
                <w:rFonts w:hint="eastAsia"/>
                <w:color w:val="auto"/>
                <w:spacing w:val="-6"/>
                <w:kern w:val="0"/>
                <w:sz w:val="21"/>
                <w:szCs w:val="21"/>
                <w:highlight w:val="none"/>
                <w:lang w:eastAsia="zh-CN"/>
              </w:rPr>
              <w:t>采购人自收到发票后</w:t>
            </w:r>
            <w:r>
              <w:rPr>
                <w:rFonts w:hint="eastAsia"/>
                <w:color w:val="auto"/>
                <w:spacing w:val="-6"/>
                <w:kern w:val="0"/>
                <w:sz w:val="21"/>
                <w:szCs w:val="21"/>
                <w:highlight w:val="none"/>
                <w:lang w:val="en-US" w:eastAsia="zh-CN"/>
              </w:rPr>
              <w:t>7个工作日内，</w:t>
            </w:r>
            <w:r>
              <w:rPr>
                <w:rFonts w:hint="eastAsia" w:ascii="宋体" w:hAnsi="宋体" w:cs="宋体"/>
                <w:spacing w:val="-6"/>
                <w:kern w:val="0"/>
                <w:sz w:val="21"/>
                <w:szCs w:val="21"/>
                <w:highlight w:val="none"/>
              </w:rPr>
              <w:t>支付至合同金额的100%。</w:t>
            </w:r>
          </w:p>
        </w:tc>
      </w:tr>
      <w:bookmarkEnd w:id="30"/>
    </w:tbl>
    <w:p w14:paraId="30B6B5F1">
      <w:pPr>
        <w:adjustRightInd w:val="0"/>
        <w:snapToGrid w:val="0"/>
        <w:spacing w:line="288" w:lineRule="auto"/>
        <w:rPr>
          <w:sz w:val="21"/>
          <w:szCs w:val="21"/>
        </w:rPr>
      </w:pPr>
    </w:p>
    <w:p w14:paraId="0C69BA3F">
      <w:pPr>
        <w:adjustRightInd w:val="0"/>
        <w:snapToGrid w:val="0"/>
        <w:spacing w:line="288" w:lineRule="auto"/>
        <w:outlineLvl w:val="1"/>
        <w:rPr>
          <w:b/>
          <w:bCs/>
          <w:sz w:val="21"/>
          <w:szCs w:val="21"/>
        </w:rPr>
      </w:pPr>
      <w:r>
        <w:rPr>
          <w:rFonts w:hint="eastAsia"/>
          <w:b/>
          <w:bCs/>
          <w:sz w:val="21"/>
          <w:szCs w:val="21"/>
        </w:rPr>
        <w:t>三、服务要求：</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0DFE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92C556">
            <w:pPr>
              <w:adjustRightInd w:val="0"/>
              <w:snapToGrid w:val="0"/>
              <w:spacing w:line="288" w:lineRule="auto"/>
              <w:jc w:val="center"/>
              <w:rPr>
                <w:rFonts w:ascii="宋体" w:hAnsi="宋体" w:eastAsia="宋体" w:cs="宋体"/>
                <w:b/>
                <w:bCs/>
                <w:kern w:val="2"/>
                <w:sz w:val="21"/>
                <w:szCs w:val="21"/>
                <w:highlight w:val="none"/>
                <w:lang w:val="en-US" w:eastAsia="zh-CN" w:bidi="ar-SA"/>
              </w:rPr>
            </w:pPr>
            <w:r>
              <w:rPr>
                <w:rFonts w:hint="eastAsia"/>
                <w:sz w:val="21"/>
                <w:szCs w:val="21"/>
                <w:highlight w:val="none"/>
              </w:rPr>
              <w:t>▲</w:t>
            </w:r>
            <w:r>
              <w:rPr>
                <w:rFonts w:hint="eastAsia"/>
                <w:b/>
                <w:bCs/>
                <w:sz w:val="21"/>
                <w:szCs w:val="21"/>
                <w:highlight w:val="none"/>
                <w:lang w:val="en-US" w:eastAsia="zh-CN"/>
              </w:rPr>
              <w:t>服务</w:t>
            </w:r>
            <w:r>
              <w:rPr>
                <w:rFonts w:hint="eastAsia"/>
                <w:b/>
                <w:bCs/>
                <w:sz w:val="21"/>
                <w:szCs w:val="21"/>
                <w:highlight w:val="none"/>
              </w:rPr>
              <w:t>期</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7337A40B">
            <w:pPr>
              <w:adjustRightInd w:val="0"/>
              <w:snapToGrid w:val="0"/>
              <w:spacing w:line="288" w:lineRule="auto"/>
              <w:rPr>
                <w:rFonts w:ascii="宋体" w:hAnsi="宋体" w:eastAsia="宋体" w:cs="宋体"/>
                <w:kern w:val="2"/>
                <w:sz w:val="21"/>
                <w:szCs w:val="21"/>
                <w:highlight w:val="none"/>
                <w:lang w:val="en-US" w:eastAsia="zh-CN" w:bidi="ar-SA"/>
              </w:rPr>
            </w:pPr>
            <w:r>
              <w:rPr>
                <w:rFonts w:hint="eastAsia"/>
                <w:sz w:val="21"/>
                <w:szCs w:val="21"/>
                <w:highlight w:val="none"/>
                <w:lang w:val="en-US" w:eastAsia="zh-CN"/>
              </w:rPr>
              <w:t>2年</w:t>
            </w:r>
            <w:r>
              <w:rPr>
                <w:rFonts w:hint="eastAsia"/>
                <w:sz w:val="21"/>
                <w:szCs w:val="21"/>
                <w:highlight w:val="none"/>
              </w:rPr>
              <w:t>，项目验收合格后开始计算</w:t>
            </w:r>
            <w:r>
              <w:rPr>
                <w:rFonts w:hint="eastAsia"/>
                <w:spacing w:val="-6"/>
                <w:sz w:val="21"/>
                <w:szCs w:val="21"/>
                <w:highlight w:val="none"/>
                <w:lang w:val="en-US" w:eastAsia="zh-CN"/>
              </w:rPr>
              <w:t>。合同签订后15个工作日内完成项目部署。</w:t>
            </w:r>
          </w:p>
        </w:tc>
      </w:tr>
      <w:tr w14:paraId="27CA2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70A1446">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7181BB6">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1.在质保期内，供应商应对</w:t>
            </w:r>
            <w:r>
              <w:rPr>
                <w:rFonts w:hint="eastAsia" w:ascii="宋体" w:hAnsi="宋体" w:eastAsia="宋体" w:cs="宋体"/>
                <w:sz w:val="21"/>
                <w:szCs w:val="21"/>
                <w:highlight w:val="none"/>
                <w:lang w:val="en-US" w:eastAsia="zh-CN"/>
              </w:rPr>
              <w:t>服务中</w:t>
            </w:r>
            <w:r>
              <w:rPr>
                <w:rFonts w:hint="eastAsia" w:ascii="宋体" w:hAnsi="宋体" w:eastAsia="宋体" w:cs="宋体"/>
                <w:sz w:val="21"/>
                <w:szCs w:val="21"/>
                <w:highlight w:val="none"/>
              </w:rPr>
              <w:t>出现的质量及安全问题负责处理解决并承担一切费用。</w:t>
            </w:r>
          </w:p>
          <w:p w14:paraId="25E7C674">
            <w:pPr>
              <w:adjustRightInd w:val="0"/>
              <w:snapToGrid w:val="0"/>
              <w:spacing w:line="288" w:lineRule="auto"/>
              <w:rPr>
                <w:rFonts w:hint="default" w:eastAsia="宋体"/>
                <w:sz w:val="21"/>
                <w:szCs w:val="21"/>
                <w:highlight w:val="none"/>
                <w:lang w:val="en-US" w:eastAsia="zh-CN"/>
              </w:rPr>
            </w:pPr>
            <w:r>
              <w:rPr>
                <w:sz w:val="21"/>
                <w:szCs w:val="21"/>
                <w:highlight w:val="none"/>
              </w:rPr>
              <w:t>2.</w:t>
            </w:r>
            <w:r>
              <w:rPr>
                <w:rFonts w:hint="eastAsia"/>
                <w:sz w:val="21"/>
                <w:szCs w:val="21"/>
                <w:highlight w:val="none"/>
              </w:rPr>
              <w:t>在系统</w:t>
            </w:r>
            <w:r>
              <w:rPr>
                <w:rFonts w:hint="eastAsia"/>
                <w:sz w:val="21"/>
                <w:szCs w:val="21"/>
                <w:highlight w:val="none"/>
                <w:lang w:val="en-US" w:eastAsia="zh-CN"/>
              </w:rPr>
              <w:t>服务期提供7*24小时电话服务，30分钟之内做出响应，2小时内赶赴现场提供现场服务</w:t>
            </w:r>
            <w:r>
              <w:rPr>
                <w:rFonts w:hint="eastAsia"/>
                <w:sz w:val="21"/>
                <w:szCs w:val="21"/>
                <w:highlight w:val="none"/>
                <w:lang w:eastAsia="zh-CN"/>
              </w:rPr>
              <w:t>。</w:t>
            </w:r>
            <w:r>
              <w:rPr>
                <w:rFonts w:hint="eastAsia"/>
                <w:sz w:val="21"/>
                <w:szCs w:val="21"/>
                <w:highlight w:val="none"/>
                <w:lang w:val="en-US" w:eastAsia="zh-CN"/>
              </w:rPr>
              <w:t>具体服务故障响应时效以服务需求内容为准。</w:t>
            </w:r>
          </w:p>
        </w:tc>
      </w:tr>
      <w:tr w14:paraId="79F21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ECD4E84">
            <w:pPr>
              <w:adjustRightInd w:val="0"/>
              <w:snapToGrid w:val="0"/>
              <w:spacing w:line="288" w:lineRule="auto"/>
              <w:jc w:val="center"/>
              <w:rPr>
                <w:b/>
                <w:bCs/>
                <w:sz w:val="21"/>
                <w:szCs w:val="21"/>
              </w:rPr>
            </w:pPr>
            <w:r>
              <w:rPr>
                <w:rFonts w:hint="eastAsia" w:ascii="宋体" w:hAnsi="宋体" w:eastAsia="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5EB36D2">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1.验收由采购人负责实施；</w:t>
            </w:r>
          </w:p>
          <w:p w14:paraId="29EC852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2.验收依据：合同、</w:t>
            </w:r>
            <w:r>
              <w:rPr>
                <w:rFonts w:hint="eastAsia" w:ascii="宋体" w:hAnsi="宋体" w:eastAsia="宋体" w:cs="宋体"/>
                <w:sz w:val="21"/>
                <w:szCs w:val="21"/>
                <w:lang w:val="en-US" w:eastAsia="zh-CN"/>
              </w:rPr>
              <w:t>招标</w:t>
            </w:r>
            <w:r>
              <w:rPr>
                <w:rFonts w:hint="eastAsia" w:ascii="宋体" w:hAnsi="宋体" w:eastAsia="宋体" w:cs="宋体"/>
                <w:sz w:val="21"/>
                <w:szCs w:val="21"/>
              </w:rPr>
              <w:t>文件、</w:t>
            </w:r>
            <w:r>
              <w:rPr>
                <w:rFonts w:hint="eastAsia" w:ascii="宋体" w:hAnsi="宋体" w:eastAsia="宋体" w:cs="宋体"/>
                <w:sz w:val="21"/>
                <w:szCs w:val="21"/>
                <w:lang w:val="en-US" w:eastAsia="zh-CN"/>
              </w:rPr>
              <w:t>投标</w:t>
            </w:r>
            <w:r>
              <w:rPr>
                <w:rFonts w:hint="eastAsia" w:ascii="宋体" w:hAnsi="宋体" w:eastAsia="宋体" w:cs="宋体"/>
                <w:sz w:val="21"/>
                <w:szCs w:val="21"/>
              </w:rPr>
              <w:t>文件；</w:t>
            </w:r>
          </w:p>
          <w:p w14:paraId="6A86D89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3.服务项目如期展开，供应商运维服务人员全部到位，服务质量优良，符合服务采购预期目标。</w:t>
            </w:r>
          </w:p>
          <w:p w14:paraId="0B5F1098">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4.验收合格的条件：</w:t>
            </w:r>
          </w:p>
          <w:p w14:paraId="3203168B">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4.1所供</w:t>
            </w:r>
            <w:r>
              <w:rPr>
                <w:rFonts w:hint="eastAsia" w:ascii="宋体" w:hAnsi="宋体" w:eastAsia="宋体" w:cs="宋体"/>
                <w:sz w:val="21"/>
                <w:szCs w:val="21"/>
                <w:lang w:val="en-US" w:eastAsia="zh-CN"/>
              </w:rPr>
              <w:t>服务内容</w:t>
            </w:r>
            <w:r>
              <w:rPr>
                <w:rFonts w:hint="eastAsia" w:ascii="宋体" w:hAnsi="宋体" w:eastAsia="宋体" w:cs="宋体"/>
                <w:sz w:val="21"/>
                <w:szCs w:val="21"/>
              </w:rPr>
              <w:t>标准和合同的要求；</w:t>
            </w:r>
          </w:p>
          <w:p w14:paraId="112A67E0">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4.2在进行测试和验收过程中发现的问题已被解决并得到采购人的认可；</w:t>
            </w:r>
          </w:p>
          <w:p w14:paraId="0B35E563">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4.3合同中规定的所有</w:t>
            </w:r>
            <w:r>
              <w:rPr>
                <w:rFonts w:hint="eastAsia" w:ascii="宋体" w:hAnsi="宋体" w:eastAsia="宋体" w:cs="宋体"/>
                <w:sz w:val="21"/>
                <w:szCs w:val="21"/>
                <w:lang w:val="en-US" w:eastAsia="zh-CN"/>
              </w:rPr>
              <w:t>服务成果</w:t>
            </w:r>
            <w:r>
              <w:rPr>
                <w:rFonts w:hint="eastAsia" w:ascii="宋体" w:hAnsi="宋体" w:eastAsia="宋体" w:cs="宋体"/>
                <w:sz w:val="21"/>
                <w:szCs w:val="21"/>
              </w:rPr>
              <w:t>和材料均已交付；</w:t>
            </w:r>
          </w:p>
          <w:p w14:paraId="52E3635B">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4.4所供</w:t>
            </w:r>
            <w:r>
              <w:rPr>
                <w:rFonts w:hint="eastAsia" w:ascii="宋体" w:hAnsi="宋体" w:eastAsia="宋体" w:cs="宋体"/>
                <w:sz w:val="21"/>
                <w:szCs w:val="21"/>
                <w:lang w:val="en-US" w:eastAsia="zh-CN"/>
              </w:rPr>
              <w:t>服务内容</w:t>
            </w:r>
            <w:r>
              <w:rPr>
                <w:rFonts w:hint="eastAsia" w:ascii="宋体" w:hAnsi="宋体" w:eastAsia="宋体" w:cs="宋体"/>
                <w:sz w:val="21"/>
                <w:szCs w:val="21"/>
              </w:rPr>
              <w:t>已通过使用单位组织的验收；</w:t>
            </w:r>
          </w:p>
          <w:p w14:paraId="1F8C87DA">
            <w:pPr>
              <w:adjustRightInd w:val="0"/>
              <w:snapToGrid w:val="0"/>
              <w:spacing w:line="288" w:lineRule="auto"/>
              <w:rPr>
                <w:sz w:val="21"/>
                <w:szCs w:val="21"/>
              </w:rPr>
            </w:pPr>
            <w:r>
              <w:rPr>
                <w:rFonts w:hint="eastAsia" w:ascii="宋体" w:hAnsi="宋体" w:eastAsia="宋体" w:cs="宋体"/>
                <w:sz w:val="21"/>
                <w:szCs w:val="21"/>
              </w:rPr>
              <w:t>4.5所有相关的技术文件及资料均已提交并得到接受。</w:t>
            </w:r>
          </w:p>
        </w:tc>
      </w:tr>
      <w:tr w14:paraId="6DF52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9355C93">
            <w:pPr>
              <w:adjustRightInd w:val="0"/>
              <w:snapToGrid w:val="0"/>
              <w:spacing w:line="288" w:lineRule="auto"/>
              <w:jc w:val="center"/>
              <w:rPr>
                <w:b/>
                <w:bCs/>
                <w:sz w:val="21"/>
                <w:szCs w:val="21"/>
                <w:highlight w:val="none"/>
              </w:rPr>
            </w:pPr>
            <w:r>
              <w:rPr>
                <w:rFonts w:hint="eastAsia" w:ascii="宋体" w:hAnsi="宋体" w:eastAsia="宋体" w:cs="宋体"/>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3C0021B1">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技术支持：</w:t>
            </w:r>
          </w:p>
          <w:p w14:paraId="2238672D">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供应商应及时免费提供合同软件的升级，免费提供合同</w:t>
            </w:r>
            <w:r>
              <w:rPr>
                <w:rFonts w:hint="eastAsia" w:ascii="宋体" w:hAnsi="宋体" w:eastAsia="宋体" w:cs="宋体"/>
                <w:sz w:val="21"/>
                <w:szCs w:val="21"/>
                <w:highlight w:val="none"/>
                <w:lang w:val="en-US" w:eastAsia="zh-CN"/>
              </w:rPr>
              <w:t>软件</w:t>
            </w:r>
            <w:r>
              <w:rPr>
                <w:rFonts w:hint="eastAsia" w:ascii="宋体" w:hAnsi="宋体" w:eastAsia="宋体" w:cs="宋体"/>
                <w:sz w:val="21"/>
                <w:szCs w:val="21"/>
                <w:highlight w:val="none"/>
              </w:rPr>
              <w:t>新功能和应用的资料。</w:t>
            </w:r>
          </w:p>
          <w:p w14:paraId="2A322C43">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.安装调试：</w:t>
            </w:r>
          </w:p>
          <w:p w14:paraId="5C5F3683">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.1安装地点：采购人指定地点；</w:t>
            </w:r>
          </w:p>
          <w:p w14:paraId="7CDFF554">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14299603">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.3安装标准：符合我国国家有关技术规范要求和技术标准，所有的软件和硬件必须保证同时安装到位；</w:t>
            </w:r>
          </w:p>
          <w:p w14:paraId="79DEFF8F">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供应商免费提供合同</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rPr>
              <w:t>的安装服务；</w:t>
            </w:r>
          </w:p>
          <w:p w14:paraId="3217EE88">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供应商在投标文件中应提供安装调试计划、对安装场地和环境的要求。</w:t>
            </w:r>
          </w:p>
          <w:p w14:paraId="3FC04D7C">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.供应商应提供质保期满后维护费、软件升级及其相关服务内容；</w:t>
            </w:r>
          </w:p>
          <w:p w14:paraId="20DE1AC1">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验收时</w:t>
            </w:r>
            <w:r>
              <w:rPr>
                <w:rFonts w:hint="eastAsia" w:ascii="宋体" w:hAnsi="宋体" w:eastAsia="宋体" w:cs="宋体"/>
                <w:sz w:val="21"/>
                <w:szCs w:val="21"/>
                <w:highlight w:val="none"/>
              </w:rPr>
              <w:t>提供有关的全套技术文件。</w:t>
            </w:r>
          </w:p>
          <w:p w14:paraId="59C16F39">
            <w:pPr>
              <w:adjustRightInd w:val="0"/>
              <w:snapToGrid w:val="0"/>
              <w:spacing w:line="288" w:lineRule="auto"/>
              <w:rPr>
                <w:sz w:val="21"/>
                <w:szCs w:val="21"/>
                <w:highlight w:val="none"/>
              </w:rPr>
            </w:pPr>
            <w:r>
              <w:rPr>
                <w:rFonts w:hint="eastAsia" w:ascii="宋体" w:hAnsi="宋体" w:eastAsia="宋体" w:cs="宋体"/>
                <w:sz w:val="21"/>
                <w:szCs w:val="21"/>
                <w:highlight w:val="none"/>
              </w:rPr>
              <w:t>6</w:t>
            </w:r>
            <w:r>
              <w:rPr>
                <w:rFonts w:ascii="宋体" w:hAnsi="宋体" w:eastAsia="宋体" w:cs="宋体"/>
                <w:sz w:val="21"/>
                <w:szCs w:val="21"/>
                <w:highlight w:val="none"/>
              </w:rPr>
              <w:t>.</w:t>
            </w:r>
            <w:r>
              <w:rPr>
                <w:rFonts w:hint="eastAsia" w:ascii="宋体" w:hAnsi="宋体" w:eastAsia="宋体" w:cs="Times New Roman"/>
                <w:spacing w:val="-6"/>
                <w:sz w:val="21"/>
                <w:szCs w:val="21"/>
                <w:highlight w:val="none"/>
              </w:rPr>
              <w:t>供应商应保证所提供的</w:t>
            </w:r>
            <w:r>
              <w:rPr>
                <w:rFonts w:hint="eastAsia" w:ascii="宋体" w:hAnsi="宋体" w:eastAsia="宋体" w:cs="Times New Roman"/>
                <w:spacing w:val="-6"/>
                <w:sz w:val="21"/>
                <w:szCs w:val="21"/>
                <w:highlight w:val="none"/>
                <w:lang w:val="en-US" w:eastAsia="zh-CN"/>
              </w:rPr>
              <w:t>服务</w:t>
            </w:r>
            <w:r>
              <w:rPr>
                <w:rFonts w:hint="eastAsia" w:ascii="宋体" w:hAnsi="宋体" w:eastAsia="宋体" w:cs="Times New Roman"/>
                <w:spacing w:val="-6"/>
                <w:sz w:val="21"/>
                <w:szCs w:val="21"/>
                <w:highlight w:val="none"/>
              </w:rPr>
              <w:t>或其中任何一部分均不会侵犯第三方的知识产权。</w:t>
            </w:r>
          </w:p>
        </w:tc>
      </w:tr>
    </w:tbl>
    <w:p w14:paraId="4F570A7B">
      <w:pPr>
        <w:adjustRightInd w:val="0"/>
        <w:snapToGrid w:val="0"/>
        <w:spacing w:line="288" w:lineRule="auto"/>
        <w:rPr>
          <w:sz w:val="21"/>
          <w:szCs w:val="21"/>
        </w:rPr>
      </w:pPr>
    </w:p>
    <w:p w14:paraId="49DB46B3">
      <w:pPr>
        <w:keepNext w:val="0"/>
        <w:keepLines w:val="0"/>
        <w:pageBreakBefore w:val="0"/>
        <w:widowControl w:val="0"/>
        <w:kinsoku/>
        <w:overflowPunct/>
        <w:topLinePunct w:val="0"/>
        <w:bidi w:val="0"/>
        <w:adjustRightInd w:val="0"/>
        <w:snapToGrid w:val="0"/>
        <w:spacing w:line="288" w:lineRule="auto"/>
        <w:ind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lang w:val="en-US" w:eastAsia="zh-CN"/>
        </w:rPr>
        <w:t>注：</w:t>
      </w:r>
      <w:r>
        <w:rPr>
          <w:rFonts w:hint="eastAsia" w:ascii="宋体" w:hAnsi="宋体" w:eastAsia="宋体" w:cs="宋体"/>
          <w:b/>
          <w:bCs/>
          <w:sz w:val="21"/>
          <w:szCs w:val="21"/>
        </w:rPr>
        <w:t>需执行的国家相关标准、行业</w:t>
      </w:r>
      <w:r>
        <w:rPr>
          <w:rFonts w:hint="eastAsia" w:ascii="宋体" w:hAnsi="宋体" w:eastAsia="宋体" w:cs="宋体"/>
          <w:b/>
          <w:bCs/>
          <w:sz w:val="21"/>
          <w:szCs w:val="21"/>
          <w:highlight w:val="none"/>
        </w:rPr>
        <w:t>标准、地方标准或者其他标准、规范：</w:t>
      </w:r>
      <w:bookmarkStart w:id="31" w:name="_Hlk97039652"/>
      <w:r>
        <w:rPr>
          <w:rFonts w:hint="eastAsia" w:ascii="宋体" w:hAnsi="宋体" w:eastAsia="宋体" w:cs="宋体"/>
          <w:sz w:val="21"/>
          <w:szCs w:val="21"/>
          <w:highlight w:val="none"/>
        </w:rPr>
        <w:t>如技术要求中未注明需执行的国家相关标准、行业标准、地方标准或者其他标准、规范的，执行最新标准、规范。</w:t>
      </w:r>
      <w:bookmarkEnd w:id="31"/>
      <w:r>
        <w:rPr>
          <w:rFonts w:hint="eastAsia" w:ascii="宋体" w:hAnsi="宋体" w:eastAsia="宋体" w:cs="宋体"/>
          <w:sz w:val="21"/>
          <w:szCs w:val="21"/>
          <w:highlight w:val="none"/>
          <w:lang w:val="en-US" w:eastAsia="zh-CN"/>
        </w:rPr>
        <w:t>符合信息技术服务、信息安全标准。</w:t>
      </w:r>
    </w:p>
    <w:p w14:paraId="4ECB413C">
      <w:pPr>
        <w:adjustRightInd w:val="0"/>
        <w:snapToGrid w:val="0"/>
        <w:spacing w:line="288" w:lineRule="auto"/>
        <w:rPr>
          <w:b/>
          <w:bCs/>
          <w:sz w:val="21"/>
          <w:szCs w:val="21"/>
          <w:highlight w:val="none"/>
        </w:rPr>
      </w:pPr>
      <w:r>
        <w:rPr>
          <w:b/>
          <w:bCs/>
          <w:sz w:val="21"/>
          <w:szCs w:val="21"/>
          <w:highlight w:val="none"/>
        </w:rPr>
        <w:t>2</w:t>
      </w:r>
      <w:r>
        <w:rPr>
          <w:rFonts w:hint="eastAsia"/>
          <w:b/>
          <w:bCs/>
          <w:sz w:val="21"/>
          <w:szCs w:val="21"/>
          <w:highlight w:val="none"/>
        </w:rPr>
        <w:t>.需实现的目标：</w:t>
      </w:r>
    </w:p>
    <w:p w14:paraId="203DA990">
      <w:pPr>
        <w:keepNext w:val="0"/>
        <w:keepLines w:val="0"/>
        <w:pageBreakBefore w:val="0"/>
        <w:widowControl w:val="0"/>
        <w:kinsoku/>
        <w:overflowPunct/>
        <w:topLinePunct w:val="0"/>
        <w:bidi w:val="0"/>
        <w:adjustRightInd w:val="0"/>
        <w:snapToGrid w:val="0"/>
        <w:spacing w:line="288" w:lineRule="auto"/>
        <w:ind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的建设依照学校数字化改革工作规划，以统筹加快推进数字化改革建设，实现学校管理体制机制、教育教学方式的数字化重塑，建成全面、高效、安全的数字化基础设施，创建职业教育数字化改革示范院校为总目标，项目实施周期正逢学校数字化改革“两年大变样”阶段。</w:t>
      </w:r>
    </w:p>
    <w:p w14:paraId="3BDF0A9C">
      <w:pPr>
        <w:keepNext w:val="0"/>
        <w:keepLines w:val="0"/>
        <w:pageBreakBefore w:val="0"/>
        <w:widowControl w:val="0"/>
        <w:kinsoku/>
        <w:overflowPunct/>
        <w:topLinePunct w:val="0"/>
        <w:bidi w:val="0"/>
        <w:adjustRightInd w:val="0"/>
        <w:snapToGrid w:val="0"/>
        <w:spacing w:line="288" w:lineRule="auto"/>
        <w:ind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本项目包含相关设备维保服务（核心交换机、WAF、漏洞扫描、态势感知、DNS）、网络安全等级保护二级测评和网络安全运维服务。</w:t>
      </w:r>
    </w:p>
    <w:p w14:paraId="549EEE66">
      <w:pPr>
        <w:keepNext w:val="0"/>
        <w:keepLines w:val="0"/>
        <w:pageBreakBefore w:val="0"/>
        <w:widowControl w:val="0"/>
        <w:kinsoku/>
        <w:overflowPunct/>
        <w:topLinePunct w:val="0"/>
        <w:bidi w:val="0"/>
        <w:adjustRightInd w:val="0"/>
        <w:snapToGrid w:val="0"/>
        <w:spacing w:line="288" w:lineRule="auto"/>
        <w:ind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以健全关键信息基础设施保护制度和网络安全等级保护制度和核心目标，持续更新网络安全设施设备，建立网络安全协调防控和指挥体系，提升网络安全保障与动态容错能力，实现网络精细化管理、主动预警与维护保障，构建可信、可控、可查的网络安全环境，保障校园网络资源的安全共享；建立学校关键信息基础设施保护制度与防护能力，加强数据安全保护，完善容灾容错、安全防护、数据审计等安全设施，为各类数字化应用的建设提供数据资源与安全保障，防范学校重要数据和师生个人信息泄露，保障学校网络信息安全。</w:t>
      </w:r>
    </w:p>
    <w:p w14:paraId="176F5595">
      <w:pPr>
        <w:pStyle w:val="5"/>
        <w:rPr>
          <w:rFonts w:hint="default"/>
          <w:b/>
          <w:bCs/>
          <w:lang w:val="en-US" w:eastAsia="zh-CN"/>
        </w:rPr>
      </w:pPr>
      <w:r>
        <w:rPr>
          <w:rFonts w:hint="eastAsia" w:ascii="宋体" w:hAnsi="宋体" w:eastAsia="宋体" w:cs="宋体"/>
          <w:b/>
          <w:bCs/>
          <w:sz w:val="21"/>
          <w:szCs w:val="21"/>
          <w:highlight w:val="none"/>
          <w:lang w:val="en-US" w:eastAsia="zh-CN"/>
        </w:rPr>
        <w:t>3.维护清单：</w:t>
      </w:r>
    </w:p>
    <w:tbl>
      <w:tblPr>
        <w:tblStyle w:val="1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550"/>
        <w:gridCol w:w="711"/>
        <w:gridCol w:w="648"/>
        <w:gridCol w:w="5049"/>
      </w:tblGrid>
      <w:tr w14:paraId="6A51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0BEC6DCB">
            <w:pPr>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序号</w:t>
            </w:r>
          </w:p>
        </w:tc>
        <w:tc>
          <w:tcPr>
            <w:tcW w:w="1326" w:type="pct"/>
            <w:vAlign w:val="center"/>
          </w:tcPr>
          <w:p w14:paraId="385B6E3F">
            <w:pPr>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名称</w:t>
            </w:r>
          </w:p>
        </w:tc>
        <w:tc>
          <w:tcPr>
            <w:tcW w:w="369" w:type="pct"/>
            <w:vAlign w:val="center"/>
          </w:tcPr>
          <w:p w14:paraId="6ACA0753">
            <w:pPr>
              <w:keepNext w:val="0"/>
              <w:keepLines w:val="0"/>
              <w:pageBreakBefore w:val="0"/>
              <w:widowControl w:val="0"/>
              <w:kinsoku/>
              <w:overflowPunct/>
              <w:topLinePunct w:val="0"/>
              <w:bidi w:val="0"/>
              <w:spacing w:line="288" w:lineRule="auto"/>
              <w:ind w:left="0" w:lef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数量</w:t>
            </w:r>
          </w:p>
        </w:tc>
        <w:tc>
          <w:tcPr>
            <w:tcW w:w="336" w:type="pct"/>
            <w:vAlign w:val="center"/>
          </w:tcPr>
          <w:p w14:paraId="12E9E002">
            <w:pPr>
              <w:keepNext w:val="0"/>
              <w:keepLines w:val="0"/>
              <w:pageBreakBefore w:val="0"/>
              <w:widowControl w:val="0"/>
              <w:kinsoku/>
              <w:overflowPunct/>
              <w:topLinePunct w:val="0"/>
              <w:bidi w:val="0"/>
              <w:spacing w:line="288" w:lineRule="auto"/>
              <w:ind w:left="0" w:lef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单位</w:t>
            </w:r>
          </w:p>
        </w:tc>
        <w:tc>
          <w:tcPr>
            <w:tcW w:w="2625" w:type="pct"/>
            <w:vAlign w:val="center"/>
          </w:tcPr>
          <w:p w14:paraId="48861B32">
            <w:pPr>
              <w:keepNext w:val="0"/>
              <w:keepLines w:val="0"/>
              <w:pageBreakBefore w:val="0"/>
              <w:widowControl w:val="0"/>
              <w:kinsoku/>
              <w:overflowPunct/>
              <w:topLinePunct w:val="0"/>
              <w:bidi w:val="0"/>
              <w:spacing w:line="288" w:lineRule="auto"/>
              <w:ind w:leftChars="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服务要求</w:t>
            </w:r>
          </w:p>
        </w:tc>
      </w:tr>
      <w:tr w14:paraId="5047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6D633522">
            <w:pPr>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326" w:type="pct"/>
            <w:vAlign w:val="center"/>
          </w:tcPr>
          <w:p w14:paraId="045FE398">
            <w:pPr>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bidi="ar"/>
              </w:rPr>
              <w:t>设备维保服务</w:t>
            </w:r>
          </w:p>
        </w:tc>
        <w:tc>
          <w:tcPr>
            <w:tcW w:w="369" w:type="pct"/>
            <w:vAlign w:val="center"/>
          </w:tcPr>
          <w:p w14:paraId="47974982">
            <w:pPr>
              <w:keepNext w:val="0"/>
              <w:keepLines w:val="0"/>
              <w:pageBreakBefore w:val="0"/>
              <w:widowControl w:val="0"/>
              <w:kinsoku/>
              <w:overflowPunct/>
              <w:topLinePunct w:val="0"/>
              <w:bidi w:val="0"/>
              <w:spacing w:line="288" w:lineRule="auto"/>
              <w:ind w:left="0"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336" w:type="pct"/>
            <w:vAlign w:val="center"/>
          </w:tcPr>
          <w:p w14:paraId="43652B23">
            <w:pPr>
              <w:keepNext w:val="0"/>
              <w:keepLines w:val="0"/>
              <w:pageBreakBefore w:val="0"/>
              <w:widowControl w:val="0"/>
              <w:kinsoku/>
              <w:overflowPunct/>
              <w:topLinePunct w:val="0"/>
              <w:bidi w:val="0"/>
              <w:spacing w:line="288" w:lineRule="auto"/>
              <w:ind w:left="0"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项</w:t>
            </w:r>
          </w:p>
        </w:tc>
        <w:tc>
          <w:tcPr>
            <w:tcW w:w="2625" w:type="pct"/>
            <w:vAlign w:val="top"/>
          </w:tcPr>
          <w:p w14:paraId="2B66631B">
            <w:pPr>
              <w:pStyle w:val="47"/>
              <w:keepNext w:val="0"/>
              <w:keepLines w:val="0"/>
              <w:pageBreakBefore w:val="0"/>
              <w:widowControl w:val="0"/>
              <w:kinsoku/>
              <w:overflowPunct/>
              <w:topLinePunct w:val="0"/>
              <w:bidi w:val="0"/>
              <w:spacing w:line="288" w:lineRule="auto"/>
              <w:ind w:leftChars="0"/>
              <w:jc w:val="both"/>
              <w:textAlignment w:val="auto"/>
              <w:rPr>
                <w:rFonts w:hint="eastAsia" w:ascii="宋体" w:hAnsi="宋体" w:eastAsia="宋体" w:cs="宋体"/>
                <w:b w:val="0"/>
                <w:bCs/>
                <w:sz w:val="21"/>
                <w:szCs w:val="21"/>
                <w:lang w:bidi="ar"/>
              </w:rPr>
            </w:pPr>
            <w:r>
              <w:rPr>
                <w:rFonts w:hint="eastAsia" w:ascii="宋体" w:hAnsi="宋体" w:eastAsia="宋体" w:cs="宋体"/>
                <w:b w:val="0"/>
                <w:bCs/>
                <w:sz w:val="21"/>
                <w:szCs w:val="21"/>
                <w:lang w:bidi="ar"/>
              </w:rPr>
              <w:t>1.WAF维保服务</w:t>
            </w:r>
          </w:p>
          <w:p w14:paraId="276E8E38">
            <w:pPr>
              <w:pStyle w:val="47"/>
              <w:keepNext w:val="0"/>
              <w:keepLines w:val="0"/>
              <w:pageBreakBefore w:val="0"/>
              <w:widowControl w:val="0"/>
              <w:kinsoku/>
              <w:overflowPunct/>
              <w:topLinePunct w:val="0"/>
              <w:bidi w:val="0"/>
              <w:spacing w:line="288" w:lineRule="auto"/>
              <w:ind w:leftChars="0"/>
              <w:jc w:val="both"/>
              <w:textAlignment w:val="auto"/>
              <w:rPr>
                <w:rFonts w:hint="eastAsia" w:ascii="宋体" w:hAnsi="宋体" w:eastAsia="宋体" w:cs="宋体"/>
                <w:b w:val="0"/>
                <w:bCs/>
                <w:sz w:val="21"/>
                <w:szCs w:val="21"/>
                <w:lang w:bidi="ar"/>
              </w:rPr>
            </w:pPr>
            <w:r>
              <w:rPr>
                <w:rFonts w:hint="eastAsia" w:ascii="宋体" w:hAnsi="宋体" w:eastAsia="宋体" w:cs="宋体"/>
                <w:b w:val="0"/>
                <w:bCs/>
                <w:sz w:val="21"/>
                <w:szCs w:val="21"/>
                <w:lang w:bidi="ar"/>
              </w:rPr>
              <w:t>2.漏洞扫描维保服务</w:t>
            </w:r>
          </w:p>
          <w:p w14:paraId="562394C1">
            <w:pPr>
              <w:pStyle w:val="47"/>
              <w:keepNext w:val="0"/>
              <w:keepLines w:val="0"/>
              <w:pageBreakBefore w:val="0"/>
              <w:widowControl w:val="0"/>
              <w:kinsoku/>
              <w:overflowPunct/>
              <w:topLinePunct w:val="0"/>
              <w:bidi w:val="0"/>
              <w:spacing w:line="288" w:lineRule="auto"/>
              <w:ind w:leftChars="0"/>
              <w:jc w:val="both"/>
              <w:textAlignment w:val="auto"/>
              <w:rPr>
                <w:rFonts w:hint="eastAsia" w:ascii="宋体" w:hAnsi="宋体" w:eastAsia="宋体" w:cs="宋体"/>
                <w:b w:val="0"/>
                <w:bCs/>
                <w:sz w:val="21"/>
                <w:szCs w:val="21"/>
                <w:lang w:bidi="ar"/>
              </w:rPr>
            </w:pPr>
            <w:r>
              <w:rPr>
                <w:rFonts w:hint="eastAsia" w:ascii="宋体" w:hAnsi="宋体" w:eastAsia="宋体" w:cs="宋体"/>
                <w:b w:val="0"/>
                <w:bCs/>
                <w:sz w:val="21"/>
                <w:szCs w:val="21"/>
                <w:lang w:bidi="ar"/>
              </w:rPr>
              <w:t>3.态势感知维保服务</w:t>
            </w:r>
          </w:p>
          <w:p w14:paraId="1F752B49">
            <w:pPr>
              <w:pStyle w:val="47"/>
              <w:keepNext w:val="0"/>
              <w:keepLines w:val="0"/>
              <w:pageBreakBefore w:val="0"/>
              <w:widowControl w:val="0"/>
              <w:kinsoku/>
              <w:overflowPunct/>
              <w:topLinePunct w:val="0"/>
              <w:bidi w:val="0"/>
              <w:spacing w:line="288" w:lineRule="auto"/>
              <w:ind w:leftChars="0"/>
              <w:jc w:val="both"/>
              <w:textAlignment w:val="auto"/>
              <w:rPr>
                <w:rFonts w:hint="eastAsia" w:ascii="宋体" w:hAnsi="宋体" w:eastAsia="宋体" w:cs="宋体"/>
                <w:b w:val="0"/>
                <w:bCs/>
                <w:sz w:val="21"/>
                <w:szCs w:val="21"/>
                <w:lang w:bidi="ar"/>
              </w:rPr>
            </w:pPr>
            <w:r>
              <w:rPr>
                <w:rFonts w:hint="eastAsia" w:ascii="宋体" w:hAnsi="宋体" w:eastAsia="宋体" w:cs="宋体"/>
                <w:b w:val="0"/>
                <w:bCs/>
                <w:sz w:val="21"/>
                <w:szCs w:val="21"/>
                <w:lang w:bidi="ar"/>
              </w:rPr>
              <w:t>4.态势感知--潜伏威胁探针维保服务</w:t>
            </w:r>
          </w:p>
          <w:p w14:paraId="4D169B2D">
            <w:pPr>
              <w:pStyle w:val="47"/>
              <w:keepNext w:val="0"/>
              <w:keepLines w:val="0"/>
              <w:pageBreakBefore w:val="0"/>
              <w:widowControl w:val="0"/>
              <w:kinsoku/>
              <w:overflowPunct/>
              <w:topLinePunct w:val="0"/>
              <w:bidi w:val="0"/>
              <w:spacing w:line="288" w:lineRule="auto"/>
              <w:ind w:leftChars="0"/>
              <w:jc w:val="both"/>
              <w:textAlignment w:val="auto"/>
              <w:rPr>
                <w:rFonts w:hint="eastAsia" w:ascii="宋体" w:hAnsi="宋体" w:eastAsia="宋体" w:cs="宋体"/>
                <w:b w:val="0"/>
                <w:bCs/>
                <w:sz w:val="21"/>
                <w:szCs w:val="21"/>
                <w:lang w:bidi="ar"/>
              </w:rPr>
            </w:pPr>
            <w:r>
              <w:rPr>
                <w:rFonts w:hint="eastAsia" w:ascii="宋体" w:hAnsi="宋体" w:eastAsia="宋体" w:cs="宋体"/>
                <w:b w:val="0"/>
                <w:bCs/>
                <w:sz w:val="21"/>
                <w:szCs w:val="21"/>
                <w:lang w:bidi="ar"/>
              </w:rPr>
              <w:t>5.核心12700维保服务</w:t>
            </w:r>
          </w:p>
          <w:p w14:paraId="590AB78A">
            <w:pPr>
              <w:pStyle w:val="47"/>
              <w:keepNext w:val="0"/>
              <w:keepLines w:val="0"/>
              <w:pageBreakBefore w:val="0"/>
              <w:widowControl w:val="0"/>
              <w:kinsoku/>
              <w:overflowPunct/>
              <w:topLinePunct w:val="0"/>
              <w:bidi w:val="0"/>
              <w:spacing w:line="288" w:lineRule="auto"/>
              <w:ind w:leftChars="0"/>
              <w:jc w:val="both"/>
              <w:textAlignment w:val="auto"/>
              <w:rPr>
                <w:rFonts w:hint="eastAsia" w:ascii="宋体" w:hAnsi="宋体" w:eastAsia="宋体" w:cs="宋体"/>
                <w:b w:val="0"/>
                <w:bCs/>
                <w:sz w:val="21"/>
                <w:szCs w:val="21"/>
                <w:lang w:bidi="ar"/>
              </w:rPr>
            </w:pPr>
            <w:r>
              <w:rPr>
                <w:rFonts w:hint="eastAsia" w:ascii="宋体" w:hAnsi="宋体" w:eastAsia="宋体" w:cs="宋体"/>
                <w:b w:val="0"/>
                <w:bCs/>
                <w:sz w:val="21"/>
                <w:szCs w:val="21"/>
                <w:lang w:bidi="ar"/>
              </w:rPr>
              <w:t>6.ZDNS维保服务</w:t>
            </w:r>
          </w:p>
          <w:p w14:paraId="19F1399F">
            <w:pPr>
              <w:keepNext w:val="0"/>
              <w:keepLines w:val="0"/>
              <w:pageBreakBefore w:val="0"/>
              <w:widowControl w:val="0"/>
              <w:kinsoku/>
              <w:overflowPunct/>
              <w:topLinePunct w:val="0"/>
              <w:bidi w:val="0"/>
              <w:spacing w:line="288" w:lineRule="auto"/>
              <w:ind w:lef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服务期限二年</w:t>
            </w:r>
          </w:p>
        </w:tc>
      </w:tr>
      <w:tr w14:paraId="267A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2F1636B9">
            <w:pPr>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1326" w:type="pct"/>
            <w:vAlign w:val="center"/>
          </w:tcPr>
          <w:p w14:paraId="60235B7A">
            <w:pPr>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bidi="ar"/>
              </w:rPr>
              <w:t>网络</w:t>
            </w:r>
            <w:r>
              <w:rPr>
                <w:rFonts w:hint="eastAsia" w:ascii="宋体" w:hAnsi="宋体" w:eastAsia="宋体" w:cs="宋体"/>
                <w:b w:val="0"/>
                <w:bCs/>
                <w:sz w:val="21"/>
                <w:szCs w:val="21"/>
                <w:lang w:bidi="ar"/>
              </w:rPr>
              <w:t>安全等级保护测评</w:t>
            </w:r>
          </w:p>
        </w:tc>
        <w:tc>
          <w:tcPr>
            <w:tcW w:w="369" w:type="pct"/>
            <w:vAlign w:val="center"/>
          </w:tcPr>
          <w:p w14:paraId="41477159">
            <w:pPr>
              <w:keepNext w:val="0"/>
              <w:keepLines w:val="0"/>
              <w:pageBreakBefore w:val="0"/>
              <w:widowControl w:val="0"/>
              <w:kinsoku/>
              <w:overflowPunct/>
              <w:topLinePunct w:val="0"/>
              <w:bidi w:val="0"/>
              <w:spacing w:line="288" w:lineRule="auto"/>
              <w:ind w:left="0"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336" w:type="pct"/>
            <w:vAlign w:val="center"/>
          </w:tcPr>
          <w:p w14:paraId="7BFF968A">
            <w:pPr>
              <w:keepNext w:val="0"/>
              <w:keepLines w:val="0"/>
              <w:pageBreakBefore w:val="0"/>
              <w:widowControl w:val="0"/>
              <w:kinsoku/>
              <w:overflowPunct/>
              <w:topLinePunct w:val="0"/>
              <w:bidi w:val="0"/>
              <w:spacing w:line="288" w:lineRule="auto"/>
              <w:ind w:left="0"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项</w:t>
            </w:r>
          </w:p>
        </w:tc>
        <w:tc>
          <w:tcPr>
            <w:tcW w:w="2625" w:type="pct"/>
          </w:tcPr>
          <w:p w14:paraId="1366D008">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门户网站系统</w:t>
            </w:r>
          </w:p>
          <w:p w14:paraId="6C6098A8">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教学科研系统</w:t>
            </w:r>
          </w:p>
          <w:p w14:paraId="73AD6A87">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校务管理系统</w:t>
            </w:r>
          </w:p>
          <w:p w14:paraId="1A479F0F">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综合服务系统</w:t>
            </w:r>
          </w:p>
        </w:tc>
      </w:tr>
      <w:tr w14:paraId="1F6A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217DD9B7">
            <w:pPr>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1326" w:type="pct"/>
            <w:vAlign w:val="center"/>
          </w:tcPr>
          <w:p w14:paraId="05731A30">
            <w:pPr>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bidi="ar"/>
              </w:rPr>
              <w:t>网络安全运维服务</w:t>
            </w:r>
          </w:p>
        </w:tc>
        <w:tc>
          <w:tcPr>
            <w:tcW w:w="369" w:type="pct"/>
            <w:vAlign w:val="center"/>
          </w:tcPr>
          <w:p w14:paraId="2C98ADED">
            <w:pPr>
              <w:keepNext w:val="0"/>
              <w:keepLines w:val="0"/>
              <w:pageBreakBefore w:val="0"/>
              <w:widowControl w:val="0"/>
              <w:kinsoku/>
              <w:overflowPunct/>
              <w:topLinePunct w:val="0"/>
              <w:bidi w:val="0"/>
              <w:spacing w:line="288" w:lineRule="auto"/>
              <w:ind w:left="0"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336" w:type="pct"/>
            <w:vAlign w:val="center"/>
          </w:tcPr>
          <w:p w14:paraId="62B9DC0F">
            <w:pPr>
              <w:keepNext w:val="0"/>
              <w:keepLines w:val="0"/>
              <w:pageBreakBefore w:val="0"/>
              <w:widowControl w:val="0"/>
              <w:kinsoku/>
              <w:overflowPunct/>
              <w:topLinePunct w:val="0"/>
              <w:bidi w:val="0"/>
              <w:spacing w:line="288" w:lineRule="auto"/>
              <w:ind w:left="0" w:left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项</w:t>
            </w:r>
          </w:p>
        </w:tc>
        <w:tc>
          <w:tcPr>
            <w:tcW w:w="2625" w:type="pct"/>
          </w:tcPr>
          <w:p w14:paraId="3B35E086">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1.驻场服务</w:t>
            </w:r>
          </w:p>
          <w:p w14:paraId="06FDB491">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2.网站漏洞扫描服务</w:t>
            </w:r>
          </w:p>
          <w:p w14:paraId="6AB0693D">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3.渗透测试服务</w:t>
            </w:r>
          </w:p>
          <w:p w14:paraId="311AC211">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4.安全培训服务</w:t>
            </w:r>
          </w:p>
          <w:p w14:paraId="4660AA01">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5.应急响应服务</w:t>
            </w:r>
          </w:p>
          <w:p w14:paraId="79C25BA6">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6.重保期间安全保障</w:t>
            </w:r>
          </w:p>
          <w:p w14:paraId="4EA4C5BA">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7.7*24小时电话咨询服务</w:t>
            </w:r>
          </w:p>
          <w:p w14:paraId="02F55D00">
            <w:pPr>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服务期限二年</w:t>
            </w:r>
          </w:p>
        </w:tc>
      </w:tr>
    </w:tbl>
    <w:p w14:paraId="1CE28C34">
      <w:pPr>
        <w:keepNext w:val="0"/>
        <w:keepLines w:val="0"/>
        <w:pageBreakBefore w:val="0"/>
        <w:widowControl w:val="0"/>
        <w:numPr>
          <w:ilvl w:val="0"/>
          <w:numId w:val="0"/>
        </w:numPr>
        <w:kinsoku/>
        <w:overflowPunct/>
        <w:topLinePunct w:val="0"/>
        <w:bidi w:val="0"/>
        <w:spacing w:line="288"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详细参数：</w:t>
      </w:r>
    </w:p>
    <w:p w14:paraId="717B9B7F">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3.1 设备维保服务</w:t>
      </w:r>
    </w:p>
    <w:tbl>
      <w:tblPr>
        <w:tblStyle w:val="15"/>
        <w:tblW w:w="9630" w:type="dxa"/>
        <w:tblInd w:w="0" w:type="dxa"/>
        <w:tblLayout w:type="fixed"/>
        <w:tblCellMar>
          <w:top w:w="0" w:type="dxa"/>
          <w:left w:w="108" w:type="dxa"/>
          <w:bottom w:w="0" w:type="dxa"/>
          <w:right w:w="108" w:type="dxa"/>
        </w:tblCellMar>
      </w:tblPr>
      <w:tblGrid>
        <w:gridCol w:w="672"/>
        <w:gridCol w:w="1335"/>
        <w:gridCol w:w="1848"/>
        <w:gridCol w:w="1788"/>
        <w:gridCol w:w="3987"/>
      </w:tblGrid>
      <w:tr w14:paraId="54A64F72">
        <w:tblPrEx>
          <w:tblCellMar>
            <w:top w:w="0" w:type="dxa"/>
            <w:left w:w="108" w:type="dxa"/>
            <w:bottom w:w="0" w:type="dxa"/>
            <w:right w:w="108" w:type="dxa"/>
          </w:tblCellMar>
        </w:tblPrEx>
        <w:trPr>
          <w:trHeight w:val="280"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7FA8D59C">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35" w:type="dxa"/>
            <w:tcBorders>
              <w:top w:val="single" w:color="auto" w:sz="4" w:space="0"/>
              <w:left w:val="nil"/>
              <w:bottom w:val="single" w:color="auto" w:sz="4" w:space="0"/>
              <w:right w:val="single" w:color="auto" w:sz="4" w:space="0"/>
            </w:tcBorders>
            <w:shd w:val="clear" w:color="auto" w:fill="auto"/>
            <w:vAlign w:val="center"/>
          </w:tcPr>
          <w:p w14:paraId="4D6DB6DC">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1848" w:type="dxa"/>
            <w:tcBorders>
              <w:top w:val="single" w:color="auto" w:sz="4" w:space="0"/>
              <w:left w:val="nil"/>
              <w:bottom w:val="single" w:color="auto" w:sz="4" w:space="0"/>
              <w:right w:val="single" w:color="auto" w:sz="4" w:space="0"/>
            </w:tcBorders>
            <w:shd w:val="clear" w:color="auto" w:fill="auto"/>
            <w:vAlign w:val="center"/>
          </w:tcPr>
          <w:p w14:paraId="7CAA5045">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品牌--型号</w:t>
            </w:r>
          </w:p>
        </w:tc>
        <w:tc>
          <w:tcPr>
            <w:tcW w:w="1788" w:type="dxa"/>
            <w:tcBorders>
              <w:top w:val="single" w:color="auto" w:sz="4" w:space="0"/>
              <w:left w:val="nil"/>
              <w:bottom w:val="single" w:color="auto" w:sz="4" w:space="0"/>
              <w:right w:val="single" w:color="auto" w:sz="4" w:space="0"/>
            </w:tcBorders>
            <w:shd w:val="clear" w:color="auto" w:fill="auto"/>
            <w:vAlign w:val="center"/>
          </w:tcPr>
          <w:p w14:paraId="329ED994">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维保时间</w:t>
            </w:r>
          </w:p>
        </w:tc>
        <w:tc>
          <w:tcPr>
            <w:tcW w:w="3987" w:type="dxa"/>
            <w:tcBorders>
              <w:top w:val="single" w:color="auto" w:sz="4" w:space="0"/>
              <w:left w:val="nil"/>
              <w:bottom w:val="single" w:color="auto" w:sz="4" w:space="0"/>
              <w:right w:val="single" w:color="auto" w:sz="4" w:space="0"/>
            </w:tcBorders>
            <w:vAlign w:val="center"/>
          </w:tcPr>
          <w:p w14:paraId="19CDE921">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续保时间</w:t>
            </w:r>
          </w:p>
        </w:tc>
      </w:tr>
      <w:tr w14:paraId="3978F70E">
        <w:tblPrEx>
          <w:tblCellMar>
            <w:top w:w="0" w:type="dxa"/>
            <w:left w:w="108" w:type="dxa"/>
            <w:bottom w:w="0" w:type="dxa"/>
            <w:right w:w="108" w:type="dxa"/>
          </w:tblCellMar>
        </w:tblPrEx>
        <w:trPr>
          <w:trHeight w:val="1101" w:hRule="atLeast"/>
        </w:trPr>
        <w:tc>
          <w:tcPr>
            <w:tcW w:w="672" w:type="dxa"/>
            <w:tcBorders>
              <w:top w:val="nil"/>
              <w:left w:val="single" w:color="auto" w:sz="4" w:space="0"/>
              <w:bottom w:val="single" w:color="auto" w:sz="4" w:space="0"/>
              <w:right w:val="single" w:color="auto" w:sz="4" w:space="0"/>
            </w:tcBorders>
            <w:shd w:val="clear" w:color="000000" w:fill="FFFFFF"/>
            <w:noWrap/>
            <w:vAlign w:val="center"/>
          </w:tcPr>
          <w:p w14:paraId="37438F31">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335" w:type="dxa"/>
            <w:tcBorders>
              <w:top w:val="nil"/>
              <w:left w:val="nil"/>
              <w:bottom w:val="single" w:color="auto" w:sz="4" w:space="0"/>
              <w:right w:val="single" w:color="auto" w:sz="4" w:space="0"/>
            </w:tcBorders>
            <w:shd w:val="clear" w:color="000000" w:fill="FFFFFF"/>
            <w:noWrap/>
            <w:vAlign w:val="center"/>
          </w:tcPr>
          <w:p w14:paraId="6505C61F">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WAF</w:t>
            </w:r>
          </w:p>
        </w:tc>
        <w:tc>
          <w:tcPr>
            <w:tcW w:w="1848" w:type="dxa"/>
            <w:tcBorders>
              <w:top w:val="nil"/>
              <w:left w:val="nil"/>
              <w:bottom w:val="single" w:color="auto" w:sz="4" w:space="0"/>
              <w:right w:val="single" w:color="auto" w:sz="4" w:space="0"/>
            </w:tcBorders>
            <w:shd w:val="clear" w:color="000000" w:fill="FFFFFF"/>
            <w:noWrap/>
            <w:vAlign w:val="center"/>
          </w:tcPr>
          <w:p w14:paraId="5E42AC32">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安恒</w:t>
            </w:r>
          </w:p>
          <w:p w14:paraId="5B371FF9">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--V3.0.4.6.29(21-02-01)</w:t>
            </w:r>
          </w:p>
        </w:tc>
        <w:tc>
          <w:tcPr>
            <w:tcW w:w="1788" w:type="dxa"/>
            <w:tcBorders>
              <w:top w:val="single" w:color="auto" w:sz="4" w:space="0"/>
              <w:left w:val="nil"/>
              <w:bottom w:val="single" w:color="auto" w:sz="4" w:space="0"/>
              <w:right w:val="single" w:color="auto" w:sz="4" w:space="0"/>
            </w:tcBorders>
            <w:shd w:val="clear" w:color="000000" w:fill="auto"/>
            <w:noWrap/>
            <w:vAlign w:val="center"/>
          </w:tcPr>
          <w:p w14:paraId="746C5D2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合同签订之日起</w:t>
            </w:r>
            <w:r>
              <w:rPr>
                <w:rFonts w:hint="eastAsia" w:ascii="宋体" w:hAnsi="宋体" w:eastAsia="宋体" w:cs="宋体"/>
                <w:sz w:val="21"/>
                <w:szCs w:val="21"/>
              </w:rPr>
              <w:t>—2026/9/30</w:t>
            </w:r>
          </w:p>
        </w:tc>
        <w:tc>
          <w:tcPr>
            <w:tcW w:w="3987" w:type="dxa"/>
            <w:tcBorders>
              <w:top w:val="single" w:color="auto" w:sz="4" w:space="0"/>
              <w:left w:val="nil"/>
              <w:bottom w:val="single" w:color="auto" w:sz="4" w:space="0"/>
              <w:right w:val="single" w:color="auto" w:sz="4" w:space="0"/>
            </w:tcBorders>
            <w:shd w:val="clear" w:color="000000" w:fill="auto"/>
          </w:tcPr>
          <w:p w14:paraId="6DA51B6C">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可</w:t>
            </w:r>
            <w:r>
              <w:rPr>
                <w:rFonts w:hint="eastAsia" w:ascii="宋体" w:hAnsi="宋体" w:eastAsia="宋体" w:cs="宋体"/>
                <w:sz w:val="21"/>
                <w:szCs w:val="21"/>
              </w:rPr>
              <w:t>原厂维保2年（包含软硬件维保升级、特征库升级等），中标后提供原厂维保承诺函。</w:t>
            </w:r>
          </w:p>
        </w:tc>
      </w:tr>
      <w:tr w14:paraId="44DEE9E0">
        <w:tblPrEx>
          <w:tblCellMar>
            <w:top w:w="0" w:type="dxa"/>
            <w:left w:w="108" w:type="dxa"/>
            <w:bottom w:w="0" w:type="dxa"/>
            <w:right w:w="108" w:type="dxa"/>
          </w:tblCellMar>
        </w:tblPrEx>
        <w:trPr>
          <w:trHeight w:val="280" w:hRule="atLeast"/>
        </w:trPr>
        <w:tc>
          <w:tcPr>
            <w:tcW w:w="672" w:type="dxa"/>
            <w:tcBorders>
              <w:top w:val="nil"/>
              <w:left w:val="single" w:color="auto" w:sz="4" w:space="0"/>
              <w:bottom w:val="single" w:color="auto" w:sz="4" w:space="0"/>
              <w:right w:val="single" w:color="auto" w:sz="4" w:space="0"/>
            </w:tcBorders>
            <w:shd w:val="clear" w:color="auto" w:fill="auto"/>
            <w:noWrap/>
            <w:vAlign w:val="center"/>
          </w:tcPr>
          <w:p w14:paraId="512B29AF">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335" w:type="dxa"/>
            <w:tcBorders>
              <w:top w:val="nil"/>
              <w:left w:val="nil"/>
              <w:bottom w:val="single" w:color="auto" w:sz="4" w:space="0"/>
              <w:right w:val="single" w:color="auto" w:sz="4" w:space="0"/>
            </w:tcBorders>
            <w:shd w:val="clear" w:color="auto" w:fill="auto"/>
            <w:noWrap/>
            <w:vAlign w:val="center"/>
          </w:tcPr>
          <w:p w14:paraId="3850BADE">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漏洞扫描</w:t>
            </w:r>
          </w:p>
        </w:tc>
        <w:tc>
          <w:tcPr>
            <w:tcW w:w="1848" w:type="dxa"/>
            <w:tcBorders>
              <w:top w:val="nil"/>
              <w:left w:val="nil"/>
              <w:bottom w:val="single" w:color="auto" w:sz="4" w:space="0"/>
              <w:right w:val="single" w:color="auto" w:sz="4" w:space="0"/>
            </w:tcBorders>
            <w:shd w:val="clear" w:color="000000" w:fill="FFFFFF"/>
            <w:noWrap/>
            <w:vAlign w:val="center"/>
          </w:tcPr>
          <w:p w14:paraId="25E3DE02">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安恒</w:t>
            </w:r>
          </w:p>
          <w:p w14:paraId="4C5EBF40">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--V7.0R01C04SPC100</w:t>
            </w:r>
          </w:p>
        </w:tc>
        <w:tc>
          <w:tcPr>
            <w:tcW w:w="1788" w:type="dxa"/>
            <w:tcBorders>
              <w:top w:val="single" w:color="auto" w:sz="4" w:space="0"/>
              <w:left w:val="nil"/>
              <w:bottom w:val="single" w:color="auto" w:sz="4" w:space="0"/>
              <w:right w:val="single" w:color="auto" w:sz="4" w:space="0"/>
            </w:tcBorders>
            <w:shd w:val="clear" w:color="000000" w:fill="auto"/>
            <w:noWrap/>
            <w:vAlign w:val="center"/>
          </w:tcPr>
          <w:p w14:paraId="15E31544">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合同签订之日起</w:t>
            </w:r>
            <w:r>
              <w:rPr>
                <w:rFonts w:hint="eastAsia" w:ascii="宋体" w:hAnsi="宋体" w:eastAsia="宋体" w:cs="宋体"/>
                <w:sz w:val="21"/>
                <w:szCs w:val="21"/>
              </w:rPr>
              <w:t>—2026/9/5</w:t>
            </w:r>
          </w:p>
        </w:tc>
        <w:tc>
          <w:tcPr>
            <w:tcW w:w="3987" w:type="dxa"/>
            <w:tcBorders>
              <w:top w:val="single" w:color="auto" w:sz="4" w:space="0"/>
              <w:left w:val="nil"/>
              <w:bottom w:val="single" w:color="auto" w:sz="4" w:space="0"/>
              <w:right w:val="single" w:color="auto" w:sz="4" w:space="0"/>
            </w:tcBorders>
            <w:shd w:val="clear" w:color="000000" w:fill="auto"/>
          </w:tcPr>
          <w:p w14:paraId="46BF1AA9">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可</w:t>
            </w:r>
            <w:r>
              <w:rPr>
                <w:rFonts w:hint="eastAsia" w:ascii="宋体" w:hAnsi="宋体" w:eastAsia="宋体" w:cs="宋体"/>
                <w:sz w:val="21"/>
                <w:szCs w:val="21"/>
              </w:rPr>
              <w:t>原厂维保2年（包含软硬件维保升级、特征库升级等），中标后提供原厂维保承诺函。</w:t>
            </w:r>
          </w:p>
        </w:tc>
      </w:tr>
      <w:tr w14:paraId="506F9596">
        <w:tblPrEx>
          <w:tblCellMar>
            <w:top w:w="0" w:type="dxa"/>
            <w:left w:w="108" w:type="dxa"/>
            <w:bottom w:w="0" w:type="dxa"/>
            <w:right w:w="108" w:type="dxa"/>
          </w:tblCellMar>
        </w:tblPrEx>
        <w:trPr>
          <w:trHeight w:val="290" w:hRule="atLeast"/>
        </w:trPr>
        <w:tc>
          <w:tcPr>
            <w:tcW w:w="672" w:type="dxa"/>
            <w:tcBorders>
              <w:top w:val="nil"/>
              <w:left w:val="single" w:color="auto" w:sz="4" w:space="0"/>
              <w:bottom w:val="single" w:color="auto" w:sz="4" w:space="0"/>
              <w:right w:val="single" w:color="auto" w:sz="4" w:space="0"/>
            </w:tcBorders>
            <w:shd w:val="clear" w:color="000000" w:fill="FFFFFF"/>
            <w:noWrap/>
            <w:vAlign w:val="center"/>
          </w:tcPr>
          <w:p w14:paraId="23ABDEA4">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335" w:type="dxa"/>
            <w:tcBorders>
              <w:top w:val="nil"/>
              <w:left w:val="nil"/>
              <w:bottom w:val="single" w:color="auto" w:sz="4" w:space="0"/>
              <w:right w:val="single" w:color="auto" w:sz="4" w:space="0"/>
            </w:tcBorders>
            <w:shd w:val="clear" w:color="000000" w:fill="FFFFFF"/>
            <w:noWrap/>
            <w:vAlign w:val="center"/>
          </w:tcPr>
          <w:p w14:paraId="3610B691">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态势感知</w:t>
            </w:r>
          </w:p>
        </w:tc>
        <w:tc>
          <w:tcPr>
            <w:tcW w:w="1848" w:type="dxa"/>
            <w:tcBorders>
              <w:top w:val="nil"/>
              <w:left w:val="nil"/>
              <w:bottom w:val="single" w:color="auto" w:sz="4" w:space="0"/>
              <w:right w:val="single" w:color="auto" w:sz="4" w:space="0"/>
            </w:tcBorders>
            <w:shd w:val="clear" w:color="000000" w:fill="FFFFFF"/>
            <w:noWrap/>
            <w:vAlign w:val="center"/>
          </w:tcPr>
          <w:p w14:paraId="0044EF88">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深信服</w:t>
            </w:r>
          </w:p>
          <w:p w14:paraId="07D7D43D">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--SIS3.0.77.0 Build20230614</w:t>
            </w:r>
          </w:p>
        </w:tc>
        <w:tc>
          <w:tcPr>
            <w:tcW w:w="1788" w:type="dxa"/>
            <w:tcBorders>
              <w:top w:val="single" w:color="auto" w:sz="4" w:space="0"/>
              <w:left w:val="nil"/>
              <w:bottom w:val="single" w:color="auto" w:sz="4" w:space="0"/>
              <w:right w:val="single" w:color="auto" w:sz="4" w:space="0"/>
            </w:tcBorders>
            <w:shd w:val="clear" w:color="000000" w:fill="auto"/>
            <w:noWrap/>
            <w:vAlign w:val="center"/>
          </w:tcPr>
          <w:p w14:paraId="110764D0">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2025/9/19—2027/9/18</w:t>
            </w:r>
          </w:p>
        </w:tc>
        <w:tc>
          <w:tcPr>
            <w:tcW w:w="3987" w:type="dxa"/>
            <w:tcBorders>
              <w:top w:val="single" w:color="auto" w:sz="4" w:space="0"/>
              <w:left w:val="nil"/>
              <w:bottom w:val="single" w:color="auto" w:sz="4" w:space="0"/>
              <w:right w:val="single" w:color="auto" w:sz="4" w:space="0"/>
            </w:tcBorders>
            <w:shd w:val="clear" w:color="000000" w:fill="auto"/>
          </w:tcPr>
          <w:p w14:paraId="01228215">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可</w:t>
            </w:r>
            <w:r>
              <w:rPr>
                <w:rFonts w:hint="eastAsia" w:ascii="宋体" w:hAnsi="宋体" w:eastAsia="宋体" w:cs="宋体"/>
                <w:sz w:val="21"/>
                <w:szCs w:val="21"/>
              </w:rPr>
              <w:t>原厂维保2年（包含软硬件维保升级、特征库升级等），中标后提供原厂维保承诺函。</w:t>
            </w:r>
          </w:p>
        </w:tc>
      </w:tr>
      <w:tr w14:paraId="176D2C25">
        <w:tblPrEx>
          <w:tblCellMar>
            <w:top w:w="0" w:type="dxa"/>
            <w:left w:w="108" w:type="dxa"/>
            <w:bottom w:w="0" w:type="dxa"/>
            <w:right w:w="108" w:type="dxa"/>
          </w:tblCellMar>
        </w:tblPrEx>
        <w:trPr>
          <w:trHeight w:val="290" w:hRule="atLeast"/>
        </w:trPr>
        <w:tc>
          <w:tcPr>
            <w:tcW w:w="672" w:type="dxa"/>
            <w:tcBorders>
              <w:top w:val="nil"/>
              <w:left w:val="single" w:color="auto" w:sz="4" w:space="0"/>
              <w:bottom w:val="single" w:color="auto" w:sz="4" w:space="0"/>
              <w:right w:val="single" w:color="auto" w:sz="4" w:space="0"/>
            </w:tcBorders>
            <w:shd w:val="clear" w:color="000000" w:fill="FFFFFF"/>
            <w:noWrap/>
            <w:vAlign w:val="center"/>
          </w:tcPr>
          <w:p w14:paraId="1F901E56">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335" w:type="dxa"/>
            <w:tcBorders>
              <w:top w:val="nil"/>
              <w:left w:val="nil"/>
              <w:bottom w:val="single" w:color="auto" w:sz="4" w:space="0"/>
              <w:right w:val="single" w:color="auto" w:sz="4" w:space="0"/>
            </w:tcBorders>
            <w:shd w:val="clear" w:color="000000" w:fill="FFFFFF"/>
            <w:noWrap/>
            <w:vAlign w:val="center"/>
          </w:tcPr>
          <w:p w14:paraId="346E20E7">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态势感知--潜伏威胁探针</w:t>
            </w:r>
          </w:p>
        </w:tc>
        <w:tc>
          <w:tcPr>
            <w:tcW w:w="1848" w:type="dxa"/>
            <w:tcBorders>
              <w:top w:val="nil"/>
              <w:left w:val="nil"/>
              <w:bottom w:val="single" w:color="auto" w:sz="4" w:space="0"/>
              <w:right w:val="single" w:color="auto" w:sz="4" w:space="0"/>
            </w:tcBorders>
            <w:shd w:val="clear" w:color="000000" w:fill="FFFFFF"/>
            <w:noWrap/>
            <w:vAlign w:val="center"/>
          </w:tcPr>
          <w:p w14:paraId="6E09CF23">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深信服--V3.0.56</w:t>
            </w:r>
          </w:p>
        </w:tc>
        <w:tc>
          <w:tcPr>
            <w:tcW w:w="1788" w:type="dxa"/>
            <w:tcBorders>
              <w:top w:val="single" w:color="auto" w:sz="4" w:space="0"/>
              <w:left w:val="nil"/>
              <w:bottom w:val="single" w:color="auto" w:sz="4" w:space="0"/>
              <w:right w:val="single" w:color="auto" w:sz="4" w:space="0"/>
            </w:tcBorders>
            <w:shd w:val="clear" w:color="000000" w:fill="auto"/>
            <w:noWrap/>
            <w:vAlign w:val="center"/>
          </w:tcPr>
          <w:p w14:paraId="326FF03C">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2025/9/25—2027/9/24</w:t>
            </w:r>
          </w:p>
        </w:tc>
        <w:tc>
          <w:tcPr>
            <w:tcW w:w="3987" w:type="dxa"/>
            <w:tcBorders>
              <w:top w:val="single" w:color="auto" w:sz="4" w:space="0"/>
              <w:left w:val="nil"/>
              <w:bottom w:val="single" w:color="auto" w:sz="4" w:space="0"/>
              <w:right w:val="single" w:color="auto" w:sz="4" w:space="0"/>
            </w:tcBorders>
            <w:shd w:val="clear" w:color="000000" w:fill="auto"/>
          </w:tcPr>
          <w:p w14:paraId="629535A3">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可</w:t>
            </w:r>
            <w:r>
              <w:rPr>
                <w:rFonts w:hint="eastAsia" w:ascii="宋体" w:hAnsi="宋体" w:eastAsia="宋体" w:cs="宋体"/>
                <w:sz w:val="21"/>
                <w:szCs w:val="21"/>
              </w:rPr>
              <w:t>原厂维保2年（包含软硬件维保升级、特征库升级等），中标后提供原厂维保承诺函。</w:t>
            </w:r>
          </w:p>
        </w:tc>
      </w:tr>
      <w:tr w14:paraId="7ADC9BBD">
        <w:tblPrEx>
          <w:tblCellMar>
            <w:top w:w="0" w:type="dxa"/>
            <w:left w:w="108" w:type="dxa"/>
            <w:bottom w:w="0" w:type="dxa"/>
            <w:right w:w="108" w:type="dxa"/>
          </w:tblCellMar>
        </w:tblPrEx>
        <w:trPr>
          <w:trHeight w:val="280" w:hRule="atLeast"/>
        </w:trPr>
        <w:tc>
          <w:tcPr>
            <w:tcW w:w="672" w:type="dxa"/>
            <w:tcBorders>
              <w:top w:val="nil"/>
              <w:left w:val="single" w:color="auto" w:sz="4" w:space="0"/>
              <w:bottom w:val="single" w:color="auto" w:sz="4" w:space="0"/>
              <w:right w:val="single" w:color="auto" w:sz="4" w:space="0"/>
            </w:tcBorders>
            <w:shd w:val="clear" w:color="000000" w:fill="FFFFFF"/>
            <w:noWrap/>
            <w:vAlign w:val="center"/>
          </w:tcPr>
          <w:p w14:paraId="24A1C71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335" w:type="dxa"/>
            <w:tcBorders>
              <w:top w:val="nil"/>
              <w:left w:val="nil"/>
              <w:bottom w:val="single" w:color="auto" w:sz="4" w:space="0"/>
              <w:right w:val="single" w:color="auto" w:sz="4" w:space="0"/>
            </w:tcBorders>
            <w:shd w:val="clear" w:color="000000" w:fill="FFFFFF"/>
            <w:noWrap/>
            <w:vAlign w:val="center"/>
          </w:tcPr>
          <w:p w14:paraId="2861B0E5">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核心12700</w:t>
            </w:r>
          </w:p>
        </w:tc>
        <w:tc>
          <w:tcPr>
            <w:tcW w:w="1848" w:type="dxa"/>
            <w:tcBorders>
              <w:top w:val="nil"/>
              <w:left w:val="nil"/>
              <w:bottom w:val="single" w:color="auto" w:sz="4" w:space="0"/>
              <w:right w:val="single" w:color="auto" w:sz="4" w:space="0"/>
            </w:tcBorders>
            <w:shd w:val="clear" w:color="000000" w:fill="FFFFFF"/>
            <w:noWrap/>
            <w:vAlign w:val="center"/>
          </w:tcPr>
          <w:p w14:paraId="6C8D03A9">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华为--S12700</w:t>
            </w:r>
          </w:p>
        </w:tc>
        <w:tc>
          <w:tcPr>
            <w:tcW w:w="1788" w:type="dxa"/>
            <w:tcBorders>
              <w:top w:val="single" w:color="auto" w:sz="4" w:space="0"/>
              <w:left w:val="nil"/>
              <w:bottom w:val="single" w:color="auto" w:sz="4" w:space="0"/>
              <w:right w:val="single" w:color="auto" w:sz="4" w:space="0"/>
            </w:tcBorders>
            <w:shd w:val="clear" w:color="000000" w:fill="auto"/>
            <w:noWrap/>
            <w:vAlign w:val="center"/>
          </w:tcPr>
          <w:p w14:paraId="63C786A8">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合同签订后维保2年</w:t>
            </w:r>
          </w:p>
        </w:tc>
        <w:tc>
          <w:tcPr>
            <w:tcW w:w="3987" w:type="dxa"/>
            <w:tcBorders>
              <w:top w:val="single" w:color="auto" w:sz="4" w:space="0"/>
              <w:left w:val="nil"/>
              <w:bottom w:val="single" w:color="auto" w:sz="4" w:space="0"/>
              <w:right w:val="single" w:color="auto" w:sz="4" w:space="0"/>
            </w:tcBorders>
            <w:shd w:val="clear" w:color="000000" w:fill="auto"/>
          </w:tcPr>
          <w:p w14:paraId="28F5DAE7">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可</w:t>
            </w:r>
            <w:r>
              <w:rPr>
                <w:rFonts w:hint="eastAsia" w:ascii="宋体" w:hAnsi="宋体" w:eastAsia="宋体" w:cs="宋体"/>
                <w:sz w:val="21"/>
                <w:szCs w:val="21"/>
              </w:rPr>
              <w:t>原厂或第三方维保2年（包含软硬件维保升级等），如原厂维保，中标后提供原厂维保承诺函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如第三方维保，应在提供第三方维保承诺函的基础上，明确维保方案、备机服务响应方案等内容。</w:t>
            </w:r>
          </w:p>
        </w:tc>
      </w:tr>
      <w:tr w14:paraId="0DDB1F0F">
        <w:tblPrEx>
          <w:tblCellMar>
            <w:top w:w="0" w:type="dxa"/>
            <w:left w:w="108" w:type="dxa"/>
            <w:bottom w:w="0" w:type="dxa"/>
            <w:right w:w="108" w:type="dxa"/>
          </w:tblCellMar>
        </w:tblPrEx>
        <w:trPr>
          <w:trHeight w:val="280" w:hRule="atLeast"/>
        </w:trPr>
        <w:tc>
          <w:tcPr>
            <w:tcW w:w="672" w:type="dxa"/>
            <w:tcBorders>
              <w:top w:val="nil"/>
              <w:left w:val="single" w:color="auto" w:sz="4" w:space="0"/>
              <w:bottom w:val="single" w:color="auto" w:sz="4" w:space="0"/>
              <w:right w:val="single" w:color="auto" w:sz="4" w:space="0"/>
            </w:tcBorders>
            <w:shd w:val="clear" w:color="auto" w:fill="auto"/>
            <w:noWrap/>
            <w:vAlign w:val="center"/>
          </w:tcPr>
          <w:p w14:paraId="741BD316">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335" w:type="dxa"/>
            <w:tcBorders>
              <w:top w:val="nil"/>
              <w:left w:val="nil"/>
              <w:bottom w:val="single" w:color="auto" w:sz="4" w:space="0"/>
              <w:right w:val="single" w:color="auto" w:sz="4" w:space="0"/>
            </w:tcBorders>
            <w:shd w:val="clear" w:color="auto" w:fill="auto"/>
            <w:noWrap/>
            <w:vAlign w:val="center"/>
          </w:tcPr>
          <w:p w14:paraId="1DE76AB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ZDNS</w:t>
            </w:r>
          </w:p>
        </w:tc>
        <w:tc>
          <w:tcPr>
            <w:tcW w:w="1848" w:type="dxa"/>
            <w:tcBorders>
              <w:top w:val="nil"/>
              <w:left w:val="nil"/>
              <w:bottom w:val="single" w:color="auto" w:sz="4" w:space="0"/>
              <w:right w:val="single" w:color="auto" w:sz="4" w:space="0"/>
            </w:tcBorders>
            <w:shd w:val="clear" w:color="auto" w:fill="auto"/>
            <w:noWrap/>
            <w:vAlign w:val="center"/>
          </w:tcPr>
          <w:p w14:paraId="0ACDF042">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ZDNS--T5100</w:t>
            </w:r>
          </w:p>
        </w:tc>
        <w:tc>
          <w:tcPr>
            <w:tcW w:w="1788" w:type="dxa"/>
            <w:tcBorders>
              <w:top w:val="single" w:color="auto" w:sz="4" w:space="0"/>
              <w:left w:val="nil"/>
              <w:bottom w:val="single" w:color="auto" w:sz="4" w:space="0"/>
              <w:right w:val="single" w:color="auto" w:sz="4" w:space="0"/>
            </w:tcBorders>
            <w:shd w:val="clear" w:color="000000" w:fill="auto"/>
            <w:noWrap/>
            <w:vAlign w:val="center"/>
          </w:tcPr>
          <w:p w14:paraId="2C3D00F1">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合同签订之日起</w:t>
            </w:r>
            <w:r>
              <w:rPr>
                <w:rFonts w:hint="eastAsia" w:ascii="宋体" w:hAnsi="宋体" w:eastAsia="宋体" w:cs="宋体"/>
                <w:sz w:val="21"/>
                <w:szCs w:val="21"/>
              </w:rPr>
              <w:t>—2026/10/8</w:t>
            </w:r>
          </w:p>
        </w:tc>
        <w:tc>
          <w:tcPr>
            <w:tcW w:w="3987" w:type="dxa"/>
            <w:tcBorders>
              <w:top w:val="single" w:color="auto" w:sz="4" w:space="0"/>
              <w:left w:val="nil"/>
              <w:bottom w:val="single" w:color="auto" w:sz="4" w:space="0"/>
              <w:right w:val="single" w:color="auto" w:sz="4" w:space="0"/>
            </w:tcBorders>
            <w:shd w:val="clear" w:color="000000" w:fill="auto"/>
          </w:tcPr>
          <w:p w14:paraId="0C86E570">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可</w:t>
            </w:r>
            <w:r>
              <w:rPr>
                <w:rFonts w:hint="eastAsia" w:ascii="宋体" w:hAnsi="宋体" w:eastAsia="宋体" w:cs="宋体"/>
                <w:sz w:val="21"/>
                <w:szCs w:val="21"/>
              </w:rPr>
              <w:t>原厂维保2年（包含软硬件维保升级等），中标后提供原厂维保承诺函。</w:t>
            </w:r>
          </w:p>
        </w:tc>
      </w:tr>
    </w:tbl>
    <w:p w14:paraId="750C9097">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p>
    <w:p w14:paraId="1FBD2815">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3.1.1 维保服务内容</w:t>
      </w:r>
    </w:p>
    <w:p w14:paraId="0DEC9233">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1）提供设备运行参数健康检查；</w:t>
      </w:r>
    </w:p>
    <w:p w14:paraId="5859999E">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2）提供系统设备运行状态检查和报告；</w:t>
      </w:r>
    </w:p>
    <w:p w14:paraId="31B504A9">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3）提供设备接口状况汇总检查；</w:t>
      </w:r>
    </w:p>
    <w:p w14:paraId="76375C1A">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4）周期性的对整个系统实行全部设备的轮巡检查，出具检查报告；</w:t>
      </w:r>
    </w:p>
    <w:p w14:paraId="18BFAFEF">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5）根据检查的分析结果提出系统的配置优化方案；</w:t>
      </w:r>
    </w:p>
    <w:p w14:paraId="7E347F12">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6）提供优化方案的配置实施；</w:t>
      </w:r>
    </w:p>
    <w:p w14:paraId="5B84D7E8">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7）对突发性故障提供承诺时间的到达现场服务，提供最全面周到的技术诊断和恢复服务；</w:t>
      </w:r>
    </w:p>
    <w:p w14:paraId="0A22CCF5">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8）对故障进行原因排查，分析可能结构，确定原因，避免类似故障再次发生；</w:t>
      </w:r>
    </w:p>
    <w:p w14:paraId="50171DF9">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9）提供系统安全事故的原因分析；</w:t>
      </w:r>
    </w:p>
    <w:p w14:paraId="09AA95EE">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10）提供网络安全自防护的设计建议，提升系统的安全等级；</w:t>
      </w:r>
    </w:p>
    <w:p w14:paraId="01F9900E">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11）提供完善的网络管理咨询，提供事前分析；</w:t>
      </w:r>
    </w:p>
    <w:p w14:paraId="7C0790FC">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12）提供新发布的安全漏洞通知，及防范办法；</w:t>
      </w:r>
    </w:p>
    <w:p w14:paraId="692CC010">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13）提供网络健康状态评估测试；</w:t>
      </w:r>
    </w:p>
    <w:p w14:paraId="5058069D">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14）提供网络安全管理制度建议；</w:t>
      </w:r>
    </w:p>
    <w:p w14:paraId="29A9EF31">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15）提供网络安全设计；</w:t>
      </w:r>
    </w:p>
    <w:p w14:paraId="5C0839A9">
      <w:pPr>
        <w:keepNext w:val="0"/>
        <w:keepLines w:val="0"/>
        <w:pageBreakBefore w:val="0"/>
        <w:widowControl w:val="0"/>
        <w:kinsoku/>
        <w:wordWrap/>
        <w:overflowPunct/>
        <w:topLinePunct w:val="0"/>
        <w:autoSpaceDE/>
        <w:autoSpaceDN/>
        <w:bidi w:val="0"/>
        <w:adjustRightInd w:val="0"/>
        <w:snapToGrid/>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16）提供系统版本升级服务；</w:t>
      </w:r>
    </w:p>
    <w:p w14:paraId="1739BE0D">
      <w:pPr>
        <w:pStyle w:val="5"/>
        <w:keepNext w:val="0"/>
        <w:keepLines w:val="0"/>
        <w:pageBreakBefore w:val="0"/>
        <w:widowControl w:val="0"/>
        <w:kinsoku/>
        <w:wordWrap/>
        <w:overflowPunct/>
        <w:topLinePunct w:val="0"/>
        <w:autoSpaceDE/>
        <w:autoSpaceDN/>
        <w:bidi w:val="0"/>
        <w:adjustRightInd w:val="0"/>
        <w:snapToGrid/>
        <w:spacing w:after="0" w:line="288" w:lineRule="auto"/>
        <w:ind w:lef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17）提供系统平台设计建议。</w:t>
      </w:r>
    </w:p>
    <w:p w14:paraId="272FA17D">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3.1.2 维保服务要求</w:t>
      </w:r>
    </w:p>
    <w:p w14:paraId="751475C7">
      <w:pPr>
        <w:keepNext w:val="0"/>
        <w:keepLines w:val="0"/>
        <w:pageBreakBefore w:val="0"/>
        <w:widowControl w:val="0"/>
        <w:kinsoku/>
        <w:overflowPunct/>
        <w:topLinePunct w:val="0"/>
        <w:bidi w:val="0"/>
        <w:spacing w:line="288" w:lineRule="auto"/>
        <w:ind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（1）日常巡检服务：</w:t>
      </w:r>
      <w:r>
        <w:rPr>
          <w:rFonts w:hint="eastAsia" w:ascii="宋体" w:hAnsi="宋体" w:eastAsia="宋体" w:cs="宋体"/>
          <w:sz w:val="21"/>
          <w:szCs w:val="21"/>
        </w:rPr>
        <w:t>成交供应商每季度（或采购人指定时间要求，与单项冲突的以单项为准）安排相关技术工程师到采购人现场机房的维保硬件设备进行软硬件系统的全面巡检服务，例行检测、排除隐患，对软硬件系统的整体运行状态进行评估分析，提供详细巡检报告，报告需详细罗列目前各设备的现状报告</w:t>
      </w:r>
      <w:r>
        <w:rPr>
          <w:rFonts w:hint="eastAsia" w:ascii="宋体" w:hAnsi="宋体" w:eastAsia="宋体" w:cs="宋体"/>
          <w:sz w:val="21"/>
          <w:szCs w:val="21"/>
          <w:lang w:eastAsia="zh-CN"/>
        </w:rPr>
        <w:t>，</w:t>
      </w:r>
      <w:r>
        <w:rPr>
          <w:rFonts w:hint="eastAsia" w:ascii="宋体" w:hAnsi="宋体" w:eastAsia="宋体" w:cs="宋体"/>
          <w:sz w:val="21"/>
          <w:szCs w:val="21"/>
        </w:rPr>
        <w:t>并给出优化调整建议。具体服务如下：</w:t>
      </w:r>
    </w:p>
    <w:p w14:paraId="0D508C02">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1）提供软硬件系统存在的问题报告及其解决方案，提出系统整体架构及技术改进建议。</w:t>
      </w:r>
    </w:p>
    <w:p w14:paraId="20C6AB73">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2）每季度对网络安全设备运行情况进行综合评估，结合实际情况， 给出配置优化方案或建议。</w:t>
      </w:r>
    </w:p>
    <w:p w14:paraId="53D1A240">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3）根据采购方要求或系统调优的需要，对维护范围内的设备进行网络拓扑调整、网络端口策略变更、远程端口开放、操作系统重装（版本更新）、IP地址分配及网络优化调整等服务。</w:t>
      </w:r>
    </w:p>
    <w:p w14:paraId="7CAAE544">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供应商</w:t>
      </w:r>
      <w:r>
        <w:rPr>
          <w:rFonts w:hint="eastAsia" w:ascii="宋体" w:hAnsi="宋体" w:eastAsia="宋体" w:cs="宋体"/>
          <w:sz w:val="21"/>
          <w:szCs w:val="21"/>
        </w:rPr>
        <w:t>应独立完成对采购</w:t>
      </w:r>
      <w:r>
        <w:rPr>
          <w:rFonts w:hint="eastAsia" w:ascii="宋体" w:hAnsi="宋体" w:eastAsia="宋体" w:cs="宋体"/>
          <w:sz w:val="21"/>
          <w:szCs w:val="21"/>
          <w:lang w:val="en-US" w:eastAsia="zh-CN"/>
        </w:rPr>
        <w:t>人</w:t>
      </w:r>
      <w:r>
        <w:rPr>
          <w:rFonts w:hint="eastAsia" w:ascii="宋体" w:hAnsi="宋体" w:eastAsia="宋体" w:cs="宋体"/>
          <w:sz w:val="21"/>
          <w:szCs w:val="21"/>
        </w:rPr>
        <w:t>设备的定期维护处理。且</w:t>
      </w:r>
      <w:r>
        <w:rPr>
          <w:rFonts w:hint="eastAsia" w:ascii="宋体" w:hAnsi="宋体" w:eastAsia="宋体" w:cs="宋体"/>
          <w:sz w:val="21"/>
          <w:szCs w:val="21"/>
          <w:lang w:val="en-US" w:eastAsia="zh-CN"/>
        </w:rPr>
        <w:t>供应商</w:t>
      </w:r>
      <w:r>
        <w:rPr>
          <w:rFonts w:hint="eastAsia" w:ascii="宋体" w:hAnsi="宋体" w:eastAsia="宋体" w:cs="宋体"/>
          <w:sz w:val="21"/>
          <w:szCs w:val="21"/>
        </w:rPr>
        <w:t>应承担操作失误等造成设备故障、数据损坏、误操作等的赔偿和安全责任。</w:t>
      </w:r>
    </w:p>
    <w:p w14:paraId="0E21415A">
      <w:pPr>
        <w:keepNext w:val="0"/>
        <w:keepLines w:val="0"/>
        <w:pageBreakBefore w:val="0"/>
        <w:widowControl w:val="0"/>
        <w:kinsoku/>
        <w:overflowPunct/>
        <w:topLinePunct w:val="0"/>
        <w:bidi w:val="0"/>
        <w:spacing w:line="288" w:lineRule="auto"/>
        <w:ind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（2）常规性维护服务：</w:t>
      </w:r>
      <w:r>
        <w:rPr>
          <w:rFonts w:hint="eastAsia" w:ascii="宋体" w:hAnsi="宋体" w:eastAsia="宋体" w:cs="宋体"/>
          <w:sz w:val="21"/>
          <w:szCs w:val="21"/>
        </w:rPr>
        <w:t>成交供应商须根据采购人需要，作好如下维护服务工作：</w:t>
      </w:r>
    </w:p>
    <w:p w14:paraId="35D8AEBE">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1）采购人系统计划性停机、重启。</w:t>
      </w:r>
    </w:p>
    <w:p w14:paraId="0E734B66">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2）采购人软硬件系统更正性维护服务。</w:t>
      </w:r>
    </w:p>
    <w:p w14:paraId="705F45B4">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3）采购人软硬件系统版本、补丁升级。</w:t>
      </w:r>
    </w:p>
    <w:p w14:paraId="7827CFC8">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4）根据采购人要求，对整个网络架构、路由策略进行调整，业务流量进行QOS控制，做好整体网络性能评估及优化、扩容规划、安全设计等工作，必须为采购人指派一名网络方面专属工程师，以方便交流和沟通，出现问题能及时解决。</w:t>
      </w:r>
    </w:p>
    <w:p w14:paraId="1C36221F">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5）根据采购人要求提供软件、硬件、中间件系统部署、调试和系统对接过程中的管理运行维护服务。</w:t>
      </w:r>
    </w:p>
    <w:p w14:paraId="0A27E2BF">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6）制定周密的系统应急处理方案并验证其可靠性,并在中标一个月内提供纸质应急方案。</w:t>
      </w:r>
    </w:p>
    <w:p w14:paraId="2A0469F1">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7）针对采购人临时性、突发性问题进行维护服务。</w:t>
      </w:r>
    </w:p>
    <w:p w14:paraId="5123F65B">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8）根据采购人的要求，提供的其他维护服务。</w:t>
      </w:r>
    </w:p>
    <w:p w14:paraId="5E760845">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信息中心下辖机房环控检查与管理，包括UPS、空调、供电、整体环境等</w:t>
      </w:r>
      <w:r>
        <w:rPr>
          <w:rFonts w:hint="eastAsia" w:ascii="宋体" w:hAnsi="宋体" w:eastAsia="宋体" w:cs="宋体"/>
          <w:sz w:val="21"/>
          <w:szCs w:val="21"/>
        </w:rPr>
        <w:t>。</w:t>
      </w:r>
      <w:r>
        <w:rPr>
          <w:rFonts w:hint="eastAsia" w:ascii="宋体" w:hAnsi="宋体" w:eastAsia="宋体" w:cs="宋体"/>
          <w:sz w:val="21"/>
          <w:szCs w:val="21"/>
          <w:lang w:val="en-US" w:eastAsia="zh-CN"/>
        </w:rPr>
        <w:t>每年需对机房内设备进行一次专业除尘。</w:t>
      </w:r>
    </w:p>
    <w:p w14:paraId="5608AEF6">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供应商根据目前采购人的运行需要，如在维保期内的采购人机房设备搬迁或调整时，</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供应商提供相应的技术支持和集成服务。</w:t>
      </w:r>
    </w:p>
    <w:p w14:paraId="51379B5D">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（3）应急故障处理服务：</w:t>
      </w:r>
    </w:p>
    <w:p w14:paraId="5163770C">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1）</w:t>
      </w:r>
      <w:bookmarkStart w:id="32" w:name="_Hlk79671483"/>
      <w:r>
        <w:rPr>
          <w:rFonts w:hint="eastAsia" w:ascii="宋体" w:hAnsi="宋体" w:eastAsia="宋体" w:cs="宋体"/>
          <w:sz w:val="21"/>
          <w:szCs w:val="21"/>
          <w:lang w:val="en-US" w:eastAsia="zh-CN"/>
        </w:rPr>
        <w:t>成交</w:t>
      </w:r>
      <w:r>
        <w:rPr>
          <w:rFonts w:hint="eastAsia" w:ascii="宋体" w:hAnsi="宋体" w:eastAsia="宋体" w:cs="宋体"/>
          <w:sz w:val="21"/>
          <w:szCs w:val="21"/>
        </w:rPr>
        <w:t>供应商接到故障通知电话后，应认真进行故障分析判定等准备工作，30分钟之内做出响应，2小时内赶赴现场提供现场服务。</w:t>
      </w:r>
      <w:bookmarkEnd w:id="32"/>
    </w:p>
    <w:p w14:paraId="4C878476">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2）针对采购人设备具体应用环境及业务要求，制定出设备在遇到重大故障时的应急处理预案，提出切实可行的备份切换方案及措施，确保生产业务能在最短时间内恢复正常。</w:t>
      </w:r>
    </w:p>
    <w:p w14:paraId="2500DF72">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3）当有故障器件需要更换时，须提供</w:t>
      </w:r>
      <w:r>
        <w:rPr>
          <w:rFonts w:hint="eastAsia" w:ascii="宋体" w:hAnsi="宋体" w:eastAsia="宋体" w:cs="宋体"/>
          <w:sz w:val="21"/>
          <w:szCs w:val="21"/>
          <w:lang w:val="en-US" w:eastAsia="zh-CN"/>
        </w:rPr>
        <w:t>原产品</w:t>
      </w:r>
      <w:r>
        <w:rPr>
          <w:rFonts w:hint="eastAsia" w:ascii="宋体" w:hAnsi="宋体" w:eastAsia="宋体" w:cs="宋体"/>
          <w:sz w:val="21"/>
          <w:szCs w:val="21"/>
        </w:rPr>
        <w:t>同品牌同型号同容量的替换上；采购人有升级、扩容需求时，</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供应商须提供一个合理成熟的升级方案，并负责做好整个升级方案实施的配合工作。</w:t>
      </w:r>
    </w:p>
    <w:p w14:paraId="19CFFDDE">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故障处理完毕7个工作日内，</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供应商提供“故障分析报告”和“故障处理报告”，并签字盖印章，提交采购人备案。</w:t>
      </w:r>
    </w:p>
    <w:p w14:paraId="69695350">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（4）备件及文档要求：</w:t>
      </w:r>
    </w:p>
    <w:p w14:paraId="4F927114">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sz w:val="21"/>
          <w:szCs w:val="21"/>
        </w:rPr>
      </w:pPr>
      <w:r>
        <w:rPr>
          <w:rFonts w:hint="eastAsia" w:ascii="宋体" w:hAnsi="宋体" w:eastAsia="宋体" w:cs="宋体"/>
          <w:b/>
          <w:bCs/>
          <w:sz w:val="21"/>
          <w:szCs w:val="21"/>
        </w:rPr>
        <w:t>1）备件库：</w:t>
      </w:r>
      <w:bookmarkStart w:id="33" w:name="_Hlk79673857"/>
      <w:r>
        <w:rPr>
          <w:rFonts w:hint="eastAsia" w:ascii="宋体" w:hAnsi="宋体" w:eastAsia="宋体" w:cs="宋体"/>
          <w:sz w:val="21"/>
          <w:szCs w:val="21"/>
          <w:lang w:val="en-US" w:eastAsia="zh-CN"/>
        </w:rPr>
        <w:t>成交</w:t>
      </w:r>
      <w:r>
        <w:rPr>
          <w:rFonts w:hint="eastAsia" w:ascii="宋体" w:hAnsi="宋体" w:eastAsia="宋体" w:cs="宋体"/>
          <w:sz w:val="21"/>
          <w:szCs w:val="21"/>
        </w:rPr>
        <w:t>供应商须有配件库，备件送达现场时间不能超过4小时。</w:t>
      </w:r>
      <w:bookmarkEnd w:id="33"/>
      <w:r>
        <w:rPr>
          <w:rFonts w:hint="eastAsia" w:ascii="宋体" w:hAnsi="宋体" w:eastAsia="宋体" w:cs="宋体"/>
          <w:sz w:val="21"/>
          <w:szCs w:val="21"/>
          <w:lang w:val="en-US" w:eastAsia="zh-CN"/>
        </w:rPr>
        <w:t>成交</w:t>
      </w:r>
      <w:r>
        <w:rPr>
          <w:rFonts w:hint="eastAsia" w:ascii="宋体" w:hAnsi="宋体" w:eastAsia="宋体" w:cs="宋体"/>
          <w:sz w:val="21"/>
          <w:szCs w:val="21"/>
        </w:rPr>
        <w:t>供应商需提供针对本次项目的配件清单，尽量准备齐全所有的备件。根据所有可能发生的硬件故障，提供完整备件库，第一时间提供备件更换，并及时补充备件库，保修设备的备件覆盖率达99%。</w:t>
      </w:r>
    </w:p>
    <w:p w14:paraId="168A9483">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2）文档管理：</w:t>
      </w:r>
    </w:p>
    <w:p w14:paraId="35FE006E">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sz w:val="21"/>
          <w:szCs w:val="21"/>
        </w:rPr>
      </w:pPr>
      <w:r>
        <w:rPr>
          <w:rFonts w:hint="eastAsia" w:ascii="宋体" w:hAnsi="宋体" w:eastAsia="宋体" w:cs="宋体"/>
          <w:b/>
          <w:bCs/>
          <w:sz w:val="21"/>
          <w:szCs w:val="21"/>
        </w:rPr>
        <w:t>①整体维保方案：</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供应商应根据采购人的软硬件系统实际情况，制定整体维保方案</w:t>
      </w:r>
      <w:r>
        <w:rPr>
          <w:rFonts w:hint="eastAsia" w:ascii="宋体" w:hAnsi="宋体" w:eastAsia="宋体" w:cs="宋体"/>
          <w:sz w:val="21"/>
          <w:szCs w:val="21"/>
          <w:lang w:eastAsia="zh-CN"/>
        </w:rPr>
        <w:t>，</w:t>
      </w:r>
      <w:r>
        <w:rPr>
          <w:rFonts w:hint="eastAsia" w:ascii="宋体" w:hAnsi="宋体" w:eastAsia="宋体" w:cs="宋体"/>
          <w:sz w:val="21"/>
          <w:szCs w:val="21"/>
        </w:rPr>
        <w:t>于</w:t>
      </w:r>
      <w:r>
        <w:rPr>
          <w:rFonts w:hint="eastAsia" w:ascii="宋体" w:hAnsi="宋体" w:eastAsia="宋体" w:cs="宋体"/>
          <w:sz w:val="21"/>
          <w:szCs w:val="21"/>
          <w:lang w:val="en-US" w:eastAsia="zh-CN"/>
        </w:rPr>
        <w:t>成交</w:t>
      </w:r>
      <w:r>
        <w:rPr>
          <w:rFonts w:hint="eastAsia" w:ascii="宋体" w:hAnsi="宋体" w:eastAsia="宋体" w:cs="宋体"/>
          <w:sz w:val="21"/>
          <w:szCs w:val="21"/>
        </w:rPr>
        <w:t>一个月内提供纸质方案</w:t>
      </w:r>
      <w:r>
        <w:rPr>
          <w:rFonts w:hint="eastAsia" w:ascii="宋体" w:hAnsi="宋体" w:eastAsia="宋体" w:cs="宋体"/>
          <w:sz w:val="21"/>
          <w:szCs w:val="21"/>
          <w:lang w:eastAsia="zh-CN"/>
        </w:rPr>
        <w:t>，</w:t>
      </w:r>
      <w:r>
        <w:rPr>
          <w:rFonts w:hint="eastAsia" w:ascii="宋体" w:hAnsi="宋体" w:eastAsia="宋体" w:cs="宋体"/>
          <w:sz w:val="21"/>
          <w:szCs w:val="21"/>
        </w:rPr>
        <w:t>交</w:t>
      </w:r>
      <w:r>
        <w:rPr>
          <w:rFonts w:hint="eastAsia" w:ascii="宋体" w:hAnsi="宋体" w:eastAsia="宋体" w:cs="宋体"/>
          <w:sz w:val="21"/>
          <w:szCs w:val="21"/>
          <w:lang w:val="en-US" w:eastAsia="zh-CN"/>
        </w:rPr>
        <w:t>采购人</w:t>
      </w:r>
      <w:r>
        <w:rPr>
          <w:rFonts w:hint="eastAsia" w:ascii="宋体" w:hAnsi="宋体" w:eastAsia="宋体" w:cs="宋体"/>
          <w:sz w:val="21"/>
          <w:szCs w:val="21"/>
        </w:rPr>
        <w:t>备案。</w:t>
      </w:r>
    </w:p>
    <w:p w14:paraId="6BCE9BAE">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sz w:val="21"/>
          <w:szCs w:val="21"/>
        </w:rPr>
      </w:pPr>
      <w:r>
        <w:rPr>
          <w:rFonts w:hint="eastAsia" w:ascii="宋体" w:hAnsi="宋体" w:eastAsia="宋体" w:cs="宋体"/>
          <w:b/>
          <w:bCs/>
          <w:sz w:val="21"/>
          <w:szCs w:val="21"/>
        </w:rPr>
        <w:t>②维护档案：</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供应商要为维保软硬件建立相应维护档案，记录其详细配置及使用情况。每次巡检填写巡检表，记录运行情况</w:t>
      </w:r>
      <w:r>
        <w:rPr>
          <w:rFonts w:hint="eastAsia" w:ascii="宋体" w:hAnsi="宋体" w:eastAsia="宋体" w:cs="宋体"/>
          <w:sz w:val="21"/>
          <w:szCs w:val="21"/>
          <w:lang w:eastAsia="zh-CN"/>
        </w:rPr>
        <w:t>；</w:t>
      </w:r>
      <w:r>
        <w:rPr>
          <w:rFonts w:hint="eastAsia" w:ascii="宋体" w:hAnsi="宋体" w:eastAsia="宋体" w:cs="宋体"/>
          <w:sz w:val="21"/>
          <w:szCs w:val="21"/>
        </w:rPr>
        <w:t>每次系统调整，记录配置变动情况;每次故障处理，填写服务记录表，记录故障的现象、原因和处理过程。</w:t>
      </w:r>
    </w:p>
    <w:p w14:paraId="4B16EE95">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sz w:val="21"/>
          <w:szCs w:val="21"/>
        </w:rPr>
      </w:pPr>
      <w:r>
        <w:rPr>
          <w:rFonts w:hint="eastAsia" w:ascii="宋体" w:hAnsi="宋体" w:eastAsia="宋体" w:cs="宋体"/>
          <w:b/>
          <w:bCs/>
          <w:sz w:val="21"/>
          <w:szCs w:val="21"/>
        </w:rPr>
        <w:t>③半年总结报告：</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供应商每半年根据维保期内软硬件系统维护情况提供一份全面的运维状况总结报告</w:t>
      </w:r>
      <w:r>
        <w:rPr>
          <w:rFonts w:hint="eastAsia" w:ascii="宋体" w:hAnsi="宋体" w:eastAsia="宋体" w:cs="宋体"/>
          <w:sz w:val="21"/>
          <w:szCs w:val="21"/>
          <w:lang w:eastAsia="zh-CN"/>
        </w:rPr>
        <w:t>，</w:t>
      </w:r>
      <w:r>
        <w:rPr>
          <w:rFonts w:hint="eastAsia" w:ascii="宋体" w:hAnsi="宋体" w:eastAsia="宋体" w:cs="宋体"/>
          <w:sz w:val="21"/>
          <w:szCs w:val="21"/>
        </w:rPr>
        <w:t>加盖公章，交采购人备案。</w:t>
      </w:r>
    </w:p>
    <w:p w14:paraId="74BBE821">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rPr>
        <w:t>（5）服务</w:t>
      </w:r>
      <w:r>
        <w:rPr>
          <w:rFonts w:hint="eastAsia" w:ascii="宋体" w:hAnsi="宋体" w:eastAsia="宋体" w:cs="宋体"/>
          <w:b/>
          <w:bCs/>
          <w:sz w:val="21"/>
          <w:szCs w:val="21"/>
          <w:highlight w:val="none"/>
        </w:rPr>
        <w:t>响应要求：</w:t>
      </w:r>
    </w:p>
    <w:p w14:paraId="1E83D247">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sz w:val="21"/>
          <w:szCs w:val="21"/>
        </w:rPr>
      </w:pPr>
      <w:r>
        <w:rPr>
          <w:rFonts w:hint="eastAsia" w:ascii="宋体" w:hAnsi="宋体" w:eastAsia="宋体" w:cs="宋体"/>
          <w:b/>
          <w:bCs/>
          <w:sz w:val="21"/>
          <w:szCs w:val="21"/>
          <w:highlight w:val="none"/>
        </w:rPr>
        <w:t>1）电话支持响应：</w:t>
      </w:r>
      <w:r>
        <w:rPr>
          <w:rFonts w:hint="eastAsia" w:ascii="宋体" w:hAnsi="宋体" w:eastAsia="宋体" w:cs="宋体"/>
          <w:sz w:val="21"/>
          <w:szCs w:val="21"/>
          <w:highlight w:val="none"/>
        </w:rPr>
        <w:t>要求</w:t>
      </w:r>
      <w:bookmarkStart w:id="34" w:name="_Hlk79671561"/>
      <w:r>
        <w:rPr>
          <w:rFonts w:hint="eastAsia" w:ascii="宋体" w:hAnsi="宋体" w:eastAsia="宋体" w:cs="宋体"/>
          <w:sz w:val="21"/>
          <w:szCs w:val="21"/>
          <w:highlight w:val="none"/>
        </w:rPr>
        <w:t>提供7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24不间断的电话服务支持，不限次。</w:t>
      </w:r>
      <w:bookmarkEnd w:id="34"/>
      <w:r>
        <w:rPr>
          <w:rFonts w:hint="eastAsia" w:ascii="宋体" w:hAnsi="宋体" w:eastAsia="宋体" w:cs="宋体"/>
          <w:sz w:val="21"/>
          <w:szCs w:val="21"/>
          <w:highlight w:val="none"/>
        </w:rPr>
        <w:t>采购人工作人员在使用维保范围内的小型机、存储设备、网络安全设备和系统软件等设备如</w:t>
      </w:r>
      <w:r>
        <w:rPr>
          <w:rFonts w:hint="eastAsia" w:ascii="宋体" w:hAnsi="宋体" w:eastAsia="宋体" w:cs="宋体"/>
          <w:sz w:val="21"/>
          <w:szCs w:val="21"/>
        </w:rPr>
        <w:t>遇到问题</w:t>
      </w:r>
      <w:r>
        <w:rPr>
          <w:rFonts w:hint="eastAsia" w:ascii="宋体" w:hAnsi="宋体" w:eastAsia="宋体" w:cs="宋体"/>
          <w:sz w:val="21"/>
          <w:szCs w:val="21"/>
          <w:lang w:eastAsia="zh-CN"/>
        </w:rPr>
        <w:t>，</w:t>
      </w:r>
      <w:r>
        <w:rPr>
          <w:rFonts w:hint="eastAsia" w:ascii="宋体" w:hAnsi="宋体" w:eastAsia="宋体" w:cs="宋体"/>
          <w:sz w:val="21"/>
          <w:szCs w:val="21"/>
        </w:rPr>
        <w:t>无论是软件或硬件</w:t>
      </w:r>
      <w:r>
        <w:rPr>
          <w:rFonts w:hint="eastAsia" w:ascii="宋体" w:hAnsi="宋体" w:eastAsia="宋体" w:cs="宋体"/>
          <w:sz w:val="21"/>
          <w:szCs w:val="21"/>
          <w:lang w:eastAsia="zh-CN"/>
        </w:rPr>
        <w:t>，</w:t>
      </w:r>
      <w:r>
        <w:rPr>
          <w:rFonts w:hint="eastAsia" w:ascii="宋体" w:hAnsi="宋体" w:eastAsia="宋体" w:cs="宋体"/>
          <w:sz w:val="21"/>
          <w:szCs w:val="21"/>
        </w:rPr>
        <w:t>都随时可以从</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供应商处得到电话支持与帮助。</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供应商需指定一名主要联系人及两名替补联系人与采购人联系。一旦接到采购人请求电话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供应商的技术人员将在规定时间内通过电话解决或回答采购人所提出的问题。若</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供应商指定工程师如果因特殊原因离职或更换电话，及时通知采购人，并指定合格的接替人员。</w:t>
      </w:r>
    </w:p>
    <w:p w14:paraId="7A1A04A7">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sz w:val="21"/>
          <w:szCs w:val="21"/>
        </w:rPr>
      </w:pPr>
      <w:r>
        <w:rPr>
          <w:rFonts w:hint="eastAsia" w:ascii="宋体" w:hAnsi="宋体" w:eastAsia="宋体" w:cs="宋体"/>
          <w:b/>
          <w:bCs/>
          <w:sz w:val="21"/>
          <w:szCs w:val="21"/>
        </w:rPr>
        <w:t>2）</w:t>
      </w:r>
      <w:bookmarkStart w:id="35" w:name="_Hlk79671599"/>
      <w:r>
        <w:rPr>
          <w:rFonts w:hint="eastAsia" w:ascii="宋体" w:hAnsi="宋体" w:eastAsia="宋体" w:cs="宋体"/>
          <w:b/>
          <w:bCs/>
          <w:sz w:val="21"/>
          <w:szCs w:val="21"/>
        </w:rPr>
        <w:t>现场维护响应：</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供应商接到采购人故障呼叫后，要及时派相关认证工程师（不含驻场工程师，以下类同）做现场服务，现场服务次数和时间不限。</w:t>
      </w:r>
    </w:p>
    <w:p w14:paraId="65EA0EE2">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①对于关键性问题（影响采购人业务正常运作的故障）：</w:t>
      </w:r>
    </w:p>
    <w:p w14:paraId="736D8957">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响应时间：1～30分钟；</w:t>
      </w:r>
    </w:p>
    <w:p w14:paraId="3C435D59">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到场时间：2小时内到达现场；</w:t>
      </w:r>
    </w:p>
    <w:p w14:paraId="2BD39935">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修复时间：3小时内修复。</w:t>
      </w:r>
    </w:p>
    <w:p w14:paraId="43BA720E">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②对于一般问题（不影响采购人业务正常运作的故障）：</w:t>
      </w:r>
    </w:p>
    <w:p w14:paraId="0AAC9AD5">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响应时间：1～30分钟；</w:t>
      </w:r>
    </w:p>
    <w:p w14:paraId="11696AD9">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到场时间：4小时内到达现场；</w:t>
      </w:r>
    </w:p>
    <w:p w14:paraId="2B220787">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修复时间：8小时内修复。</w:t>
      </w:r>
      <w:bookmarkEnd w:id="35"/>
    </w:p>
    <w:p w14:paraId="5734451A">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③在规定的时间内无法修复系统，</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供应商须及时采取应急措施（如提供备件更换），保证24小时内将备件更换上，确保系统的正常运行。</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供应商要确保由于本次维保软硬件出故障而引起采购人关键系统的停机时间不得大于8小时/年。</w:t>
      </w:r>
    </w:p>
    <w:p w14:paraId="09B8BCAB">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（6）其他要求：</w:t>
      </w:r>
    </w:p>
    <w:p w14:paraId="30D793C9">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1）当有紧急故障发生时，</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供应商技术人员一般应在到达现场后3小时内修复故障设备，并使设备重新恢复正常运行。并且</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供应商技术人员在修复故障后，应继续留在现场、分析检查故障原因、解答采购人有关技术咨询，直到征得采购人同意并确认系统完全没有问题时，方可离开。服务更换的零部件必须是原厂商生产或认可的产品。</w:t>
      </w:r>
    </w:p>
    <w:p w14:paraId="11E68A77">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供应商技术人员在排除故障、维护服务时应不影响其它系统的正常运行。</w:t>
      </w:r>
    </w:p>
    <w:p w14:paraId="7B9F147D">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供应商维保需更换的软硬件必须是现成、成熟、可用的，不能影响采购人现有业务应用管理系统的正常运行。</w:t>
      </w:r>
    </w:p>
    <w:p w14:paraId="511F4D25">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4）由于</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供应商工作人员的过失、不能履行有关维保服务工作或蓄意破坏，造成采购人数据资源丢失、业务不能有效开展或其他严重影响采购人利益的，</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供应商必须承担全部经济和法律责任。</w:t>
      </w:r>
    </w:p>
    <w:p w14:paraId="1698C80A">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供应商工作人员必须对工作中所涉及的各类系统技术信息及数据信息资源保守秘密。</w:t>
      </w:r>
    </w:p>
    <w:p w14:paraId="32164A6B">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6）针对复杂的问题，即难以确认为硬件、软件，还是应用的问题，需要有关几方面共同到达现场，分析解决问题。</w:t>
      </w:r>
    </w:p>
    <w:p w14:paraId="642348EF">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sz w:val="21"/>
          <w:szCs w:val="21"/>
        </w:rPr>
      </w:pPr>
      <w:r>
        <w:rPr>
          <w:rFonts w:hint="eastAsia" w:ascii="宋体" w:hAnsi="宋体" w:eastAsia="宋体" w:cs="宋体"/>
          <w:b/>
          <w:bCs/>
          <w:sz w:val="21"/>
          <w:szCs w:val="21"/>
        </w:rPr>
        <w:t>（7）应急保障：</w:t>
      </w:r>
      <w:r>
        <w:rPr>
          <w:rFonts w:hint="eastAsia" w:ascii="宋体" w:hAnsi="宋体" w:eastAsia="宋体" w:cs="宋体"/>
          <w:sz w:val="21"/>
          <w:szCs w:val="21"/>
        </w:rPr>
        <w:t>当</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供应商技术或备件能力不能满足采购人维保需要，并在承诺时间内无法修复故障时，采购人有权请任何第三方公司进行维保，由此产生的一切费用，由</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供应商承担。</w:t>
      </w:r>
    </w:p>
    <w:p w14:paraId="5BAB4650">
      <w:pPr>
        <w:keepNext w:val="0"/>
        <w:keepLines w:val="0"/>
        <w:pageBreakBefore w:val="0"/>
        <w:widowControl w:val="0"/>
        <w:kinsoku/>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（8）项目团队要求：</w:t>
      </w:r>
    </w:p>
    <w:p w14:paraId="4CC9A5B6">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1）项目经理：熟悉本项目设备运维及相应系统的技术维护设计方案，熟悉网络安全和系统结构，有</w:t>
      </w:r>
      <w:r>
        <w:rPr>
          <w:rFonts w:hint="eastAsia" w:ascii="宋体" w:hAnsi="宋体" w:eastAsia="宋体" w:cs="宋体"/>
          <w:sz w:val="21"/>
          <w:szCs w:val="21"/>
          <w:lang w:val="en-US" w:eastAsia="zh-CN"/>
        </w:rPr>
        <w:t>丰富的</w:t>
      </w:r>
      <w:r>
        <w:rPr>
          <w:rFonts w:hint="default" w:ascii="宋体" w:hAnsi="宋体" w:eastAsia="宋体" w:cs="宋体"/>
          <w:sz w:val="21"/>
          <w:szCs w:val="21"/>
          <w:lang w:val="en-US"/>
        </w:rPr>
        <w:t>所负责</w:t>
      </w:r>
      <w:r>
        <w:rPr>
          <w:rFonts w:hint="eastAsia" w:ascii="宋体" w:hAnsi="宋体" w:eastAsia="宋体" w:cs="宋体"/>
          <w:sz w:val="21"/>
          <w:szCs w:val="21"/>
        </w:rPr>
        <w:t>工作的现场工作经验。</w:t>
      </w:r>
    </w:p>
    <w:p w14:paraId="5C8C0F35">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2）采购人有权要求更换不称职的响应供应商现场技术服务人员，</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供应商应及时更换。</w:t>
      </w:r>
    </w:p>
    <w:p w14:paraId="3E42B453">
      <w:pPr>
        <w:pStyle w:val="8"/>
        <w:keepNext w:val="0"/>
        <w:keepLines w:val="0"/>
        <w:pageBreakBefore w:val="0"/>
        <w:widowControl w:val="0"/>
        <w:tabs>
          <w:tab w:val="left" w:pos="208"/>
        </w:tabs>
        <w:kinsoku/>
        <w:wordWrap w:val="0"/>
        <w:overflowPunct/>
        <w:topLinePunct w:val="0"/>
        <w:bidi w:val="0"/>
        <w:spacing w:after="0"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供应商需设立至少10人及以上的</w:t>
      </w:r>
      <w:r>
        <w:rPr>
          <w:rFonts w:hint="eastAsia" w:ascii="宋体" w:hAnsi="宋体" w:eastAsia="宋体" w:cs="宋体"/>
          <w:sz w:val="21"/>
          <w:szCs w:val="21"/>
          <w:lang w:val="en-US" w:bidi="ar"/>
        </w:rPr>
        <w:t>项目组成员</w:t>
      </w:r>
      <w:r>
        <w:rPr>
          <w:rFonts w:hint="eastAsia" w:ascii="宋体" w:hAnsi="宋体" w:eastAsia="宋体" w:cs="宋体"/>
          <w:sz w:val="21"/>
          <w:szCs w:val="21"/>
        </w:rPr>
        <w:t>，在项目服务期限结束前，未经采购人同意，不得</w:t>
      </w:r>
      <w:r>
        <w:rPr>
          <w:rFonts w:hint="eastAsia" w:ascii="宋体" w:hAnsi="宋体" w:eastAsia="宋体" w:cs="宋体"/>
          <w:sz w:val="21"/>
          <w:szCs w:val="21"/>
          <w:lang w:val="en-US"/>
        </w:rPr>
        <w:t>更换项目团队</w:t>
      </w:r>
      <w:r>
        <w:rPr>
          <w:rFonts w:hint="eastAsia" w:ascii="宋体" w:hAnsi="宋体" w:eastAsia="宋体" w:cs="宋体"/>
          <w:sz w:val="21"/>
          <w:szCs w:val="21"/>
          <w:lang w:val="en-US" w:bidi="ar"/>
        </w:rPr>
        <w:t>成员</w:t>
      </w:r>
      <w:r>
        <w:rPr>
          <w:rFonts w:hint="eastAsia" w:ascii="宋体" w:hAnsi="宋体" w:eastAsia="宋体" w:cs="宋体"/>
          <w:sz w:val="21"/>
          <w:szCs w:val="21"/>
        </w:rPr>
        <w:t>，</w:t>
      </w:r>
      <w:r>
        <w:rPr>
          <w:rFonts w:hint="eastAsia" w:ascii="宋体" w:hAnsi="宋体" w:eastAsia="宋体" w:cs="宋体"/>
          <w:sz w:val="21"/>
          <w:szCs w:val="21"/>
          <w:lang w:val="en-US"/>
        </w:rPr>
        <w:t>确需更换的</w:t>
      </w:r>
      <w:r>
        <w:rPr>
          <w:rFonts w:hint="eastAsia" w:ascii="宋体" w:hAnsi="宋体" w:eastAsia="宋体" w:cs="宋体"/>
          <w:sz w:val="21"/>
          <w:szCs w:val="21"/>
        </w:rPr>
        <w:t>，需安排经采购人认可的同等档次</w:t>
      </w:r>
      <w:r>
        <w:rPr>
          <w:rFonts w:hint="eastAsia" w:ascii="宋体" w:hAnsi="宋体" w:eastAsia="宋体" w:cs="宋体"/>
          <w:sz w:val="21"/>
          <w:szCs w:val="21"/>
          <w:lang w:val="en-US"/>
        </w:rPr>
        <w:t>及以上</w:t>
      </w:r>
      <w:r>
        <w:rPr>
          <w:rFonts w:hint="eastAsia" w:ascii="宋体" w:hAnsi="宋体" w:eastAsia="宋体" w:cs="宋体"/>
          <w:sz w:val="21"/>
          <w:szCs w:val="21"/>
        </w:rPr>
        <w:t>人员担任并提交在职社保证明。</w:t>
      </w:r>
    </w:p>
    <w:p w14:paraId="63E5A31B">
      <w:pPr>
        <w:keepNext w:val="0"/>
        <w:keepLines w:val="0"/>
        <w:pageBreakBefore w:val="0"/>
        <w:widowControl w:val="0"/>
        <w:kinsoku/>
        <w:wordWrap w:val="0"/>
        <w:overflowPunct/>
        <w:topLinePunct w:val="0"/>
        <w:bidi w:val="0"/>
        <w:spacing w:line="288" w:lineRule="auto"/>
        <w:ind w:leftChars="0"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（9）培训要求：</w:t>
      </w:r>
    </w:p>
    <w:p w14:paraId="7B6114AE">
      <w:pPr>
        <w:keepNext w:val="0"/>
        <w:keepLines w:val="0"/>
        <w:pageBreakBefore w:val="0"/>
        <w:widowControl w:val="0"/>
        <w:kinsoku/>
        <w:wordWrap w:val="0"/>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供应商负责对采购</w:t>
      </w:r>
      <w:r>
        <w:rPr>
          <w:rFonts w:hint="eastAsia" w:ascii="宋体" w:hAnsi="宋体" w:eastAsia="宋体" w:cs="宋体"/>
          <w:sz w:val="21"/>
          <w:szCs w:val="21"/>
          <w:lang w:val="en-US" w:eastAsia="zh-CN"/>
        </w:rPr>
        <w:t>人</w:t>
      </w:r>
      <w:r>
        <w:rPr>
          <w:rFonts w:hint="eastAsia" w:ascii="宋体" w:hAnsi="宋体" w:eastAsia="宋体" w:cs="宋体"/>
          <w:sz w:val="21"/>
          <w:szCs w:val="21"/>
        </w:rPr>
        <w:t xml:space="preserve">相关人员进行培训。 </w:t>
      </w:r>
    </w:p>
    <w:p w14:paraId="350A21BA">
      <w:pPr>
        <w:keepNext w:val="0"/>
        <w:keepLines w:val="0"/>
        <w:pageBreakBefore w:val="0"/>
        <w:widowControl w:val="0"/>
        <w:kinsoku/>
        <w:wordWrap w:val="0"/>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2）培训地点：具体由采购人指定。</w:t>
      </w:r>
    </w:p>
    <w:p w14:paraId="33FD0E1B">
      <w:pPr>
        <w:keepNext w:val="0"/>
        <w:keepLines w:val="0"/>
        <w:pageBreakBefore w:val="0"/>
        <w:widowControl w:val="0"/>
        <w:kinsoku/>
        <w:wordWrap w:val="0"/>
        <w:overflowPunct/>
        <w:topLinePunct w:val="0"/>
        <w:bidi w:val="0"/>
        <w:spacing w:line="288" w:lineRule="auto"/>
        <w:ind w:leftChars="0" w:firstLine="48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3）供应商应提供相应的培训计划，详细说明培训方式、内容。</w:t>
      </w:r>
    </w:p>
    <w:p w14:paraId="5C91A022">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p>
    <w:p w14:paraId="264BFB91">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3.2 网络安全等级保护测评</w:t>
      </w:r>
    </w:p>
    <w:p w14:paraId="13B2CCCA">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3.2.1 测评内容</w:t>
      </w:r>
    </w:p>
    <w:p w14:paraId="69267B73">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本次项目信息安全等级保护测评为二级系统，具体包括：</w:t>
      </w:r>
    </w:p>
    <w:p w14:paraId="3007DC4F">
      <w:pPr>
        <w:keepNext w:val="0"/>
        <w:keepLines w:val="0"/>
        <w:pageBreakBefore w:val="0"/>
        <w:widowControl w:val="0"/>
        <w:numPr>
          <w:ilvl w:val="0"/>
          <w:numId w:val="0"/>
        </w:numPr>
        <w:kinsoku/>
        <w:overflowPunct/>
        <w:topLinePunct w:val="0"/>
        <w:bidi w:val="0"/>
        <w:spacing w:line="288" w:lineRule="auto"/>
        <w:ind w:left="0" w:leftChars="0" w:firstLine="48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门户网站系统；</w:t>
      </w:r>
    </w:p>
    <w:p w14:paraId="0F15CE9B">
      <w:pPr>
        <w:keepNext w:val="0"/>
        <w:keepLines w:val="0"/>
        <w:pageBreakBefore w:val="0"/>
        <w:widowControl w:val="0"/>
        <w:numPr>
          <w:ilvl w:val="0"/>
          <w:numId w:val="0"/>
        </w:numPr>
        <w:kinsoku/>
        <w:overflowPunct/>
        <w:topLinePunct w:val="0"/>
        <w:bidi w:val="0"/>
        <w:spacing w:line="288" w:lineRule="auto"/>
        <w:ind w:left="0" w:leftChars="0" w:firstLine="48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教学科研系统；</w:t>
      </w:r>
    </w:p>
    <w:p w14:paraId="7852230B">
      <w:pPr>
        <w:keepNext w:val="0"/>
        <w:keepLines w:val="0"/>
        <w:pageBreakBefore w:val="0"/>
        <w:widowControl w:val="0"/>
        <w:numPr>
          <w:ilvl w:val="0"/>
          <w:numId w:val="0"/>
        </w:numPr>
        <w:kinsoku/>
        <w:overflowPunct/>
        <w:topLinePunct w:val="0"/>
        <w:bidi w:val="0"/>
        <w:spacing w:line="288" w:lineRule="auto"/>
        <w:ind w:left="0" w:leftChars="0" w:firstLine="48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校务管理系统；</w:t>
      </w:r>
    </w:p>
    <w:p w14:paraId="0CE2362E">
      <w:pPr>
        <w:keepNext w:val="0"/>
        <w:keepLines w:val="0"/>
        <w:pageBreakBefore w:val="0"/>
        <w:widowControl w:val="0"/>
        <w:numPr>
          <w:ilvl w:val="0"/>
          <w:numId w:val="0"/>
        </w:numPr>
        <w:kinsoku/>
        <w:overflowPunct/>
        <w:topLinePunct w:val="0"/>
        <w:bidi w:val="0"/>
        <w:spacing w:line="288" w:lineRule="auto"/>
        <w:ind w:left="0" w:leftChars="0" w:firstLine="48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综合服务系统。</w:t>
      </w:r>
    </w:p>
    <w:p w14:paraId="5B3F0126">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根据浙江经济职业技术学院信息系统的安全保护等级，并依据《GB/T22239-2019信息安全技术网络安全等级保护基本要求》《信息系统安全等级保护测评要求》的条款要求，逐一对信息系统的安全保护等级进行测评，测评的内容包括但不限于以下内容：</w:t>
      </w:r>
    </w:p>
    <w:p w14:paraId="1B33E40A">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1.安全技术测评：包括安全物理环境、安全通信网络、安全区域边界、安全计算环境和安全管理中心等五个方面的安全测评；</w:t>
      </w:r>
    </w:p>
    <w:p w14:paraId="7416ECDD">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2.安全管理测评：包括安全管理制度、安全管理机构、安全管理人员、安全建设管理和安全运维管理等五个方面的安全测评。</w:t>
      </w:r>
    </w:p>
    <w:p w14:paraId="561E89DD">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p>
    <w:p w14:paraId="0381FE3E">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3.2.2 测评要求</w:t>
      </w:r>
    </w:p>
    <w:p w14:paraId="73E606FA">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应在对采购人系统详细了解的基础上，编制针对性的等级保护测评整体实施方案，包括项目概述、等保测评范围和内容、项目实施流程、测试过程中需使用测试设备清单、时间安排、阶段性文档提交和验收标准等。</w:t>
      </w:r>
    </w:p>
    <w:p w14:paraId="76F794FA">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2.供应商应详细描述测评人员的组成、资质及各自职责的划分。配置有经验的测评人员进行本次等级保护测评工作。</w:t>
      </w:r>
    </w:p>
    <w:p w14:paraId="0C822D9A">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3.本次等级保护测评实施过程中所使用到的各种工具软件由供应商推荐，经采购人确认后由供应商提供并在测评中使用。在响应文件中应详细描述所使用的安全测评工具（软硬件型号、功能和性能描述）、使用的方式和时间、对环境和平台的要求以及使用可能对系统造成的风险等。</w:t>
      </w:r>
    </w:p>
    <w:p w14:paraId="3BB1B614">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4.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14:paraId="511F5C6A">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5.供应商应详细描述需要的运行环境的具体要求。</w:t>
      </w:r>
    </w:p>
    <w:p w14:paraId="69719600">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6.项目完成后必须提交完整的技术文档、测评报告、整改建议等，并负责对相关人员进行培训。</w:t>
      </w:r>
    </w:p>
    <w:p w14:paraId="51DFDE60">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3.2.3 项目实施要求</w:t>
      </w:r>
    </w:p>
    <w:p w14:paraId="578D48BF">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1.供应商应保证</w:t>
      </w:r>
      <w:r>
        <w:rPr>
          <w:rFonts w:hint="eastAsia" w:ascii="宋体" w:hAnsi="宋体" w:eastAsia="宋体" w:cs="宋体"/>
          <w:sz w:val="21"/>
          <w:szCs w:val="21"/>
          <w:lang w:val="en-US" w:eastAsia="zh-CN"/>
        </w:rPr>
        <w:t>响应</w:t>
      </w:r>
      <w:r>
        <w:rPr>
          <w:rFonts w:hint="eastAsia" w:ascii="宋体" w:hAnsi="宋体" w:eastAsia="宋体" w:cs="宋体"/>
          <w:sz w:val="21"/>
          <w:szCs w:val="21"/>
        </w:rPr>
        <w:t>项目在采购人条件成熟时应立即开展实施。</w:t>
      </w:r>
    </w:p>
    <w:p w14:paraId="66E060D0">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供应商在项目实施过程中应服从采购人的统一领导和协调，采购人有权裁决供应商的责任范围，供应商必须执行，在采购人限定的时间内解决问题。如果供应商不能按时完成测评内容，采购人有权中止项目、索赔或拒付款项。</w:t>
      </w:r>
    </w:p>
    <w:p w14:paraId="234A4527">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3.供应商需根据自己的工程实施经验结合采购人的实际需求进一步细化和完善工作任务书，作为工程实施的指导性文件。</w:t>
      </w:r>
    </w:p>
    <w:p w14:paraId="6EA0E1E0">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供应商应根据采购人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3FF94E70">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5.供应商</w:t>
      </w:r>
      <w:r>
        <w:rPr>
          <w:rFonts w:hint="eastAsia" w:ascii="宋体" w:hAnsi="宋体" w:eastAsia="宋体" w:cs="宋体"/>
          <w:sz w:val="21"/>
          <w:szCs w:val="21"/>
          <w:highlight w:val="none"/>
        </w:rPr>
        <w:t>应负责配合采购人制定相关验收标准，并完成工程实施等验收工作。</w:t>
      </w:r>
    </w:p>
    <w:p w14:paraId="445D9A43">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6.为便于采购人建立一套规范的信息安全管理体系，供应商应具备信息安全管理体系认证资质。在整改过程中，如需现场服务，供应商技术人员应赶到现场协助处理。</w:t>
      </w:r>
    </w:p>
    <w:p w14:paraId="2339D874">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7.项目验收完成后，要求提供为期一年的技术咨询服务，以保证项目正常运行。</w:t>
      </w:r>
    </w:p>
    <w:p w14:paraId="0CBDBDA6">
      <w:pPr>
        <w:pStyle w:val="5"/>
        <w:keepNext w:val="0"/>
        <w:keepLines w:val="0"/>
        <w:pageBreakBefore w:val="0"/>
        <w:widowControl w:val="0"/>
        <w:kinsoku/>
        <w:overflowPunct/>
        <w:topLinePunct w:val="0"/>
        <w:bidi w:val="0"/>
        <w:spacing w:after="0" w:line="288" w:lineRule="auto"/>
        <w:ind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8.</w:t>
      </w:r>
      <w:r>
        <w:rPr>
          <w:rFonts w:hint="eastAsia" w:ascii="宋体" w:hAnsi="宋体" w:eastAsia="宋体" w:cs="宋体"/>
          <w:b/>
          <w:bCs/>
          <w:sz w:val="21"/>
          <w:szCs w:val="21"/>
          <w:highlight w:val="none"/>
        </w:rPr>
        <w:t>所有测评及备案工作应在2025年3月前完成，现场测评完成并经学校整改完成后测评公司安排复测，直至出具符合公安要求的测评报告。</w:t>
      </w:r>
    </w:p>
    <w:p w14:paraId="01D78BF3">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highlight w:val="none"/>
          <w:lang w:val="en-US" w:eastAsia="zh-CN"/>
        </w:rPr>
      </w:pPr>
    </w:p>
    <w:p w14:paraId="72447A09">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3.2.4 项目验收成果</w:t>
      </w:r>
    </w:p>
    <w:p w14:paraId="17721B2C">
      <w:pPr>
        <w:keepNext w:val="0"/>
        <w:keepLines w:val="0"/>
        <w:pageBreakBefore w:val="0"/>
        <w:widowControl w:val="0"/>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指定本项目的技术服务成果为以下形式的技术资料输出或成果：</w:t>
      </w:r>
    </w:p>
    <w:p w14:paraId="553C9023">
      <w:pPr>
        <w:keepNext w:val="0"/>
        <w:keepLines w:val="0"/>
        <w:pageBreakBefore w:val="0"/>
        <w:widowControl w:val="0"/>
        <w:numPr>
          <w:ilvl w:val="0"/>
          <w:numId w:val="1"/>
        </w:numPr>
        <w:kinsoku/>
        <w:overflowPunct/>
        <w:topLinePunct w:val="0"/>
        <w:bidi w:val="0"/>
        <w:spacing w:line="288" w:lineRule="auto"/>
        <w:ind w:leftChars="0" w:firstLine="480"/>
        <w:textAlignment w:val="auto"/>
        <w:rPr>
          <w:rFonts w:hint="eastAsia" w:ascii="宋体" w:hAnsi="宋体" w:eastAsia="宋体" w:cs="宋体"/>
          <w:sz w:val="21"/>
          <w:szCs w:val="21"/>
        </w:rPr>
      </w:pPr>
      <w:r>
        <w:rPr>
          <w:rFonts w:hint="eastAsia" w:ascii="宋体" w:hAnsi="宋体" w:eastAsia="宋体" w:cs="宋体"/>
          <w:sz w:val="21"/>
          <w:szCs w:val="21"/>
        </w:rPr>
        <w:t>等级保护测评报告（每系统一份）</w:t>
      </w:r>
    </w:p>
    <w:p w14:paraId="11AB10CE">
      <w:pPr>
        <w:keepNext w:val="0"/>
        <w:keepLines w:val="0"/>
        <w:pageBreakBefore w:val="0"/>
        <w:widowControl w:val="0"/>
        <w:numPr>
          <w:ilvl w:val="0"/>
          <w:numId w:val="1"/>
        </w:numPr>
        <w:kinsoku/>
        <w:overflowPunct/>
        <w:topLinePunct w:val="0"/>
        <w:bidi w:val="0"/>
        <w:spacing w:line="288" w:lineRule="auto"/>
        <w:ind w:left="0" w:leftChars="0" w:firstLine="480" w:firstLineChars="0"/>
        <w:textAlignment w:val="auto"/>
        <w:rPr>
          <w:rFonts w:hint="eastAsia" w:ascii="宋体" w:hAnsi="宋体" w:eastAsia="宋体" w:cs="宋体"/>
          <w:sz w:val="21"/>
          <w:szCs w:val="21"/>
        </w:rPr>
      </w:pPr>
      <w:r>
        <w:rPr>
          <w:rFonts w:hint="eastAsia" w:ascii="宋体" w:hAnsi="宋体" w:eastAsia="宋体" w:cs="宋体"/>
          <w:sz w:val="21"/>
          <w:szCs w:val="21"/>
        </w:rPr>
        <w:t>等级保护整改建议书（每系统一份）</w:t>
      </w:r>
    </w:p>
    <w:p w14:paraId="5A645613">
      <w:pPr>
        <w:keepNext w:val="0"/>
        <w:keepLines w:val="0"/>
        <w:pageBreakBefore w:val="0"/>
        <w:widowControl w:val="0"/>
        <w:numPr>
          <w:ilvl w:val="0"/>
          <w:numId w:val="1"/>
        </w:numPr>
        <w:kinsoku/>
        <w:overflowPunct/>
        <w:topLinePunct w:val="0"/>
        <w:bidi w:val="0"/>
        <w:spacing w:line="288" w:lineRule="auto"/>
        <w:ind w:left="0" w:leftChars="0" w:firstLine="480" w:firstLineChars="0"/>
        <w:textAlignment w:val="auto"/>
        <w:rPr>
          <w:rFonts w:hint="eastAsia" w:ascii="宋体" w:hAnsi="宋体" w:eastAsia="宋体" w:cs="宋体"/>
          <w:sz w:val="21"/>
          <w:szCs w:val="21"/>
        </w:rPr>
      </w:pPr>
      <w:r>
        <w:rPr>
          <w:rFonts w:hint="eastAsia" w:ascii="宋体" w:hAnsi="宋体" w:eastAsia="宋体" w:cs="宋体"/>
          <w:sz w:val="21"/>
          <w:szCs w:val="21"/>
        </w:rPr>
        <w:t>等级保护测评过程文档（甲方保存归档）</w:t>
      </w:r>
    </w:p>
    <w:p w14:paraId="24BBC207">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测评工作结束后，协助采购方在当地所属公安部门完成系统的备案工作。</w:t>
      </w:r>
    </w:p>
    <w:p w14:paraId="3EB22F75">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p>
    <w:p w14:paraId="03177B20">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3.2.5 测评应满足的原则</w:t>
      </w:r>
    </w:p>
    <w:p w14:paraId="76BACD13">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本次安全保护等级保护测评实施方案设计与具体实施应满足以下原则：</w:t>
      </w:r>
    </w:p>
    <w:p w14:paraId="01DE8632">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1.标准性原则：测评方案的设计与实施应依据国家等级保护的相关标准进行。</w:t>
      </w:r>
    </w:p>
    <w:p w14:paraId="2589EF80">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2.规范性原则：供应商的工作中的过程和文档，具有很好的规范性，可以便于项目的跟踪和控制。</w:t>
      </w:r>
    </w:p>
    <w:p w14:paraId="73D68153">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3.可控性原则：测评服务的进度要跟上进度表的安排，保证谈判人对于测评工作的可控性。</w:t>
      </w:r>
    </w:p>
    <w:p w14:paraId="68958B96">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4.整体性原则：测评的范围和内容应当整体全面，包括国家等级保护相关要求涉及的各个层面。</w:t>
      </w:r>
    </w:p>
    <w:p w14:paraId="40B334BC">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5.最小影响原则：测评工作应尽可能小的影响系统和网络，并在可控范围内；测评工作不能对现有信息系统的正常运行、业务的正常开展产生任何影响。</w:t>
      </w:r>
    </w:p>
    <w:p w14:paraId="3A5C0FB5">
      <w:pPr>
        <w:keepNext w:val="0"/>
        <w:keepLines w:val="0"/>
        <w:pageBreakBefore w:val="0"/>
        <w:widowControl w:val="0"/>
        <w:kinsoku/>
        <w:overflowPunct/>
        <w:topLinePunct w:val="0"/>
        <w:bidi w:val="0"/>
        <w:spacing w:line="288"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密性原则：供应商应与采购人签订等级保护测评保密协议，对测评的过程数据和结果数据严格保密，未经授权不得泄露给任何单位和个人，不得利用此数据侵害采购人的权益，否则采购人有权追究应答人的责任。</w:t>
      </w:r>
    </w:p>
    <w:p w14:paraId="071F852D">
      <w:pPr>
        <w:pStyle w:val="5"/>
        <w:keepNext w:val="0"/>
        <w:keepLines w:val="0"/>
        <w:pageBreakBefore w:val="0"/>
        <w:widowControl w:val="0"/>
        <w:kinsoku/>
        <w:overflowPunct/>
        <w:topLinePunct w:val="0"/>
        <w:bidi w:val="0"/>
        <w:spacing w:after="0" w:line="288" w:lineRule="auto"/>
        <w:ind w:lef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供应商应严格依照上述原则和国家等级保护相关标准开展项目实施工作。</w:t>
      </w:r>
    </w:p>
    <w:p w14:paraId="04D60D96">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p>
    <w:p w14:paraId="703EDE64">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3.2.6 保密要求</w:t>
      </w:r>
    </w:p>
    <w:p w14:paraId="75B96BBB">
      <w:pPr>
        <w:pStyle w:val="5"/>
        <w:keepNext w:val="0"/>
        <w:keepLines w:val="0"/>
        <w:pageBreakBefore w:val="0"/>
        <w:widowControl w:val="0"/>
        <w:kinsoku/>
        <w:overflowPunct/>
        <w:topLinePunct w:val="0"/>
        <w:bidi w:val="0"/>
        <w:spacing w:after="0" w:line="288" w:lineRule="auto"/>
        <w:ind w:lef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供应商必须和采购人签订保密协议和非侵害性协议，供应商在合同签订时必须要与参加此次测评项目的所有项目组成员签订保密协议和非侵害性协议。</w:t>
      </w:r>
    </w:p>
    <w:p w14:paraId="559F97AF">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p>
    <w:p w14:paraId="29E21C4F">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3.3 网络安全运维服务</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0"/>
        <w:gridCol w:w="5655"/>
        <w:gridCol w:w="1095"/>
        <w:gridCol w:w="1128"/>
      </w:tblGrid>
      <w:tr w14:paraId="6398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7197C5E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064860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服务内容</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14:paraId="371FEC30">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服务描述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6325DB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服务方式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99BA862">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服务频次</w:t>
            </w:r>
          </w:p>
        </w:tc>
      </w:tr>
      <w:tr w14:paraId="60E5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6E9A76A">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14:paraId="672DB415">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驻场服务</w:t>
            </w:r>
          </w:p>
        </w:tc>
        <w:tc>
          <w:tcPr>
            <w:tcW w:w="5655" w:type="dxa"/>
            <w:tcBorders>
              <w:top w:val="single" w:color="auto" w:sz="4" w:space="0"/>
              <w:left w:val="single" w:color="auto" w:sz="4" w:space="0"/>
              <w:bottom w:val="single" w:color="auto" w:sz="4" w:space="0"/>
              <w:right w:val="single" w:color="auto" w:sz="4" w:space="0"/>
            </w:tcBorders>
            <w:vAlign w:val="center"/>
          </w:tcPr>
          <w:p w14:paraId="69143344">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派驻1名网络安全工程师驻场。</w:t>
            </w:r>
          </w:p>
          <w:p w14:paraId="60812B7D">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rPr>
              <w:t>驻场人员基本要求：</w:t>
            </w:r>
          </w:p>
          <w:p w14:paraId="08FFDECE">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驻场人员应具有如下</w:t>
            </w:r>
            <w:r>
              <w:rPr>
                <w:rFonts w:hint="eastAsia" w:ascii="宋体" w:hAnsi="宋体" w:cs="宋体"/>
                <w:sz w:val="21"/>
                <w:szCs w:val="21"/>
                <w:lang w:val="en-US" w:eastAsia="zh-CN"/>
              </w:rPr>
              <w:t>要求</w:t>
            </w:r>
            <w:r>
              <w:rPr>
                <w:rFonts w:hint="eastAsia" w:ascii="宋体" w:hAnsi="宋体" w:eastAsia="宋体" w:cs="宋体"/>
                <w:sz w:val="21"/>
                <w:szCs w:val="21"/>
                <w:lang w:val="en-US" w:eastAsia="zh-CN"/>
              </w:rPr>
              <w:t>：软考中级网络工程师</w:t>
            </w:r>
            <w:r>
              <w:rPr>
                <w:rFonts w:hint="eastAsia" w:ascii="宋体" w:hAnsi="宋体" w:cs="宋体"/>
                <w:sz w:val="21"/>
                <w:szCs w:val="21"/>
                <w:lang w:val="en-US" w:eastAsia="zh-CN"/>
              </w:rPr>
              <w:t>、本科学历</w:t>
            </w:r>
            <w:r>
              <w:rPr>
                <w:rFonts w:hint="eastAsia" w:ascii="宋体" w:hAnsi="宋体" w:eastAsia="宋体" w:cs="宋体"/>
                <w:sz w:val="21"/>
                <w:szCs w:val="21"/>
                <w:lang w:val="en-US" w:eastAsia="zh-CN"/>
              </w:rPr>
              <w:t>。</w:t>
            </w:r>
          </w:p>
          <w:p w14:paraId="6DCE625B">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）熟悉防火墙、WAF、抗DDOS、态势感知、流量分析仪、IPS、IDS、日志审计系统、数据库审计系统等主流安全设备的日志分析和维护。</w:t>
            </w:r>
          </w:p>
          <w:p w14:paraId="4B880AB6">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）熟悉华为</w:t>
            </w:r>
            <w:r>
              <w:rPr>
                <w:rFonts w:hint="eastAsia" w:ascii="宋体" w:hAnsi="宋体" w:eastAsia="宋体" w:cs="宋体"/>
                <w:sz w:val="21"/>
                <w:szCs w:val="21"/>
                <w:lang w:val="en-US" w:eastAsia="zh-CN"/>
              </w:rPr>
              <w:t>全光</w:t>
            </w:r>
            <w:r>
              <w:rPr>
                <w:rFonts w:hint="eastAsia" w:ascii="宋体" w:hAnsi="宋体" w:eastAsia="宋体" w:cs="宋体"/>
                <w:sz w:val="21"/>
                <w:szCs w:val="21"/>
              </w:rPr>
              <w:t>网络</w:t>
            </w:r>
            <w:r>
              <w:rPr>
                <w:rFonts w:hint="eastAsia" w:ascii="宋体" w:hAnsi="宋体" w:eastAsia="宋体" w:cs="宋体"/>
                <w:sz w:val="21"/>
                <w:szCs w:val="21"/>
                <w:lang w:val="en-US" w:eastAsia="zh-CN"/>
              </w:rPr>
              <w:t>与传统网络</w:t>
            </w:r>
            <w:r>
              <w:rPr>
                <w:rFonts w:hint="eastAsia" w:ascii="宋体" w:hAnsi="宋体" w:eastAsia="宋体" w:cs="宋体"/>
                <w:sz w:val="21"/>
                <w:szCs w:val="21"/>
              </w:rPr>
              <w:t>设备的维护。</w:t>
            </w:r>
          </w:p>
          <w:p w14:paraId="2E56A5C0">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）熟悉大型数据中心的安全运维，对变更流程、事件流程有深刻的理解。</w:t>
            </w:r>
          </w:p>
          <w:p w14:paraId="18E5049F">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）熟悉</w:t>
            </w:r>
            <w:r>
              <w:rPr>
                <w:rFonts w:hint="eastAsia" w:ascii="宋体" w:hAnsi="宋体" w:eastAsia="宋体" w:cs="宋体"/>
                <w:sz w:val="21"/>
                <w:szCs w:val="21"/>
                <w:lang w:val="en-US" w:eastAsia="zh-CN"/>
              </w:rPr>
              <w:t>二</w:t>
            </w:r>
            <w:r>
              <w:rPr>
                <w:rFonts w:hint="eastAsia" w:ascii="宋体" w:hAnsi="宋体" w:eastAsia="宋体" w:cs="宋体"/>
                <w:sz w:val="21"/>
                <w:szCs w:val="21"/>
              </w:rPr>
              <w:t>级等保的网络安全要求，并能根据规范进行整改。</w:t>
            </w:r>
          </w:p>
          <w:p w14:paraId="2C55A510">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）能独立设计网络安全架构，编写实施方案。并协助整改安全隐患。</w:t>
            </w:r>
          </w:p>
          <w:p w14:paraId="36C1D820">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）具有网络WBB安全、APP渗透思路和内网攻击和相应防御能力、系统安全加固能力，简单的代码审计能力。</w:t>
            </w:r>
          </w:p>
          <w:p w14:paraId="0FED5B58">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rPr>
              <w:t>工作内容及要求：</w:t>
            </w:r>
          </w:p>
          <w:p w14:paraId="5F7682B7">
            <w:pPr>
              <w:pStyle w:val="47"/>
              <w:keepNext w:val="0"/>
              <w:keepLines w:val="0"/>
              <w:pageBreakBefore w:val="0"/>
              <w:widowControl w:val="0"/>
              <w:numPr>
                <w:ilvl w:val="0"/>
                <w:numId w:val="0"/>
              </w:numPr>
              <w:kinsoku/>
              <w:overflowPunct/>
              <w:topLinePunct w:val="0"/>
              <w:bidi w:val="0"/>
              <w:spacing w:line="288" w:lineRule="auto"/>
              <w:ind w:left="0" w:leftChars="0" w:firstLine="0"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1.</w:t>
            </w:r>
            <w:r>
              <w:rPr>
                <w:rFonts w:hint="eastAsia" w:ascii="宋体" w:hAnsi="宋体" w:eastAsia="宋体" w:cs="宋体"/>
                <w:sz w:val="21"/>
                <w:szCs w:val="21"/>
              </w:rPr>
              <w:t>驻场人员具备网络和</w:t>
            </w:r>
            <w:r>
              <w:rPr>
                <w:rFonts w:hint="eastAsia" w:ascii="宋体" w:hAnsi="宋体" w:eastAsia="宋体" w:cs="宋体"/>
                <w:sz w:val="21"/>
                <w:szCs w:val="21"/>
                <w:highlight w:val="none"/>
              </w:rPr>
              <w:t>安全相关运维能力，提供5*8小时驻场服务，协助</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完成日常网络及安全运维工作；</w:t>
            </w:r>
          </w:p>
          <w:p w14:paraId="7099D48B">
            <w:pPr>
              <w:pStyle w:val="47"/>
              <w:keepNext w:val="0"/>
              <w:keepLines w:val="0"/>
              <w:pageBreakBefore w:val="0"/>
              <w:widowControl w:val="0"/>
              <w:numPr>
                <w:ilvl w:val="0"/>
                <w:numId w:val="0"/>
              </w:numPr>
              <w:kinsoku/>
              <w:overflowPunct/>
              <w:topLinePunct w:val="0"/>
              <w:bidi w:val="0"/>
              <w:spacing w:line="288" w:lineRule="auto"/>
              <w:ind w:left="0" w:leftChars="0" w:firstLine="0" w:firstLineChars="0"/>
              <w:textAlignment w:val="auto"/>
              <w:rPr>
                <w:rFonts w:hint="eastAsia" w:ascii="宋体" w:hAnsi="宋体" w:eastAsia="宋体" w:cs="宋体"/>
                <w:sz w:val="21"/>
                <w:szCs w:val="21"/>
                <w:highlight w:val="none"/>
                <w:lang w:val="zh-CN"/>
              </w:rPr>
            </w:pPr>
            <w:r>
              <w:rPr>
                <w:rFonts w:hint="default" w:ascii="宋体" w:hAnsi="宋体" w:eastAsia="宋体" w:cs="宋体"/>
                <w:kern w:val="2"/>
                <w:sz w:val="21"/>
                <w:szCs w:val="21"/>
                <w:highlight w:val="none"/>
                <w:lang w:val="zh-CN" w:eastAsia="zh-CN" w:bidi="ar-SA"/>
              </w:rPr>
              <w:t>2.</w:t>
            </w:r>
            <w:r>
              <w:rPr>
                <w:rFonts w:hint="eastAsia" w:ascii="宋体" w:hAnsi="宋体" w:eastAsia="宋体" w:cs="宋体"/>
                <w:sz w:val="21"/>
                <w:szCs w:val="21"/>
                <w:highlight w:val="none"/>
              </w:rPr>
              <w:t>网络及安全运维工作内容包含漏洞扫描、安全巡检、日志分析、新系统上线前安全评估，开展频率1次/月；</w:t>
            </w:r>
          </w:p>
          <w:p w14:paraId="2209F084">
            <w:pPr>
              <w:pStyle w:val="47"/>
              <w:keepNext w:val="0"/>
              <w:keepLines w:val="0"/>
              <w:pageBreakBefore w:val="0"/>
              <w:widowControl w:val="0"/>
              <w:numPr>
                <w:ilvl w:val="0"/>
                <w:numId w:val="0"/>
              </w:numPr>
              <w:kinsoku/>
              <w:overflowPunct/>
              <w:topLinePunct w:val="0"/>
              <w:bidi w:val="0"/>
              <w:spacing w:line="288" w:lineRule="auto"/>
              <w:ind w:left="0" w:leftChars="0" w:firstLine="0" w:firstLineChars="0"/>
              <w:textAlignment w:val="auto"/>
              <w:rPr>
                <w:rFonts w:hint="eastAsia" w:ascii="宋体" w:hAnsi="宋体" w:eastAsia="宋体" w:cs="宋体"/>
                <w:sz w:val="21"/>
                <w:szCs w:val="21"/>
                <w:lang w:val="zh-CN"/>
              </w:rPr>
            </w:pPr>
            <w:r>
              <w:rPr>
                <w:rFonts w:hint="default" w:ascii="宋体" w:hAnsi="宋体" w:eastAsia="宋体" w:cs="宋体"/>
                <w:kern w:val="2"/>
                <w:sz w:val="21"/>
                <w:szCs w:val="21"/>
                <w:highlight w:val="none"/>
                <w:lang w:val="zh-CN" w:eastAsia="zh-CN" w:bidi="ar-SA"/>
              </w:rPr>
              <w:t>3.</w:t>
            </w:r>
            <w:r>
              <w:rPr>
                <w:rFonts w:hint="eastAsia" w:ascii="宋体" w:hAnsi="宋体" w:eastAsia="宋体" w:cs="宋体"/>
                <w:sz w:val="21"/>
                <w:szCs w:val="21"/>
                <w:highlight w:val="none"/>
                <w:lang w:val="zh-CN"/>
              </w:rPr>
              <w:t>每月输出成果至少包含《</w:t>
            </w:r>
            <w:r>
              <w:rPr>
                <w:rFonts w:hint="eastAsia" w:ascii="宋体" w:hAnsi="宋体" w:eastAsia="宋体" w:cs="宋体"/>
                <w:sz w:val="21"/>
                <w:szCs w:val="21"/>
                <w:highlight w:val="none"/>
              </w:rPr>
              <w:t>校园网运</w:t>
            </w:r>
            <w:r>
              <w:rPr>
                <w:rFonts w:hint="eastAsia" w:ascii="宋体" w:hAnsi="宋体" w:eastAsia="宋体" w:cs="宋体"/>
                <w:sz w:val="21"/>
                <w:szCs w:val="21"/>
              </w:rPr>
              <w:t>行月报</w:t>
            </w:r>
            <w:r>
              <w:rPr>
                <w:rFonts w:hint="eastAsia" w:ascii="宋体" w:hAnsi="宋体" w:eastAsia="宋体" w:cs="宋体"/>
                <w:sz w:val="21"/>
                <w:szCs w:val="21"/>
                <w:lang w:val="zh-CN"/>
              </w:rPr>
              <w:t>》《漏洞扫描报告》《安全巡检报告》《日志分析报告》；</w:t>
            </w:r>
          </w:p>
          <w:p w14:paraId="720B6972">
            <w:pPr>
              <w:pStyle w:val="47"/>
              <w:keepNext w:val="0"/>
              <w:keepLines w:val="0"/>
              <w:pageBreakBefore w:val="0"/>
              <w:widowControl w:val="0"/>
              <w:numPr>
                <w:ilvl w:val="0"/>
                <w:numId w:val="0"/>
              </w:numPr>
              <w:kinsoku/>
              <w:overflowPunct/>
              <w:topLinePunct w:val="0"/>
              <w:bidi w:val="0"/>
              <w:spacing w:line="288" w:lineRule="auto"/>
              <w:ind w:left="0" w:leftChars="0" w:firstLine="0" w:firstLineChars="0"/>
              <w:textAlignment w:val="auto"/>
              <w:rPr>
                <w:rFonts w:hint="eastAsia" w:ascii="宋体" w:hAnsi="宋体" w:eastAsia="宋体" w:cs="宋体"/>
                <w:sz w:val="21"/>
                <w:szCs w:val="21"/>
                <w:lang w:val="zh-CN"/>
              </w:rPr>
            </w:pPr>
            <w:r>
              <w:rPr>
                <w:rFonts w:hint="default" w:ascii="宋体" w:hAnsi="宋体" w:eastAsia="宋体" w:cs="宋体"/>
                <w:kern w:val="2"/>
                <w:sz w:val="21"/>
                <w:szCs w:val="21"/>
                <w:lang w:val="zh-CN" w:eastAsia="zh-CN" w:bidi="ar-SA"/>
              </w:rPr>
              <w:t>4.</w:t>
            </w:r>
            <w:r>
              <w:rPr>
                <w:rFonts w:hint="eastAsia" w:ascii="宋体" w:hAnsi="宋体" w:eastAsia="宋体" w:cs="宋体"/>
                <w:sz w:val="21"/>
                <w:szCs w:val="21"/>
                <w:lang w:val="zh-CN"/>
              </w:rPr>
              <w:t>对运维工作过程中的业务活动</w:t>
            </w:r>
            <w:r>
              <w:rPr>
                <w:rFonts w:hint="eastAsia" w:ascii="宋体" w:hAnsi="宋体" w:eastAsia="宋体" w:cs="宋体"/>
                <w:sz w:val="21"/>
                <w:szCs w:val="21"/>
              </w:rPr>
              <w:t>做好</w:t>
            </w:r>
            <w:r>
              <w:rPr>
                <w:rFonts w:hint="eastAsia" w:ascii="宋体" w:hAnsi="宋体" w:eastAsia="宋体" w:cs="宋体"/>
                <w:sz w:val="21"/>
                <w:szCs w:val="21"/>
                <w:lang w:val="zh-CN"/>
              </w:rPr>
              <w:t>管理和记录并参与文档的整理和备份，对存在的问题及时向</w:t>
            </w:r>
            <w:r>
              <w:rPr>
                <w:rFonts w:hint="eastAsia" w:ascii="宋体" w:hAnsi="宋体" w:eastAsia="宋体" w:cs="宋体"/>
                <w:sz w:val="21"/>
                <w:szCs w:val="21"/>
              </w:rPr>
              <w:t>服务单位</w:t>
            </w:r>
            <w:r>
              <w:rPr>
                <w:rFonts w:hint="eastAsia" w:ascii="宋体" w:hAnsi="宋体" w:eastAsia="宋体" w:cs="宋体"/>
                <w:sz w:val="21"/>
                <w:szCs w:val="21"/>
                <w:lang w:val="zh-CN"/>
              </w:rPr>
              <w:t>汇报并提出切实有效的建议和解决方案；</w:t>
            </w:r>
          </w:p>
          <w:p w14:paraId="7FD7A330">
            <w:pPr>
              <w:pStyle w:val="47"/>
              <w:keepNext w:val="0"/>
              <w:keepLines w:val="0"/>
              <w:pageBreakBefore w:val="0"/>
              <w:widowControl w:val="0"/>
              <w:numPr>
                <w:ilvl w:val="0"/>
                <w:numId w:val="0"/>
              </w:numPr>
              <w:kinsoku/>
              <w:overflowPunct/>
              <w:topLinePunct w:val="0"/>
              <w:bidi w:val="0"/>
              <w:spacing w:line="288" w:lineRule="auto"/>
              <w:ind w:left="0" w:leftChars="0" w:firstLine="0" w:firstLineChars="0"/>
              <w:textAlignment w:val="auto"/>
              <w:rPr>
                <w:rFonts w:hint="eastAsia" w:ascii="宋体" w:hAnsi="宋体" w:eastAsia="宋体" w:cs="宋体"/>
                <w:sz w:val="21"/>
                <w:szCs w:val="21"/>
              </w:rPr>
            </w:pPr>
            <w:r>
              <w:rPr>
                <w:rFonts w:hint="default" w:ascii="宋体" w:hAnsi="宋体" w:eastAsia="宋体" w:cs="宋体"/>
                <w:kern w:val="2"/>
                <w:sz w:val="21"/>
                <w:szCs w:val="21"/>
                <w:lang w:val="en-US" w:eastAsia="zh-CN" w:bidi="ar-SA"/>
              </w:rPr>
              <w:t>5.</w:t>
            </w:r>
            <w:r>
              <w:rPr>
                <w:rFonts w:hint="eastAsia" w:ascii="宋体" w:hAnsi="宋体" w:eastAsia="宋体" w:cs="宋体"/>
                <w:sz w:val="21"/>
                <w:szCs w:val="21"/>
                <w:lang w:val="zh-CN"/>
              </w:rPr>
              <w:t>参与处理</w:t>
            </w:r>
            <w:r>
              <w:rPr>
                <w:rFonts w:hint="eastAsia" w:ascii="宋体" w:hAnsi="宋体" w:eastAsia="宋体" w:cs="宋体"/>
                <w:sz w:val="21"/>
                <w:szCs w:val="21"/>
              </w:rPr>
              <w:t>学校</w:t>
            </w:r>
            <w:r>
              <w:rPr>
                <w:rFonts w:hint="eastAsia" w:ascii="宋体" w:hAnsi="宋体" w:eastAsia="宋体" w:cs="宋体"/>
                <w:sz w:val="21"/>
                <w:szCs w:val="21"/>
                <w:lang w:val="zh-CN"/>
              </w:rPr>
              <w:t>数据中心</w:t>
            </w:r>
            <w:r>
              <w:rPr>
                <w:rFonts w:hint="eastAsia" w:ascii="宋体" w:hAnsi="宋体" w:eastAsia="宋体" w:cs="宋体"/>
                <w:sz w:val="21"/>
                <w:szCs w:val="21"/>
              </w:rPr>
              <w:t>日常</w:t>
            </w:r>
            <w:r>
              <w:rPr>
                <w:rFonts w:hint="eastAsia" w:ascii="宋体" w:hAnsi="宋体" w:eastAsia="宋体" w:cs="宋体"/>
                <w:sz w:val="21"/>
                <w:szCs w:val="21"/>
                <w:lang w:val="zh-CN"/>
              </w:rPr>
              <w:t>运维工作、紧急故障处理、重大活动安全保障值班值守；</w:t>
            </w:r>
          </w:p>
          <w:p w14:paraId="1AEEB81A">
            <w:pPr>
              <w:pStyle w:val="47"/>
              <w:keepNext w:val="0"/>
              <w:keepLines w:val="0"/>
              <w:pageBreakBefore w:val="0"/>
              <w:widowControl w:val="0"/>
              <w:numPr>
                <w:ilvl w:val="0"/>
                <w:numId w:val="0"/>
              </w:numPr>
              <w:kinsoku/>
              <w:overflowPunct/>
              <w:topLinePunct w:val="0"/>
              <w:bidi w:val="0"/>
              <w:spacing w:line="288" w:lineRule="auto"/>
              <w:ind w:left="0" w:leftChars="0" w:firstLine="0" w:firstLineChars="0"/>
              <w:textAlignment w:val="auto"/>
              <w:rPr>
                <w:rFonts w:hint="eastAsia" w:ascii="宋体" w:hAnsi="宋体" w:eastAsia="宋体" w:cs="宋体"/>
                <w:sz w:val="21"/>
                <w:szCs w:val="21"/>
              </w:rPr>
            </w:pPr>
            <w:r>
              <w:rPr>
                <w:rFonts w:hint="default" w:ascii="宋体" w:hAnsi="宋体" w:eastAsia="宋体" w:cs="宋体"/>
                <w:kern w:val="2"/>
                <w:sz w:val="21"/>
                <w:szCs w:val="21"/>
                <w:lang w:val="en-US" w:eastAsia="zh-CN" w:bidi="ar-SA"/>
              </w:rPr>
              <w:t>6.</w:t>
            </w:r>
            <w:r>
              <w:rPr>
                <w:rFonts w:hint="eastAsia" w:ascii="宋体" w:hAnsi="宋体" w:eastAsia="宋体" w:cs="宋体"/>
                <w:sz w:val="21"/>
                <w:szCs w:val="21"/>
                <w:lang w:val="zh-CN"/>
              </w:rPr>
              <w:t>提供整改加固建议和方法，加固包含网络设备、服务器、中间件等，对目标系统的安全漏洞进行修复、基线配置进行优化；</w:t>
            </w:r>
          </w:p>
          <w:p w14:paraId="1C9E75D5">
            <w:pPr>
              <w:pStyle w:val="47"/>
              <w:keepNext w:val="0"/>
              <w:keepLines w:val="0"/>
              <w:pageBreakBefore w:val="0"/>
              <w:widowControl w:val="0"/>
              <w:numPr>
                <w:ilvl w:val="0"/>
                <w:numId w:val="0"/>
              </w:numPr>
              <w:kinsoku/>
              <w:overflowPunct/>
              <w:topLinePunct w:val="0"/>
              <w:bidi w:val="0"/>
              <w:spacing w:line="288" w:lineRule="auto"/>
              <w:ind w:left="0" w:leftChars="0" w:firstLine="0" w:firstLineChars="0"/>
              <w:textAlignment w:val="auto"/>
              <w:rPr>
                <w:rFonts w:hint="eastAsia" w:ascii="宋体" w:hAnsi="宋体" w:eastAsia="宋体" w:cs="宋体"/>
                <w:sz w:val="21"/>
                <w:szCs w:val="21"/>
              </w:rPr>
            </w:pPr>
            <w:r>
              <w:rPr>
                <w:rFonts w:hint="default" w:ascii="宋体" w:hAnsi="宋体" w:eastAsia="宋体" w:cs="宋体"/>
                <w:kern w:val="2"/>
                <w:sz w:val="21"/>
                <w:szCs w:val="21"/>
                <w:lang w:val="en-US" w:eastAsia="zh-CN" w:bidi="ar-SA"/>
              </w:rPr>
              <w:t>7.</w:t>
            </w:r>
            <w:r>
              <w:rPr>
                <w:rFonts w:hint="eastAsia" w:ascii="宋体" w:hAnsi="宋体" w:eastAsia="宋体" w:cs="宋体"/>
                <w:sz w:val="21"/>
                <w:szCs w:val="21"/>
                <w:lang w:val="en-US" w:eastAsia="zh-CN"/>
              </w:rPr>
              <w:t>信息中心下辖机房运维管理；</w:t>
            </w:r>
          </w:p>
          <w:p w14:paraId="3A74F72B">
            <w:pPr>
              <w:pStyle w:val="47"/>
              <w:keepNext w:val="0"/>
              <w:keepLines w:val="0"/>
              <w:pageBreakBefore w:val="0"/>
              <w:widowControl w:val="0"/>
              <w:numPr>
                <w:ilvl w:val="0"/>
                <w:numId w:val="0"/>
              </w:numPr>
              <w:kinsoku/>
              <w:overflowPunct/>
              <w:topLinePunct w:val="0"/>
              <w:bidi w:val="0"/>
              <w:spacing w:line="288" w:lineRule="auto"/>
              <w:ind w:left="0" w:leftChars="0" w:firstLine="0" w:firstLineChars="0"/>
              <w:textAlignment w:val="auto"/>
              <w:rPr>
                <w:rFonts w:hint="eastAsia" w:ascii="宋体" w:hAnsi="宋体" w:eastAsia="宋体" w:cs="宋体"/>
                <w:sz w:val="21"/>
                <w:szCs w:val="21"/>
              </w:rPr>
            </w:pPr>
            <w:r>
              <w:rPr>
                <w:rFonts w:hint="default" w:ascii="宋体" w:hAnsi="宋体" w:eastAsia="宋体" w:cs="宋体"/>
                <w:kern w:val="2"/>
                <w:sz w:val="21"/>
                <w:szCs w:val="21"/>
                <w:lang w:val="en-US" w:eastAsia="zh-CN" w:bidi="ar-SA"/>
              </w:rPr>
              <w:t>8.</w:t>
            </w:r>
            <w:r>
              <w:rPr>
                <w:rFonts w:hint="eastAsia" w:ascii="宋体" w:hAnsi="宋体" w:eastAsia="宋体" w:cs="宋体"/>
                <w:sz w:val="21"/>
                <w:szCs w:val="21"/>
                <w:lang w:val="zh-CN"/>
              </w:rPr>
              <w:t>驻场人员派驻时间为合同签订后</w:t>
            </w:r>
            <w:r>
              <w:rPr>
                <w:rFonts w:hint="eastAsia" w:ascii="宋体" w:hAnsi="宋体" w:eastAsia="宋体" w:cs="宋体"/>
                <w:sz w:val="21"/>
                <w:szCs w:val="21"/>
              </w:rPr>
              <w:t>两</w:t>
            </w:r>
            <w:r>
              <w:rPr>
                <w:rFonts w:hint="eastAsia" w:ascii="宋体" w:hAnsi="宋体" w:eastAsia="宋体" w:cs="宋体"/>
                <w:sz w:val="21"/>
                <w:szCs w:val="21"/>
                <w:lang w:val="zh-CN"/>
              </w:rPr>
              <w:t>个月内，</w:t>
            </w:r>
            <w:r>
              <w:rPr>
                <w:rFonts w:hint="eastAsia" w:ascii="宋体" w:hAnsi="宋体" w:eastAsia="宋体" w:cs="宋体"/>
                <w:sz w:val="21"/>
                <w:szCs w:val="21"/>
              </w:rPr>
              <w:t>驻场服务时间为两年；驻场人员在服务期内，不得从事与本项目全无关的其他运维工作；更换人员应提前一个月提出申请，并征得采购人同意。替换人员须提前一周入场，和被替换人员保证至少一周的工作交接时间。</w:t>
            </w:r>
          </w:p>
          <w:p w14:paraId="7411282B">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rPr>
              <w:t>运维管理系统要求：</w:t>
            </w:r>
          </w:p>
          <w:p w14:paraId="68E90587">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为提高运维服务期间内的服务质量，</w:t>
            </w:r>
            <w:r>
              <w:rPr>
                <w:rFonts w:hint="eastAsia" w:ascii="宋体" w:hAnsi="宋体" w:eastAsia="宋体" w:cs="宋体"/>
                <w:sz w:val="21"/>
                <w:szCs w:val="21"/>
                <w:lang w:val="en-US" w:eastAsia="zh-CN"/>
              </w:rPr>
              <w:t>供应商</w:t>
            </w:r>
            <w:r>
              <w:rPr>
                <w:rFonts w:hint="eastAsia" w:ascii="宋体" w:hAnsi="宋体" w:eastAsia="宋体" w:cs="宋体"/>
                <w:sz w:val="21"/>
                <w:szCs w:val="21"/>
              </w:rPr>
              <w:t xml:space="preserve">在项目运维服务期间根据采购人需求定制开发并提供资产管理及运维工单服务系统（开发工作量包含在本项目内），通过运维工单进行项目进度把控。运维工单系统可实现以下功能： </w:t>
            </w:r>
          </w:p>
          <w:p w14:paraId="1D9EE54C">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（1）系统支持显示项目名称、资产名称、资产编号、资产序列号、资产类型、品牌、型号、位置、购买日期、维保开始、截止日期、维护单位；</w:t>
            </w:r>
          </w:p>
          <w:p w14:paraId="154A0B37">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（2）系统支持显示资产状态可用性，如资产状态：领用、退库、归还、借用、维修、报废等；</w:t>
            </w:r>
          </w:p>
          <w:p w14:paraId="26819FE3">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（3）系统支持资产状态变更记录、资产信息变更记录，详细记录操作人、操作时间；</w:t>
            </w:r>
          </w:p>
          <w:p w14:paraId="45971029">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（4）系统支持资产状态变更同时修改资产信息内容；</w:t>
            </w:r>
          </w:p>
          <w:p w14:paraId="37E4DD7A">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（5）系统支持工程师日志与工单管理联动填写；</w:t>
            </w:r>
          </w:p>
          <w:p w14:paraId="5703FC50">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（6）工单管理总览支持显示工单等级、工单编号、工单标题、工单类型、工单状态、工单描述、处理工程师、处理工程师联系方式、工单处理耗时、工单联系人、工单联系人联系方式。</w:t>
            </w:r>
          </w:p>
        </w:tc>
        <w:tc>
          <w:tcPr>
            <w:tcW w:w="1095" w:type="dxa"/>
            <w:tcBorders>
              <w:top w:val="single" w:color="auto" w:sz="4" w:space="0"/>
              <w:left w:val="single" w:color="auto" w:sz="4" w:space="0"/>
              <w:bottom w:val="single" w:color="auto" w:sz="4" w:space="0"/>
              <w:right w:val="single" w:color="auto" w:sz="4" w:space="0"/>
            </w:tcBorders>
            <w:vAlign w:val="center"/>
          </w:tcPr>
          <w:p w14:paraId="2A8F303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w:t>
            </w:r>
          </w:p>
        </w:tc>
        <w:tc>
          <w:tcPr>
            <w:tcW w:w="1128" w:type="dxa"/>
            <w:tcBorders>
              <w:top w:val="single" w:color="auto" w:sz="4" w:space="0"/>
              <w:left w:val="single" w:color="auto" w:sz="4" w:space="0"/>
              <w:bottom w:val="single" w:color="auto" w:sz="4" w:space="0"/>
              <w:right w:val="single" w:color="auto" w:sz="4" w:space="0"/>
            </w:tcBorders>
            <w:vAlign w:val="center"/>
          </w:tcPr>
          <w:p w14:paraId="5D18069D">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全年</w:t>
            </w:r>
          </w:p>
        </w:tc>
      </w:tr>
      <w:tr w14:paraId="4E68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7C1AA69A">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bookmarkStart w:id="36" w:name="_Hlk177977349"/>
            <w:r>
              <w:rPr>
                <w:rFonts w:hint="eastAsia" w:ascii="宋体" w:hAnsi="宋体" w:eastAsia="宋体" w:cs="宋体"/>
                <w:sz w:val="21"/>
                <w:szCs w:val="21"/>
              </w:rPr>
              <w:t>2</w:t>
            </w:r>
          </w:p>
        </w:tc>
        <w:tc>
          <w:tcPr>
            <w:tcW w:w="1080" w:type="dxa"/>
            <w:tcBorders>
              <w:top w:val="single" w:color="auto" w:sz="4" w:space="0"/>
              <w:left w:val="single" w:color="auto" w:sz="4" w:space="0"/>
              <w:bottom w:val="single" w:color="auto" w:sz="4" w:space="0"/>
              <w:right w:val="single" w:color="auto" w:sz="4" w:space="0"/>
            </w:tcBorders>
            <w:vAlign w:val="center"/>
          </w:tcPr>
          <w:p w14:paraId="2147A139">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网站漏洞扫描服务</w:t>
            </w:r>
          </w:p>
        </w:tc>
        <w:tc>
          <w:tcPr>
            <w:tcW w:w="5655" w:type="dxa"/>
            <w:tcBorders>
              <w:top w:val="single" w:color="auto" w:sz="4" w:space="0"/>
              <w:left w:val="single" w:color="auto" w:sz="4" w:space="0"/>
              <w:bottom w:val="single" w:color="auto" w:sz="4" w:space="0"/>
              <w:right w:val="single" w:color="auto" w:sz="4" w:space="0"/>
            </w:tcBorders>
            <w:vAlign w:val="center"/>
          </w:tcPr>
          <w:p w14:paraId="4A2E58D5">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针对学校授权范围内的所有网站进行安全、及漏洞扫描，存在的web应用漏洞、主机操作系统漏洞、数据库漏洞、逻辑缺陷、弱口令、信息泄露等脆弱性问题。扫描结束后进行人工验证并去除误报，生成相关报告并提供加固建议。</w:t>
            </w:r>
          </w:p>
          <w:p w14:paraId="7225120E">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交付物：《网站漏洞扫描报告》</w:t>
            </w:r>
          </w:p>
        </w:tc>
        <w:tc>
          <w:tcPr>
            <w:tcW w:w="1095" w:type="dxa"/>
            <w:tcBorders>
              <w:top w:val="single" w:color="auto" w:sz="4" w:space="0"/>
              <w:left w:val="single" w:color="auto" w:sz="4" w:space="0"/>
              <w:bottom w:val="single" w:color="auto" w:sz="4" w:space="0"/>
              <w:right w:val="single" w:color="auto" w:sz="4" w:space="0"/>
            </w:tcBorders>
            <w:vAlign w:val="center"/>
          </w:tcPr>
          <w:p w14:paraId="50CB5463">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远程/现场</w:t>
            </w:r>
          </w:p>
        </w:tc>
        <w:tc>
          <w:tcPr>
            <w:tcW w:w="1128" w:type="dxa"/>
            <w:tcBorders>
              <w:top w:val="single" w:color="auto" w:sz="4" w:space="0"/>
              <w:left w:val="single" w:color="auto" w:sz="4" w:space="0"/>
              <w:bottom w:val="single" w:color="auto" w:sz="4" w:space="0"/>
              <w:right w:val="single" w:color="auto" w:sz="4" w:space="0"/>
            </w:tcBorders>
            <w:vAlign w:val="center"/>
          </w:tcPr>
          <w:p w14:paraId="0EF75166">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2次/年</w:t>
            </w:r>
          </w:p>
        </w:tc>
      </w:tr>
      <w:tr w14:paraId="3F20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0365D6BE">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080" w:type="dxa"/>
            <w:tcBorders>
              <w:top w:val="single" w:color="auto" w:sz="4" w:space="0"/>
              <w:left w:val="single" w:color="auto" w:sz="4" w:space="0"/>
              <w:bottom w:val="single" w:color="auto" w:sz="4" w:space="0"/>
              <w:right w:val="single" w:color="auto" w:sz="4" w:space="0"/>
            </w:tcBorders>
            <w:vAlign w:val="center"/>
          </w:tcPr>
          <w:p w14:paraId="44E0D8B8">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渗透测试服务</w:t>
            </w:r>
          </w:p>
        </w:tc>
        <w:tc>
          <w:tcPr>
            <w:tcW w:w="5655" w:type="dxa"/>
            <w:tcBorders>
              <w:top w:val="single" w:color="auto" w:sz="4" w:space="0"/>
              <w:left w:val="single" w:color="auto" w:sz="4" w:space="0"/>
              <w:bottom w:val="single" w:color="auto" w:sz="4" w:space="0"/>
              <w:right w:val="single" w:color="auto" w:sz="4" w:space="0"/>
            </w:tcBorders>
            <w:vAlign w:val="center"/>
          </w:tcPr>
          <w:p w14:paraId="0A153DDF">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针对学校授权范围内的等保测评的四大业务系统，通过真实模拟黑客使用的工具、分析方法来对应用进行模拟攻击，由高级工程师进行深入的手工测试和分析，识别工具弱点扫描无法发现的问题。主要分析内容包括逻辑缺陷、上传绕过、输入输出校验绕过、数据篡改、功能绕过、异常错误等以及其他专项内容测试与分析，渗透结束后生成相关报告并提供加固建议，在漏洞修复完成后进行复测，确保漏洞修复的有效性。</w:t>
            </w:r>
          </w:p>
          <w:p w14:paraId="592CCE01">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交付物：《业务系统渗透测试报告》</w:t>
            </w:r>
          </w:p>
        </w:tc>
        <w:tc>
          <w:tcPr>
            <w:tcW w:w="1095" w:type="dxa"/>
            <w:tcBorders>
              <w:top w:val="single" w:color="auto" w:sz="4" w:space="0"/>
              <w:left w:val="single" w:color="auto" w:sz="4" w:space="0"/>
              <w:bottom w:val="single" w:color="auto" w:sz="4" w:space="0"/>
              <w:right w:val="single" w:color="auto" w:sz="4" w:space="0"/>
            </w:tcBorders>
            <w:vAlign w:val="center"/>
          </w:tcPr>
          <w:p w14:paraId="1A95F54F">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远程/现场</w:t>
            </w:r>
          </w:p>
        </w:tc>
        <w:tc>
          <w:tcPr>
            <w:tcW w:w="1128" w:type="dxa"/>
            <w:tcBorders>
              <w:top w:val="single" w:color="auto" w:sz="4" w:space="0"/>
              <w:left w:val="single" w:color="auto" w:sz="4" w:space="0"/>
              <w:bottom w:val="single" w:color="auto" w:sz="4" w:space="0"/>
              <w:right w:val="single" w:color="auto" w:sz="4" w:space="0"/>
            </w:tcBorders>
            <w:vAlign w:val="center"/>
          </w:tcPr>
          <w:p w14:paraId="491E3C35">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1次/年</w:t>
            </w:r>
          </w:p>
        </w:tc>
      </w:tr>
      <w:tr w14:paraId="3AEE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080AB83">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080" w:type="dxa"/>
            <w:tcBorders>
              <w:top w:val="single" w:color="auto" w:sz="4" w:space="0"/>
              <w:left w:val="single" w:color="auto" w:sz="4" w:space="0"/>
              <w:bottom w:val="single" w:color="auto" w:sz="4" w:space="0"/>
              <w:right w:val="single" w:color="auto" w:sz="4" w:space="0"/>
            </w:tcBorders>
            <w:vAlign w:val="center"/>
          </w:tcPr>
          <w:p w14:paraId="671AB665">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安全培训服务</w:t>
            </w:r>
          </w:p>
        </w:tc>
        <w:tc>
          <w:tcPr>
            <w:tcW w:w="5655" w:type="dxa"/>
            <w:tcBorders>
              <w:top w:val="single" w:color="auto" w:sz="4" w:space="0"/>
              <w:left w:val="single" w:color="auto" w:sz="4" w:space="0"/>
              <w:bottom w:val="single" w:color="auto" w:sz="4" w:space="0"/>
              <w:right w:val="single" w:color="auto" w:sz="4" w:space="0"/>
            </w:tcBorders>
            <w:vAlign w:val="center"/>
          </w:tcPr>
          <w:p w14:paraId="796E5E56">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提供专业化安全专家培训服务，培训内容包含不限于安全意识、安全法律法规、安全攻防、安全技术等相关安全范畴。</w:t>
            </w:r>
          </w:p>
        </w:tc>
        <w:tc>
          <w:tcPr>
            <w:tcW w:w="1095" w:type="dxa"/>
            <w:tcBorders>
              <w:top w:val="single" w:color="auto" w:sz="4" w:space="0"/>
              <w:left w:val="single" w:color="auto" w:sz="4" w:space="0"/>
              <w:bottom w:val="single" w:color="auto" w:sz="4" w:space="0"/>
              <w:right w:val="single" w:color="auto" w:sz="4" w:space="0"/>
            </w:tcBorders>
            <w:vAlign w:val="center"/>
          </w:tcPr>
          <w:p w14:paraId="3ECA630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w:t>
            </w:r>
          </w:p>
        </w:tc>
        <w:tc>
          <w:tcPr>
            <w:tcW w:w="1128" w:type="dxa"/>
            <w:tcBorders>
              <w:top w:val="single" w:color="auto" w:sz="4" w:space="0"/>
              <w:left w:val="single" w:color="auto" w:sz="4" w:space="0"/>
              <w:bottom w:val="single" w:color="auto" w:sz="4" w:space="0"/>
              <w:right w:val="single" w:color="auto" w:sz="4" w:space="0"/>
            </w:tcBorders>
            <w:vAlign w:val="center"/>
          </w:tcPr>
          <w:p w14:paraId="7F64A0A9">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1次/年</w:t>
            </w:r>
          </w:p>
        </w:tc>
      </w:tr>
      <w:tr w14:paraId="65C2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6B7BF273">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080" w:type="dxa"/>
            <w:tcBorders>
              <w:top w:val="single" w:color="auto" w:sz="4" w:space="0"/>
              <w:left w:val="single" w:color="auto" w:sz="4" w:space="0"/>
              <w:bottom w:val="single" w:color="auto" w:sz="4" w:space="0"/>
              <w:right w:val="single" w:color="auto" w:sz="4" w:space="0"/>
            </w:tcBorders>
            <w:vAlign w:val="center"/>
          </w:tcPr>
          <w:p w14:paraId="0C5B3851">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应急响应服务</w:t>
            </w:r>
          </w:p>
        </w:tc>
        <w:tc>
          <w:tcPr>
            <w:tcW w:w="5655" w:type="dxa"/>
            <w:tcBorders>
              <w:top w:val="single" w:color="auto" w:sz="4" w:space="0"/>
              <w:left w:val="single" w:color="auto" w:sz="4" w:space="0"/>
              <w:bottom w:val="single" w:color="auto" w:sz="4" w:space="0"/>
              <w:right w:val="single" w:color="auto" w:sz="4" w:space="0"/>
            </w:tcBorders>
            <w:vAlign w:val="center"/>
          </w:tcPr>
          <w:p w14:paraId="46640552">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在学校发生网络安全事件时以最快速度作出响应，派遣高级安服人员协助客户对遇到的突发性安全事件进行紧急分析和处理。保证事件的损失降到最小，第一时间对安全事件进行分析、抑制、还原、处理，查找入侵源头并恢复系统正常运行，完成后给出对应的应急响应报告。</w:t>
            </w:r>
          </w:p>
        </w:tc>
        <w:tc>
          <w:tcPr>
            <w:tcW w:w="1095" w:type="dxa"/>
            <w:tcBorders>
              <w:top w:val="single" w:color="auto" w:sz="4" w:space="0"/>
              <w:left w:val="single" w:color="auto" w:sz="4" w:space="0"/>
              <w:bottom w:val="single" w:color="auto" w:sz="4" w:space="0"/>
              <w:right w:val="single" w:color="auto" w:sz="4" w:space="0"/>
            </w:tcBorders>
            <w:vAlign w:val="center"/>
          </w:tcPr>
          <w:p w14:paraId="5BF411BD">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远程/现场</w:t>
            </w:r>
          </w:p>
        </w:tc>
        <w:tc>
          <w:tcPr>
            <w:tcW w:w="1128" w:type="dxa"/>
            <w:tcBorders>
              <w:top w:val="single" w:color="auto" w:sz="4" w:space="0"/>
              <w:left w:val="single" w:color="auto" w:sz="4" w:space="0"/>
              <w:bottom w:val="single" w:color="auto" w:sz="4" w:space="0"/>
              <w:right w:val="single" w:color="auto" w:sz="4" w:space="0"/>
            </w:tcBorders>
            <w:vAlign w:val="center"/>
          </w:tcPr>
          <w:p w14:paraId="7E3D4222">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全年</w:t>
            </w:r>
          </w:p>
        </w:tc>
      </w:tr>
      <w:tr w14:paraId="7311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5025FE4C">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080" w:type="dxa"/>
            <w:tcBorders>
              <w:top w:val="single" w:color="auto" w:sz="4" w:space="0"/>
              <w:left w:val="single" w:color="auto" w:sz="4" w:space="0"/>
              <w:bottom w:val="single" w:color="auto" w:sz="4" w:space="0"/>
              <w:right w:val="single" w:color="auto" w:sz="4" w:space="0"/>
            </w:tcBorders>
            <w:vAlign w:val="center"/>
          </w:tcPr>
          <w:p w14:paraId="440D3D83">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重保期间安全保障</w:t>
            </w:r>
          </w:p>
        </w:tc>
        <w:tc>
          <w:tcPr>
            <w:tcW w:w="5655" w:type="dxa"/>
            <w:tcBorders>
              <w:top w:val="single" w:color="auto" w:sz="4" w:space="0"/>
              <w:left w:val="single" w:color="auto" w:sz="4" w:space="0"/>
              <w:bottom w:val="single" w:color="auto" w:sz="4" w:space="0"/>
              <w:right w:val="single" w:color="auto" w:sz="4" w:space="0"/>
            </w:tcBorders>
            <w:vAlign w:val="center"/>
          </w:tcPr>
          <w:p w14:paraId="5DCFFF1C">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针对国家规定的法定节假日、重大会议、重大活动、网络安全攻防演练期间，派遣高级安全服务专家，以现场方式提供安全保障工作，协助处理信息安全事件。包括前期重要业务的检查、安全扫描、网络安全加固等准备工作，确保在重要敏感时期的网络安全。</w:t>
            </w:r>
          </w:p>
          <w:p w14:paraId="62F8494B">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重保期间需要提供一套安全运营服务平台，可实现伪装欺骗环境或安全隔离技术，通过信息收集与反制功能，平衡攻防不对等的网络安全环境现状，定期对网络内部资产进行测试，主动发现网络环境的脆弱点，做好安全管理提前量，由被动转为主动。</w:t>
            </w:r>
          </w:p>
        </w:tc>
        <w:tc>
          <w:tcPr>
            <w:tcW w:w="1095" w:type="dxa"/>
            <w:tcBorders>
              <w:top w:val="single" w:color="auto" w:sz="4" w:space="0"/>
              <w:left w:val="single" w:color="auto" w:sz="4" w:space="0"/>
              <w:bottom w:val="single" w:color="auto" w:sz="4" w:space="0"/>
              <w:right w:val="single" w:color="auto" w:sz="4" w:space="0"/>
            </w:tcBorders>
            <w:vAlign w:val="center"/>
          </w:tcPr>
          <w:p w14:paraId="7171B5E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w:t>
            </w:r>
          </w:p>
        </w:tc>
        <w:tc>
          <w:tcPr>
            <w:tcW w:w="1128" w:type="dxa"/>
            <w:tcBorders>
              <w:top w:val="single" w:color="auto" w:sz="4" w:space="0"/>
              <w:left w:val="single" w:color="auto" w:sz="4" w:space="0"/>
              <w:bottom w:val="single" w:color="auto" w:sz="4" w:space="0"/>
              <w:right w:val="single" w:color="auto" w:sz="4" w:space="0"/>
            </w:tcBorders>
            <w:vAlign w:val="center"/>
          </w:tcPr>
          <w:p w14:paraId="4C750BB2">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7天/年</w:t>
            </w:r>
          </w:p>
        </w:tc>
      </w:tr>
      <w:tr w14:paraId="25B4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3BE776D7">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080" w:type="dxa"/>
            <w:tcBorders>
              <w:top w:val="single" w:color="auto" w:sz="4" w:space="0"/>
              <w:left w:val="single" w:color="auto" w:sz="4" w:space="0"/>
              <w:bottom w:val="single" w:color="auto" w:sz="4" w:space="0"/>
              <w:right w:val="single" w:color="auto" w:sz="4" w:space="0"/>
            </w:tcBorders>
            <w:vAlign w:val="center"/>
          </w:tcPr>
          <w:p w14:paraId="3D2884EB">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7*24小时电话咨询服务</w:t>
            </w:r>
          </w:p>
        </w:tc>
        <w:tc>
          <w:tcPr>
            <w:tcW w:w="5655" w:type="dxa"/>
            <w:tcBorders>
              <w:top w:val="single" w:color="auto" w:sz="4" w:space="0"/>
              <w:left w:val="single" w:color="auto" w:sz="4" w:space="0"/>
              <w:bottom w:val="single" w:color="auto" w:sz="4" w:space="0"/>
              <w:right w:val="single" w:color="auto" w:sz="4" w:space="0"/>
            </w:tcBorders>
            <w:vAlign w:val="center"/>
          </w:tcPr>
          <w:p w14:paraId="3C4575EE">
            <w:pPr>
              <w:pStyle w:val="47"/>
              <w:keepNext w:val="0"/>
              <w:keepLines w:val="0"/>
              <w:pageBreakBefore w:val="0"/>
              <w:widowControl w:val="0"/>
              <w:kinsoku/>
              <w:overflowPunct/>
              <w:topLinePunct w:val="0"/>
              <w:bidi w:val="0"/>
              <w:spacing w:line="288"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将学校列为VIP客</w:t>
            </w:r>
            <w:r>
              <w:rPr>
                <w:rFonts w:hint="eastAsia" w:ascii="宋体" w:hAnsi="宋体" w:eastAsia="宋体" w:cs="宋体"/>
                <w:sz w:val="21"/>
                <w:szCs w:val="21"/>
                <w:highlight w:val="none"/>
              </w:rPr>
              <w:t>户，网络安全应急服务支撑单位提供7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24小时远程和电话咨询服务。</w:t>
            </w:r>
          </w:p>
        </w:tc>
        <w:tc>
          <w:tcPr>
            <w:tcW w:w="1095" w:type="dxa"/>
            <w:tcBorders>
              <w:top w:val="single" w:color="auto" w:sz="4" w:space="0"/>
              <w:left w:val="single" w:color="auto" w:sz="4" w:space="0"/>
              <w:bottom w:val="single" w:color="auto" w:sz="4" w:space="0"/>
              <w:right w:val="single" w:color="auto" w:sz="4" w:space="0"/>
            </w:tcBorders>
            <w:vAlign w:val="center"/>
          </w:tcPr>
          <w:p w14:paraId="6BD85D1F">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远程</w:t>
            </w:r>
          </w:p>
        </w:tc>
        <w:tc>
          <w:tcPr>
            <w:tcW w:w="1128" w:type="dxa"/>
            <w:tcBorders>
              <w:top w:val="single" w:color="auto" w:sz="4" w:space="0"/>
              <w:left w:val="single" w:color="auto" w:sz="4" w:space="0"/>
              <w:bottom w:val="single" w:color="auto" w:sz="4" w:space="0"/>
              <w:right w:val="single" w:color="auto" w:sz="4" w:space="0"/>
            </w:tcBorders>
            <w:vAlign w:val="center"/>
          </w:tcPr>
          <w:p w14:paraId="27084376">
            <w:pPr>
              <w:pStyle w:val="47"/>
              <w:keepNext w:val="0"/>
              <w:keepLines w:val="0"/>
              <w:pageBreakBefore w:val="0"/>
              <w:widowControl w:val="0"/>
              <w:kinsoku/>
              <w:overflowPunct/>
              <w:topLinePunct w:val="0"/>
              <w:bidi w:val="0"/>
              <w:spacing w:line="288" w:lineRule="auto"/>
              <w:ind w:leftChars="0"/>
              <w:jc w:val="center"/>
              <w:textAlignment w:val="auto"/>
              <w:rPr>
                <w:rFonts w:hint="eastAsia" w:ascii="宋体" w:hAnsi="宋体" w:eastAsia="宋体" w:cs="宋体"/>
                <w:sz w:val="21"/>
                <w:szCs w:val="21"/>
              </w:rPr>
            </w:pPr>
            <w:r>
              <w:rPr>
                <w:rFonts w:hint="eastAsia" w:ascii="宋体" w:hAnsi="宋体" w:eastAsia="宋体" w:cs="宋体"/>
                <w:sz w:val="21"/>
                <w:szCs w:val="21"/>
              </w:rPr>
              <w:t>全年不限次数</w:t>
            </w:r>
          </w:p>
        </w:tc>
      </w:tr>
      <w:bookmarkEnd w:id="36"/>
    </w:tbl>
    <w:p w14:paraId="7331E7B7">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p>
    <w:p w14:paraId="5E20F7F3">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3.3.1 驻场服务其他要求</w:t>
      </w:r>
    </w:p>
    <w:p w14:paraId="0B8C2B76">
      <w:pPr>
        <w:keepNext w:val="0"/>
        <w:keepLines w:val="0"/>
        <w:pageBreakBefore w:val="0"/>
        <w:widowControl w:val="0"/>
        <w:tabs>
          <w:tab w:val="left" w:pos="709"/>
        </w:tabs>
        <w:kinsoku/>
        <w:overflowPunct/>
        <w:topLinePunct w:val="0"/>
        <w:autoSpaceDE w:val="0"/>
        <w:autoSpaceDN w:val="0"/>
        <w:bidi w:val="0"/>
        <w:adjustRightInd w:val="0"/>
        <w:spacing w:line="288" w:lineRule="auto"/>
        <w:ind w:leftChars="0" w:firstLine="411" w:firstLineChars="196"/>
        <w:textAlignment w:val="auto"/>
        <w:rPr>
          <w:rFonts w:hint="eastAsia" w:ascii="宋体" w:hAnsi="宋体" w:eastAsia="宋体" w:cs="宋体"/>
          <w:kern w:val="0"/>
          <w:sz w:val="21"/>
          <w:szCs w:val="21"/>
        </w:rPr>
      </w:pPr>
      <w:r>
        <w:rPr>
          <w:rFonts w:hint="eastAsia" w:ascii="宋体" w:hAnsi="宋体" w:eastAsia="宋体" w:cs="宋体"/>
          <w:kern w:val="0"/>
          <w:sz w:val="21"/>
          <w:szCs w:val="21"/>
        </w:rPr>
        <w:t>（1）供应商所派驻的技术人员须经采购人认可，对于达不到用户驻场工作要求的人员，采购人有权提出疑义并予以退回，并要求供应商重新选派人员（每更换一次人员须增加不少于2个月服务期）。累计更换3次选派人员仍未能满足</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要求，则采购人有权解除合同，并由供应商承担因此带来的损失。</w:t>
      </w:r>
    </w:p>
    <w:p w14:paraId="7F2965C0">
      <w:pPr>
        <w:keepNext w:val="0"/>
        <w:keepLines w:val="0"/>
        <w:pageBreakBefore w:val="0"/>
        <w:widowControl w:val="0"/>
        <w:tabs>
          <w:tab w:val="left" w:pos="709"/>
        </w:tabs>
        <w:kinsoku/>
        <w:overflowPunct/>
        <w:topLinePunct w:val="0"/>
        <w:autoSpaceDE w:val="0"/>
        <w:autoSpaceDN w:val="0"/>
        <w:bidi w:val="0"/>
        <w:adjustRightInd w:val="0"/>
        <w:spacing w:line="288" w:lineRule="auto"/>
        <w:ind w:leftChars="0" w:firstLine="411" w:firstLineChars="196"/>
        <w:textAlignment w:val="auto"/>
        <w:rPr>
          <w:rFonts w:hint="eastAsia" w:ascii="宋体" w:hAnsi="宋体" w:eastAsia="宋体" w:cs="宋体"/>
          <w:kern w:val="0"/>
          <w:sz w:val="21"/>
          <w:szCs w:val="21"/>
        </w:rPr>
      </w:pPr>
      <w:r>
        <w:rPr>
          <w:rFonts w:hint="eastAsia" w:ascii="宋体" w:hAnsi="宋体" w:eastAsia="宋体" w:cs="宋体"/>
          <w:kern w:val="0"/>
          <w:sz w:val="21"/>
          <w:szCs w:val="21"/>
        </w:rPr>
        <w:t>（2）驻场服务人员必须严格服从采购方的统一安排，遵守用户工作的作息时间安排，按要求提供驻场服务。驻场人员若有迟到早退或无故缺岗等违纪现象，发现一次扣减服务费500元，若上述情况超过5次，采购人有权解除合同并要求供应商赔偿相应损失。</w:t>
      </w:r>
    </w:p>
    <w:p w14:paraId="5C99D498">
      <w:pPr>
        <w:keepNext w:val="0"/>
        <w:keepLines w:val="0"/>
        <w:pageBreakBefore w:val="0"/>
        <w:widowControl w:val="0"/>
        <w:tabs>
          <w:tab w:val="left" w:pos="709"/>
        </w:tabs>
        <w:kinsoku/>
        <w:overflowPunct/>
        <w:topLinePunct w:val="0"/>
        <w:autoSpaceDE w:val="0"/>
        <w:autoSpaceDN w:val="0"/>
        <w:bidi w:val="0"/>
        <w:adjustRightInd w:val="0"/>
        <w:spacing w:line="288" w:lineRule="auto"/>
        <w:ind w:leftChars="0" w:firstLine="411" w:firstLineChars="196"/>
        <w:textAlignment w:val="auto"/>
        <w:rPr>
          <w:rFonts w:hint="eastAsia" w:ascii="宋体" w:hAnsi="宋体" w:eastAsia="宋体" w:cs="宋体"/>
          <w:kern w:val="0"/>
          <w:sz w:val="21"/>
          <w:szCs w:val="21"/>
        </w:rPr>
      </w:pPr>
      <w:r>
        <w:rPr>
          <w:rFonts w:hint="eastAsia" w:ascii="宋体" w:hAnsi="宋体" w:eastAsia="宋体" w:cs="宋体"/>
          <w:kern w:val="0"/>
          <w:sz w:val="21"/>
          <w:szCs w:val="21"/>
        </w:rPr>
        <w:t>（3）驻场服务人员应严格遵守浙江经济职业技术学院的各类规章制度和保密制度，签订网络安全保密承诺书并严格执行，若发现泄露采购人内部资料或数据的，将按照有关法律法规处理并由服务方赔偿用方损失。</w:t>
      </w:r>
    </w:p>
    <w:p w14:paraId="6BEBA419">
      <w:pPr>
        <w:pStyle w:val="5"/>
        <w:keepNext w:val="0"/>
        <w:keepLines w:val="0"/>
        <w:pageBreakBefore w:val="0"/>
        <w:widowControl w:val="0"/>
        <w:kinsoku/>
        <w:overflowPunct/>
        <w:topLinePunct w:val="0"/>
        <w:bidi w:val="0"/>
        <w:spacing w:after="0" w:line="288" w:lineRule="auto"/>
        <w:ind w:leftChars="0"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（4）供应商项目经理或技术总监需每季度不少于1次以上到采购人现场检查维护服务工作。</w:t>
      </w:r>
    </w:p>
    <w:p w14:paraId="17AE0C38">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 xml:space="preserve">3.3.2 </w:t>
      </w:r>
      <w:r>
        <w:rPr>
          <w:rFonts w:hint="eastAsia" w:ascii="宋体" w:hAnsi="宋体" w:eastAsia="宋体" w:cs="宋体"/>
          <w:b/>
          <w:bCs/>
          <w:sz w:val="21"/>
          <w:szCs w:val="21"/>
          <w:lang w:eastAsia="zh-CN"/>
        </w:rPr>
        <w:t>网络和数据安全责任</w:t>
      </w:r>
    </w:p>
    <w:p w14:paraId="6DF6ACD0">
      <w:pPr>
        <w:keepNext w:val="0"/>
        <w:keepLines w:val="0"/>
        <w:pageBreakBefore w:val="0"/>
        <w:widowControl w:val="0"/>
        <w:tabs>
          <w:tab w:val="left" w:pos="709"/>
        </w:tabs>
        <w:kinsoku/>
        <w:overflowPunct/>
        <w:topLinePunct w:val="0"/>
        <w:autoSpaceDE w:val="0"/>
        <w:autoSpaceDN w:val="0"/>
        <w:bidi w:val="0"/>
        <w:adjustRightInd w:val="0"/>
        <w:spacing w:line="288" w:lineRule="auto"/>
        <w:ind w:leftChars="0" w:firstLine="411" w:firstLineChars="196"/>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应严格遵守网络安全和保密相关法律、法规和规章制度，履行网络安全和保密义务，自愿接受网络安全和保密审查。</w:t>
      </w:r>
    </w:p>
    <w:p w14:paraId="1EE05091">
      <w:pPr>
        <w:keepNext w:val="0"/>
        <w:keepLines w:val="0"/>
        <w:pageBreakBefore w:val="0"/>
        <w:widowControl w:val="0"/>
        <w:tabs>
          <w:tab w:val="left" w:pos="709"/>
        </w:tabs>
        <w:kinsoku/>
        <w:overflowPunct/>
        <w:topLinePunct w:val="0"/>
        <w:autoSpaceDE w:val="0"/>
        <w:autoSpaceDN w:val="0"/>
        <w:bidi w:val="0"/>
        <w:adjustRightInd w:val="0"/>
        <w:spacing w:line="288" w:lineRule="auto"/>
        <w:ind w:leftChars="0" w:firstLine="411" w:firstLineChars="196"/>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须与采购人签订涉及网络、数据安全相关的服务保密协议，项目组成员须签署安全服务承诺书。</w:t>
      </w:r>
    </w:p>
    <w:p w14:paraId="20F3F6C7">
      <w:pPr>
        <w:keepNext w:val="0"/>
        <w:keepLines w:val="0"/>
        <w:pageBreakBefore w:val="0"/>
        <w:widowControl w:val="0"/>
        <w:tabs>
          <w:tab w:val="left" w:pos="709"/>
        </w:tabs>
        <w:kinsoku/>
        <w:overflowPunct/>
        <w:topLinePunct w:val="0"/>
        <w:autoSpaceDE w:val="0"/>
        <w:autoSpaceDN w:val="0"/>
        <w:bidi w:val="0"/>
        <w:adjustRightInd w:val="0"/>
        <w:spacing w:line="288" w:lineRule="auto"/>
        <w:ind w:leftChars="0" w:firstLine="411" w:firstLineChars="196"/>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应制定并落实网络和数据安全管理制度，根据国家有关标准的要求，落实必要的管理和技术措施，能够防止数据的泄漏、损毁、丢失、篡改。</w:t>
      </w:r>
    </w:p>
    <w:p w14:paraId="35AE0072">
      <w:pPr>
        <w:keepNext w:val="0"/>
        <w:keepLines w:val="0"/>
        <w:pageBreakBefore w:val="0"/>
        <w:widowControl w:val="0"/>
        <w:tabs>
          <w:tab w:val="left" w:pos="709"/>
        </w:tabs>
        <w:kinsoku/>
        <w:overflowPunct/>
        <w:topLinePunct w:val="0"/>
        <w:autoSpaceDE w:val="0"/>
        <w:autoSpaceDN w:val="0"/>
        <w:bidi w:val="0"/>
        <w:adjustRightInd w:val="0"/>
        <w:spacing w:line="288" w:lineRule="auto"/>
        <w:ind w:leftChars="0" w:firstLine="411" w:firstLineChars="196"/>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应按照合同约定的特定目的使用相关资产和数据，不得违规记录、存储、复制提供服务过程中触及的数据，不得将项目涉及的材料（代码）提供给第三方、发布到互联网或用于任何其他目的。</w:t>
      </w:r>
    </w:p>
    <w:p w14:paraId="3690C600">
      <w:pPr>
        <w:keepNext w:val="0"/>
        <w:keepLines w:val="0"/>
        <w:pageBreakBefore w:val="0"/>
        <w:widowControl w:val="0"/>
        <w:tabs>
          <w:tab w:val="left" w:pos="709"/>
        </w:tabs>
        <w:kinsoku/>
        <w:overflowPunct/>
        <w:topLinePunct w:val="0"/>
        <w:autoSpaceDE w:val="0"/>
        <w:autoSpaceDN w:val="0"/>
        <w:bidi w:val="0"/>
        <w:adjustRightInd w:val="0"/>
        <w:spacing w:line="288" w:lineRule="auto"/>
        <w:ind w:leftChars="0" w:firstLine="411" w:firstLineChars="196"/>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应定期对参与本项目人员开展网络和数据安全知识、职业道德、保密和法律法规等方面培训，强化警示教育，不断增强参与本项目人员的职业操守和法律观念。</w:t>
      </w:r>
    </w:p>
    <w:p w14:paraId="0BC43AA4">
      <w:pPr>
        <w:pStyle w:val="5"/>
        <w:keepNext w:val="0"/>
        <w:keepLines w:val="0"/>
        <w:pageBreakBefore w:val="0"/>
        <w:widowControl w:val="0"/>
        <w:kinsoku/>
        <w:overflowPunct/>
        <w:topLinePunct w:val="0"/>
        <w:bidi w:val="0"/>
        <w:spacing w:after="0" w:line="288"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 xml:space="preserve">3.3.3 </w:t>
      </w:r>
      <w:r>
        <w:rPr>
          <w:rFonts w:hint="eastAsia" w:ascii="宋体" w:hAnsi="宋体" w:eastAsia="宋体" w:cs="宋体"/>
          <w:b/>
          <w:bCs/>
          <w:sz w:val="21"/>
          <w:szCs w:val="21"/>
          <w:lang w:eastAsia="zh-CN"/>
        </w:rPr>
        <w:t>处罚条款</w:t>
      </w:r>
    </w:p>
    <w:p w14:paraId="1C531721">
      <w:pPr>
        <w:pStyle w:val="5"/>
        <w:keepNext w:val="0"/>
        <w:keepLines w:val="0"/>
        <w:pageBreakBefore w:val="0"/>
        <w:widowControl w:val="0"/>
        <w:kinsoku/>
        <w:overflowPunct/>
        <w:topLinePunct w:val="0"/>
        <w:bidi w:val="0"/>
        <w:spacing w:after="0" w:line="288" w:lineRule="auto"/>
        <w:ind w:leftChars="0" w:firstLine="42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lang w:val="en-US" w:eastAsia="zh-CN"/>
        </w:rPr>
        <w:t>供应商</w:t>
      </w:r>
      <w:r>
        <w:rPr>
          <w:rFonts w:hint="eastAsia" w:ascii="宋体" w:hAnsi="宋体" w:eastAsia="宋体" w:cs="宋体"/>
          <w:sz w:val="21"/>
          <w:szCs w:val="21"/>
        </w:rPr>
        <w:t>因未落实网络和数据安全责任要求，或管理不到位引发网络（系统、设备）瘫痪、数据丢失泄露等，给采购</w:t>
      </w:r>
      <w:r>
        <w:rPr>
          <w:rFonts w:hint="eastAsia" w:ascii="宋体" w:hAnsi="宋体" w:eastAsia="宋体" w:cs="宋体"/>
          <w:sz w:val="21"/>
          <w:szCs w:val="21"/>
          <w:lang w:val="en-US" w:eastAsia="zh-CN"/>
        </w:rPr>
        <w:t>人</w:t>
      </w:r>
      <w:r>
        <w:rPr>
          <w:rFonts w:hint="eastAsia" w:ascii="宋体" w:hAnsi="宋体" w:eastAsia="宋体" w:cs="宋体"/>
          <w:sz w:val="21"/>
          <w:szCs w:val="21"/>
        </w:rPr>
        <w:t>造成损失的，扣除合同总价5%作为处罚金。</w:t>
      </w:r>
    </w:p>
    <w:p w14:paraId="2818E15E">
      <w:pPr>
        <w:pStyle w:val="5"/>
        <w:keepNext w:val="0"/>
        <w:keepLines w:val="0"/>
        <w:pageBreakBefore w:val="0"/>
        <w:widowControl w:val="0"/>
        <w:kinsoku/>
        <w:overflowPunct/>
        <w:topLinePunct w:val="0"/>
        <w:bidi w:val="0"/>
        <w:spacing w:after="0" w:line="288" w:lineRule="auto"/>
        <w:ind w:leftChars="0" w:firstLine="42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（2）因</w:t>
      </w:r>
      <w:r>
        <w:rPr>
          <w:rFonts w:hint="eastAsia" w:ascii="宋体" w:hAnsi="宋体" w:eastAsia="宋体" w:cs="宋体"/>
          <w:kern w:val="0"/>
          <w:sz w:val="21"/>
          <w:szCs w:val="21"/>
          <w:lang w:val="en-US" w:eastAsia="zh-CN"/>
        </w:rPr>
        <w:t>供应商</w:t>
      </w:r>
      <w:r>
        <w:rPr>
          <w:rFonts w:hint="eastAsia" w:ascii="宋体" w:hAnsi="宋体" w:eastAsia="宋体" w:cs="宋体"/>
          <w:sz w:val="21"/>
          <w:szCs w:val="21"/>
        </w:rPr>
        <w:t>不当运维操作行为，引发重大网络安全事件的，采购</w:t>
      </w:r>
      <w:r>
        <w:rPr>
          <w:rFonts w:hint="eastAsia" w:ascii="宋体" w:hAnsi="宋体" w:eastAsia="宋体" w:cs="宋体"/>
          <w:sz w:val="21"/>
          <w:szCs w:val="21"/>
          <w:lang w:val="en-US" w:eastAsia="zh-CN"/>
        </w:rPr>
        <w:t>人</w:t>
      </w:r>
      <w:r>
        <w:rPr>
          <w:rFonts w:hint="eastAsia" w:ascii="宋体" w:hAnsi="宋体" w:eastAsia="宋体" w:cs="宋体"/>
          <w:sz w:val="21"/>
          <w:szCs w:val="21"/>
        </w:rPr>
        <w:t>有权单方终止合同，剩余款项将不予支付。</w:t>
      </w:r>
    </w:p>
    <w:p w14:paraId="451434BF">
      <w:pPr>
        <w:widowControl/>
        <w:adjustRightInd w:val="0"/>
        <w:snapToGrid w:val="0"/>
        <w:spacing w:line="288" w:lineRule="auto"/>
        <w:jc w:val="left"/>
        <w:rPr>
          <w:rFonts w:cs="Times New Roman"/>
          <w:sz w:val="21"/>
          <w:szCs w:val="21"/>
        </w:rPr>
      </w:pPr>
      <w:r>
        <w:rPr>
          <w:rFonts w:cs="Times New Roman"/>
          <w:sz w:val="21"/>
          <w:szCs w:val="21"/>
        </w:rPr>
        <w:br w:type="page"/>
      </w: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浙江经济职业技术学院网络安全等级保护与保障服务</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▲2.供应商代表不是法定代表人（单位负责人、自然人本人）的，须提供</w:t>
            </w:r>
            <w:r>
              <w:rPr>
                <w:rFonts w:hint="eastAsia" w:ascii="宋体" w:hAnsi="宋体" w:eastAsia="宋体" w:cs="宋体"/>
                <w:bCs/>
                <w:sz w:val="21"/>
                <w:szCs w:val="21"/>
              </w:rPr>
              <w:t>授权委托书</w:t>
            </w:r>
            <w:r>
              <w:rPr>
                <w:rFonts w:hint="eastAsia" w:ascii="宋体" w:hAnsi="宋体" w:eastAsia="宋体" w:cs="宋体"/>
                <w:sz w:val="21"/>
                <w:szCs w:val="21"/>
              </w:rPr>
              <w:t>（格式详</w:t>
            </w:r>
            <w:r>
              <w:rPr>
                <w:rFonts w:hint="eastAsia" w:ascii="宋体" w:hAnsi="宋体" w:eastAsia="宋体" w:cs="宋体"/>
                <w:sz w:val="21"/>
                <w:szCs w:val="21"/>
                <w:highlight w:val="none"/>
              </w:rPr>
              <w:t>见磋商文件第六章）和授权代表社保缴纳证明（</w:t>
            </w:r>
            <w:r>
              <w:rPr>
                <w:rFonts w:hint="eastAsia" w:cs="宋体"/>
                <w:sz w:val="21"/>
                <w:szCs w:val="21"/>
                <w:highlight w:val="none"/>
                <w:lang w:eastAsia="zh-CN"/>
              </w:rPr>
              <w:t>2024年06月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highlight w:val="none"/>
              </w:rPr>
              <w:t>▲3.供应商委派不在本单位缴纳社保的人员作为授权代表的，应当在响应文件中，说明具体原因、授权代表</w:t>
            </w:r>
            <w:r>
              <w:rPr>
                <w:rFonts w:hint="eastAsia" w:ascii="宋体" w:hAnsi="宋体" w:eastAsia="宋体" w:cs="宋体"/>
                <w:sz w:val="21"/>
                <w:szCs w:val="21"/>
              </w:rPr>
              <w:t>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BE22442">
            <w:pPr>
              <w:adjustRightInd w:val="0"/>
              <w:snapToGrid w:val="0"/>
              <w:spacing w:line="288" w:lineRule="auto"/>
              <w:rPr>
                <w:rFonts w:hint="eastAsia" w:ascii="宋体" w:hAnsi="宋体" w:eastAsia="宋体" w:cs="宋体"/>
                <w:sz w:val="21"/>
                <w:szCs w:val="21"/>
                <w:highlight w:val="none"/>
              </w:rPr>
            </w:pPr>
            <w:bookmarkStart w:id="37" w:name="_Hlk71808378"/>
            <w:r>
              <w:rPr>
                <w:rFonts w:hint="eastAsia" w:ascii="宋体" w:hAnsi="宋体" w:eastAsia="宋体" w:cs="宋体"/>
                <w:sz w:val="21"/>
                <w:szCs w:val="21"/>
              </w:rPr>
              <w:t>4.代理服务费收费标准</w:t>
            </w:r>
            <w:bookmarkEnd w:id="37"/>
            <w:r>
              <w:rPr>
                <w:rFonts w:hint="eastAsia" w:cs="宋体"/>
                <w:sz w:val="21"/>
                <w:szCs w:val="21"/>
                <w:lang w:eastAsia="zh-CN"/>
              </w:rPr>
              <w:t>（</w:t>
            </w:r>
            <w:r>
              <w:rPr>
                <w:rFonts w:hint="eastAsia" w:ascii="宋体" w:hAnsi="宋体" w:eastAsia="宋体" w:cs="宋体"/>
                <w:sz w:val="21"/>
                <w:szCs w:val="21"/>
                <w:highlight w:val="none"/>
              </w:rPr>
              <w:t>差额累进）：</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w:t>
                  </w:r>
                  <w:r>
                    <w:rPr>
                      <w:rFonts w:hint="eastAsia" w:cs="Times New Roman"/>
                      <w:b w:val="0"/>
                      <w:bCs w:val="0"/>
                      <w:spacing w:val="-6"/>
                      <w:sz w:val="21"/>
                      <w:szCs w:val="21"/>
                      <w:lang w:val="en-US" w:eastAsia="zh-CN"/>
                    </w:rPr>
                    <w:t>2</w:t>
                  </w:r>
                </w:p>
              </w:tc>
            </w:tr>
          </w:tbl>
          <w:p w14:paraId="06B01323">
            <w:pPr>
              <w:adjustRightInd w:val="0"/>
              <w:snapToGrid w:val="0"/>
              <w:spacing w:line="288" w:lineRule="auto"/>
              <w:rPr>
                <w:rFonts w:hint="eastAsia" w:ascii="宋体" w:hAnsi="宋体" w:eastAsia="宋体" w:cs="宋体"/>
                <w:sz w:val="21"/>
                <w:szCs w:val="21"/>
              </w:rPr>
            </w:pPr>
            <w:r>
              <w:rPr>
                <w:rFonts w:hint="eastAsia" w:ascii="宋体" w:hAnsi="宋体" w:eastAsia="宋体"/>
                <w:sz w:val="21"/>
                <w:szCs w:val="21"/>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507D84C7">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转包与分包</w:t>
            </w:r>
          </w:p>
        </w:tc>
        <w:tc>
          <w:tcPr>
            <w:tcW w:w="6663" w:type="dxa"/>
            <w:vAlign w:val="center"/>
          </w:tcPr>
          <w:p w14:paraId="3DF66409">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7610D28A">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本项目为整体</w:t>
            </w:r>
            <w:r>
              <w:rPr>
                <w:rFonts w:hint="eastAsia" w:cs="宋体"/>
                <w:color w:val="auto"/>
                <w:sz w:val="21"/>
                <w:szCs w:val="21"/>
                <w:u w:val="single"/>
                <w:lang w:val="en-US" w:eastAsia="zh-CN"/>
              </w:rPr>
              <w:t>网络安全保障项目</w:t>
            </w:r>
            <w:r>
              <w:rPr>
                <w:rFonts w:hint="eastAsia" w:ascii="宋体" w:hAnsi="宋体" w:eastAsia="宋体" w:cs="宋体"/>
                <w:color w:val="auto"/>
                <w:sz w:val="21"/>
                <w:szCs w:val="21"/>
                <w:u w:val="single"/>
              </w:rPr>
              <w:t>，为保证</w:t>
            </w:r>
            <w:r>
              <w:rPr>
                <w:rFonts w:hint="eastAsia" w:cs="宋体"/>
                <w:color w:val="auto"/>
                <w:sz w:val="21"/>
                <w:szCs w:val="21"/>
                <w:u w:val="single"/>
                <w:lang w:val="en-US" w:eastAsia="zh-CN"/>
              </w:rPr>
              <w:t>信息安全及保障网络安全</w:t>
            </w:r>
            <w:r>
              <w:rPr>
                <w:rFonts w:hint="eastAsia" w:ascii="宋体" w:hAnsi="宋体" w:eastAsia="宋体" w:cs="宋体"/>
                <w:color w:val="auto"/>
                <w:sz w:val="21"/>
                <w:szCs w:val="21"/>
                <w:u w:val="single"/>
              </w:rPr>
              <w:t>，不宜分包 。</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75692FF7">
            <w:pPr>
              <w:adjustRightInd w:val="0"/>
              <w:snapToGrid w:val="0"/>
              <w:spacing w:line="288" w:lineRule="auto"/>
              <w:rPr>
                <w:rFonts w:hint="eastAsia" w:ascii="宋体" w:hAnsi="宋体" w:eastAsia="宋体" w:cs="宋体"/>
                <w:bCs/>
                <w:sz w:val="21"/>
                <w:szCs w:val="21"/>
              </w:rPr>
            </w:pPr>
            <w:bookmarkStart w:id="38"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41E5AE9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8"/>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113E1719">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（3）落实政府采购政策需满足的资格要求：</w:t>
            </w:r>
            <w:r>
              <w:rPr>
                <w:rFonts w:hint="eastAsia" w:cs="宋体"/>
                <w:sz w:val="21"/>
                <w:szCs w:val="21"/>
                <w:highlight w:val="none"/>
                <w:lang w:val="en-US" w:eastAsia="zh-CN"/>
              </w:rPr>
              <w:t>无</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）收，电话：0571-8</w:t>
            </w:r>
            <w:r>
              <w:rPr>
                <w:rFonts w:hint="eastAsia" w:cs="宋体"/>
                <w:b/>
                <w:bCs/>
                <w:color w:val="auto"/>
                <w:sz w:val="21"/>
                <w:szCs w:val="21"/>
                <w:highlight w:val="none"/>
                <w:lang w:eastAsia="zh-CN"/>
              </w:rPr>
              <w:t>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14:paraId="20F8203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9" w:name="_Hlk97039780"/>
      <w:r>
        <w:rPr>
          <w:rFonts w:hint="eastAsia"/>
          <w:sz w:val="21"/>
          <w:szCs w:val="21"/>
        </w:rPr>
        <w:t>供应商应仔细阅读磋商文件的所有内容，按照磋商文件的要求提交响应文件，并对所提供的全部资料的真实性承担法律责任。</w:t>
      </w:r>
    </w:p>
    <w:bookmarkEnd w:id="39"/>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浙江经济职业技术学院网络安全等级保护与保障服务</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浙江经济职业技术学院</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40"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40"/>
    <w:p w14:paraId="59725C7A">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560A08BA">
      <w:pPr>
        <w:adjustRightInd w:val="0"/>
        <w:snapToGrid w:val="0"/>
        <w:spacing w:line="288" w:lineRule="auto"/>
        <w:rPr>
          <w:b/>
          <w:bCs/>
          <w:sz w:val="21"/>
          <w:szCs w:val="21"/>
        </w:rPr>
      </w:pPr>
      <w:r>
        <w:rPr>
          <w:rFonts w:hint="eastAsia"/>
          <w:b/>
          <w:bCs/>
          <w:sz w:val="21"/>
          <w:szCs w:val="21"/>
        </w:rPr>
        <w:t>（三）采购方式</w:t>
      </w:r>
    </w:p>
    <w:p w14:paraId="023E1194">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14:paraId="1D021387">
      <w:pPr>
        <w:adjustRightInd w:val="0"/>
        <w:snapToGrid w:val="0"/>
        <w:spacing w:line="288" w:lineRule="auto"/>
        <w:rPr>
          <w:b/>
          <w:bCs/>
          <w:sz w:val="21"/>
          <w:szCs w:val="21"/>
        </w:rPr>
      </w:pPr>
      <w:r>
        <w:rPr>
          <w:rFonts w:hint="eastAsia"/>
          <w:b/>
          <w:bCs/>
          <w:sz w:val="21"/>
          <w:szCs w:val="21"/>
        </w:rPr>
        <w:t>（四）竞争性磋商委托</w:t>
      </w:r>
    </w:p>
    <w:p w14:paraId="47AB57E7">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2.供应商代表不是法定代表人（</w:t>
      </w:r>
      <w:r>
        <w:rPr>
          <w:sz w:val="21"/>
          <w:szCs w:val="21"/>
          <w:highlight w:val="none"/>
        </w:rPr>
        <w:t>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2024年06月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highlight w:val="none"/>
        </w:rPr>
      </w:pPr>
      <w:r>
        <w:rPr>
          <w:rFonts w:hint="eastAsia"/>
          <w:b/>
          <w:bCs/>
          <w:sz w:val="21"/>
          <w:szCs w:val="21"/>
          <w:highlight w:val="none"/>
        </w:rPr>
        <w:t>（五）磋商费用</w:t>
      </w:r>
    </w:p>
    <w:p w14:paraId="3A57547C">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14:paraId="5B577199">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AD3889">
      <w:pPr>
        <w:adjustRightInd w:val="0"/>
        <w:snapToGrid w:val="0"/>
        <w:spacing w:line="288" w:lineRule="auto"/>
        <w:ind w:firstLine="420" w:firstLineChars="200"/>
        <w:rPr>
          <w:sz w:val="21"/>
          <w:szCs w:val="21"/>
          <w:highlight w:val="none"/>
        </w:rPr>
      </w:pPr>
      <w:r>
        <w:rPr>
          <w:rFonts w:hint="eastAsia"/>
          <w:sz w:val="21"/>
          <w:szCs w:val="21"/>
        </w:rPr>
        <w:t>4</w:t>
      </w:r>
      <w:r>
        <w:rPr>
          <w:sz w:val="21"/>
          <w:szCs w:val="21"/>
        </w:rPr>
        <w:t>.</w:t>
      </w:r>
      <w:r>
        <w:rPr>
          <w:rFonts w:hint="eastAsia"/>
          <w:sz w:val="21"/>
          <w:szCs w:val="21"/>
        </w:rPr>
        <w:t>代理服务费收费标准</w:t>
      </w:r>
      <w:r>
        <w:rPr>
          <w:rFonts w:hint="eastAsia"/>
          <w:sz w:val="21"/>
          <w:szCs w:val="21"/>
          <w:highlight w:val="none"/>
        </w:rPr>
        <w:t>（差额累进）：</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767B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D7654D">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64597FC0">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24D5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72411">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713B7E0C">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2</w:t>
            </w:r>
          </w:p>
        </w:tc>
      </w:tr>
    </w:tbl>
    <w:p w14:paraId="5BB76510">
      <w:pPr>
        <w:adjustRightInd w:val="0"/>
        <w:snapToGrid w:val="0"/>
        <w:spacing w:line="288"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1A282F7E">
      <w:pPr>
        <w:adjustRightInd w:val="0"/>
        <w:snapToGrid w:val="0"/>
        <w:spacing w:line="288" w:lineRule="auto"/>
        <w:ind w:firstLine="420" w:firstLineChars="200"/>
        <w:rPr>
          <w:sz w:val="21"/>
          <w:szCs w:val="21"/>
        </w:rPr>
      </w:pPr>
      <w:r>
        <w:rPr>
          <w:rFonts w:hint="eastAsia"/>
          <w:sz w:val="21"/>
          <w:szCs w:val="21"/>
        </w:rPr>
        <w:t>5.磋商保证金（元）：无</w:t>
      </w:r>
    </w:p>
    <w:p w14:paraId="1FB87386">
      <w:pPr>
        <w:adjustRightInd w:val="0"/>
        <w:snapToGrid w:val="0"/>
        <w:spacing w:line="288" w:lineRule="auto"/>
        <w:rPr>
          <w:b/>
          <w:bCs/>
          <w:sz w:val="21"/>
          <w:szCs w:val="21"/>
        </w:rPr>
      </w:pPr>
      <w:r>
        <w:rPr>
          <w:rFonts w:hint="eastAsia"/>
          <w:b/>
          <w:bCs/>
          <w:sz w:val="21"/>
          <w:szCs w:val="21"/>
        </w:rPr>
        <w:t>（六）联合体响应</w:t>
      </w:r>
    </w:p>
    <w:p w14:paraId="444BAFEB">
      <w:pPr>
        <w:adjustRightInd w:val="0"/>
        <w:snapToGrid w:val="0"/>
        <w:spacing w:line="288" w:lineRule="auto"/>
        <w:ind w:firstLine="420" w:firstLineChars="200"/>
        <w:rPr>
          <w:color w:val="auto"/>
          <w:sz w:val="21"/>
          <w:szCs w:val="21"/>
          <w:highlight w:val="none"/>
        </w:rPr>
      </w:pPr>
      <w:r>
        <w:rPr>
          <w:rFonts w:hint="eastAsia"/>
          <w:sz w:val="21"/>
          <w:szCs w:val="21"/>
        </w:rPr>
        <w:t>本项目（</w:t>
      </w:r>
      <w:r>
        <w:rPr>
          <w:rFonts w:hint="eastAsia"/>
          <w:color w:val="auto"/>
          <w:sz w:val="21"/>
          <w:szCs w:val="21"/>
          <w:highlight w:val="none"/>
        </w:rPr>
        <w:t>是）接受联合体响应。</w:t>
      </w:r>
    </w:p>
    <w:p w14:paraId="7B971553">
      <w:pPr>
        <w:spacing w:line="288" w:lineRule="auto"/>
        <w:ind w:firstLine="420" w:firstLineChars="200"/>
        <w:rPr>
          <w:rFonts w:cs="Times New Roman"/>
          <w:color w:val="auto"/>
          <w:sz w:val="21"/>
          <w:szCs w:val="22"/>
          <w:highlight w:val="none"/>
        </w:rPr>
      </w:pPr>
      <w:bookmarkStart w:id="41"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1"/>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74EB19B3">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ascii="宋体" w:hAnsi="宋体" w:eastAsia="宋体" w:cs="宋体"/>
          <w:color w:val="auto"/>
          <w:sz w:val="21"/>
          <w:szCs w:val="21"/>
          <w:u w:val="single"/>
        </w:rPr>
        <w:t>本项目为整体</w:t>
      </w:r>
      <w:r>
        <w:rPr>
          <w:rFonts w:hint="eastAsia" w:cs="宋体"/>
          <w:color w:val="auto"/>
          <w:sz w:val="21"/>
          <w:szCs w:val="21"/>
          <w:u w:val="single"/>
          <w:lang w:val="en-US" w:eastAsia="zh-CN"/>
        </w:rPr>
        <w:t>网络安全保障项目</w:t>
      </w:r>
      <w:r>
        <w:rPr>
          <w:rFonts w:hint="eastAsia" w:ascii="宋体" w:hAnsi="宋体" w:eastAsia="宋体" w:cs="宋体"/>
          <w:color w:val="auto"/>
          <w:sz w:val="21"/>
          <w:szCs w:val="21"/>
          <w:u w:val="single"/>
        </w:rPr>
        <w:t>，为保证</w:t>
      </w:r>
      <w:r>
        <w:rPr>
          <w:rFonts w:hint="eastAsia" w:cs="宋体"/>
          <w:color w:val="auto"/>
          <w:sz w:val="21"/>
          <w:szCs w:val="21"/>
          <w:u w:val="single"/>
          <w:lang w:val="en-US" w:eastAsia="zh-CN"/>
        </w:rPr>
        <w:t>信息安全及保障网络安全</w:t>
      </w:r>
      <w:r>
        <w:rPr>
          <w:rFonts w:hint="eastAsia" w:ascii="宋体" w:hAnsi="宋体" w:eastAsia="宋体" w:cs="宋体"/>
          <w:color w:val="auto"/>
          <w:sz w:val="21"/>
          <w:szCs w:val="21"/>
          <w:u w:val="single"/>
        </w:rPr>
        <w:t>，不宜分包</w:t>
      </w:r>
      <w:r>
        <w:rPr>
          <w:color w:val="auto"/>
          <w:sz w:val="21"/>
          <w:szCs w:val="21"/>
          <w:highlight w:val="none"/>
          <w:u w:val="single"/>
        </w:rPr>
        <w:t xml:space="preserve"> 。</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42" w:name="_Hlk92273406"/>
      <w:bookmarkStart w:id="43"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42"/>
    </w:p>
    <w:p w14:paraId="73E8DD1F">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681A0411">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321E495">
      <w:pPr>
        <w:adjustRightInd w:val="0"/>
        <w:snapToGrid w:val="0"/>
        <w:spacing w:line="288" w:lineRule="auto"/>
        <w:ind w:firstLine="420" w:firstLineChars="200"/>
        <w:rPr>
          <w:sz w:val="21"/>
          <w:szCs w:val="21"/>
        </w:rPr>
      </w:pPr>
      <w:r>
        <w:rPr>
          <w:rFonts w:hint="eastAsia"/>
          <w:sz w:val="21"/>
          <w:szCs w:val="21"/>
        </w:rPr>
        <w:t>（2）质疑项目的名称、编号；</w:t>
      </w:r>
    </w:p>
    <w:p w14:paraId="3EF3A20B">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2B7663D4">
      <w:pPr>
        <w:adjustRightInd w:val="0"/>
        <w:snapToGrid w:val="0"/>
        <w:spacing w:line="288" w:lineRule="auto"/>
        <w:ind w:firstLine="420" w:firstLineChars="200"/>
        <w:rPr>
          <w:sz w:val="21"/>
          <w:szCs w:val="21"/>
        </w:rPr>
      </w:pPr>
      <w:r>
        <w:rPr>
          <w:rFonts w:hint="eastAsia"/>
          <w:sz w:val="21"/>
          <w:szCs w:val="21"/>
        </w:rPr>
        <w:t>（4）事实依据；</w:t>
      </w:r>
    </w:p>
    <w:p w14:paraId="0D9FDA37">
      <w:pPr>
        <w:adjustRightInd w:val="0"/>
        <w:snapToGrid w:val="0"/>
        <w:spacing w:line="288" w:lineRule="auto"/>
        <w:ind w:firstLine="420" w:firstLineChars="200"/>
        <w:rPr>
          <w:sz w:val="21"/>
          <w:szCs w:val="21"/>
        </w:rPr>
      </w:pPr>
      <w:r>
        <w:rPr>
          <w:rFonts w:hint="eastAsia"/>
          <w:sz w:val="21"/>
          <w:szCs w:val="21"/>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3"/>
    <w:p w14:paraId="3F57D67E">
      <w:pPr>
        <w:adjustRightInd w:val="0"/>
        <w:snapToGrid w:val="0"/>
        <w:spacing w:line="288" w:lineRule="auto"/>
        <w:outlineLvl w:val="9"/>
        <w:rPr>
          <w:b/>
          <w:spacing w:val="-6"/>
          <w:kern w:val="0"/>
          <w:sz w:val="21"/>
          <w:szCs w:val="21"/>
        </w:rPr>
      </w:pPr>
      <w:bookmarkStart w:id="44"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4"/>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w:t>
      </w:r>
      <w:r>
        <w:rPr>
          <w:rFonts w:hint="eastAsia" w:ascii="宋体" w:hAnsi="宋体" w:eastAsia="宋体" w:cs="宋体"/>
          <w:i w:val="0"/>
          <w:iCs w:val="0"/>
          <w:color w:val="auto"/>
          <w:sz w:val="21"/>
          <w:szCs w:val="21"/>
          <w:highlight w:val="none"/>
        </w:rPr>
        <w:t>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w:t>
      </w:r>
      <w:r>
        <w:rPr>
          <w:rFonts w:hint="eastAsia" w:cs="Times New Roman"/>
          <w:bCs/>
          <w:spacing w:val="-6"/>
          <w:sz w:val="21"/>
          <w:szCs w:val="21"/>
          <w:highlight w:val="none"/>
        </w:rPr>
        <w:t>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5"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5"/>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6" w:name="_Hlk96329193"/>
      <w:r>
        <w:rPr>
          <w:rFonts w:hint="eastAsia"/>
          <w:sz w:val="21"/>
          <w:szCs w:val="21"/>
          <w:highlight w:val="none"/>
        </w:rPr>
        <w:t>，供应商应写全称。</w:t>
      </w:r>
      <w:bookmarkEnd w:id="46"/>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w:t>
      </w:r>
      <w:r>
        <w:rPr>
          <w:rFonts w:hint="eastAsia"/>
          <w:b/>
          <w:bCs/>
          <w:sz w:val="21"/>
          <w:szCs w:val="21"/>
          <w:highlight w:val="none"/>
          <w:lang w:eastAsia="zh-CN"/>
        </w:rPr>
        <w:t>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highlight w:val="none"/>
        </w:rPr>
        <w:t>b.电子加密响应文件成功上传后，供应商可自行打</w:t>
      </w:r>
      <w:r>
        <w:rPr>
          <w:rFonts w:hint="eastAsia"/>
          <w:sz w:val="21"/>
          <w:szCs w:val="21"/>
        </w:rPr>
        <w:t>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rPr>
      </w:pPr>
      <w:r>
        <w:rPr>
          <w:rFonts w:hint="eastAsia"/>
          <w:b/>
          <w:bCs/>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sz w:val="21"/>
          <w:szCs w:val="21"/>
        </w:rPr>
        <w:t>1.报价应按磋商文件要求的格式编制、填写报价内容（可自行增行），未按磋商文件要求编制、填写的响应文件可能被</w:t>
      </w:r>
      <w:r>
        <w:rPr>
          <w:rFonts w:hint="eastAsia" w:cs="Times New Roman"/>
          <w:color w:val="auto"/>
          <w:sz w:val="21"/>
          <w:szCs w:val="21"/>
        </w:rPr>
        <w:t>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rPr>
      </w:pPr>
      <w:r>
        <w:rPr>
          <w:b/>
          <w:bCs/>
          <w:color w:val="auto"/>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7" w:name="_Hlk97039899"/>
      <w:r>
        <w:rPr>
          <w:rFonts w:hint="eastAsia"/>
          <w:sz w:val="21"/>
          <w:szCs w:val="21"/>
        </w:rPr>
        <w:t>未响应磋商文件“▲”标记条款要求的，响应无效。</w:t>
      </w:r>
    </w:p>
    <w:bookmarkEnd w:id="47"/>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8" w:name="_Hlk97039841"/>
      <w:r>
        <w:rPr>
          <w:rFonts w:hint="eastAsia"/>
          <w:sz w:val="21"/>
          <w:szCs w:val="21"/>
        </w:rPr>
        <w:t>（3）资格文件未按要求签署、盖章。</w:t>
      </w:r>
    </w:p>
    <w:bookmarkEnd w:id="48"/>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w:t>
      </w:r>
      <w:r>
        <w:rPr>
          <w:color w:val="auto"/>
          <w:sz w:val="21"/>
          <w:szCs w:val="21"/>
          <w:highlight w:val="none"/>
        </w:rPr>
        <w:t>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D938FAA">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3410CBA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（1）不同供应商的电子响应文件上传计算机的网卡MAC地址、CPU序列号或硬盘序列号等硬件信息相同的；IP地址相同，且无法合理解释的；</w:t>
      </w:r>
    </w:p>
    <w:p w14:paraId="2ADD84F4">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5EA1854F">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674F67C9">
      <w:pPr>
        <w:adjustRightInd w:val="0"/>
        <w:snapToGrid w:val="0"/>
        <w:spacing w:line="288" w:lineRule="auto"/>
        <w:ind w:firstLine="396" w:firstLineChars="200"/>
        <w:rPr>
          <w:rFonts w:hint="eastAsia"/>
          <w:color w:val="auto"/>
          <w:sz w:val="21"/>
          <w:szCs w:val="21"/>
          <w:highlight w:val="none"/>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w:t>
      </w:r>
      <w:r>
        <w:rPr>
          <w:rFonts w:hint="eastAsia" w:cs="Arial"/>
          <w:color w:val="auto"/>
          <w:kern w:val="0"/>
          <w:sz w:val="21"/>
          <w:szCs w:val="21"/>
          <w:highlight w:val="none"/>
        </w:rPr>
        <w:t>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9"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r>
        <w:rPr>
          <w:rFonts w:hint="eastAsia" w:cs="Arial"/>
          <w:color w:val="auto"/>
          <w:kern w:val="0"/>
          <w:sz w:val="21"/>
          <w:szCs w:val="21"/>
          <w:highlight w:val="none"/>
        </w:rPr>
        <w:t>。</w:t>
      </w:r>
    </w:p>
    <w:bookmarkEnd w:id="49"/>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50"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50"/>
    <w:p w14:paraId="2D1D18D5">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6"/>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A04DAE">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14:paraId="3ABC4653">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14:paraId="359215D7">
            <w:pPr>
              <w:adjustRightInd w:val="0"/>
              <w:snapToGrid w:val="0"/>
              <w:spacing w:line="288" w:lineRule="auto"/>
              <w:jc w:val="center"/>
              <w:rPr>
                <w:b/>
                <w:bCs/>
                <w:kern w:val="0"/>
                <w:sz w:val="21"/>
                <w:szCs w:val="21"/>
              </w:rPr>
            </w:pPr>
            <w:r>
              <w:rPr>
                <w:rFonts w:hint="eastAsia"/>
                <w:b/>
                <w:bCs/>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lang w:val="en-US" w:eastAsia="zh-CN"/>
              </w:rPr>
              <w:t>2</w:t>
            </w:r>
            <w:r>
              <w:rPr>
                <w:rFonts w:hint="eastAsia"/>
                <w:b/>
                <w:bCs/>
                <w:kern w:val="0"/>
                <w:sz w:val="21"/>
                <w:szCs w:val="21"/>
              </w:rPr>
              <w:t>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0E0A15">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14:paraId="453841EE">
            <w:pPr>
              <w:adjustRightInd w:val="0"/>
              <w:snapToGrid w:val="0"/>
              <w:spacing w:line="288" w:lineRule="auto"/>
              <w:jc w:val="center"/>
              <w:rPr>
                <w:b/>
                <w:bCs/>
                <w:kern w:val="0"/>
                <w:sz w:val="21"/>
                <w:szCs w:val="21"/>
              </w:rPr>
            </w:pPr>
            <w:r>
              <w:rPr>
                <w:rFonts w:hint="eastAsia"/>
                <w:b/>
                <w:bCs/>
                <w:kern w:val="0"/>
                <w:sz w:val="21"/>
                <w:szCs w:val="21"/>
                <w:lang w:val="en-US" w:eastAsia="zh-CN"/>
              </w:rPr>
              <w:t>2</w:t>
            </w:r>
            <w:r>
              <w:rPr>
                <w:rFonts w:hint="eastAsia"/>
                <w:b/>
                <w:bCs/>
                <w:kern w:val="0"/>
                <w:sz w:val="21"/>
                <w:szCs w:val="21"/>
              </w:rPr>
              <w:t>0</w:t>
            </w:r>
          </w:p>
        </w:tc>
        <w:tc>
          <w:tcPr>
            <w:tcW w:w="7071" w:type="dxa"/>
            <w:vAlign w:val="center"/>
          </w:tcPr>
          <w:p w14:paraId="259B99D3">
            <w:pPr>
              <w:adjustRightInd w:val="0"/>
              <w:snapToGrid w:val="0"/>
              <w:spacing w:line="288" w:lineRule="auto"/>
              <w:rPr>
                <w:kern w:val="0"/>
                <w:sz w:val="21"/>
                <w:szCs w:val="21"/>
                <w:highlight w:val="none"/>
              </w:rPr>
            </w:pPr>
            <w:r>
              <w:rPr>
                <w:rFonts w:hint="eastAsia"/>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kern w:val="0"/>
                <w:sz w:val="21"/>
                <w:szCs w:val="21"/>
                <w:highlight w:val="none"/>
              </w:rPr>
            </w:pPr>
            <w:r>
              <w:rPr>
                <w:rFonts w:hint="eastAsia"/>
                <w:kern w:val="0"/>
                <w:sz w:val="21"/>
                <w:szCs w:val="21"/>
                <w:highlight w:val="none"/>
              </w:rPr>
              <w:t>磋商报价得分</w:t>
            </w:r>
            <w:r>
              <w:rPr>
                <w:kern w:val="0"/>
                <w:sz w:val="21"/>
                <w:szCs w:val="21"/>
                <w:highlight w:val="none"/>
              </w:rPr>
              <w:t>=（磋商基准价/最后磋商报价）×</w:t>
            </w:r>
            <w:r>
              <w:rPr>
                <w:rFonts w:hint="eastAsia"/>
                <w:kern w:val="0"/>
                <w:sz w:val="21"/>
                <w:szCs w:val="21"/>
                <w:highlight w:val="none"/>
                <w:lang w:val="en-US" w:eastAsia="zh-CN"/>
              </w:rPr>
              <w:t>2</w:t>
            </w:r>
            <w:r>
              <w:rPr>
                <w:kern w:val="0"/>
                <w:sz w:val="21"/>
                <w:szCs w:val="21"/>
                <w:highlight w:val="none"/>
              </w:rPr>
              <w:t>0</w:t>
            </w:r>
            <w:r>
              <w:rPr>
                <w:rFonts w:hint="eastAsia"/>
                <w:kern w:val="0"/>
                <w:sz w:val="21"/>
                <w:szCs w:val="21"/>
                <w:highlight w:val="none"/>
              </w:rPr>
              <w:t>%</w:t>
            </w:r>
            <w:r>
              <w:rPr>
                <w:kern w:val="0"/>
                <w:sz w:val="21"/>
                <w:szCs w:val="21"/>
                <w:highlight w:val="none"/>
              </w:rPr>
              <w:t>×100</w:t>
            </w:r>
          </w:p>
          <w:p w14:paraId="536C5FA8">
            <w:pPr>
              <w:adjustRightInd w:val="0"/>
              <w:snapToGrid w:val="0"/>
              <w:spacing w:line="288" w:lineRule="auto"/>
              <w:rPr>
                <w:kern w:val="0"/>
                <w:sz w:val="21"/>
                <w:szCs w:val="21"/>
                <w:highlight w:val="none"/>
              </w:rPr>
            </w:pPr>
            <w:r>
              <w:rPr>
                <w:rFonts w:hint="eastAsia" w:ascii="宋体" w:hAnsi="宋体" w:eastAsia="宋体" w:cs="宋体"/>
                <w:b/>
                <w:bCs/>
                <w:color w:val="auto"/>
                <w:sz w:val="21"/>
                <w:szCs w:val="21"/>
                <w:highlight w:val="none"/>
                <w:lang w:val="en-US" w:eastAsia="zh-CN"/>
              </w:rPr>
              <w:t>注：本项目对符合规定的小微企业报价给予【</w:t>
            </w: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0】%的扣除后计算价格得分。对于联合协议或者分包意向协议约定小微企业的合同份额占到合同总金额30%以上的，对联合体或者大中型企业的报价给予【</w:t>
            </w:r>
            <w:r>
              <w:rPr>
                <w:rFonts w:hint="eastAsia"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】%的扣除，用扣除后的价格参加评审。</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4</w:t>
            </w:r>
            <w:r>
              <w:rPr>
                <w:rFonts w:hint="eastAsia"/>
                <w:b/>
                <w:bCs/>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CED98A">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14:paraId="3E1534FF">
            <w:pPr>
              <w:adjustRightInd w:val="0"/>
              <w:snapToGrid w:val="0"/>
              <w:spacing w:line="288" w:lineRule="auto"/>
              <w:jc w:val="center"/>
              <w:rPr>
                <w:b/>
                <w:bCs/>
                <w:kern w:val="0"/>
                <w:sz w:val="21"/>
                <w:szCs w:val="21"/>
              </w:rPr>
            </w:pPr>
            <w:r>
              <w:rPr>
                <w:b/>
                <w:bCs/>
                <w:kern w:val="0"/>
                <w:sz w:val="21"/>
                <w:szCs w:val="21"/>
              </w:rPr>
              <w:t>2</w:t>
            </w:r>
          </w:p>
        </w:tc>
        <w:tc>
          <w:tcPr>
            <w:tcW w:w="7071" w:type="dxa"/>
            <w:vAlign w:val="center"/>
          </w:tcPr>
          <w:p w14:paraId="4598ABF8">
            <w:pPr>
              <w:adjustRightInd w:val="0"/>
              <w:snapToGrid w:val="0"/>
              <w:spacing w:line="288" w:lineRule="auto"/>
              <w:rPr>
                <w:kern w:val="0"/>
                <w:sz w:val="21"/>
                <w:szCs w:val="21"/>
              </w:rPr>
            </w:pPr>
            <w:r>
              <w:rPr>
                <w:rFonts w:hint="eastAsia"/>
                <w:kern w:val="0"/>
                <w:sz w:val="21"/>
                <w:szCs w:val="21"/>
              </w:rPr>
              <w:t>【客观分】</w:t>
            </w:r>
          </w:p>
          <w:p w14:paraId="71AEEECC">
            <w:pPr>
              <w:adjustRightInd w:val="0"/>
              <w:snapToGrid w:val="0"/>
              <w:spacing w:line="288" w:lineRule="auto"/>
              <w:rPr>
                <w:kern w:val="0"/>
                <w:sz w:val="21"/>
                <w:szCs w:val="21"/>
              </w:rPr>
            </w:pPr>
            <w:r>
              <w:rPr>
                <w:rFonts w:hint="eastAsia"/>
                <w:kern w:val="0"/>
                <w:sz w:val="21"/>
                <w:szCs w:val="21"/>
              </w:rPr>
              <w:t>供应商自20</w:t>
            </w:r>
            <w:r>
              <w:rPr>
                <w:rFonts w:hint="eastAsia"/>
                <w:kern w:val="0"/>
                <w:sz w:val="21"/>
                <w:szCs w:val="21"/>
                <w:lang w:val="en-US" w:eastAsia="zh-CN"/>
              </w:rPr>
              <w:t>21</w:t>
            </w:r>
            <w:r>
              <w:rPr>
                <w:rFonts w:hint="eastAsia"/>
                <w:kern w:val="0"/>
                <w:sz w:val="21"/>
                <w:szCs w:val="21"/>
              </w:rPr>
              <w:t>年1月1日以来（以合同签订时间为准）同类合同业绩（以提供的合同扫描件为准）：每提供1份合同业绩得</w:t>
            </w:r>
            <w:r>
              <w:rPr>
                <w:kern w:val="0"/>
                <w:sz w:val="21"/>
                <w:szCs w:val="21"/>
              </w:rPr>
              <w:t>1</w:t>
            </w:r>
            <w:r>
              <w:rPr>
                <w:rFonts w:hint="eastAsia"/>
                <w:kern w:val="0"/>
                <w:sz w:val="21"/>
                <w:szCs w:val="21"/>
              </w:rPr>
              <w:t>分，最高得</w:t>
            </w:r>
            <w:r>
              <w:rPr>
                <w:kern w:val="0"/>
                <w:sz w:val="21"/>
                <w:szCs w:val="21"/>
              </w:rPr>
              <w:t>2</w:t>
            </w:r>
            <w:r>
              <w:rPr>
                <w:rFonts w:hint="eastAsia"/>
                <w:kern w:val="0"/>
                <w:sz w:val="21"/>
                <w:szCs w:val="21"/>
              </w:rPr>
              <w:t>分。</w:t>
            </w:r>
          </w:p>
        </w:tc>
      </w:tr>
      <w:tr w14:paraId="51F1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AF4D965">
            <w:pPr>
              <w:adjustRightInd w:val="0"/>
              <w:snapToGrid w:val="0"/>
              <w:spacing w:line="288" w:lineRule="auto"/>
              <w:jc w:val="center"/>
              <w:rPr>
                <w:b/>
                <w:bCs/>
                <w:kern w:val="0"/>
                <w:sz w:val="21"/>
                <w:szCs w:val="21"/>
              </w:rPr>
            </w:pPr>
            <w:r>
              <w:rPr>
                <w:rFonts w:hint="eastAsia"/>
                <w:b/>
                <w:bCs/>
                <w:sz w:val="21"/>
                <w:szCs w:val="21"/>
                <w:highlight w:val="none"/>
              </w:rPr>
              <w:t>证书</w:t>
            </w:r>
          </w:p>
        </w:tc>
        <w:tc>
          <w:tcPr>
            <w:tcW w:w="682" w:type="dxa"/>
            <w:vAlign w:val="center"/>
          </w:tcPr>
          <w:p w14:paraId="471A9EC9">
            <w:pPr>
              <w:adjustRightInd w:val="0"/>
              <w:snapToGrid w:val="0"/>
              <w:spacing w:line="288" w:lineRule="auto"/>
              <w:jc w:val="center"/>
              <w:rPr>
                <w:b/>
                <w:bCs/>
                <w:kern w:val="0"/>
                <w:sz w:val="21"/>
                <w:szCs w:val="21"/>
              </w:rPr>
            </w:pPr>
            <w:r>
              <w:rPr>
                <w:rFonts w:hint="eastAsia"/>
                <w:b/>
                <w:bCs/>
                <w:sz w:val="21"/>
                <w:szCs w:val="21"/>
                <w:highlight w:val="none"/>
                <w:lang w:val="en-US" w:eastAsia="zh-CN"/>
              </w:rPr>
              <w:t>2</w:t>
            </w:r>
          </w:p>
        </w:tc>
        <w:tc>
          <w:tcPr>
            <w:tcW w:w="7071" w:type="dxa"/>
            <w:vAlign w:val="center"/>
          </w:tcPr>
          <w:p w14:paraId="34F47C6A">
            <w:pPr>
              <w:adjustRightInd w:val="0"/>
              <w:snapToGrid w:val="0"/>
              <w:spacing w:line="288" w:lineRule="auto"/>
              <w:rPr>
                <w:sz w:val="21"/>
                <w:szCs w:val="21"/>
                <w:highlight w:val="none"/>
              </w:rPr>
            </w:pPr>
            <w:r>
              <w:rPr>
                <w:rFonts w:hint="eastAsia"/>
                <w:sz w:val="21"/>
                <w:szCs w:val="21"/>
                <w:highlight w:val="none"/>
              </w:rPr>
              <w:t>【客观分】</w:t>
            </w:r>
          </w:p>
          <w:p w14:paraId="100563D9">
            <w:pPr>
              <w:adjustRightInd w:val="0"/>
              <w:snapToGrid w:val="0"/>
              <w:spacing w:line="288" w:lineRule="auto"/>
              <w:rPr>
                <w:kern w:val="0"/>
                <w:sz w:val="21"/>
                <w:szCs w:val="21"/>
              </w:rPr>
            </w:pPr>
            <w:r>
              <w:rPr>
                <w:rFonts w:hint="eastAsia"/>
                <w:kern w:val="0"/>
                <w:sz w:val="21"/>
                <w:szCs w:val="21"/>
                <w:highlight w:val="none"/>
              </w:rPr>
              <w:t>供应商具有有效的信息技术服务管理体系认证证书、信息安全管理体系认证证书</w:t>
            </w:r>
            <w:r>
              <w:rPr>
                <w:rFonts w:hint="eastAsia"/>
                <w:kern w:val="0"/>
                <w:sz w:val="21"/>
                <w:szCs w:val="21"/>
                <w:highlight w:val="none"/>
                <w:lang w:val="en-US" w:eastAsia="zh-CN"/>
              </w:rPr>
              <w:t>的，</w:t>
            </w:r>
            <w:r>
              <w:rPr>
                <w:rFonts w:hint="eastAsia"/>
                <w:kern w:val="0"/>
                <w:sz w:val="21"/>
                <w:szCs w:val="21"/>
                <w:highlight w:val="none"/>
              </w:rPr>
              <w:t>每提供1项证书得</w:t>
            </w:r>
            <w:r>
              <w:rPr>
                <w:rFonts w:hint="eastAsia"/>
                <w:kern w:val="0"/>
                <w:sz w:val="21"/>
                <w:szCs w:val="21"/>
                <w:highlight w:val="none"/>
                <w:lang w:val="en-US" w:eastAsia="zh-CN"/>
              </w:rPr>
              <w:t>1</w:t>
            </w:r>
            <w:r>
              <w:rPr>
                <w:rFonts w:hint="eastAsia"/>
                <w:kern w:val="0"/>
                <w:sz w:val="21"/>
                <w:szCs w:val="21"/>
                <w:highlight w:val="none"/>
              </w:rPr>
              <w:t>分，最高得</w:t>
            </w:r>
            <w:r>
              <w:rPr>
                <w:rFonts w:hint="eastAsia"/>
                <w:kern w:val="0"/>
                <w:sz w:val="21"/>
                <w:szCs w:val="21"/>
                <w:highlight w:val="none"/>
                <w:lang w:val="en-US" w:eastAsia="zh-CN"/>
              </w:rPr>
              <w:t>2</w:t>
            </w:r>
            <w:r>
              <w:rPr>
                <w:rFonts w:hint="eastAsia"/>
                <w:kern w:val="0"/>
                <w:sz w:val="21"/>
                <w:szCs w:val="21"/>
                <w:highlight w:val="none"/>
              </w:rPr>
              <w:t>分。（提供证书扫描件、国家认证认可监督管理委员会官网（http://www.cnca.gov.cn/）查询截图，不提供不得分）。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76</w:t>
            </w:r>
            <w:r>
              <w:rPr>
                <w:rFonts w:hint="eastAsia"/>
                <w:b/>
                <w:bCs/>
                <w:kern w:val="0"/>
                <w:sz w:val="21"/>
                <w:szCs w:val="21"/>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8E7A12D">
            <w:pPr>
              <w:adjustRightInd w:val="0"/>
              <w:snapToGrid w:val="0"/>
              <w:spacing w:line="288" w:lineRule="auto"/>
              <w:jc w:val="center"/>
              <w:rPr>
                <w:b/>
                <w:bCs/>
                <w:kern w:val="0"/>
                <w:sz w:val="21"/>
                <w:szCs w:val="21"/>
              </w:rPr>
            </w:pPr>
            <w:r>
              <w:rPr>
                <w:rFonts w:hint="eastAsia" w:ascii="宋体" w:hAnsi="宋体" w:eastAsia="宋体" w:cs="宋体"/>
                <w:b/>
                <w:bCs/>
                <w:kern w:val="0"/>
                <w:sz w:val="21"/>
                <w:szCs w:val="21"/>
                <w:highlight w:val="none"/>
              </w:rPr>
              <w:t>响应程度</w:t>
            </w:r>
          </w:p>
        </w:tc>
        <w:tc>
          <w:tcPr>
            <w:tcW w:w="682" w:type="dxa"/>
            <w:vAlign w:val="center"/>
          </w:tcPr>
          <w:p w14:paraId="7872F64C">
            <w:pPr>
              <w:adjustRightInd w:val="0"/>
              <w:snapToGrid w:val="0"/>
              <w:spacing w:line="288" w:lineRule="auto"/>
              <w:jc w:val="center"/>
              <w:rPr>
                <w:rFonts w:hint="default"/>
                <w:b/>
                <w:bCs/>
                <w:kern w:val="0"/>
                <w:sz w:val="21"/>
                <w:szCs w:val="21"/>
                <w:lang w:val="en-US"/>
              </w:rPr>
            </w:pPr>
            <w:r>
              <w:rPr>
                <w:rFonts w:hint="eastAsia" w:cs="宋体"/>
                <w:b/>
                <w:bCs/>
                <w:kern w:val="0"/>
                <w:sz w:val="21"/>
                <w:szCs w:val="21"/>
                <w:highlight w:val="none"/>
                <w:lang w:val="en-US" w:eastAsia="zh-CN"/>
              </w:rPr>
              <w:t>20</w:t>
            </w:r>
          </w:p>
        </w:tc>
        <w:tc>
          <w:tcPr>
            <w:tcW w:w="7071" w:type="dxa"/>
            <w:vAlign w:val="center"/>
          </w:tcPr>
          <w:p w14:paraId="370BA5A7">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1452C0FA">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要求中标注“▲”条款（不可偏离）的响应文件无效，满足或明显优于磋商文件明确的全部</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条款要求的该项得满分；</w:t>
            </w:r>
          </w:p>
          <w:p w14:paraId="20D62992">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条款低于</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要求（负偏离）的每项扣</w:t>
            </w:r>
            <w:r>
              <w:rPr>
                <w:rFonts w:hint="eastAsia" w:cs="宋体"/>
                <w:kern w:val="0"/>
                <w:sz w:val="21"/>
                <w:szCs w:val="21"/>
                <w:highlight w:val="none"/>
                <w:lang w:val="en-US" w:eastAsia="zh-CN"/>
              </w:rPr>
              <w:t>2</w:t>
            </w:r>
            <w:r>
              <w:rPr>
                <w:rFonts w:hint="eastAsia" w:ascii="宋体" w:hAnsi="宋体" w:eastAsia="宋体" w:cs="宋体"/>
                <w:kern w:val="0"/>
                <w:sz w:val="21"/>
                <w:szCs w:val="21"/>
                <w:highlight w:val="none"/>
              </w:rPr>
              <w:t>分；</w:t>
            </w:r>
          </w:p>
          <w:p w14:paraId="7311B9D8">
            <w:pPr>
              <w:adjustRightInd w:val="0"/>
              <w:snapToGrid w:val="0"/>
              <w:spacing w:line="288" w:lineRule="auto"/>
              <w:rPr>
                <w:kern w:val="0"/>
                <w:sz w:val="21"/>
                <w:szCs w:val="21"/>
              </w:rPr>
            </w:pPr>
            <w:r>
              <w:rPr>
                <w:rFonts w:hint="eastAsia" w:ascii="宋体" w:hAnsi="宋体" w:eastAsia="宋体" w:cs="宋体"/>
                <w:kern w:val="0"/>
                <w:sz w:val="21"/>
                <w:szCs w:val="21"/>
                <w:highlight w:val="none"/>
              </w:rPr>
              <w:t>负偏离</w:t>
            </w:r>
            <w:r>
              <w:rPr>
                <w:rFonts w:hint="eastAsia" w:cs="宋体"/>
                <w:kern w:val="0"/>
                <w:sz w:val="21"/>
                <w:szCs w:val="21"/>
                <w:highlight w:val="none"/>
                <w:lang w:val="en-US" w:eastAsia="zh-CN"/>
              </w:rPr>
              <w:t>11</w:t>
            </w:r>
            <w:r>
              <w:rPr>
                <w:rFonts w:hint="eastAsia" w:ascii="宋体" w:hAnsi="宋体" w:eastAsia="宋体" w:cs="宋体"/>
                <w:kern w:val="0"/>
                <w:sz w:val="21"/>
                <w:szCs w:val="21"/>
                <w:highlight w:val="none"/>
              </w:rPr>
              <w:t>项及以上的，视为采购人不能接受的附加条件。</w:t>
            </w:r>
          </w:p>
        </w:tc>
      </w:tr>
      <w:tr w14:paraId="6795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65F2339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lang w:val="en-US" w:eastAsia="zh-CN"/>
              </w:rPr>
              <w:t>实施</w:t>
            </w:r>
            <w:r>
              <w:rPr>
                <w:rFonts w:hint="eastAsia" w:ascii="宋体" w:hAnsi="宋体" w:eastAsia="宋体" w:cs="宋体"/>
                <w:b/>
                <w:bCs/>
                <w:spacing w:val="-6"/>
                <w:sz w:val="21"/>
                <w:szCs w:val="21"/>
              </w:rPr>
              <w:t>方案</w:t>
            </w:r>
          </w:p>
        </w:tc>
        <w:tc>
          <w:tcPr>
            <w:tcW w:w="682" w:type="dxa"/>
            <w:shd w:val="clear" w:color="auto" w:fill="auto"/>
            <w:vAlign w:val="center"/>
          </w:tcPr>
          <w:p w14:paraId="2A96B5B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lang w:val="en-US" w:eastAsia="zh-CN"/>
              </w:rPr>
              <w:t>4</w:t>
            </w:r>
          </w:p>
        </w:tc>
        <w:tc>
          <w:tcPr>
            <w:tcW w:w="7071" w:type="dxa"/>
            <w:shd w:val="clear" w:color="auto" w:fill="auto"/>
            <w:vAlign w:val="center"/>
          </w:tcPr>
          <w:p w14:paraId="4EDFF8B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7ABB951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对采购人系统硬件资源、业务和数据状况及其他资源、环境的熟悉程度，对项目需求的理解和解决方案有独到的优势。</w:t>
            </w:r>
            <w:r>
              <w:rPr>
                <w:rFonts w:hint="eastAsia" w:ascii="宋体" w:hAnsi="宋体" w:eastAsia="宋体" w:cs="宋体"/>
                <w:sz w:val="21"/>
                <w:szCs w:val="21"/>
                <w:highlight w:val="none"/>
                <w:lang w:val="en-US" w:eastAsia="zh-CN"/>
              </w:rPr>
              <w:t>（评分范围：4,3,2,1,0）</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4F1966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kern w:val="0"/>
                <w:sz w:val="21"/>
                <w:szCs w:val="21"/>
                <w:highlight w:val="none"/>
                <w:lang w:val="en-US" w:eastAsia="zh-CN" w:bidi="ar-SA"/>
              </w:rPr>
            </w:pPr>
          </w:p>
        </w:tc>
        <w:tc>
          <w:tcPr>
            <w:tcW w:w="682" w:type="dxa"/>
            <w:shd w:val="clear" w:color="auto" w:fill="auto"/>
            <w:vAlign w:val="center"/>
          </w:tcPr>
          <w:p w14:paraId="25D52B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lang w:val="en-US" w:eastAsia="zh-CN"/>
              </w:rPr>
              <w:t>4</w:t>
            </w:r>
          </w:p>
        </w:tc>
        <w:tc>
          <w:tcPr>
            <w:tcW w:w="7071" w:type="dxa"/>
            <w:shd w:val="clear" w:color="auto" w:fill="auto"/>
            <w:vAlign w:val="center"/>
          </w:tcPr>
          <w:p w14:paraId="7943CF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513F589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供应商的定期巡检制度和系统运行情况报告制度，要求制度的制定满足项目实施要求，内容完整详细具备针对性，能够定期出具巡检和设备运行情况报告。（评分范围：4,3,2,1,0）</w:t>
            </w:r>
          </w:p>
        </w:tc>
      </w:tr>
      <w:tr w14:paraId="1487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64DE79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kern w:val="0"/>
                <w:sz w:val="21"/>
                <w:szCs w:val="21"/>
                <w:highlight w:val="none"/>
                <w:lang w:val="en-US" w:eastAsia="zh-CN" w:bidi="ar-SA"/>
              </w:rPr>
            </w:pPr>
          </w:p>
        </w:tc>
        <w:tc>
          <w:tcPr>
            <w:tcW w:w="682" w:type="dxa"/>
            <w:shd w:val="clear" w:color="auto" w:fill="auto"/>
            <w:vAlign w:val="center"/>
          </w:tcPr>
          <w:p w14:paraId="22697F0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4</w:t>
            </w:r>
          </w:p>
        </w:tc>
        <w:tc>
          <w:tcPr>
            <w:tcW w:w="7071" w:type="dxa"/>
            <w:shd w:val="clear" w:color="auto" w:fill="auto"/>
            <w:vAlign w:val="center"/>
          </w:tcPr>
          <w:p w14:paraId="1F76C0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4009A51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lang w:eastAsia="zh-CN"/>
              </w:rPr>
            </w:pPr>
            <w:r>
              <w:rPr>
                <w:rFonts w:hint="eastAsia" w:ascii="宋体" w:hAnsi="宋体" w:eastAsia="宋体" w:cs="宋体"/>
                <w:sz w:val="21"/>
                <w:szCs w:val="21"/>
                <w:highlight w:val="none"/>
                <w:lang w:val="en-US" w:eastAsia="zh-CN"/>
              </w:rPr>
              <w:t>供应商针对本项目网络安全等级保护测评实施方案，具体熟悉等保测评流程，各项问题罗列清晰并提供有效解决方案，有利于项目运维目标的实现。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评分范围：4,3,2,1,0</w:t>
            </w:r>
            <w:r>
              <w:rPr>
                <w:rFonts w:hint="eastAsia" w:ascii="宋体" w:hAnsi="宋体" w:eastAsia="宋体" w:cs="宋体"/>
                <w:sz w:val="21"/>
                <w:szCs w:val="21"/>
                <w:highlight w:val="none"/>
                <w:lang w:eastAsia="zh-CN"/>
              </w:rPr>
              <w:t>）</w:t>
            </w:r>
          </w:p>
        </w:tc>
      </w:tr>
      <w:tr w14:paraId="45C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4EAD63D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kern w:val="0"/>
                <w:sz w:val="21"/>
                <w:szCs w:val="21"/>
                <w:highlight w:val="none"/>
                <w:lang w:val="en-US" w:eastAsia="zh-CN" w:bidi="ar-SA"/>
              </w:rPr>
            </w:pPr>
          </w:p>
        </w:tc>
        <w:tc>
          <w:tcPr>
            <w:tcW w:w="682" w:type="dxa"/>
            <w:shd w:val="clear" w:color="auto" w:fill="auto"/>
            <w:vAlign w:val="center"/>
          </w:tcPr>
          <w:p w14:paraId="13CF8AB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lang w:val="en-US" w:eastAsia="zh-CN"/>
              </w:rPr>
              <w:t>4</w:t>
            </w:r>
          </w:p>
        </w:tc>
        <w:tc>
          <w:tcPr>
            <w:tcW w:w="7071" w:type="dxa"/>
            <w:shd w:val="clear" w:color="auto" w:fill="auto"/>
            <w:vAlign w:val="center"/>
          </w:tcPr>
          <w:p w14:paraId="6B6D8E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【主观分】</w:t>
            </w:r>
          </w:p>
          <w:p w14:paraId="4B36EC6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供应商针对本项目网络安全运维服务实施方案，要求运维内容及事项了i额由此，工作日常检查、工作考核和责任追究制度明确详细，并提供能有效执行的措施。（评分范围：4,3,2,1,0）</w:t>
            </w:r>
          </w:p>
        </w:tc>
      </w:tr>
      <w:tr w14:paraId="6380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601EA4B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kern w:val="0"/>
                <w:sz w:val="21"/>
                <w:szCs w:val="21"/>
                <w:highlight w:val="none"/>
                <w:lang w:val="en-US" w:eastAsia="zh-CN" w:bidi="ar-SA"/>
              </w:rPr>
            </w:pPr>
          </w:p>
        </w:tc>
        <w:tc>
          <w:tcPr>
            <w:tcW w:w="682" w:type="dxa"/>
            <w:shd w:val="clear" w:color="auto" w:fill="auto"/>
            <w:vAlign w:val="center"/>
          </w:tcPr>
          <w:p w14:paraId="0FAFE83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highlight w:val="none"/>
                <w:lang w:val="en-US" w:eastAsia="zh-CN"/>
              </w:rPr>
              <w:t>4</w:t>
            </w:r>
          </w:p>
        </w:tc>
        <w:tc>
          <w:tcPr>
            <w:tcW w:w="7071" w:type="dxa"/>
            <w:shd w:val="clear" w:color="auto" w:fill="auto"/>
            <w:vAlign w:val="center"/>
          </w:tcPr>
          <w:p w14:paraId="2BE89C8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【主观分】</w:t>
            </w:r>
          </w:p>
          <w:p w14:paraId="5326669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供应商针对本项目拟设立的各项档案资料的建立与管理：要求档案资料的建立与管理方案内容详细、全面、合理且切实可行，满足项目运维需求，有利于运维目标的实现。（评分范围：4,3,2,1,0）</w:t>
            </w:r>
          </w:p>
        </w:tc>
      </w:tr>
      <w:tr w14:paraId="4801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199CDA0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pacing w:val="-6"/>
                <w:sz w:val="21"/>
                <w:szCs w:val="21"/>
                <w:lang w:val="en-US" w:eastAsia="zh-CN"/>
              </w:rPr>
              <w:t>项目</w:t>
            </w:r>
            <w:r>
              <w:rPr>
                <w:rFonts w:hint="eastAsia" w:ascii="宋体" w:hAnsi="宋体" w:eastAsia="宋体" w:cs="宋体"/>
                <w:b/>
                <w:bCs/>
                <w:spacing w:val="-6"/>
                <w:sz w:val="21"/>
                <w:szCs w:val="21"/>
              </w:rPr>
              <w:t>团队</w:t>
            </w:r>
          </w:p>
        </w:tc>
        <w:tc>
          <w:tcPr>
            <w:tcW w:w="682" w:type="dxa"/>
            <w:shd w:val="clear" w:color="auto" w:fill="auto"/>
            <w:vAlign w:val="center"/>
          </w:tcPr>
          <w:p w14:paraId="0079910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spacing w:val="-6"/>
                <w:sz w:val="21"/>
                <w:szCs w:val="21"/>
                <w:lang w:val="en-US" w:eastAsia="zh-CN"/>
              </w:rPr>
              <w:t>3</w:t>
            </w:r>
          </w:p>
        </w:tc>
        <w:tc>
          <w:tcPr>
            <w:tcW w:w="7071" w:type="dxa"/>
            <w:shd w:val="clear" w:color="auto" w:fill="auto"/>
            <w:vAlign w:val="center"/>
          </w:tcPr>
          <w:p w14:paraId="3EADDAD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5CF3C840">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拟投入本项目</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项目经理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项目负责人）或技术负责人</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政府职能部门</w:t>
            </w:r>
            <w:r>
              <w:rPr>
                <w:rFonts w:hint="eastAsia" w:ascii="宋体" w:hAnsi="宋体" w:eastAsia="宋体" w:cs="宋体"/>
                <w:sz w:val="21"/>
                <w:szCs w:val="21"/>
                <w:highlight w:val="none"/>
              </w:rPr>
              <w:t>颁发的</w:t>
            </w:r>
            <w:r>
              <w:rPr>
                <w:rFonts w:hint="eastAsia" w:ascii="宋体" w:hAnsi="宋体" w:eastAsia="宋体" w:cs="宋体"/>
                <w:sz w:val="21"/>
                <w:szCs w:val="21"/>
                <w:highlight w:val="none"/>
                <w:lang w:val="en-US" w:eastAsia="zh-CN"/>
              </w:rPr>
              <w:t>高级及以上</w:t>
            </w:r>
            <w:r>
              <w:rPr>
                <w:rFonts w:hint="eastAsia" w:ascii="宋体" w:hAnsi="宋体" w:eastAsia="宋体" w:cs="宋体"/>
                <w:kern w:val="1"/>
                <w:sz w:val="21"/>
                <w:szCs w:val="21"/>
                <w:highlight w:val="none"/>
              </w:rPr>
              <w:t>计算机技术与软件专业技术资格</w:t>
            </w:r>
            <w:r>
              <w:rPr>
                <w:rFonts w:hint="eastAsia" w:ascii="宋体" w:hAnsi="宋体" w:eastAsia="宋体" w:cs="宋体"/>
                <w:kern w:val="1"/>
                <w:sz w:val="21"/>
                <w:szCs w:val="21"/>
                <w:highlight w:val="none"/>
                <w:lang w:val="en-US" w:eastAsia="zh-CN"/>
              </w:rPr>
              <w:t>证书</w:t>
            </w:r>
            <w:r>
              <w:rPr>
                <w:rFonts w:hint="eastAsia" w:ascii="宋体" w:hAnsi="宋体" w:eastAsia="宋体" w:cs="宋体"/>
                <w:sz w:val="21"/>
                <w:szCs w:val="21"/>
                <w:highlight w:val="none"/>
                <w:lang w:val="en-US" w:eastAsia="zh-CN"/>
              </w:rPr>
              <w:t>的得3分</w:t>
            </w:r>
            <w:r>
              <w:rPr>
                <w:rFonts w:hint="eastAsia" w:ascii="宋体" w:hAnsi="宋体" w:eastAsia="宋体" w:cs="宋体"/>
                <w:sz w:val="21"/>
                <w:szCs w:val="21"/>
                <w:highlight w:val="none"/>
                <w:lang w:eastAsia="zh-CN"/>
              </w:rPr>
              <w:t>。</w:t>
            </w:r>
          </w:p>
          <w:p w14:paraId="20A9F22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sz w:val="21"/>
                <w:szCs w:val="21"/>
                <w:highlight w:val="none"/>
              </w:rPr>
              <w:t>须提供有效的证书扫描件，不提供不得分。</w:t>
            </w:r>
          </w:p>
        </w:tc>
      </w:tr>
      <w:tr w14:paraId="4F14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39B58B1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sz w:val="21"/>
                <w:szCs w:val="21"/>
                <w:lang w:val="en-US" w:eastAsia="zh-CN"/>
              </w:rPr>
            </w:pPr>
          </w:p>
        </w:tc>
        <w:tc>
          <w:tcPr>
            <w:tcW w:w="682" w:type="dxa"/>
            <w:shd w:val="clear" w:color="auto" w:fill="auto"/>
            <w:vAlign w:val="center"/>
          </w:tcPr>
          <w:p w14:paraId="5F1601A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2</w:t>
            </w:r>
          </w:p>
        </w:tc>
        <w:tc>
          <w:tcPr>
            <w:tcW w:w="7071" w:type="dxa"/>
            <w:shd w:val="clear" w:color="auto" w:fill="auto"/>
            <w:vAlign w:val="center"/>
          </w:tcPr>
          <w:p w14:paraId="2C4291D6">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5B9EFDAA">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拟投入本项目</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lang w:val="en-US" w:eastAsia="zh-CN"/>
              </w:rPr>
              <w:t>驻场人员</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政府职能部门</w:t>
            </w:r>
            <w:r>
              <w:rPr>
                <w:rFonts w:hint="eastAsia" w:ascii="宋体" w:hAnsi="宋体" w:eastAsia="宋体" w:cs="宋体"/>
                <w:sz w:val="21"/>
                <w:szCs w:val="21"/>
                <w:highlight w:val="none"/>
              </w:rPr>
              <w:t>颁发的</w:t>
            </w:r>
            <w:r>
              <w:rPr>
                <w:rFonts w:hint="eastAsia" w:ascii="宋体" w:hAnsi="宋体" w:eastAsia="宋体" w:cs="宋体"/>
                <w:sz w:val="21"/>
                <w:szCs w:val="21"/>
                <w:highlight w:val="none"/>
                <w:lang w:val="en-US" w:eastAsia="zh-CN"/>
              </w:rPr>
              <w:t>网络工程师证书的得2分</w:t>
            </w:r>
            <w:r>
              <w:rPr>
                <w:rFonts w:hint="eastAsia" w:ascii="宋体" w:hAnsi="宋体" w:eastAsia="宋体" w:cs="宋体"/>
                <w:sz w:val="21"/>
                <w:szCs w:val="21"/>
                <w:highlight w:val="none"/>
                <w:lang w:eastAsia="zh-CN"/>
              </w:rPr>
              <w:t>。</w:t>
            </w:r>
          </w:p>
          <w:p w14:paraId="5D521ED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须提供有效的证书扫描件，不提供不得分。</w:t>
            </w:r>
          </w:p>
        </w:tc>
      </w:tr>
      <w:tr w14:paraId="5F92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2C54B72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sz w:val="21"/>
                <w:szCs w:val="21"/>
                <w:lang w:val="en-US" w:eastAsia="zh-CN"/>
              </w:rPr>
            </w:pPr>
          </w:p>
        </w:tc>
        <w:tc>
          <w:tcPr>
            <w:tcW w:w="682" w:type="dxa"/>
            <w:shd w:val="clear" w:color="auto" w:fill="auto"/>
            <w:vAlign w:val="center"/>
          </w:tcPr>
          <w:p w14:paraId="5F6E8D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3</w:t>
            </w:r>
          </w:p>
        </w:tc>
        <w:tc>
          <w:tcPr>
            <w:tcW w:w="7071" w:type="dxa"/>
            <w:shd w:val="clear" w:color="auto" w:fill="auto"/>
            <w:vAlign w:val="center"/>
          </w:tcPr>
          <w:p w14:paraId="30E207D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主观分】</w:t>
            </w:r>
          </w:p>
          <w:p w14:paraId="0FD420A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供应商</w:t>
            </w:r>
            <w:r>
              <w:rPr>
                <w:rFonts w:hint="eastAsia" w:ascii="宋体" w:hAnsi="宋体" w:eastAsia="宋体" w:cs="宋体"/>
                <w:sz w:val="21"/>
                <w:szCs w:val="21"/>
              </w:rPr>
              <w:t>拟投入本项目团队人员具备与项目相关的专业技能和知识，具有丰富的工作经验，能够解决项目中遇到的技术和管理问题，具有调动各项资源能力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提供人员清单，少于10人的不得分。</w:t>
            </w:r>
            <w:r>
              <w:rPr>
                <w:rFonts w:hint="eastAsia" w:ascii="宋体" w:hAnsi="宋体" w:cs="宋体"/>
                <w:spacing w:val="-6"/>
                <w:sz w:val="21"/>
                <w:szCs w:val="21"/>
                <w:lang w:eastAsia="zh-CN"/>
              </w:rPr>
              <w:t>（</w:t>
            </w:r>
            <w:r>
              <w:rPr>
                <w:rFonts w:hint="eastAsia" w:ascii="宋体" w:hAnsi="宋体" w:cs="宋体"/>
                <w:spacing w:val="-6"/>
                <w:sz w:val="21"/>
                <w:szCs w:val="21"/>
                <w:lang w:val="en-US" w:eastAsia="zh-CN"/>
              </w:rPr>
              <w:t>评分范围：3,2,1,0</w:t>
            </w:r>
            <w:r>
              <w:rPr>
                <w:rFonts w:hint="eastAsia" w:ascii="宋体" w:hAnsi="宋体" w:cs="宋体"/>
                <w:spacing w:val="-6"/>
                <w:sz w:val="21"/>
                <w:szCs w:val="21"/>
                <w:lang w:eastAsia="zh-CN"/>
              </w:rPr>
              <w:t>）</w:t>
            </w:r>
          </w:p>
        </w:tc>
      </w:tr>
      <w:tr w14:paraId="04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7488605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rPr>
              <w:t>服务保障</w:t>
            </w:r>
          </w:p>
        </w:tc>
        <w:tc>
          <w:tcPr>
            <w:tcW w:w="682" w:type="dxa"/>
            <w:shd w:val="clear" w:color="auto" w:fill="auto"/>
            <w:vAlign w:val="center"/>
          </w:tcPr>
          <w:p w14:paraId="4C07F0B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lang w:val="en-US" w:eastAsia="zh-CN"/>
              </w:rPr>
              <w:t>4</w:t>
            </w:r>
          </w:p>
        </w:tc>
        <w:tc>
          <w:tcPr>
            <w:tcW w:w="7071" w:type="dxa"/>
            <w:shd w:val="clear" w:color="auto" w:fill="auto"/>
            <w:vAlign w:val="center"/>
          </w:tcPr>
          <w:p w14:paraId="2C0E4B0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主观分】</w:t>
            </w:r>
          </w:p>
          <w:p w14:paraId="52A84BC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kern w:val="2"/>
                <w:sz w:val="24"/>
                <w:szCs w:val="24"/>
                <w:highlight w:val="yellow"/>
                <w:lang w:val="en-US" w:eastAsia="zh-CN" w:bidi="ar-SA"/>
              </w:rPr>
            </w:pPr>
            <w:r>
              <w:rPr>
                <w:rFonts w:hint="eastAsia" w:ascii="宋体" w:hAnsi="宋体" w:eastAsia="宋体" w:cs="宋体"/>
                <w:spacing w:val="-6"/>
                <w:sz w:val="21"/>
                <w:szCs w:val="21"/>
                <w:lang w:eastAsia="zh-CN"/>
              </w:rPr>
              <w:t>响应供应商</w:t>
            </w:r>
            <w:r>
              <w:rPr>
                <w:rFonts w:hint="eastAsia" w:ascii="宋体" w:hAnsi="宋体" w:eastAsia="宋体" w:cs="宋体"/>
                <w:spacing w:val="-6"/>
                <w:sz w:val="21"/>
                <w:szCs w:val="21"/>
              </w:rPr>
              <w:t>具有可行、完整的服务落实保障措施，后续技术支持和维护能力情况。</w:t>
            </w:r>
            <w:r>
              <w:rPr>
                <w:rFonts w:hint="eastAsia" w:ascii="宋体" w:hAnsi="宋体" w:cs="宋体"/>
                <w:spacing w:val="-6"/>
                <w:sz w:val="21"/>
                <w:szCs w:val="21"/>
                <w:lang w:eastAsia="zh-CN"/>
              </w:rPr>
              <w:t>（</w:t>
            </w:r>
            <w:r>
              <w:rPr>
                <w:rFonts w:hint="eastAsia" w:ascii="宋体" w:hAnsi="宋体" w:cs="宋体"/>
                <w:spacing w:val="-6"/>
                <w:sz w:val="21"/>
                <w:szCs w:val="21"/>
                <w:lang w:val="en-US" w:eastAsia="zh-CN"/>
              </w:rPr>
              <w:t>评分范围：4,3,2,1,0</w:t>
            </w:r>
            <w:r>
              <w:rPr>
                <w:rFonts w:hint="eastAsia" w:ascii="宋体" w:hAnsi="宋体" w:cs="宋体"/>
                <w:spacing w:val="-6"/>
                <w:sz w:val="21"/>
                <w:szCs w:val="21"/>
                <w:lang w:eastAsia="zh-CN"/>
              </w:rPr>
              <w:t>）</w:t>
            </w:r>
          </w:p>
        </w:tc>
      </w:tr>
      <w:tr w14:paraId="4297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721845A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b/>
                <w:bCs/>
                <w:kern w:val="0"/>
                <w:sz w:val="21"/>
                <w:szCs w:val="21"/>
                <w:highlight w:val="none"/>
              </w:rPr>
            </w:pPr>
          </w:p>
        </w:tc>
        <w:tc>
          <w:tcPr>
            <w:tcW w:w="682" w:type="dxa"/>
            <w:shd w:val="clear" w:color="auto" w:fill="auto"/>
            <w:vAlign w:val="center"/>
          </w:tcPr>
          <w:p w14:paraId="295FCC4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宋体"/>
                <w:b/>
                <w:bCs/>
                <w:kern w:val="0"/>
                <w:sz w:val="21"/>
                <w:szCs w:val="21"/>
                <w:highlight w:val="none"/>
                <w:lang w:val="en-US" w:eastAsia="zh-CN"/>
              </w:rPr>
            </w:pPr>
            <w:r>
              <w:rPr>
                <w:rFonts w:hint="eastAsia" w:ascii="宋体" w:hAnsi="宋体" w:eastAsia="宋体" w:cs="宋体"/>
                <w:b/>
                <w:bCs/>
                <w:spacing w:val="-6"/>
                <w:sz w:val="21"/>
                <w:szCs w:val="21"/>
                <w:lang w:val="en-US" w:eastAsia="zh-CN"/>
              </w:rPr>
              <w:t>4</w:t>
            </w:r>
          </w:p>
        </w:tc>
        <w:tc>
          <w:tcPr>
            <w:tcW w:w="7071" w:type="dxa"/>
            <w:shd w:val="clear" w:color="auto" w:fill="auto"/>
            <w:vAlign w:val="center"/>
          </w:tcPr>
          <w:p w14:paraId="3CBF625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主观分】</w:t>
            </w:r>
          </w:p>
          <w:p w14:paraId="7B284AA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kern w:val="0"/>
                <w:sz w:val="21"/>
                <w:szCs w:val="21"/>
                <w:highlight w:val="yellow"/>
              </w:rPr>
            </w:pPr>
            <w:r>
              <w:rPr>
                <w:rFonts w:hint="eastAsia" w:ascii="宋体" w:hAnsi="宋体" w:eastAsia="宋体" w:cs="宋体"/>
                <w:spacing w:val="-6"/>
                <w:sz w:val="21"/>
                <w:szCs w:val="21"/>
                <w:lang w:eastAsia="zh-CN"/>
              </w:rPr>
              <w:t>响应供应商</w:t>
            </w:r>
            <w:r>
              <w:rPr>
                <w:rFonts w:hint="eastAsia" w:ascii="宋体" w:hAnsi="宋体" w:eastAsia="宋体" w:cs="宋体"/>
                <w:spacing w:val="-6"/>
                <w:sz w:val="21"/>
                <w:szCs w:val="21"/>
              </w:rPr>
              <w:t>服务质量保障体系内容完整详实，具有完备的服务中心。</w:t>
            </w:r>
            <w:r>
              <w:rPr>
                <w:rFonts w:hint="eastAsia" w:ascii="宋体" w:hAnsi="宋体" w:cs="宋体"/>
                <w:spacing w:val="-6"/>
                <w:sz w:val="21"/>
                <w:szCs w:val="21"/>
                <w:lang w:eastAsia="zh-CN"/>
              </w:rPr>
              <w:t>（</w:t>
            </w:r>
            <w:r>
              <w:rPr>
                <w:rFonts w:hint="eastAsia" w:ascii="宋体" w:hAnsi="宋体" w:cs="宋体"/>
                <w:spacing w:val="-6"/>
                <w:sz w:val="21"/>
                <w:szCs w:val="21"/>
                <w:lang w:val="en-US" w:eastAsia="zh-CN"/>
              </w:rPr>
              <w:t>评分范围：4,3,2,1,0</w:t>
            </w:r>
            <w:r>
              <w:rPr>
                <w:rFonts w:hint="eastAsia" w:ascii="宋体" w:hAnsi="宋体" w:cs="宋体"/>
                <w:spacing w:val="-6"/>
                <w:sz w:val="21"/>
                <w:szCs w:val="21"/>
                <w:lang w:eastAsia="zh-CN"/>
              </w:rPr>
              <w:t>）</w:t>
            </w:r>
          </w:p>
        </w:tc>
      </w:tr>
      <w:tr w14:paraId="285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58731758">
            <w:pPr>
              <w:keepNext w:val="0"/>
              <w:keepLines w:val="0"/>
              <w:pageBreakBefore w:val="0"/>
              <w:widowControl w:val="0"/>
              <w:kinsoku/>
              <w:wordWrap/>
              <w:overflowPunct/>
              <w:topLinePunct w:val="0"/>
              <w:autoSpaceDE/>
              <w:autoSpaceDN/>
              <w:bidi w:val="0"/>
              <w:spacing w:line="288" w:lineRule="auto"/>
              <w:textAlignment w:val="auto"/>
              <w:rPr>
                <w:b/>
                <w:bCs/>
                <w:kern w:val="0"/>
                <w:sz w:val="21"/>
                <w:szCs w:val="21"/>
              </w:rPr>
            </w:pPr>
          </w:p>
        </w:tc>
        <w:tc>
          <w:tcPr>
            <w:tcW w:w="682" w:type="dxa"/>
            <w:shd w:val="clear" w:color="auto" w:fill="auto"/>
            <w:vAlign w:val="center"/>
          </w:tcPr>
          <w:p w14:paraId="43079BD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lang w:val="en-US" w:eastAsia="zh-CN"/>
              </w:rPr>
              <w:t>4</w:t>
            </w:r>
          </w:p>
        </w:tc>
        <w:tc>
          <w:tcPr>
            <w:tcW w:w="7071" w:type="dxa"/>
            <w:shd w:val="clear" w:color="auto" w:fill="auto"/>
            <w:vAlign w:val="center"/>
          </w:tcPr>
          <w:p w14:paraId="3AEB411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主观分】</w:t>
            </w:r>
          </w:p>
          <w:p w14:paraId="4334254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kern w:val="2"/>
                <w:sz w:val="24"/>
                <w:szCs w:val="24"/>
                <w:highlight w:val="yellow"/>
                <w:lang w:val="en-US" w:eastAsia="zh-CN" w:bidi="ar-SA"/>
              </w:rPr>
            </w:pPr>
            <w:r>
              <w:rPr>
                <w:rFonts w:hint="eastAsia" w:ascii="宋体" w:hAnsi="宋体" w:eastAsia="宋体" w:cs="宋体"/>
                <w:spacing w:val="-6"/>
                <w:sz w:val="21"/>
                <w:szCs w:val="21"/>
              </w:rPr>
              <w:t>提供快速备品备件响应，保证备品备件到达现场时间的措施，确保采购人系统设备正常运行。</w:t>
            </w:r>
            <w:r>
              <w:rPr>
                <w:rFonts w:hint="eastAsia" w:ascii="宋体" w:hAnsi="宋体" w:cs="宋体"/>
                <w:spacing w:val="-6"/>
                <w:sz w:val="21"/>
                <w:szCs w:val="21"/>
                <w:lang w:eastAsia="zh-CN"/>
              </w:rPr>
              <w:t>（</w:t>
            </w:r>
            <w:r>
              <w:rPr>
                <w:rFonts w:hint="eastAsia" w:ascii="宋体" w:hAnsi="宋体" w:cs="宋体"/>
                <w:spacing w:val="-6"/>
                <w:sz w:val="21"/>
                <w:szCs w:val="21"/>
                <w:lang w:val="en-US" w:eastAsia="zh-CN"/>
              </w:rPr>
              <w:t>评分范围：</w:t>
            </w:r>
            <w:bookmarkStart w:id="67" w:name="_GoBack"/>
            <w:bookmarkEnd w:id="67"/>
            <w:r>
              <w:rPr>
                <w:rFonts w:hint="eastAsia" w:ascii="宋体" w:hAnsi="宋体" w:cs="宋体"/>
                <w:spacing w:val="-6"/>
                <w:sz w:val="21"/>
                <w:szCs w:val="21"/>
                <w:lang w:val="en-US" w:eastAsia="zh-CN"/>
              </w:rPr>
              <w:t>4,3,2,1,0</w:t>
            </w:r>
            <w:r>
              <w:rPr>
                <w:rFonts w:hint="eastAsia" w:ascii="宋体" w:hAnsi="宋体" w:cs="宋体"/>
                <w:spacing w:val="-6"/>
                <w:sz w:val="21"/>
                <w:szCs w:val="21"/>
                <w:lang w:eastAsia="zh-CN"/>
              </w:rPr>
              <w:t>）</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16D4A21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z w:val="21"/>
                <w:szCs w:val="21"/>
                <w:highlight w:val="none"/>
              </w:rPr>
              <w:t>应急方案</w:t>
            </w:r>
          </w:p>
        </w:tc>
        <w:tc>
          <w:tcPr>
            <w:tcW w:w="682" w:type="dxa"/>
            <w:shd w:val="clear" w:color="auto" w:fill="auto"/>
            <w:vAlign w:val="center"/>
          </w:tcPr>
          <w:p w14:paraId="7E8AAD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kern w:val="0"/>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7071" w:type="dxa"/>
            <w:shd w:val="clear" w:color="auto" w:fill="auto"/>
            <w:vAlign w:val="center"/>
          </w:tcPr>
          <w:p w14:paraId="2D6C1F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15FD80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维保服务保障应急预案，方案对日常维保可能遇到的问题及其应对措施的考虑情况。要求应急内容考虑全面，内容罗列清晰，有针对性的解决方案，能及时响应采购人应急需求。（评分范围：4,3,2,1,0）</w:t>
            </w:r>
          </w:p>
        </w:tc>
      </w:tr>
      <w:tr w14:paraId="0594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29B7C3F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b/>
                <w:bCs/>
                <w:kern w:val="0"/>
                <w:sz w:val="21"/>
                <w:szCs w:val="21"/>
                <w:highlight w:val="none"/>
              </w:rPr>
            </w:pPr>
            <w:r>
              <w:rPr>
                <w:rFonts w:hint="eastAsia" w:ascii="宋体" w:hAnsi="宋体" w:eastAsia="宋体" w:cs="宋体"/>
                <w:b/>
                <w:bCs/>
                <w:sz w:val="21"/>
                <w:szCs w:val="21"/>
                <w:highlight w:val="none"/>
              </w:rPr>
              <w:t>质量安全保障措施</w:t>
            </w:r>
          </w:p>
        </w:tc>
        <w:tc>
          <w:tcPr>
            <w:tcW w:w="682" w:type="dxa"/>
            <w:shd w:val="clear" w:color="auto" w:fill="auto"/>
            <w:vAlign w:val="center"/>
          </w:tcPr>
          <w:p w14:paraId="4A0EAC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b/>
                <w:bCs/>
                <w:kern w:val="0"/>
                <w:sz w:val="21"/>
                <w:szCs w:val="21"/>
                <w:highlight w:val="none"/>
              </w:rPr>
            </w:pPr>
            <w:r>
              <w:rPr>
                <w:rFonts w:hint="eastAsia" w:ascii="宋体" w:hAnsi="宋体" w:eastAsia="宋体" w:cs="宋体"/>
                <w:b/>
                <w:bCs/>
                <w:sz w:val="21"/>
                <w:szCs w:val="21"/>
                <w:highlight w:val="none"/>
                <w:lang w:val="en-US" w:eastAsia="zh-CN"/>
              </w:rPr>
              <w:t>4</w:t>
            </w:r>
          </w:p>
        </w:tc>
        <w:tc>
          <w:tcPr>
            <w:tcW w:w="7071" w:type="dxa"/>
            <w:shd w:val="clear" w:color="auto" w:fill="auto"/>
            <w:vAlign w:val="center"/>
          </w:tcPr>
          <w:p w14:paraId="31B483E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07DF714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kern w:val="0"/>
                <w:sz w:val="21"/>
                <w:szCs w:val="21"/>
                <w:highlight w:val="none"/>
              </w:rPr>
            </w:pPr>
            <w:r>
              <w:rPr>
                <w:rFonts w:hint="eastAsia" w:ascii="宋体" w:hAnsi="宋体" w:eastAsia="宋体" w:cs="宋体"/>
                <w:color w:val="auto"/>
                <w:kern w:val="1"/>
                <w:sz w:val="21"/>
                <w:szCs w:val="21"/>
                <w:highlight w:val="none"/>
              </w:rPr>
              <w:t>提供详细的质量方针、质量目标、质量范围、质量保障组织和过程等内容</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sz w:val="21"/>
                <w:szCs w:val="21"/>
                <w:highlight w:val="none"/>
                <w:lang w:val="en-US" w:eastAsia="zh-CN"/>
              </w:rPr>
              <w:t>保障措施全面，有利于合同履约</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（评分范围：</w:t>
            </w:r>
            <w:r>
              <w:rPr>
                <w:rFonts w:hint="eastAsia" w:ascii="宋体" w:hAnsi="宋体" w:eastAsia="宋体" w:cs="宋体"/>
                <w:sz w:val="21"/>
                <w:szCs w:val="21"/>
                <w:highlight w:val="none"/>
                <w:lang w:val="en-US" w:eastAsia="zh-CN"/>
              </w:rPr>
              <w:t>4,3,2,1,0</w:t>
            </w:r>
            <w:r>
              <w:rPr>
                <w:rFonts w:hint="eastAsia" w:ascii="宋体" w:hAnsi="宋体" w:eastAsia="宋体" w:cs="宋体"/>
                <w:color w:val="auto"/>
                <w:sz w:val="21"/>
                <w:szCs w:val="21"/>
                <w:highlight w:val="none"/>
                <w:lang w:val="en-US" w:eastAsia="zh-CN"/>
              </w:rPr>
              <w:t>）</w:t>
            </w:r>
          </w:p>
        </w:tc>
      </w:tr>
      <w:tr w14:paraId="6D67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3C51EC0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sz w:val="21"/>
                <w:szCs w:val="21"/>
              </w:rPr>
            </w:pPr>
            <w:r>
              <w:rPr>
                <w:rFonts w:hint="eastAsia" w:ascii="宋体" w:hAnsi="宋体" w:eastAsia="宋体" w:cs="宋体"/>
                <w:b/>
                <w:bCs/>
                <w:sz w:val="21"/>
                <w:szCs w:val="21"/>
                <w:highlight w:val="none"/>
              </w:rPr>
              <w:t>服务响应效率</w:t>
            </w:r>
          </w:p>
        </w:tc>
        <w:tc>
          <w:tcPr>
            <w:tcW w:w="682" w:type="dxa"/>
            <w:shd w:val="clear" w:color="auto" w:fill="auto"/>
            <w:vAlign w:val="center"/>
          </w:tcPr>
          <w:p w14:paraId="012BF00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sz w:val="21"/>
                <w:szCs w:val="21"/>
                <w:lang w:val="en-US" w:eastAsia="zh-CN"/>
              </w:rPr>
            </w:pPr>
            <w:r>
              <w:rPr>
                <w:rFonts w:hint="eastAsia" w:ascii="宋体" w:hAnsi="宋体" w:eastAsia="宋体" w:cs="宋体"/>
                <w:b/>
                <w:bCs/>
                <w:sz w:val="21"/>
                <w:szCs w:val="21"/>
                <w:highlight w:val="none"/>
                <w:lang w:val="en-US" w:eastAsia="zh-CN"/>
              </w:rPr>
              <w:t>4</w:t>
            </w:r>
          </w:p>
        </w:tc>
        <w:tc>
          <w:tcPr>
            <w:tcW w:w="7071" w:type="dxa"/>
            <w:shd w:val="clear" w:color="auto" w:fill="auto"/>
            <w:vAlign w:val="center"/>
          </w:tcPr>
          <w:p w14:paraId="5113D70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30371F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针对本项目的服务效率响应情况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要求及时响应采购人需求，提供线上、线下服务支持方案，方案完整详细、合理可行</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评分范围：4,3,2,1,0）</w:t>
            </w:r>
          </w:p>
        </w:tc>
      </w:tr>
      <w:tr w14:paraId="5DCB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33D85405">
            <w:pPr>
              <w:pageBreakBefore w:val="0"/>
              <w:widowControl w:val="0"/>
              <w:kinsoku/>
              <w:overflowPunct/>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b/>
                <w:bCs/>
                <w:spacing w:val="-6"/>
                <w:sz w:val="21"/>
                <w:szCs w:val="21"/>
              </w:rPr>
            </w:pPr>
            <w:r>
              <w:rPr>
                <w:rFonts w:hint="eastAsia" w:ascii="宋体" w:hAnsi="宋体" w:eastAsia="宋体" w:cs="宋体"/>
                <w:b/>
                <w:bCs/>
                <w:sz w:val="21"/>
                <w:szCs w:val="21"/>
                <w:highlight w:val="none"/>
              </w:rPr>
              <w:t>培训计划</w:t>
            </w:r>
          </w:p>
        </w:tc>
        <w:tc>
          <w:tcPr>
            <w:tcW w:w="682" w:type="dxa"/>
            <w:shd w:val="clear" w:color="auto" w:fill="auto"/>
            <w:vAlign w:val="center"/>
          </w:tcPr>
          <w:p w14:paraId="335DEDC0">
            <w:pPr>
              <w:pageBreakBefore w:val="0"/>
              <w:widowControl w:val="0"/>
              <w:kinsoku/>
              <w:overflowPunct/>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b/>
                <w:bCs/>
                <w:spacing w:val="-6"/>
                <w:sz w:val="21"/>
                <w:szCs w:val="21"/>
                <w:lang w:val="en-US" w:eastAsia="zh-CN"/>
              </w:rPr>
            </w:pPr>
            <w:r>
              <w:rPr>
                <w:rFonts w:hint="eastAsia" w:ascii="宋体" w:hAnsi="宋体" w:eastAsia="宋体" w:cs="宋体"/>
                <w:b/>
                <w:bCs/>
                <w:sz w:val="21"/>
                <w:szCs w:val="21"/>
                <w:highlight w:val="none"/>
                <w:lang w:val="en-US" w:eastAsia="zh-CN"/>
              </w:rPr>
              <w:t>4</w:t>
            </w:r>
          </w:p>
        </w:tc>
        <w:tc>
          <w:tcPr>
            <w:tcW w:w="7071" w:type="dxa"/>
            <w:shd w:val="clear" w:color="auto" w:fill="auto"/>
            <w:vAlign w:val="center"/>
          </w:tcPr>
          <w:p w14:paraId="33972D5E">
            <w:pPr>
              <w:pageBreakBefore w:val="0"/>
              <w:widowControl w:val="0"/>
              <w:kinsoku/>
              <w:overflowPunct/>
              <w:autoSpaceDE/>
              <w:autoSpaceDN/>
              <w:bidi w:val="0"/>
              <w:adjustRightInd w:val="0"/>
              <w:snapToGrid w:val="0"/>
              <w:spacing w:line="288" w:lineRule="auto"/>
              <w:ind w:lef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162635AB">
            <w:pPr>
              <w:pageBreakBefore w:val="0"/>
              <w:widowControl w:val="0"/>
              <w:kinsoku/>
              <w:overflowPunct/>
              <w:autoSpaceDE/>
              <w:autoSpaceDN/>
              <w:bidi w:val="0"/>
              <w:adjustRightInd w:val="0"/>
              <w:snapToGrid w:val="0"/>
              <w:spacing w:line="288" w:lineRule="auto"/>
              <w:ind w:left="0" w:leftChars="0" w:firstLine="0" w:firstLineChars="0"/>
              <w:textAlignment w:val="auto"/>
              <w:rPr>
                <w:rFonts w:hint="eastAsia" w:ascii="宋体" w:hAnsi="宋体" w:eastAsia="宋体" w:cs="宋体"/>
                <w:spacing w:val="-6"/>
                <w:sz w:val="21"/>
                <w:szCs w:val="21"/>
              </w:rPr>
            </w:pPr>
            <w:r>
              <w:rPr>
                <w:rFonts w:hint="eastAsia" w:ascii="宋体" w:hAnsi="宋体" w:eastAsia="宋体" w:cs="宋体"/>
                <w:spacing w:val="-6"/>
                <w:kern w:val="2"/>
                <w:sz w:val="21"/>
                <w:szCs w:val="21"/>
                <w:highlight w:val="none"/>
                <w:lang w:val="en-US" w:eastAsia="zh-CN" w:bidi="ar-SA"/>
              </w:rPr>
              <w:t>供应商专业、全面的培训计划（时间、地点、投入人力物力、持续时间），培训后应能达到完成使用任务的基本水平。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评分范围：4,3,2,1,0）</w:t>
            </w:r>
          </w:p>
        </w:tc>
      </w:tr>
    </w:tbl>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5BAFEDC">
      <w:pPr>
        <w:adjustRightInd w:val="0"/>
        <w:snapToGrid w:val="0"/>
        <w:spacing w:line="288" w:lineRule="auto"/>
        <w:jc w:val="center"/>
        <w:rPr>
          <w:b/>
          <w:bCs/>
          <w:sz w:val="21"/>
          <w:szCs w:val="21"/>
        </w:rPr>
      </w:pPr>
      <w:r>
        <w:rPr>
          <w:rFonts w:hint="eastAsia"/>
          <w:b/>
          <w:spacing w:val="-6"/>
          <w:sz w:val="21"/>
          <w:szCs w:val="21"/>
          <w:lang w:eastAsia="zh-CN"/>
        </w:rPr>
        <w:t>浙江经济职业技术学院</w:t>
      </w:r>
      <w:r>
        <w:rPr>
          <w:rFonts w:hint="eastAsia"/>
          <w:b/>
          <w:spacing w:val="-6"/>
          <w:sz w:val="21"/>
          <w:szCs w:val="21"/>
        </w:rPr>
        <w:t xml:space="preserve"> 政府采购合同</w:t>
      </w:r>
    </w:p>
    <w:p w14:paraId="035A8F00">
      <w:pPr>
        <w:adjustRightInd w:val="0"/>
        <w:snapToGrid w:val="0"/>
        <w:spacing w:line="288" w:lineRule="auto"/>
        <w:rPr>
          <w:sz w:val="21"/>
          <w:szCs w:val="21"/>
        </w:rPr>
      </w:pPr>
    </w:p>
    <w:p w14:paraId="5FF2D6F6">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甲方</w:t>
      </w:r>
      <w:r>
        <w:rPr>
          <w:rFonts w:hint="eastAsia" w:ascii="宋体" w:hAnsi="宋体" w:eastAsia="宋体" w:cs="宋体"/>
          <w:sz w:val="21"/>
          <w:szCs w:val="21"/>
          <w:highlight w:val="none"/>
        </w:rPr>
        <w:t xml:space="preserve">（采购人）：浙江经济职业技术学院 </w:t>
      </w:r>
    </w:p>
    <w:p w14:paraId="44B2D321">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乙方</w:t>
      </w:r>
      <w:r>
        <w:rPr>
          <w:rFonts w:hint="eastAsia" w:ascii="宋体" w:hAnsi="宋体" w:eastAsia="宋体" w:cs="宋体"/>
          <w:sz w:val="21"/>
          <w:szCs w:val="21"/>
          <w:highlight w:val="none"/>
        </w:rPr>
        <w:t xml:space="preserve">（供应商）：                    </w:t>
      </w:r>
    </w:p>
    <w:p w14:paraId="47A57A17">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鉴 证 方:</w:t>
      </w:r>
      <w:r>
        <w:rPr>
          <w:rFonts w:hint="eastAsia" w:ascii="宋体" w:hAnsi="宋体" w:eastAsia="宋体" w:cs="宋体"/>
          <w:sz w:val="21"/>
          <w:szCs w:val="21"/>
          <w:highlight w:val="none"/>
        </w:rPr>
        <w:t xml:space="preserve"> </w:t>
      </w:r>
    </w:p>
    <w:p w14:paraId="5A0664EC">
      <w:pPr>
        <w:widowControl w:val="0"/>
        <w:adjustRightInd w:val="0"/>
        <w:snapToGrid w:val="0"/>
        <w:spacing w:line="460" w:lineRule="exact"/>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甲、乙双方根据</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关于</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项目编号为</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的</w:t>
      </w:r>
      <w:r>
        <w:rPr>
          <w:rFonts w:hint="eastAsia" w:ascii="宋体" w:hAnsi="宋体" w:eastAsia="宋体" w:cs="宋体"/>
          <w:snapToGrid w:val="0"/>
          <w:kern w:val="0"/>
          <w:sz w:val="21"/>
          <w:szCs w:val="21"/>
          <w:highlight w:val="none"/>
          <w:lang w:val="en-US" w:eastAsia="zh-CN" w:bidi="ar-SA"/>
        </w:rPr>
        <w:t>项目竞争性磋商采购的结果，签署本合同。</w:t>
      </w:r>
    </w:p>
    <w:p w14:paraId="2F64ADD3">
      <w:pPr>
        <w:widowControl w:val="0"/>
        <w:adjustRightInd w:val="0"/>
        <w:snapToGrid w:val="0"/>
        <w:spacing w:line="460" w:lineRule="exact"/>
        <w:ind w:firstLine="449" w:firstLineChars="213"/>
        <w:jc w:val="both"/>
        <w:outlineLvl w:val="9"/>
        <w:rPr>
          <w:rFonts w:ascii="宋体" w:hAnsi="宋体" w:eastAsia="宋体" w:cs="宋体"/>
          <w:b/>
          <w:kern w:val="2"/>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一、货物(服务）内容</w:t>
      </w:r>
      <w:r>
        <w:rPr>
          <w:rFonts w:hint="eastAsia" w:ascii="宋体" w:hAnsi="宋体" w:eastAsia="宋体" w:cs="宋体"/>
          <w:b/>
          <w:kern w:val="2"/>
          <w:sz w:val="21"/>
          <w:szCs w:val="21"/>
          <w:highlight w:val="none"/>
          <w:lang w:val="en-US" w:eastAsia="zh-CN" w:bidi="ar-SA"/>
        </w:rPr>
        <w:t>及合同价格</w:t>
      </w:r>
    </w:p>
    <w:p w14:paraId="55339D7A">
      <w:pPr>
        <w:widowControl w:val="0"/>
        <w:adjustRightInd w:val="0"/>
        <w:snapToGrid w:val="0"/>
        <w:spacing w:line="460" w:lineRule="exact"/>
        <w:ind w:firstLine="447" w:firstLineChars="213"/>
        <w:jc w:val="right"/>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金额单位：元 </w:t>
      </w:r>
    </w:p>
    <w:tbl>
      <w:tblPr>
        <w:tblStyle w:val="15"/>
        <w:tblW w:w="94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412"/>
        <w:gridCol w:w="6"/>
        <w:gridCol w:w="1275"/>
        <w:gridCol w:w="1276"/>
        <w:gridCol w:w="1418"/>
        <w:gridCol w:w="2007"/>
      </w:tblGrid>
      <w:tr w14:paraId="48CE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23" w:type="dxa"/>
            <w:vAlign w:val="center"/>
          </w:tcPr>
          <w:p w14:paraId="4AE727D0">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货物（服务）名称</w:t>
            </w:r>
          </w:p>
        </w:tc>
        <w:tc>
          <w:tcPr>
            <w:tcW w:w="1418" w:type="dxa"/>
            <w:gridSpan w:val="2"/>
            <w:vAlign w:val="center"/>
          </w:tcPr>
          <w:p w14:paraId="2808B7F7">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型号规格</w:t>
            </w:r>
          </w:p>
        </w:tc>
        <w:tc>
          <w:tcPr>
            <w:tcW w:w="1275" w:type="dxa"/>
            <w:vAlign w:val="center"/>
          </w:tcPr>
          <w:p w14:paraId="71E4C877">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配置要求</w:t>
            </w:r>
          </w:p>
        </w:tc>
        <w:tc>
          <w:tcPr>
            <w:tcW w:w="1276" w:type="dxa"/>
            <w:vAlign w:val="center"/>
          </w:tcPr>
          <w:p w14:paraId="6AE4F979">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数量</w:t>
            </w:r>
          </w:p>
        </w:tc>
        <w:tc>
          <w:tcPr>
            <w:tcW w:w="1418" w:type="dxa"/>
            <w:vAlign w:val="center"/>
          </w:tcPr>
          <w:p w14:paraId="5C1BDBD2">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单价</w:t>
            </w:r>
          </w:p>
        </w:tc>
        <w:tc>
          <w:tcPr>
            <w:tcW w:w="2007" w:type="dxa"/>
          </w:tcPr>
          <w:p w14:paraId="173CA670">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金额</w:t>
            </w:r>
          </w:p>
        </w:tc>
      </w:tr>
      <w:tr w14:paraId="2A16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14:paraId="693E1E16">
            <w:pPr>
              <w:spacing w:line="460" w:lineRule="exact"/>
              <w:jc w:val="center"/>
              <w:outlineLvl w:val="9"/>
              <w:rPr>
                <w:rFonts w:ascii="宋体" w:hAnsi="宋体" w:eastAsia="宋体" w:cs="宋体"/>
                <w:sz w:val="21"/>
                <w:szCs w:val="21"/>
                <w:highlight w:val="none"/>
              </w:rPr>
            </w:pPr>
          </w:p>
        </w:tc>
        <w:tc>
          <w:tcPr>
            <w:tcW w:w="1412" w:type="dxa"/>
            <w:vAlign w:val="center"/>
          </w:tcPr>
          <w:p w14:paraId="18B0A613">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14:paraId="6B2DE295">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14:paraId="47936EF1">
            <w:pPr>
              <w:spacing w:line="460" w:lineRule="exact"/>
              <w:jc w:val="center"/>
              <w:outlineLvl w:val="9"/>
              <w:rPr>
                <w:rFonts w:ascii="宋体" w:hAnsi="宋体" w:eastAsia="宋体" w:cs="宋体"/>
                <w:sz w:val="21"/>
                <w:szCs w:val="21"/>
                <w:highlight w:val="none"/>
              </w:rPr>
            </w:pPr>
          </w:p>
        </w:tc>
        <w:tc>
          <w:tcPr>
            <w:tcW w:w="1418" w:type="dxa"/>
            <w:vAlign w:val="center"/>
          </w:tcPr>
          <w:p w14:paraId="452F31FD">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14:paraId="5EF3DAE6">
            <w:pPr>
              <w:widowControl/>
              <w:spacing w:line="460" w:lineRule="exact"/>
              <w:ind w:firstLine="210" w:firstLineChars="100"/>
              <w:outlineLvl w:val="9"/>
              <w:rPr>
                <w:rFonts w:ascii="宋体" w:hAnsi="宋体" w:eastAsia="宋体" w:cs="宋体"/>
                <w:snapToGrid w:val="0"/>
                <w:kern w:val="0"/>
                <w:sz w:val="21"/>
                <w:szCs w:val="21"/>
                <w:highlight w:val="none"/>
              </w:rPr>
            </w:pPr>
          </w:p>
        </w:tc>
      </w:tr>
      <w:tr w14:paraId="01D8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14:paraId="35867FFB">
            <w:pPr>
              <w:spacing w:line="460" w:lineRule="exact"/>
              <w:jc w:val="center"/>
              <w:outlineLvl w:val="9"/>
              <w:rPr>
                <w:rFonts w:ascii="宋体" w:hAnsi="宋体" w:eastAsia="宋体" w:cs="宋体"/>
                <w:sz w:val="21"/>
                <w:szCs w:val="21"/>
                <w:highlight w:val="none"/>
              </w:rPr>
            </w:pPr>
          </w:p>
        </w:tc>
        <w:tc>
          <w:tcPr>
            <w:tcW w:w="1412" w:type="dxa"/>
            <w:vAlign w:val="center"/>
          </w:tcPr>
          <w:p w14:paraId="4F436CF3">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14:paraId="627841B1">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14:paraId="085CE2F2">
            <w:pPr>
              <w:spacing w:line="460" w:lineRule="exact"/>
              <w:jc w:val="center"/>
              <w:outlineLvl w:val="9"/>
              <w:rPr>
                <w:rFonts w:ascii="宋体" w:hAnsi="宋体" w:eastAsia="宋体" w:cs="宋体"/>
                <w:sz w:val="21"/>
                <w:szCs w:val="21"/>
                <w:highlight w:val="none"/>
              </w:rPr>
            </w:pPr>
          </w:p>
        </w:tc>
        <w:tc>
          <w:tcPr>
            <w:tcW w:w="1418" w:type="dxa"/>
            <w:vAlign w:val="center"/>
          </w:tcPr>
          <w:p w14:paraId="7637D2A4">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14:paraId="008893D5">
            <w:pPr>
              <w:widowControl/>
              <w:spacing w:line="460" w:lineRule="exact"/>
              <w:ind w:firstLine="210" w:firstLineChars="100"/>
              <w:outlineLvl w:val="9"/>
              <w:rPr>
                <w:rFonts w:ascii="宋体" w:hAnsi="宋体" w:eastAsia="宋体" w:cs="宋体"/>
                <w:snapToGrid w:val="0"/>
                <w:kern w:val="0"/>
                <w:sz w:val="21"/>
                <w:szCs w:val="21"/>
                <w:highlight w:val="none"/>
              </w:rPr>
            </w:pPr>
          </w:p>
        </w:tc>
      </w:tr>
      <w:tr w14:paraId="7975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417" w:type="dxa"/>
            <w:gridSpan w:val="7"/>
          </w:tcPr>
          <w:p w14:paraId="579997B3">
            <w:pPr>
              <w:widowControl w:val="0"/>
              <w:snapToGrid w:val="0"/>
              <w:spacing w:line="460" w:lineRule="exact"/>
              <w:jc w:val="both"/>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合同总价大写：                 小写：￥</w:t>
            </w:r>
          </w:p>
        </w:tc>
      </w:tr>
    </w:tbl>
    <w:p w14:paraId="4B32758F">
      <w:pPr>
        <w:widowControl w:val="0"/>
        <w:snapToGrid w:val="0"/>
        <w:spacing w:line="460" w:lineRule="exact"/>
        <w:ind w:firstLine="447" w:firstLineChars="213"/>
        <w:jc w:val="both"/>
        <w:outlineLvl w:val="9"/>
        <w:rPr>
          <w:rFonts w:ascii="宋体" w:hAnsi="宋体" w:eastAsia="宋体" w:cs="宋体"/>
          <w:b/>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注：1、商品型号、数量、配置要求及使用单位地址等详见附件清单，附件</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是本合同的有效组成部分。</w:t>
      </w:r>
    </w:p>
    <w:p w14:paraId="1ADAF691">
      <w:pPr>
        <w:autoSpaceDE w:val="0"/>
        <w:autoSpaceDN w:val="0"/>
        <w:adjustRightInd w:val="0"/>
        <w:ind w:firstLine="525" w:firstLineChars="250"/>
        <w:jc w:val="left"/>
        <w:outlineLvl w:val="9"/>
        <w:rPr>
          <w:rFonts w:ascii="宋体" w:hAnsi="宋体" w:eastAsia="宋体" w:cs="宋体"/>
          <w:sz w:val="21"/>
          <w:szCs w:val="21"/>
          <w:highlight w:val="none"/>
        </w:rPr>
      </w:pPr>
      <w:r>
        <w:rPr>
          <w:rFonts w:hint="eastAsia" w:ascii="宋体" w:hAnsi="宋体" w:eastAsia="宋体" w:cs="宋体"/>
          <w:sz w:val="21"/>
          <w:szCs w:val="21"/>
          <w:highlight w:val="none"/>
        </w:rPr>
        <w:t>2、以上合同总价包含货物（服务）到达甲方用户并能正常使用所需的一切费用，包括但不限于商品购置费、包装费、运输费、装卸费、保险费、检验费、安装调试费、验收费、技术服务费、培训费以及保修费、税费等。</w:t>
      </w:r>
    </w:p>
    <w:p w14:paraId="198AC16D">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二、技术资料</w:t>
      </w:r>
    </w:p>
    <w:p w14:paraId="7C39A4F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1、乙方应按磋商文件规定的时间向甲方提供使用货物（服务）的有关技术资料。</w:t>
      </w:r>
    </w:p>
    <w:p w14:paraId="083775B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C99790">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三、知识产权</w:t>
      </w:r>
    </w:p>
    <w:p w14:paraId="171099F7">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乙方应保证所提供的货物（服务）或其任何一部分均不会侵犯任何第三方的知识产权</w:t>
      </w:r>
      <w:r>
        <w:rPr>
          <w:rFonts w:hint="eastAsia" w:ascii="宋体" w:hAnsi="宋体" w:eastAsia="宋体" w:cs="宋体"/>
          <w:bCs/>
          <w:snapToGrid w:val="0"/>
          <w:kern w:val="0"/>
          <w:sz w:val="21"/>
          <w:szCs w:val="21"/>
          <w:highlight w:val="none"/>
          <w:lang w:val="en-US" w:eastAsia="zh-CN" w:bidi="ar-SA"/>
        </w:rPr>
        <w:t>。</w:t>
      </w:r>
    </w:p>
    <w:p w14:paraId="7C7F1634">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b/>
          <w:snapToGrid w:val="0"/>
          <w:kern w:val="0"/>
          <w:sz w:val="21"/>
          <w:szCs w:val="21"/>
          <w:highlight w:val="none"/>
          <w:lang w:val="en-US" w:eastAsia="zh-CN" w:bidi="ar-SA"/>
        </w:rPr>
        <w:t>四、产权担保</w:t>
      </w:r>
    </w:p>
    <w:p w14:paraId="64391751">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乙方保证所交付的货物（服务）的所有权完全属于乙方且无任何抵押、查封等产权瑕疵。</w:t>
      </w:r>
    </w:p>
    <w:p w14:paraId="3E6EDF6E">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五、转包或分包</w:t>
      </w:r>
    </w:p>
    <w:p w14:paraId="13318FF1">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本合同范围的货物（服务），应由乙方直接供应，不得转让他人供应，否则，甲方有权解除合同，没收履约保证金并追究乙方的违约责任。</w:t>
      </w:r>
    </w:p>
    <w:p w14:paraId="395D1D40">
      <w:pPr>
        <w:widowControl w:val="0"/>
        <w:adjustRightInd w:val="0"/>
        <w:snapToGrid w:val="0"/>
        <w:spacing w:line="460" w:lineRule="exact"/>
        <w:ind w:firstLine="449"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六、质保期和履约保证金</w:t>
      </w:r>
    </w:p>
    <w:p w14:paraId="5A2A44AD">
      <w:pPr>
        <w:widowControl w:val="0"/>
        <w:adjustRightInd w:val="0"/>
        <w:snapToGrid w:val="0"/>
        <w:spacing w:line="460" w:lineRule="exact"/>
        <w:ind w:firstLine="420" w:firstLineChars="200"/>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1、质保期</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年。（自交货验收合格之日起计）</w:t>
      </w:r>
    </w:p>
    <w:p w14:paraId="2237A752">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2、履约保证金</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元。履约保证金</w:t>
      </w:r>
      <w:r>
        <w:rPr>
          <w:rFonts w:hint="eastAsia" w:ascii="宋体" w:hAnsi="宋体" w:eastAsia="宋体" w:cs="宋体"/>
          <w:kern w:val="2"/>
          <w:sz w:val="21"/>
          <w:szCs w:val="21"/>
          <w:highlight w:val="none"/>
          <w:lang w:val="en-US" w:eastAsia="zh-CN" w:bidi="ar-SA"/>
        </w:rPr>
        <w:t>自本合同签订后一周内</w:t>
      </w:r>
      <w:r>
        <w:rPr>
          <w:rFonts w:hint="eastAsia" w:ascii="宋体" w:hAnsi="宋体" w:eastAsia="宋体" w:cs="宋体"/>
          <w:snapToGrid w:val="0"/>
          <w:kern w:val="0"/>
          <w:sz w:val="21"/>
          <w:szCs w:val="21"/>
          <w:highlight w:val="none"/>
          <w:lang w:val="en-US" w:eastAsia="zh-CN" w:bidi="ar-SA"/>
        </w:rPr>
        <w:t>交至</w:t>
      </w:r>
      <w:r>
        <w:rPr>
          <w:rFonts w:hint="eastAsia" w:ascii="宋体" w:hAnsi="宋体" w:eastAsia="宋体" w:cs="宋体"/>
          <w:bCs/>
          <w:kern w:val="2"/>
          <w:sz w:val="21"/>
          <w:szCs w:val="21"/>
          <w:highlight w:val="none"/>
          <w:lang w:val="en-US" w:eastAsia="zh-CN" w:bidi="ar-SA"/>
        </w:rPr>
        <w:t>甲方</w:t>
      </w:r>
      <w:r>
        <w:rPr>
          <w:rFonts w:hint="eastAsia" w:ascii="宋体" w:hAnsi="宋体" w:eastAsia="宋体" w:cs="宋体"/>
          <w:snapToGrid w:val="0"/>
          <w:kern w:val="0"/>
          <w:sz w:val="21"/>
          <w:szCs w:val="21"/>
          <w:highlight w:val="none"/>
          <w:lang w:val="en-US" w:eastAsia="zh-CN" w:bidi="ar-SA"/>
        </w:rPr>
        <w:t>处，履约保证金在合同履约期间无违约情形的，项目验收结束后，于一周内退还（不计息）。</w:t>
      </w:r>
    </w:p>
    <w:p w14:paraId="0D4AA976">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七、交货期、交货方式及交货地点</w:t>
      </w:r>
    </w:p>
    <w:p w14:paraId="7733D3C1">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 交货期：签订合同</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个工作日内</w:t>
      </w:r>
    </w:p>
    <w:p w14:paraId="354133B3">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 交货方式：</w:t>
      </w:r>
      <w:r>
        <w:rPr>
          <w:rFonts w:hint="eastAsia" w:ascii="宋体" w:hAnsi="宋体" w:eastAsia="宋体" w:cs="宋体"/>
          <w:snapToGrid w:val="0"/>
          <w:kern w:val="0"/>
          <w:sz w:val="21"/>
          <w:szCs w:val="21"/>
          <w:highlight w:val="none"/>
          <w:lang w:val="en-US" w:eastAsia="zh-CN" w:bidi="ar-SA"/>
        </w:rPr>
        <w:t>乙方负责送货上门，并承担相关费用</w:t>
      </w:r>
    </w:p>
    <w:p w14:paraId="493C2E9C">
      <w:pPr>
        <w:widowControl w:val="0"/>
        <w:adjustRightInd w:val="0"/>
        <w:snapToGrid w:val="0"/>
        <w:spacing w:line="460" w:lineRule="exact"/>
        <w:ind w:firstLine="447"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3、 交货地点：甲方指定地点</w:t>
      </w:r>
    </w:p>
    <w:p w14:paraId="1F56DC2D">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八、货款支付</w:t>
      </w:r>
    </w:p>
    <w:p w14:paraId="4F76D7EB">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付款方式：</w:t>
      </w:r>
    </w:p>
    <w:p w14:paraId="6AFF5528">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1、履约保证金：</w:t>
      </w:r>
    </w:p>
    <w:p w14:paraId="6B6D2D4D">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（1）合同签订后一周内，乙方向甲方提交合同总价1%的履约保证金，履约保证金在合同履约期间无违约情形的，项目验收结束后，于一周内退还（不计息）；</w:t>
      </w:r>
    </w:p>
    <w:p w14:paraId="3432AA92">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（2）提交方式：支票、汇票、本票或金融机构、担保机构出具的保函等非现金形式。</w:t>
      </w:r>
    </w:p>
    <w:p w14:paraId="6860C519">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2、预付款：</w:t>
      </w:r>
    </w:p>
    <w:p w14:paraId="3B7C4D97">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（1）支付条件：乙方提交银行、保险公司等金融机构出具的预付款保函；</w:t>
      </w:r>
    </w:p>
    <w:p w14:paraId="59D6A5CB">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（2）支付时间、数额：合同生效且乙方出具预付款保函后七个工作日内，甲方向乙方支付合同金额</w:t>
      </w:r>
      <w:r>
        <w:rPr>
          <w:rFonts w:hint="eastAsia" w:ascii="宋体" w:hAnsi="宋体" w:eastAsia="宋体" w:cs="宋体"/>
          <w:bCs/>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的预付款。</w:t>
      </w:r>
    </w:p>
    <w:p w14:paraId="03519B1F">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备注：签订合同时，乙方明确表示无需预付款或者主动要求降低预付款比例的，甲方可不适用前述规定。</w:t>
      </w:r>
    </w:p>
    <w:p w14:paraId="22381130">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3、项目完成，经甲方验收合格后，甲方自收到发票后7个工作日内，支付至合同金额的</w:t>
      </w:r>
      <w:r>
        <w:rPr>
          <w:rFonts w:hint="eastAsia" w:ascii="宋体" w:hAnsi="宋体" w:eastAsia="宋体" w:cs="宋体"/>
          <w:bCs/>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w:t>
      </w:r>
    </w:p>
    <w:p w14:paraId="1CC0C22B">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备注：所有款项的支付须在乙方向甲方提供发票并在甲方履行财政相关资金审批手续后方可进行。</w:t>
      </w:r>
    </w:p>
    <w:p w14:paraId="1B2D4A73">
      <w:pPr>
        <w:adjustRightInd w:val="0"/>
        <w:snapToGrid w:val="0"/>
        <w:spacing w:line="460" w:lineRule="exact"/>
        <w:ind w:firstLine="449" w:firstLineChars="213"/>
        <w:outlineLvl w:val="9"/>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九、税费</w:t>
      </w:r>
    </w:p>
    <w:p w14:paraId="4D9E383C">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本合同执行中相关的一切税费均由乙方负担。</w:t>
      </w:r>
    </w:p>
    <w:p w14:paraId="2BDBFA4A">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十、质量保证及售后服务</w:t>
      </w:r>
    </w:p>
    <w:p w14:paraId="799CD73F">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1、乙方保证本合同中所供应的商品是最新生产的符合国家技术规格和质量标准的出厂原装合格产品。如发生所供商品与合同不符，甲方（使用方）有权拒收或退货，由此产生的一切责任和后果由乙方承担。</w:t>
      </w:r>
    </w:p>
    <w:p w14:paraId="2BD6DFC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2、乙方提供的货物（服务）在质保期内因本身的质量问题发生故障，乙方应负责免费更换。对达不到技术要求者，根据实际情况，经双方协商，可按以下办法处理：</w:t>
      </w:r>
    </w:p>
    <w:p w14:paraId="14D60610">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⑴更换：由乙方承担所发生的全部费用。</w:t>
      </w:r>
    </w:p>
    <w:p w14:paraId="36534A92">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⑵贬值处理：由甲乙双方合议定价。</w:t>
      </w:r>
    </w:p>
    <w:p w14:paraId="52FD145E">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⑶退货处理：乙方应退还甲方支付的合同款，同时应承担该货物的直接费用（运输、保险、检验、货款利息及银行手续费等）。</w:t>
      </w:r>
    </w:p>
    <w:p w14:paraId="51E44C92">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在质保期内，乙方应对货物（服务）出现的质量及安全问题负责处理解决并承担一切费用。</w:t>
      </w:r>
    </w:p>
    <w:p w14:paraId="6CC71C76">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4、上述的货物（服务）在质保期内免费保修，因人为因素出现的故障不在免费保修范围内。超过保修期的机器设备，终生维修，维修时只收部件成本费。</w:t>
      </w:r>
    </w:p>
    <w:p w14:paraId="24AE3CA7">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十一、调试和验收</w:t>
      </w:r>
    </w:p>
    <w:p w14:paraId="1AF762BF">
      <w:pPr>
        <w:widowControl w:val="0"/>
        <w:adjustRightInd w:val="0"/>
        <w:snapToGrid w:val="0"/>
        <w:spacing w:line="460" w:lineRule="exact"/>
        <w:ind w:firstLine="447" w:firstLineChars="213"/>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甲方对乙方提交的货物（服务）依据磋商文件上的技术规格要求和国家有关质量标准进行现场验收。货物到达（服务期满）后，甲方需在五个工作日内验收。</w:t>
      </w:r>
    </w:p>
    <w:p w14:paraId="7E8229BC">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乙方交割前应对产品作出全面检查和对验收文件进行整理，并列出清单，作为甲方收货验收和使用的技术条件依据，检验的结果应随货物交甲方。</w:t>
      </w:r>
    </w:p>
    <w:p w14:paraId="599FCC4E">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3、 甲方对乙方提供的货物（服务）在使用前进行调试时，乙方需负责安装并培训甲方的使用操作人员，并协助甲方一起调试，直到符合技术要求，甲方才做最终验收。</w:t>
      </w:r>
    </w:p>
    <w:p w14:paraId="0E1581D8">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对技术复杂的货物(服务)，甲方应请国家认可的专业检测机构参与验收，并由其出具质量检测报告。</w:t>
      </w:r>
    </w:p>
    <w:p w14:paraId="57FC7C0A">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 验收时乙方在现场，验收完毕后作出验收结果报告；验收费用由乙方负责。</w:t>
      </w:r>
    </w:p>
    <w:p w14:paraId="4F2133CD">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十二、货物包装</w:t>
      </w:r>
    </w:p>
    <w:p w14:paraId="442BD314">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乙方应在货物发运前对其进行满足运输距离、防潮、防震、防锈和防破损装卸等要求包装，以保证货物安全运达甲方指定地点。</w:t>
      </w:r>
    </w:p>
    <w:p w14:paraId="35677A5E">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使用说明书、质量检验证明书、随配附件和工具以及清单一并附于货物内。</w:t>
      </w:r>
    </w:p>
    <w:p w14:paraId="5A99EFC7">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十三、违约责任</w:t>
      </w:r>
    </w:p>
    <w:p w14:paraId="0116ABA4">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甲方无正当理由拒收货物（服务）的，甲方向乙方偿付拒收货款总值的百分之五的违约金。</w:t>
      </w:r>
    </w:p>
    <w:p w14:paraId="7830F7D2">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甲方无故逾期验收和办理货款支付手续的,甲方应按逾期付款总额每日万分之五向乙方支付违约金。</w:t>
      </w:r>
    </w:p>
    <w:p w14:paraId="4F6DE220">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3、 为保证项目如期完成，对延误工期（交货期）每超出1天时间应交纳工程延误费5000元，在应付合同款中扣除，逾期1个月甲方有权解除合同。如造成甲方损失超过合同款的，超出部分由乙方继续承担赔偿责任。 </w:t>
      </w:r>
    </w:p>
    <w:p w14:paraId="1141E44B">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乙方所交的货物（服务）品种、型号、规格、技术参数、质量不符合合同规定及磋商文件规定标准的，甲方有权拒收该货物（服务），乙方愿意更换货物（服务）但逾期交货的，按乙方逾期交货处理。乙方拒绝更换货物（服务）的，甲方可单方面解除合同。</w:t>
      </w:r>
    </w:p>
    <w:p w14:paraId="5628D53E">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十四、不可抗力事件处理</w:t>
      </w:r>
    </w:p>
    <w:p w14:paraId="4F07E37D">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在合同有效期内，任何一方因不可抗力事件导致不能履行合同，则合同履行期可延长，其延长期与不可抗力影响期相同。</w:t>
      </w:r>
    </w:p>
    <w:p w14:paraId="4ABB21B1">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不可抗力事件发生后，应立即通知对方，并寄送有关权威机构出具的证明。</w:t>
      </w:r>
    </w:p>
    <w:p w14:paraId="5E00F7D5">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不可抗力事件延续120天以上，双方应通过友好协商，确定是否继续履行合同。</w:t>
      </w:r>
    </w:p>
    <w:p w14:paraId="0B0102AB">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十五、诉讼</w:t>
      </w:r>
    </w:p>
    <w:p w14:paraId="0BA9A40B">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双方在执行合同中所发生的一切争议，应通过协商解决。如协商不成，可向甲方所在地法院起诉。</w:t>
      </w:r>
    </w:p>
    <w:p w14:paraId="062110F6">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十六、合同生效及其它</w:t>
      </w:r>
    </w:p>
    <w:p w14:paraId="75A61804">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合同经甲、乙、鉴证方三方签名并加盖单位公章后生效。</w:t>
      </w:r>
    </w:p>
    <w:p w14:paraId="61198421">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2、合同执行中涉及采购资金和采购内容修改或补充的，须签订书面补充协议，并经报政府采购监督管理部门备案后，方可作为主合同不可分割的一部分。</w:t>
      </w:r>
    </w:p>
    <w:p w14:paraId="4D94580F">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3、磋商文件、响应文件、磋商记录与本合同具有同等法律效力。</w:t>
      </w:r>
    </w:p>
    <w:p w14:paraId="4867C657">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4、本合同未尽事宜，遵照《中华人民共和国民法典》有关条文执行。</w:t>
      </w:r>
    </w:p>
    <w:p w14:paraId="73E059E0">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5、本合同一式六份，具有同等法律效力，甲方三份、乙方二份、鉴证方一份。</w:t>
      </w:r>
    </w:p>
    <w:p w14:paraId="4CC03F2B">
      <w:pPr>
        <w:adjustRightInd w:val="0"/>
        <w:snapToGrid w:val="0"/>
        <w:spacing w:line="288" w:lineRule="auto"/>
        <w:rPr>
          <w:sz w:val="21"/>
          <w:szCs w:val="21"/>
          <w:highlight w:val="none"/>
        </w:rPr>
      </w:pPr>
    </w:p>
    <w:p w14:paraId="3D403F9A">
      <w:pPr>
        <w:widowControl w:val="0"/>
        <w:adjustRightInd w:val="0"/>
        <w:snapToGrid w:val="0"/>
        <w:spacing w:line="460" w:lineRule="exact"/>
        <w:jc w:val="both"/>
        <w:rPr>
          <w:rFonts w:ascii="宋体" w:hAnsi="宋体" w:eastAsia="宋体" w:cs="宋体"/>
          <w:snapToGrid w:val="0"/>
          <w:kern w:val="0"/>
          <w:sz w:val="21"/>
          <w:szCs w:val="21"/>
          <w:highlight w:val="none"/>
          <w:lang w:val="en-US" w:eastAsia="zh-CN" w:bidi="ar-SA"/>
        </w:rPr>
      </w:pPr>
      <w:r>
        <w:rPr>
          <w:rFonts w:hint="eastAsia"/>
          <w:sz w:val="21"/>
          <w:szCs w:val="21"/>
          <w:highlight w:val="none"/>
        </w:rPr>
        <w:br w:type="page"/>
      </w:r>
      <w:r>
        <w:rPr>
          <w:rFonts w:hint="eastAsia" w:ascii="宋体" w:hAnsi="宋体" w:eastAsia="宋体" w:cs="宋体"/>
          <w:b/>
          <w:snapToGrid w:val="0"/>
          <w:kern w:val="0"/>
          <w:sz w:val="21"/>
          <w:szCs w:val="21"/>
          <w:highlight w:val="none"/>
          <w:lang w:val="en-US" w:eastAsia="zh-CN" w:bidi="ar-SA"/>
        </w:rPr>
        <w:t>此页无正文，为《</w:t>
      </w:r>
      <w:r>
        <w:rPr>
          <w:rFonts w:hint="eastAsia" w:ascii="宋体" w:hAnsi="宋体" w:eastAsia="宋体" w:cs="宋体"/>
          <w:b/>
          <w:kern w:val="2"/>
          <w:sz w:val="21"/>
          <w:szCs w:val="21"/>
          <w:highlight w:val="none"/>
          <w:lang w:val="en-US" w:eastAsia="zh-CN" w:bidi="ar-SA"/>
        </w:rPr>
        <w:t>浙江经济职业技术学院采购合同</w:t>
      </w:r>
      <w:r>
        <w:rPr>
          <w:rFonts w:hint="eastAsia" w:ascii="宋体" w:hAnsi="宋体" w:eastAsia="宋体" w:cs="宋体"/>
          <w:b/>
          <w:snapToGrid w:val="0"/>
          <w:kern w:val="0"/>
          <w:sz w:val="21"/>
          <w:szCs w:val="21"/>
          <w:highlight w:val="none"/>
          <w:lang w:val="en-US" w:eastAsia="zh-CN" w:bidi="ar-SA"/>
        </w:rPr>
        <w:t>》的签署页。</w:t>
      </w:r>
    </w:p>
    <w:p w14:paraId="69EE3C52">
      <w:pPr>
        <w:widowControl w:val="0"/>
        <w:adjustRightInd w:val="0"/>
        <w:snapToGrid w:val="0"/>
        <w:spacing w:line="360" w:lineRule="auto"/>
        <w:ind w:firstLine="420" w:firstLineChars="200"/>
        <w:jc w:val="both"/>
        <w:rPr>
          <w:rFonts w:ascii="宋体" w:hAnsi="宋体" w:eastAsia="宋体" w:cs="宋体"/>
          <w:snapToGrid w:val="0"/>
          <w:kern w:val="0"/>
          <w:sz w:val="21"/>
          <w:szCs w:val="21"/>
          <w:highlight w:val="none"/>
          <w:lang w:val="en-US" w:eastAsia="zh-CN" w:bidi="ar-SA"/>
        </w:rPr>
      </w:pPr>
    </w:p>
    <w:p w14:paraId="64D5CED2">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甲方（盖章）：</w:t>
      </w:r>
      <w:r>
        <w:rPr>
          <w:rFonts w:hint="eastAsia" w:ascii="宋体" w:hAnsi="宋体" w:eastAsia="宋体" w:cs="宋体"/>
          <w:b/>
          <w:sz w:val="21"/>
          <w:szCs w:val="21"/>
          <w:highlight w:val="none"/>
        </w:rPr>
        <w:t>浙江经济职业技术学院</w:t>
      </w:r>
      <w:r>
        <w:rPr>
          <w:rFonts w:hint="eastAsia" w:ascii="宋体" w:hAnsi="宋体" w:eastAsia="宋体" w:cs="宋体"/>
          <w:b/>
          <w:snapToGrid w:val="0"/>
          <w:kern w:val="0"/>
          <w:sz w:val="21"/>
          <w:szCs w:val="21"/>
          <w:highlight w:val="none"/>
        </w:rPr>
        <w:t xml:space="preserve">        </w:t>
      </w:r>
    </w:p>
    <w:p w14:paraId="2EEC69A4">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统一社会信用代码： 123300004700552172</w:t>
      </w:r>
    </w:p>
    <w:p w14:paraId="27B5F4B6">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地址：</w:t>
      </w:r>
      <w:r>
        <w:rPr>
          <w:rFonts w:hint="eastAsia" w:ascii="宋体" w:hAnsi="宋体" w:eastAsia="宋体" w:cs="宋体"/>
          <w:sz w:val="21"/>
          <w:szCs w:val="21"/>
          <w:highlight w:val="none"/>
        </w:rPr>
        <w:t>杭州钱塘区学正街66号</w:t>
      </w:r>
      <w:r>
        <w:rPr>
          <w:rFonts w:hint="eastAsia" w:ascii="宋体" w:hAnsi="宋体" w:eastAsia="宋体" w:cs="宋体"/>
          <w:snapToGrid w:val="0"/>
          <w:kern w:val="0"/>
          <w:sz w:val="21"/>
          <w:szCs w:val="21"/>
          <w:highlight w:val="none"/>
        </w:rPr>
        <w:t xml:space="preserve">          </w:t>
      </w:r>
    </w:p>
    <w:p w14:paraId="2699E140">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开户行：中国银行杭州钱塘区支行</w:t>
      </w:r>
    </w:p>
    <w:p w14:paraId="74FE9594">
      <w:pPr>
        <w:spacing w:line="360" w:lineRule="auto"/>
        <w:rPr>
          <w:rFonts w:ascii="宋体" w:hAnsi="宋体" w:eastAsia="宋体" w:cs="宋体"/>
          <w:snapToGrid w:val="0"/>
          <w:kern w:val="0"/>
          <w:sz w:val="21"/>
          <w:szCs w:val="21"/>
          <w:highlight w:val="none"/>
        </w:rPr>
      </w:pPr>
      <w:r>
        <w:rPr>
          <w:rFonts w:hint="eastAsia" w:ascii="宋体" w:hAnsi="宋体" w:eastAsia="宋体" w:cs="宋体"/>
          <w:sz w:val="21"/>
          <w:szCs w:val="21"/>
          <w:highlight w:val="none"/>
          <w:lang w:val="en-US" w:eastAsia="zh-CN"/>
        </w:rPr>
        <w:t>账</w:t>
      </w:r>
      <w:r>
        <w:rPr>
          <w:rFonts w:hint="eastAsia" w:ascii="宋体" w:hAnsi="宋体" w:eastAsia="宋体" w:cs="宋体"/>
          <w:sz w:val="21"/>
          <w:szCs w:val="21"/>
          <w:highlight w:val="none"/>
        </w:rPr>
        <w:t>号：354558326973</w:t>
      </w:r>
      <w:r>
        <w:rPr>
          <w:rFonts w:hint="eastAsia" w:ascii="宋体" w:hAnsi="宋体" w:eastAsia="宋体" w:cs="宋体"/>
          <w:snapToGrid w:val="0"/>
          <w:kern w:val="0"/>
          <w:sz w:val="21"/>
          <w:szCs w:val="21"/>
          <w:highlight w:val="none"/>
        </w:rPr>
        <w:t xml:space="preserve"> </w:t>
      </w:r>
    </w:p>
    <w:p w14:paraId="61420A99">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法定（授权）代表人：</w:t>
      </w:r>
    </w:p>
    <w:p w14:paraId="64C2D2B9">
      <w:pPr>
        <w:spacing w:line="360" w:lineRule="auto"/>
        <w:rPr>
          <w:rFonts w:ascii="宋体" w:hAnsi="宋体" w:eastAsia="宋体" w:cs="宋体"/>
          <w:snapToGrid w:val="0"/>
          <w:kern w:val="0"/>
          <w:sz w:val="21"/>
          <w:szCs w:val="21"/>
          <w:highlight w:val="none"/>
        </w:rPr>
      </w:pPr>
    </w:p>
    <w:p w14:paraId="3023C9B5">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项目所属部门代表人：   </w:t>
      </w:r>
    </w:p>
    <w:p w14:paraId="424ABB0F">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签名日期：     年   月   日          </w:t>
      </w:r>
    </w:p>
    <w:p w14:paraId="0F87825F">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 </w:t>
      </w:r>
    </w:p>
    <w:p w14:paraId="1D235343">
      <w:pPr>
        <w:widowControl w:val="0"/>
        <w:adjustRightInd w:val="0"/>
        <w:snapToGrid w:val="0"/>
        <w:spacing w:line="360" w:lineRule="auto"/>
        <w:jc w:val="both"/>
        <w:rPr>
          <w:rFonts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乙方（盖章）：</w:t>
      </w:r>
    </w:p>
    <w:p w14:paraId="42B5DA56">
      <w:pPr>
        <w:widowControl w:val="0"/>
        <w:adjustRightInd w:val="0"/>
        <w:snapToGrid w:val="0"/>
        <w:spacing w:line="360" w:lineRule="auto"/>
        <w:jc w:val="both"/>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w:t>
      </w:r>
    </w:p>
    <w:p w14:paraId="1301C052">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地址： </w:t>
      </w:r>
    </w:p>
    <w:p w14:paraId="29176D48">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开户行：</w:t>
      </w:r>
    </w:p>
    <w:p w14:paraId="24F09699">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开户账号：</w:t>
      </w:r>
    </w:p>
    <w:p w14:paraId="21FA3329">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法定（授权）代表人：</w:t>
      </w:r>
    </w:p>
    <w:p w14:paraId="45649C7E">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签名日期：      年   月   日</w:t>
      </w:r>
    </w:p>
    <w:p w14:paraId="589150CD">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p>
    <w:p w14:paraId="78178A3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合同鉴证方（盖章）：浙江求是招标代理有限公司</w:t>
      </w:r>
    </w:p>
    <w:p w14:paraId="43DCD4C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统一社会信用代码：91330105796697703H</w:t>
      </w:r>
    </w:p>
    <w:p w14:paraId="0AD5D80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法定代表人或主要负责人：</w:t>
      </w:r>
    </w:p>
    <w:p w14:paraId="071F1DC3">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1"/>
          <w:szCs w:val="21"/>
        </w:rPr>
      </w:pPr>
      <w:r>
        <w:rPr>
          <w:rFonts w:hint="eastAsia" w:ascii="宋体" w:hAnsi="宋体" w:eastAsia="宋体" w:cs="宋体"/>
          <w:snapToGrid w:val="0"/>
          <w:kern w:val="0"/>
          <w:sz w:val="21"/>
          <w:szCs w:val="21"/>
          <w:highlight w:val="none"/>
        </w:rPr>
        <w:t>鉴证日期</w:t>
      </w: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 xml:space="preserve">       年    月   日</w:t>
      </w: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51" w:name="_Hlk71884160"/>
      <w:r>
        <w:rPr>
          <w:rFonts w:hint="eastAsia"/>
          <w:b/>
          <w:bCs/>
          <w:sz w:val="21"/>
          <w:szCs w:val="21"/>
        </w:rPr>
        <w:t>▲1.资格文件（单独上传）。资格审查要求的资格证明材料（均需加盖公章）</w:t>
      </w:r>
    </w:p>
    <w:bookmarkEnd w:id="51"/>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rPr>
      </w:pPr>
      <w:bookmarkStart w:id="52" w:name="_Hlk71884127"/>
      <w:r>
        <w:rPr>
          <w:rFonts w:hint="eastAsia"/>
          <w:sz w:val="21"/>
          <w:szCs w:val="21"/>
        </w:rPr>
        <w:t>（</w:t>
      </w:r>
      <w:r>
        <w:rPr>
          <w:sz w:val="21"/>
          <w:szCs w:val="21"/>
        </w:rPr>
        <w:t>2）符合参加政府采购活动应当具备的一般条件的承诺函</w:t>
      </w:r>
    </w:p>
    <w:p w14:paraId="20368885">
      <w:pPr>
        <w:adjustRightInd w:val="0"/>
        <w:snapToGrid w:val="0"/>
        <w:spacing w:line="288" w:lineRule="auto"/>
        <w:ind w:firstLine="420" w:firstLineChars="200"/>
        <w:rPr>
          <w:rFonts w:hint="eastAsia" w:eastAsia="宋体"/>
          <w:sz w:val="21"/>
          <w:szCs w:val="21"/>
          <w:highlight w:val="none"/>
          <w:lang w:val="en-US" w:eastAsia="zh-CN"/>
        </w:rPr>
      </w:pPr>
      <w:r>
        <w:rPr>
          <w:rFonts w:hint="eastAsia"/>
          <w:sz w:val="21"/>
          <w:szCs w:val="21"/>
        </w:rPr>
        <w:t>（</w:t>
      </w:r>
      <w:r>
        <w:rPr>
          <w:sz w:val="21"/>
          <w:szCs w:val="21"/>
        </w:rPr>
        <w:t>3）落实政府采购</w:t>
      </w:r>
      <w:r>
        <w:rPr>
          <w:sz w:val="21"/>
          <w:szCs w:val="21"/>
          <w:highlight w:val="none"/>
        </w:rPr>
        <w:t>政策需满足的资格要求：</w:t>
      </w:r>
      <w:r>
        <w:rPr>
          <w:rFonts w:hint="eastAsia"/>
          <w:sz w:val="21"/>
          <w:szCs w:val="21"/>
          <w:highlight w:val="none"/>
          <w:lang w:val="en-US" w:eastAsia="zh-CN"/>
        </w:rPr>
        <w:t>无</w:t>
      </w:r>
    </w:p>
    <w:p w14:paraId="67CE999A">
      <w:pPr>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（4）本项目的特定资格要求证明材料：无</w:t>
      </w:r>
    </w:p>
    <w:p w14:paraId="7B6695CB">
      <w:pPr>
        <w:adjustRightInd w:val="0"/>
        <w:snapToGrid w:val="0"/>
        <w:spacing w:line="288" w:lineRule="auto"/>
        <w:ind w:firstLine="420" w:firstLineChars="200"/>
        <w:rPr>
          <w:bCs/>
          <w:sz w:val="21"/>
          <w:szCs w:val="21"/>
          <w:highlight w:val="none"/>
        </w:rPr>
      </w:pPr>
      <w:r>
        <w:rPr>
          <w:rFonts w:hint="eastAsia"/>
          <w:sz w:val="21"/>
          <w:szCs w:val="21"/>
          <w:highlight w:val="none"/>
        </w:rPr>
        <w:t>▲联合体响应的，联合体各方均应提供资格文件（1）、（2）材料</w:t>
      </w:r>
    </w:p>
    <w:p w14:paraId="14D7BCC7">
      <w:pPr>
        <w:adjustRightInd w:val="0"/>
        <w:snapToGrid w:val="0"/>
        <w:spacing w:line="288" w:lineRule="auto"/>
        <w:ind w:firstLine="422" w:firstLineChars="200"/>
        <w:rPr>
          <w:b/>
          <w:bCs/>
          <w:sz w:val="21"/>
          <w:szCs w:val="21"/>
          <w:highlight w:val="none"/>
        </w:rPr>
      </w:pPr>
    </w:p>
    <w:bookmarkEnd w:id="52"/>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2024年06月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4D7EC523">
      <w:pPr>
        <w:adjustRightInd w:val="0"/>
        <w:snapToGrid w:val="0"/>
        <w:spacing w:line="288" w:lineRule="auto"/>
        <w:ind w:firstLine="420" w:firstLineChars="200"/>
        <w:rPr>
          <w:rFonts w:hint="default"/>
          <w:sz w:val="21"/>
          <w:szCs w:val="21"/>
          <w:highlight w:val="none"/>
          <w:lang w:val="en-US"/>
        </w:rPr>
      </w:pPr>
      <w:r>
        <w:rPr>
          <w:rFonts w:hint="eastAsia"/>
          <w:sz w:val="21"/>
          <w:szCs w:val="21"/>
          <w:highlight w:val="none"/>
        </w:rPr>
        <w:t>（</w:t>
      </w:r>
      <w:r>
        <w:rPr>
          <w:sz w:val="21"/>
          <w:szCs w:val="21"/>
          <w:highlight w:val="none"/>
        </w:rPr>
        <w:t>5）</w:t>
      </w:r>
      <w:r>
        <w:rPr>
          <w:rFonts w:hint="eastAsia"/>
          <w:sz w:val="21"/>
          <w:szCs w:val="21"/>
          <w:highlight w:val="none"/>
          <w:lang w:val="en-US" w:eastAsia="zh-CN"/>
        </w:rPr>
        <w:t>服务方案：</w:t>
      </w:r>
    </w:p>
    <w:p w14:paraId="0F113321">
      <w:pPr>
        <w:adjustRightInd w:val="0"/>
        <w:snapToGrid w:val="0"/>
        <w:spacing w:line="288" w:lineRule="auto"/>
        <w:ind w:firstLine="396" w:firstLineChars="200"/>
        <w:jc w:val="left"/>
        <w:rPr>
          <w:rFonts w:hint="eastAsia" w:cs="Times New Roman"/>
          <w:spacing w:val="-6"/>
          <w:sz w:val="21"/>
          <w:szCs w:val="21"/>
          <w:highlight w:val="none"/>
        </w:rPr>
      </w:pPr>
      <w:bookmarkStart w:id="53" w:name="_Hlk71884196"/>
      <w:r>
        <w:rPr>
          <w:rFonts w:hint="eastAsia" w:cs="Times New Roman"/>
          <w:spacing w:val="-6"/>
          <w:sz w:val="21"/>
          <w:szCs w:val="21"/>
          <w:highlight w:val="none"/>
          <w:lang w:val="en-US" w:eastAsia="zh-CN"/>
        </w:rPr>
        <w:t>实施</w:t>
      </w:r>
      <w:r>
        <w:rPr>
          <w:rFonts w:hint="eastAsia" w:cs="Times New Roman"/>
          <w:spacing w:val="-6"/>
          <w:sz w:val="21"/>
          <w:szCs w:val="21"/>
          <w:highlight w:val="none"/>
        </w:rPr>
        <w:t>方案</w:t>
      </w:r>
    </w:p>
    <w:p w14:paraId="77C45539">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项目团队</w:t>
      </w:r>
    </w:p>
    <w:p w14:paraId="33103A22">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服务保障</w:t>
      </w:r>
    </w:p>
    <w:p w14:paraId="75A0DD73">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应急方案</w:t>
      </w:r>
    </w:p>
    <w:p w14:paraId="055AFAAC">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质量安全保障措施</w:t>
      </w:r>
    </w:p>
    <w:p w14:paraId="1287A7FC">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服务响应效率</w:t>
      </w:r>
    </w:p>
    <w:p w14:paraId="49AD3C05">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培训计划</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6</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3"/>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（1）初次报价一览表</w:t>
      </w:r>
    </w:p>
    <w:p w14:paraId="2ACCF3B7">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（2）中小企业声明函（若属于中小企业）</w:t>
      </w:r>
    </w:p>
    <w:p w14:paraId="65A1B4FB">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（3）属于监狱企业的证明文件（若属于监狱企业）</w:t>
      </w:r>
    </w:p>
    <w:p w14:paraId="49EC3FC8">
      <w:pPr>
        <w:adjustRightInd w:val="0"/>
        <w:snapToGrid w:val="0"/>
        <w:spacing w:line="288" w:lineRule="auto"/>
        <w:ind w:firstLine="420" w:firstLineChars="200"/>
        <w:rPr>
          <w:sz w:val="21"/>
          <w:szCs w:val="21"/>
          <w:highlight w:val="none"/>
        </w:rPr>
      </w:pPr>
      <w:r>
        <w:rPr>
          <w:rFonts w:hint="eastAsia" w:ascii="宋体" w:hAnsi="宋体" w:eastAsia="宋体" w:cs="宋体"/>
          <w:sz w:val="21"/>
          <w:szCs w:val="21"/>
          <w:highlight w:val="none"/>
        </w:rPr>
        <w:t>（4）残疾人福利性单位声明函（若属于残疾人福利性单位）</w:t>
      </w: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54" w:name="_Hlk140130228"/>
      <w:r>
        <w:rPr>
          <w:rFonts w:hint="eastAsia" w:cs="Times New Roman"/>
          <w:b/>
          <w:spacing w:val="-6"/>
          <w:sz w:val="21"/>
          <w:szCs w:val="21"/>
        </w:rPr>
        <w:t>评分索引表</w:t>
      </w:r>
    </w:p>
    <w:tbl>
      <w:tblPr>
        <w:tblStyle w:val="1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4"/>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55" w:name="_Hlk94097338"/>
      <w:r>
        <w:rPr>
          <w:rFonts w:hint="eastAsia"/>
          <w:b/>
          <w:bCs/>
          <w:sz w:val="21"/>
          <w:szCs w:val="21"/>
        </w:rPr>
        <w:t>资格审查要求的资格证明材料（均需加盖公章）</w:t>
      </w:r>
    </w:p>
    <w:bookmarkEnd w:id="55"/>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浙江经济职业技术学院</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56"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14:paraId="4C753257">
      <w:pPr>
        <w:widowControl/>
        <w:adjustRightInd w:val="0"/>
        <w:snapToGrid w:val="0"/>
        <w:spacing w:line="288" w:lineRule="auto"/>
        <w:jc w:val="left"/>
        <w:rPr>
          <w:sz w:val="21"/>
          <w:szCs w:val="21"/>
        </w:rPr>
      </w:pPr>
      <w:r>
        <w:rPr>
          <w:sz w:val="21"/>
          <w:szCs w:val="21"/>
        </w:rPr>
        <w:br w:type="page"/>
      </w:r>
    </w:p>
    <w:p w14:paraId="23FAAC2E">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浙江经济职业技术学院</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57" w:name="_Hlk97040115"/>
      <w:r>
        <w:rPr>
          <w:rFonts w:hint="eastAsia" w:cs="Times New Roman"/>
          <w:spacing w:val="-6"/>
          <w:sz w:val="21"/>
          <w:szCs w:val="21"/>
        </w:rPr>
        <w:t>我方参加</w:t>
      </w:r>
      <w:r>
        <w:rPr>
          <w:rFonts w:hint="eastAsia" w:cs="Times New Roman"/>
          <w:bCs/>
          <w:spacing w:val="-6"/>
          <w:sz w:val="21"/>
          <w:szCs w:val="21"/>
          <w:u w:val="single"/>
          <w:lang w:eastAsia="zh-CN"/>
        </w:rPr>
        <w:t>浙江经济职业技术学院网络安全等级保护与保障服务</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QSZB-Z(F)-B24567(CS)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7"/>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58"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58"/>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59"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浙江经济职业技术学院</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浙江经济职业技术学院网络安全等级保护与保障服务</w:t>
      </w:r>
      <w:r>
        <w:rPr>
          <w:rFonts w:hint="eastAsia" w:cs="Times New Roman"/>
          <w:bCs/>
          <w:spacing w:val="-6"/>
          <w:sz w:val="21"/>
          <w:szCs w:val="21"/>
        </w:rPr>
        <w:t>项目（项目编号：</w:t>
      </w:r>
      <w:r>
        <w:rPr>
          <w:rFonts w:hint="eastAsia" w:cs="Times New Roman"/>
          <w:bCs/>
          <w:spacing w:val="-6"/>
          <w:sz w:val="21"/>
          <w:szCs w:val="21"/>
          <w:lang w:eastAsia="zh-CN"/>
        </w:rPr>
        <w:t>QSZB-Z(F)-B24567(CS)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2024年06月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2024年06月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浙江经济职业技术学院</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网络安全等级保护与保障服务</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QSZB-Z(F)-B24567(CS)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60"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bookmarkEnd w:id="60"/>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55F91228">
      <w:pPr>
        <w:adjustRightInd w:val="0"/>
        <w:snapToGrid w:val="0"/>
        <w:spacing w:line="288" w:lineRule="auto"/>
        <w:outlineLvl w:val="2"/>
        <w:rPr>
          <w:rFonts w:hint="eastAsia"/>
          <w:b/>
          <w:spacing w:val="-6"/>
          <w:sz w:val="21"/>
          <w:szCs w:val="21"/>
        </w:rPr>
      </w:pPr>
      <w:bookmarkStart w:id="61" w:name="_Hlk71885757"/>
      <w:r>
        <w:rPr>
          <w:rFonts w:hint="eastAsia"/>
          <w:b/>
          <w:spacing w:val="-6"/>
          <w:sz w:val="21"/>
          <w:szCs w:val="21"/>
        </w:rPr>
        <w:t>（5）服务方案：</w:t>
      </w:r>
    </w:p>
    <w:p w14:paraId="7CA52E13">
      <w:pPr>
        <w:adjustRightInd w:val="0"/>
        <w:snapToGrid w:val="0"/>
        <w:spacing w:line="288" w:lineRule="auto"/>
        <w:outlineLvl w:val="9"/>
        <w:rPr>
          <w:rFonts w:hint="eastAsia"/>
          <w:b/>
          <w:spacing w:val="-6"/>
          <w:sz w:val="21"/>
          <w:szCs w:val="21"/>
        </w:rPr>
      </w:pPr>
      <w:r>
        <w:rPr>
          <w:rFonts w:hint="eastAsia"/>
          <w:b/>
          <w:spacing w:val="-6"/>
          <w:sz w:val="21"/>
          <w:szCs w:val="21"/>
          <w:lang w:val="en-US" w:eastAsia="zh-CN"/>
        </w:rPr>
        <w:t>实施</w:t>
      </w:r>
      <w:r>
        <w:rPr>
          <w:rFonts w:hint="eastAsia"/>
          <w:b/>
          <w:spacing w:val="-6"/>
          <w:sz w:val="21"/>
          <w:szCs w:val="21"/>
        </w:rPr>
        <w:t>方案</w:t>
      </w:r>
    </w:p>
    <w:p w14:paraId="1C6946A9">
      <w:pPr>
        <w:adjustRightInd w:val="0"/>
        <w:snapToGrid w:val="0"/>
        <w:spacing w:line="288" w:lineRule="auto"/>
        <w:outlineLvl w:val="9"/>
        <w:rPr>
          <w:rFonts w:hint="eastAsia"/>
          <w:b/>
          <w:spacing w:val="-6"/>
          <w:sz w:val="21"/>
          <w:szCs w:val="21"/>
        </w:rPr>
      </w:pPr>
      <w:r>
        <w:rPr>
          <w:rFonts w:hint="eastAsia"/>
          <w:b/>
          <w:spacing w:val="-6"/>
          <w:sz w:val="21"/>
          <w:szCs w:val="21"/>
        </w:rPr>
        <w:t>项目团队</w:t>
      </w:r>
    </w:p>
    <w:p w14:paraId="6ED577A0">
      <w:pPr>
        <w:adjustRightInd w:val="0"/>
        <w:snapToGrid w:val="0"/>
        <w:spacing w:line="288" w:lineRule="auto"/>
        <w:outlineLvl w:val="9"/>
        <w:rPr>
          <w:rFonts w:hint="eastAsia"/>
          <w:b/>
          <w:spacing w:val="-6"/>
          <w:sz w:val="21"/>
          <w:szCs w:val="21"/>
        </w:rPr>
      </w:pPr>
      <w:r>
        <w:rPr>
          <w:rFonts w:hint="eastAsia"/>
          <w:b/>
          <w:spacing w:val="-6"/>
          <w:sz w:val="21"/>
          <w:szCs w:val="21"/>
        </w:rPr>
        <w:t>服务保障</w:t>
      </w:r>
    </w:p>
    <w:p w14:paraId="0CA14262">
      <w:pPr>
        <w:adjustRightInd w:val="0"/>
        <w:snapToGrid w:val="0"/>
        <w:spacing w:line="288" w:lineRule="auto"/>
        <w:outlineLvl w:val="9"/>
        <w:rPr>
          <w:rFonts w:hint="eastAsia"/>
          <w:b/>
          <w:spacing w:val="-6"/>
          <w:sz w:val="21"/>
          <w:szCs w:val="21"/>
        </w:rPr>
      </w:pPr>
      <w:r>
        <w:rPr>
          <w:rFonts w:hint="eastAsia"/>
          <w:b/>
          <w:spacing w:val="-6"/>
          <w:sz w:val="21"/>
          <w:szCs w:val="21"/>
        </w:rPr>
        <w:t>应急方案</w:t>
      </w:r>
    </w:p>
    <w:p w14:paraId="641C1C2B">
      <w:pPr>
        <w:adjustRightInd w:val="0"/>
        <w:snapToGrid w:val="0"/>
        <w:spacing w:line="288" w:lineRule="auto"/>
        <w:outlineLvl w:val="9"/>
        <w:rPr>
          <w:rFonts w:hint="eastAsia"/>
          <w:b/>
          <w:spacing w:val="-6"/>
          <w:sz w:val="21"/>
          <w:szCs w:val="21"/>
        </w:rPr>
      </w:pPr>
      <w:r>
        <w:rPr>
          <w:rFonts w:hint="eastAsia"/>
          <w:b/>
          <w:spacing w:val="-6"/>
          <w:sz w:val="21"/>
          <w:szCs w:val="21"/>
        </w:rPr>
        <w:t>质量安全保障措施</w:t>
      </w:r>
    </w:p>
    <w:p w14:paraId="382B1011">
      <w:pPr>
        <w:adjustRightInd w:val="0"/>
        <w:snapToGrid w:val="0"/>
        <w:spacing w:line="288" w:lineRule="auto"/>
        <w:outlineLvl w:val="9"/>
        <w:rPr>
          <w:rFonts w:hint="eastAsia"/>
          <w:b/>
          <w:spacing w:val="-6"/>
          <w:sz w:val="21"/>
          <w:szCs w:val="21"/>
        </w:rPr>
      </w:pPr>
      <w:r>
        <w:rPr>
          <w:rFonts w:hint="eastAsia"/>
          <w:b/>
          <w:spacing w:val="-6"/>
          <w:sz w:val="21"/>
          <w:szCs w:val="21"/>
        </w:rPr>
        <w:t>服务响应效率</w:t>
      </w:r>
    </w:p>
    <w:p w14:paraId="6871EC02">
      <w:pPr>
        <w:adjustRightInd w:val="0"/>
        <w:snapToGrid w:val="0"/>
        <w:spacing w:line="288" w:lineRule="auto"/>
        <w:outlineLvl w:val="9"/>
        <w:rPr>
          <w:rFonts w:hint="eastAsia"/>
          <w:b/>
          <w:spacing w:val="-6"/>
          <w:sz w:val="21"/>
          <w:szCs w:val="21"/>
        </w:rPr>
      </w:pPr>
      <w:r>
        <w:rPr>
          <w:rFonts w:hint="eastAsia"/>
          <w:b/>
          <w:spacing w:val="-6"/>
          <w:sz w:val="21"/>
          <w:szCs w:val="21"/>
        </w:rPr>
        <w:t>培训计划</w:t>
      </w:r>
    </w:p>
    <w:p w14:paraId="51315AE9">
      <w:pPr>
        <w:adjustRightInd w:val="0"/>
        <w:snapToGrid w:val="0"/>
        <w:spacing w:line="288" w:lineRule="auto"/>
        <w:outlineLvl w:val="2"/>
        <w:rPr>
          <w:b/>
          <w:spacing w:val="-6"/>
          <w:sz w:val="21"/>
          <w:szCs w:val="21"/>
        </w:rPr>
      </w:pPr>
      <w:r>
        <w:rPr>
          <w:rFonts w:hint="eastAsia"/>
          <w:b/>
          <w:spacing w:val="-6"/>
          <w:sz w:val="21"/>
          <w:szCs w:val="21"/>
        </w:rPr>
        <w:t>（6）供应商需要说明的其他文件和材料。</w:t>
      </w:r>
      <w:bookmarkEnd w:id="61"/>
    </w:p>
    <w:p w14:paraId="5E07A488">
      <w:pPr>
        <w:widowControl/>
        <w:jc w:val="left"/>
        <w:rPr>
          <w:b/>
          <w:spacing w:val="-6"/>
          <w:sz w:val="21"/>
          <w:szCs w:val="21"/>
        </w:rPr>
      </w:pPr>
      <w:r>
        <w:rPr>
          <w:b/>
          <w:spacing w:val="-6"/>
          <w:sz w:val="21"/>
          <w:szCs w:val="21"/>
        </w:rPr>
        <w:br w:type="page"/>
      </w:r>
    </w:p>
    <w:p w14:paraId="1AF9E762">
      <w:pPr>
        <w:adjustRightInd w:val="0"/>
        <w:snapToGrid w:val="0"/>
        <w:spacing w:line="288" w:lineRule="auto"/>
      </w:pP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浙江经济职业技术学院</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网络安全等级保护与保障服务</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QSZB-Z(F)-B24567(CS)</w:t>
      </w:r>
    </w:p>
    <w:tbl>
      <w:tblPr>
        <w:tblStyle w:val="1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4039"/>
        <w:gridCol w:w="1114"/>
        <w:gridCol w:w="1086"/>
      </w:tblGrid>
      <w:tr w14:paraId="7042F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FA60BA">
            <w:pPr>
              <w:adjustRightInd w:val="0"/>
              <w:snapToGrid w:val="0"/>
              <w:spacing w:line="360" w:lineRule="auto"/>
              <w:jc w:val="center"/>
              <w:rPr>
                <w:rFonts w:hint="eastAsia" w:ascii="宋体" w:hAnsi="宋体" w:eastAsia="宋体" w:cs="宋体"/>
                <w:b/>
                <w:bCs/>
                <w:sz w:val="21"/>
                <w:szCs w:val="21"/>
              </w:rPr>
            </w:pPr>
            <w:bookmarkStart w:id="62" w:name="_Hlk97040072"/>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DFFA6D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BF79A58">
            <w:pPr>
              <w:adjustRightInd w:val="0"/>
              <w:snapToGrid w:val="0"/>
              <w:spacing w:line="360" w:lineRule="auto"/>
              <w:jc w:val="center"/>
              <w:rPr>
                <w:rFonts w:hint="eastAsia" w:ascii="宋体" w:hAnsi="宋体" w:eastAsia="宋体" w:cs="宋体"/>
                <w:b/>
                <w:bCs/>
                <w:sz w:val="21"/>
                <w:szCs w:val="21"/>
              </w:rPr>
            </w:pPr>
            <w:bookmarkStart w:id="63" w:name="_Hlk177717733"/>
            <w:r>
              <w:rPr>
                <w:rFonts w:hint="eastAsia" w:ascii="宋体" w:hAnsi="宋体" w:eastAsia="宋体" w:cs="宋体"/>
                <w:b/>
                <w:bCs/>
                <w:sz w:val="21"/>
                <w:szCs w:val="21"/>
              </w:rPr>
              <w:t>具体服务</w:t>
            </w:r>
            <w:bookmarkEnd w:id="63"/>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14:paraId="2ECECD3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3F6A1CB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E2FC3B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235C5D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19B448C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7C2AD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799217">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58110BD">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74112D9">
            <w:pPr>
              <w:adjustRightInd w:val="0"/>
              <w:snapToGrid w:val="0"/>
              <w:spacing w:line="360" w:lineRule="auto"/>
              <w:jc w:val="center"/>
              <w:rPr>
                <w:rFonts w:hint="eastAsia" w:ascii="宋体" w:hAnsi="宋体" w:eastAsia="宋体" w:cs="宋体"/>
                <w:b/>
                <w:bCs/>
                <w:sz w:val="21"/>
                <w:szCs w:val="21"/>
              </w:rPr>
            </w:pPr>
          </w:p>
        </w:tc>
        <w:tc>
          <w:tcPr>
            <w:tcW w:w="4039" w:type="dxa"/>
            <w:tcBorders>
              <w:top w:val="single" w:color="auto" w:sz="4" w:space="0"/>
              <w:left w:val="single" w:color="auto" w:sz="4" w:space="0"/>
              <w:bottom w:val="single" w:color="auto" w:sz="4" w:space="0"/>
              <w:right w:val="single" w:color="auto" w:sz="4" w:space="0"/>
            </w:tcBorders>
            <w:vAlign w:val="center"/>
          </w:tcPr>
          <w:p w14:paraId="283E4D1A">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AF37D0A">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2611F606">
            <w:pPr>
              <w:adjustRightInd w:val="0"/>
              <w:snapToGrid w:val="0"/>
              <w:spacing w:line="360" w:lineRule="auto"/>
              <w:jc w:val="center"/>
              <w:rPr>
                <w:rFonts w:hint="eastAsia" w:ascii="宋体" w:hAnsi="宋体" w:eastAsia="宋体" w:cs="宋体"/>
                <w:b/>
                <w:bCs/>
                <w:sz w:val="21"/>
                <w:szCs w:val="21"/>
              </w:rPr>
            </w:pPr>
          </w:p>
        </w:tc>
      </w:tr>
      <w:tr w14:paraId="29676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37FF7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AC6138D">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669BE40">
            <w:pPr>
              <w:adjustRightInd w:val="0"/>
              <w:snapToGrid w:val="0"/>
              <w:spacing w:line="360" w:lineRule="auto"/>
              <w:jc w:val="center"/>
              <w:rPr>
                <w:rFonts w:hint="eastAsia" w:ascii="宋体" w:hAnsi="宋体" w:eastAsia="宋体" w:cs="宋体"/>
                <w:b/>
                <w:bCs/>
                <w:sz w:val="21"/>
                <w:szCs w:val="21"/>
              </w:rPr>
            </w:pPr>
          </w:p>
        </w:tc>
        <w:tc>
          <w:tcPr>
            <w:tcW w:w="4039" w:type="dxa"/>
            <w:tcBorders>
              <w:top w:val="single" w:color="auto" w:sz="4" w:space="0"/>
              <w:left w:val="single" w:color="auto" w:sz="4" w:space="0"/>
              <w:bottom w:val="single" w:color="auto" w:sz="4" w:space="0"/>
              <w:right w:val="single" w:color="auto" w:sz="4" w:space="0"/>
            </w:tcBorders>
            <w:vAlign w:val="center"/>
          </w:tcPr>
          <w:p w14:paraId="3262C20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C4AE094">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6CD125C">
            <w:pPr>
              <w:adjustRightInd w:val="0"/>
              <w:snapToGrid w:val="0"/>
              <w:spacing w:line="360" w:lineRule="auto"/>
              <w:jc w:val="center"/>
              <w:rPr>
                <w:rFonts w:hint="eastAsia" w:ascii="宋体" w:hAnsi="宋体" w:eastAsia="宋体" w:cs="宋体"/>
                <w:b/>
                <w:bCs/>
                <w:sz w:val="21"/>
                <w:szCs w:val="21"/>
              </w:rPr>
            </w:pPr>
          </w:p>
        </w:tc>
      </w:tr>
      <w:tr w14:paraId="2A404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AD4B51">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937747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9C85F8A">
            <w:pPr>
              <w:adjustRightInd w:val="0"/>
              <w:snapToGrid w:val="0"/>
              <w:spacing w:line="360" w:lineRule="auto"/>
              <w:jc w:val="center"/>
              <w:rPr>
                <w:rFonts w:hint="eastAsia" w:ascii="宋体" w:hAnsi="宋体" w:eastAsia="宋体" w:cs="宋体"/>
                <w:b/>
                <w:bCs/>
                <w:sz w:val="21"/>
                <w:szCs w:val="21"/>
              </w:rPr>
            </w:pPr>
          </w:p>
        </w:tc>
        <w:tc>
          <w:tcPr>
            <w:tcW w:w="4039" w:type="dxa"/>
            <w:tcBorders>
              <w:top w:val="single" w:color="auto" w:sz="4" w:space="0"/>
              <w:left w:val="single" w:color="auto" w:sz="4" w:space="0"/>
              <w:bottom w:val="single" w:color="auto" w:sz="4" w:space="0"/>
              <w:right w:val="single" w:color="auto" w:sz="4" w:space="0"/>
            </w:tcBorders>
            <w:vAlign w:val="center"/>
          </w:tcPr>
          <w:p w14:paraId="0C75A7A0">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3553F6E">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B68147A">
            <w:pPr>
              <w:adjustRightInd w:val="0"/>
              <w:snapToGrid w:val="0"/>
              <w:spacing w:line="360" w:lineRule="auto"/>
              <w:jc w:val="center"/>
              <w:rPr>
                <w:rFonts w:hint="eastAsia" w:ascii="宋体" w:hAnsi="宋体" w:eastAsia="宋体" w:cs="宋体"/>
                <w:b/>
                <w:bCs/>
                <w:sz w:val="21"/>
                <w:szCs w:val="21"/>
              </w:rPr>
            </w:pPr>
          </w:p>
        </w:tc>
      </w:tr>
      <w:tr w14:paraId="7A0BF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DE475EC">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0E576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23114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C6BF26A">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7E4ED09">
            <w:pPr>
              <w:adjustRightInd w:val="0"/>
              <w:snapToGrid w:val="0"/>
              <w:spacing w:line="360" w:lineRule="auto"/>
              <w:jc w:val="center"/>
              <w:rPr>
                <w:rFonts w:hint="eastAsia" w:ascii="宋体" w:hAnsi="宋体" w:eastAsia="宋体" w:cs="宋体"/>
                <w:b/>
                <w:bCs/>
                <w:sz w:val="21"/>
                <w:szCs w:val="21"/>
              </w:rPr>
            </w:pPr>
          </w:p>
        </w:tc>
        <w:tc>
          <w:tcPr>
            <w:tcW w:w="4039" w:type="dxa"/>
            <w:tcBorders>
              <w:top w:val="single" w:color="auto" w:sz="4" w:space="0"/>
              <w:left w:val="single" w:color="auto" w:sz="4" w:space="0"/>
              <w:bottom w:val="single" w:color="auto" w:sz="4" w:space="0"/>
              <w:right w:val="single" w:color="auto" w:sz="4" w:space="0"/>
            </w:tcBorders>
            <w:shd w:val="clear" w:color="auto" w:fill="FFFFFF"/>
            <w:vAlign w:val="center"/>
          </w:tcPr>
          <w:p w14:paraId="5E49253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F17F6CF">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635F394">
            <w:pPr>
              <w:adjustRightInd w:val="0"/>
              <w:snapToGrid w:val="0"/>
              <w:spacing w:line="360" w:lineRule="auto"/>
              <w:jc w:val="center"/>
              <w:rPr>
                <w:rFonts w:hint="eastAsia" w:ascii="宋体" w:hAnsi="宋体" w:eastAsia="宋体" w:cs="宋体"/>
                <w:b/>
                <w:bCs/>
                <w:sz w:val="21"/>
                <w:szCs w:val="21"/>
              </w:rPr>
            </w:pPr>
          </w:p>
        </w:tc>
      </w:tr>
      <w:tr w14:paraId="72936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6DBDBA7">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1FA57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FB987C">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DEAD446">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BD9C63C">
            <w:pPr>
              <w:adjustRightInd w:val="0"/>
              <w:snapToGrid w:val="0"/>
              <w:spacing w:line="360" w:lineRule="auto"/>
              <w:jc w:val="center"/>
              <w:rPr>
                <w:rFonts w:hint="eastAsia" w:ascii="宋体" w:hAnsi="宋体" w:eastAsia="宋体" w:cs="宋体"/>
                <w:b/>
                <w:bCs/>
                <w:sz w:val="21"/>
                <w:szCs w:val="21"/>
              </w:rPr>
            </w:pPr>
          </w:p>
        </w:tc>
        <w:tc>
          <w:tcPr>
            <w:tcW w:w="4039" w:type="dxa"/>
            <w:tcBorders>
              <w:top w:val="single" w:color="auto" w:sz="4" w:space="0"/>
              <w:left w:val="single" w:color="auto" w:sz="4" w:space="0"/>
              <w:bottom w:val="single" w:color="auto" w:sz="4" w:space="0"/>
              <w:right w:val="single" w:color="auto" w:sz="4" w:space="0"/>
            </w:tcBorders>
            <w:shd w:val="clear" w:color="auto" w:fill="FFFFFF"/>
            <w:vAlign w:val="center"/>
          </w:tcPr>
          <w:p w14:paraId="37E6FF32">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6DF7DF7">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573C823B">
            <w:pPr>
              <w:adjustRightInd w:val="0"/>
              <w:snapToGrid w:val="0"/>
              <w:spacing w:line="360" w:lineRule="auto"/>
              <w:jc w:val="center"/>
              <w:rPr>
                <w:rFonts w:hint="eastAsia" w:ascii="宋体" w:hAnsi="宋体" w:eastAsia="宋体" w:cs="宋体"/>
                <w:b/>
                <w:bCs/>
                <w:sz w:val="21"/>
                <w:szCs w:val="21"/>
              </w:rPr>
            </w:pPr>
          </w:p>
        </w:tc>
      </w:tr>
      <w:tr w14:paraId="173A2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26FF029A">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779799EB">
            <w:pPr>
              <w:adjustRightInd w:val="0"/>
              <w:snapToGrid w:val="0"/>
              <w:spacing w:line="288" w:lineRule="auto"/>
              <w:rPr>
                <w:rFonts w:hint="eastAsia" w:ascii="宋体" w:hAnsi="宋体" w:eastAsia="宋体" w:cs="宋体"/>
                <w:b/>
                <w:bCs/>
                <w:sz w:val="21"/>
                <w:szCs w:val="21"/>
              </w:rPr>
            </w:pPr>
          </w:p>
          <w:p w14:paraId="0F350BD3">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6492296F">
            <w:pPr>
              <w:adjustRightInd w:val="0"/>
              <w:snapToGrid w:val="0"/>
              <w:spacing w:line="288" w:lineRule="auto"/>
              <w:rPr>
                <w:rFonts w:hint="eastAsia" w:ascii="宋体" w:hAnsi="宋体" w:eastAsia="宋体" w:cs="宋体"/>
                <w:b/>
                <w:bCs/>
                <w:sz w:val="21"/>
                <w:szCs w:val="21"/>
              </w:rPr>
            </w:pPr>
          </w:p>
          <w:p w14:paraId="0779864B">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0582ED14">
            <w:pPr>
              <w:adjustRightInd w:val="0"/>
              <w:snapToGrid w:val="0"/>
              <w:spacing w:line="288" w:lineRule="auto"/>
              <w:rPr>
                <w:rFonts w:hint="eastAsia" w:ascii="宋体" w:hAnsi="宋体" w:eastAsia="宋体" w:cs="宋体"/>
                <w:b/>
                <w:bCs/>
                <w:sz w:val="21"/>
                <w:szCs w:val="21"/>
              </w:rPr>
            </w:pPr>
          </w:p>
        </w:tc>
      </w:tr>
    </w:tbl>
    <w:p w14:paraId="743392E0">
      <w:pPr>
        <w:adjustRightInd w:val="0"/>
        <w:snapToGrid w:val="0"/>
        <w:spacing w:line="288" w:lineRule="auto"/>
        <w:rPr>
          <w:rFonts w:hint="eastAsia" w:ascii="宋体" w:hAnsi="宋体" w:eastAsia="宋体" w:cs="宋体"/>
          <w:spacing w:val="-6"/>
          <w:sz w:val="21"/>
          <w:szCs w:val="21"/>
        </w:rPr>
      </w:pPr>
    </w:p>
    <w:p w14:paraId="5932B450">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32D698E4">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3F923C17">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0AFCC184">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2"/>
    <w:p w14:paraId="797A3D4D">
      <w:pPr>
        <w:adjustRightInd w:val="0"/>
        <w:snapToGrid w:val="0"/>
        <w:spacing w:line="288" w:lineRule="auto"/>
        <w:rPr>
          <w:sz w:val="21"/>
          <w:szCs w:val="21"/>
        </w:rPr>
      </w:pPr>
      <w:r>
        <w:rPr>
          <w:rFonts w:hint="eastAsia"/>
          <w:sz w:val="21"/>
          <w:szCs w:val="21"/>
        </w:rPr>
        <w:br w:type="page"/>
      </w:r>
    </w:p>
    <w:p w14:paraId="6C6FF9C4">
      <w:pPr>
        <w:adjustRightInd w:val="0"/>
        <w:snapToGrid w:val="0"/>
        <w:spacing w:line="288" w:lineRule="auto"/>
        <w:ind w:firstLine="498" w:firstLineChars="236"/>
        <w:jc w:val="center"/>
        <w:outlineLvl w:val="2"/>
        <w:rPr>
          <w:b/>
          <w:bCs/>
          <w:sz w:val="21"/>
          <w:szCs w:val="21"/>
        </w:rPr>
      </w:pPr>
      <w:r>
        <w:rPr>
          <w:rFonts w:hint="eastAsia"/>
          <w:b/>
          <w:bCs/>
          <w:sz w:val="21"/>
          <w:szCs w:val="21"/>
        </w:rPr>
        <w:t>（</w:t>
      </w:r>
      <w:r>
        <w:rPr>
          <w:b/>
          <w:bCs/>
          <w:sz w:val="21"/>
          <w:szCs w:val="21"/>
        </w:rPr>
        <w:t>2</w:t>
      </w:r>
      <w:r>
        <w:rPr>
          <w:rFonts w:hint="eastAsia"/>
          <w:b/>
          <w:bCs/>
          <w:sz w:val="21"/>
          <w:szCs w:val="21"/>
        </w:rPr>
        <w:t>）</w:t>
      </w:r>
      <w:r>
        <w:rPr>
          <w:b/>
          <w:bCs/>
          <w:sz w:val="21"/>
          <w:szCs w:val="21"/>
        </w:rPr>
        <w:t>中小企业声明函（服务）</w:t>
      </w:r>
      <w:r>
        <w:rPr>
          <w:rFonts w:hint="eastAsia"/>
          <w:b/>
          <w:bCs/>
          <w:sz w:val="21"/>
          <w:szCs w:val="21"/>
        </w:rPr>
        <w:t>（若属于中小企业）</w:t>
      </w:r>
    </w:p>
    <w:p w14:paraId="52F0C93D">
      <w:pPr>
        <w:adjustRightInd w:val="0"/>
        <w:snapToGrid w:val="0"/>
        <w:spacing w:line="288" w:lineRule="auto"/>
        <w:ind w:firstLine="498" w:firstLineChars="236"/>
        <w:rPr>
          <w:b/>
          <w:sz w:val="21"/>
          <w:szCs w:val="21"/>
          <w:highlight w:val="none"/>
        </w:rPr>
      </w:pPr>
    </w:p>
    <w:p w14:paraId="765601BC">
      <w:pPr>
        <w:adjustRightInd w:val="0"/>
        <w:snapToGrid w:val="0"/>
        <w:spacing w:line="288" w:lineRule="auto"/>
        <w:ind w:firstLine="495" w:firstLineChars="236"/>
        <w:rPr>
          <w:sz w:val="21"/>
          <w:szCs w:val="21"/>
          <w:highlight w:val="none"/>
        </w:rPr>
      </w:pPr>
      <w:r>
        <w:rPr>
          <w:sz w:val="21"/>
          <w:szCs w:val="21"/>
          <w:highlight w:val="none"/>
        </w:rPr>
        <w:t>本公司（联合体）郑重声明，根据《政府采购促进中小企业发展管理办法》（财库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号）的规定，本公司（联合体）参加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采购活动，服务全部由符合政策要求的中小企业承接。相关企业（含联合 体中的中小企业、签订分包意向协议的中小企业）的具体情况如下：</w:t>
      </w:r>
    </w:p>
    <w:p w14:paraId="1C4C75B1">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2C5BFA3E">
      <w:pPr>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C848D17">
      <w:pPr>
        <w:adjustRightInd w:val="0"/>
        <w:snapToGrid w:val="0"/>
        <w:spacing w:line="288" w:lineRule="auto"/>
        <w:ind w:firstLine="495" w:firstLineChars="236"/>
        <w:rPr>
          <w:sz w:val="21"/>
          <w:szCs w:val="21"/>
          <w:highlight w:val="none"/>
        </w:rPr>
      </w:pPr>
      <w:r>
        <w:rPr>
          <w:sz w:val="21"/>
          <w:szCs w:val="21"/>
          <w:highlight w:val="none"/>
        </w:rPr>
        <w:t>……</w:t>
      </w:r>
    </w:p>
    <w:p w14:paraId="60B98946">
      <w:pPr>
        <w:adjustRightInd w:val="0"/>
        <w:snapToGrid w:val="0"/>
        <w:spacing w:line="288" w:lineRule="auto"/>
        <w:ind w:firstLine="495" w:firstLineChars="236"/>
        <w:rPr>
          <w:color w:val="auto"/>
          <w:sz w:val="21"/>
          <w:szCs w:val="21"/>
          <w:highlight w:val="none"/>
        </w:rPr>
      </w:pPr>
      <w:r>
        <w:rPr>
          <w:sz w:val="21"/>
          <w:szCs w:val="21"/>
          <w:highlight w:val="none"/>
        </w:rPr>
        <w:t>以上企业，不属于大企业的分支机构，不存在控股股东为大企业的情形，也不存在与大企业的负责人为同一人</w:t>
      </w:r>
      <w:r>
        <w:rPr>
          <w:color w:val="auto"/>
          <w:sz w:val="21"/>
          <w:szCs w:val="21"/>
          <w:highlight w:val="none"/>
        </w:rPr>
        <w:t>的情形。</w:t>
      </w:r>
    </w:p>
    <w:p w14:paraId="775CCB5B">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0A7F833E">
      <w:pPr>
        <w:adjustRightInd w:val="0"/>
        <w:snapToGrid w:val="0"/>
        <w:spacing w:line="288" w:lineRule="auto"/>
        <w:ind w:firstLine="495" w:firstLineChars="236"/>
        <w:rPr>
          <w:color w:val="auto"/>
          <w:sz w:val="21"/>
          <w:szCs w:val="21"/>
          <w:highlight w:val="none"/>
        </w:rPr>
      </w:pPr>
    </w:p>
    <w:p w14:paraId="48CD1B49">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5CAF72B7">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6BFD3A55">
      <w:pPr>
        <w:adjustRightInd w:val="0"/>
        <w:snapToGrid w:val="0"/>
        <w:spacing w:line="288" w:lineRule="auto"/>
        <w:ind w:firstLine="495" w:firstLineChars="236"/>
        <w:rPr>
          <w:color w:val="auto"/>
          <w:sz w:val="21"/>
          <w:szCs w:val="21"/>
          <w:highlight w:val="none"/>
        </w:rPr>
      </w:pPr>
    </w:p>
    <w:p w14:paraId="24C2FF21">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21C5D6B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045AFB2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7F62E63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8BCE55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71CCD7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5B9EEB2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3DC7B7D6">
      <w:pPr>
        <w:rPr>
          <w:rFonts w:hint="eastAsia"/>
          <w:b/>
          <w:color w:val="auto"/>
          <w:spacing w:val="-6"/>
          <w:sz w:val="21"/>
          <w:szCs w:val="21"/>
          <w:highlight w:val="none"/>
          <w:lang w:val="en-US" w:eastAsia="zh-CN"/>
        </w:rPr>
      </w:pPr>
      <w:r>
        <w:rPr>
          <w:rFonts w:hint="eastAsia"/>
          <w:b/>
          <w:color w:val="auto"/>
          <w:spacing w:val="-6"/>
          <w:sz w:val="21"/>
          <w:szCs w:val="21"/>
          <w:highlight w:val="none"/>
          <w:lang w:val="en-US" w:eastAsia="zh-CN"/>
        </w:rPr>
        <w:br w:type="page"/>
      </w:r>
    </w:p>
    <w:p w14:paraId="7A40A531">
      <w:pPr>
        <w:adjustRightInd w:val="0"/>
        <w:snapToGrid w:val="0"/>
        <w:spacing w:line="288" w:lineRule="auto"/>
        <w:jc w:val="center"/>
        <w:outlineLvl w:val="2"/>
        <w:rPr>
          <w:color w:val="000000"/>
          <w:kern w:val="0"/>
          <w:sz w:val="21"/>
          <w:szCs w:val="21"/>
          <w:highlight w:val="yellow"/>
        </w:rPr>
      </w:pPr>
      <w:r>
        <w:rPr>
          <w:rFonts w:hint="eastAsia"/>
          <w:b/>
          <w:spacing w:val="-6"/>
          <w:sz w:val="21"/>
          <w:szCs w:val="21"/>
          <w:lang w:val="en-US" w:eastAsia="zh-CN"/>
        </w:rPr>
        <w:t>（3</w:t>
      </w:r>
      <w:r>
        <w:rPr>
          <w:rFonts w:hint="eastAsia"/>
          <w:b/>
          <w:spacing w:val="-6"/>
          <w:sz w:val="21"/>
          <w:szCs w:val="21"/>
        </w:rPr>
        <w:t>）属于监狱企业的证明文件（若属于监狱企业）</w:t>
      </w:r>
    </w:p>
    <w:p w14:paraId="296B8B4D">
      <w:pPr>
        <w:adjustRightInd w:val="0"/>
        <w:snapToGrid w:val="0"/>
        <w:spacing w:line="288" w:lineRule="auto"/>
        <w:outlineLvl w:val="9"/>
        <w:rPr>
          <w:color w:val="000000"/>
          <w:kern w:val="0"/>
          <w:sz w:val="21"/>
          <w:szCs w:val="21"/>
        </w:rPr>
      </w:pPr>
    </w:p>
    <w:p w14:paraId="51E5724D">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07A7B9A9">
      <w:pPr>
        <w:adjustRightInd w:val="0"/>
        <w:snapToGrid w:val="0"/>
        <w:spacing w:line="288" w:lineRule="auto"/>
        <w:outlineLvl w:val="9"/>
        <w:rPr>
          <w:sz w:val="21"/>
          <w:szCs w:val="21"/>
        </w:rPr>
      </w:pPr>
    </w:p>
    <w:p w14:paraId="7482F873">
      <w:pPr>
        <w:adjustRightInd w:val="0"/>
        <w:snapToGrid w:val="0"/>
        <w:spacing w:line="288" w:lineRule="auto"/>
        <w:outlineLvl w:val="9"/>
        <w:rPr>
          <w:b/>
          <w:bCs/>
          <w:sz w:val="21"/>
          <w:szCs w:val="21"/>
        </w:rPr>
      </w:pPr>
      <w:r>
        <w:rPr>
          <w:rFonts w:hint="eastAsia"/>
          <w:b/>
          <w:bCs/>
          <w:sz w:val="21"/>
          <w:szCs w:val="21"/>
        </w:rPr>
        <w:t>说明：</w:t>
      </w:r>
    </w:p>
    <w:p w14:paraId="2B292959">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6C88682">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0AA4CC3B">
      <w:pPr>
        <w:widowControl/>
        <w:adjustRightInd w:val="0"/>
        <w:snapToGrid w:val="0"/>
        <w:spacing w:line="288" w:lineRule="auto"/>
        <w:jc w:val="left"/>
        <w:outlineLvl w:val="9"/>
        <w:rPr>
          <w:b/>
          <w:spacing w:val="-6"/>
          <w:sz w:val="21"/>
          <w:szCs w:val="21"/>
        </w:rPr>
      </w:pPr>
      <w:r>
        <w:rPr>
          <w:b/>
          <w:spacing w:val="-6"/>
          <w:sz w:val="21"/>
          <w:szCs w:val="21"/>
        </w:rPr>
        <w:br w:type="page"/>
      </w:r>
    </w:p>
    <w:p w14:paraId="4D948D94">
      <w:pPr>
        <w:adjustRightInd w:val="0"/>
        <w:snapToGrid w:val="0"/>
        <w:spacing w:line="288" w:lineRule="auto"/>
        <w:jc w:val="center"/>
        <w:outlineLvl w:val="2"/>
        <w:rPr>
          <w:b/>
          <w:spacing w:val="-6"/>
          <w:sz w:val="21"/>
          <w:szCs w:val="21"/>
        </w:rPr>
      </w:pPr>
      <w:r>
        <w:rPr>
          <w:rFonts w:hint="eastAsia"/>
          <w:b/>
          <w:spacing w:val="-6"/>
          <w:sz w:val="21"/>
          <w:szCs w:val="21"/>
          <w:lang w:val="en-US" w:eastAsia="zh-CN"/>
        </w:rPr>
        <w:t>（4）</w:t>
      </w:r>
      <w:r>
        <w:rPr>
          <w:rFonts w:hint="eastAsia"/>
          <w:b/>
          <w:spacing w:val="-6"/>
          <w:sz w:val="21"/>
          <w:szCs w:val="21"/>
        </w:rPr>
        <w:t>残疾人福利性单位声明函（若属于残疾人福利性单位）</w:t>
      </w:r>
    </w:p>
    <w:p w14:paraId="3F11E754">
      <w:pPr>
        <w:adjustRightInd w:val="0"/>
        <w:snapToGrid w:val="0"/>
        <w:spacing w:line="288" w:lineRule="auto"/>
        <w:outlineLvl w:val="9"/>
        <w:rPr>
          <w:rFonts w:cs="Times New Roman"/>
          <w:b/>
          <w:spacing w:val="6"/>
          <w:sz w:val="21"/>
          <w:szCs w:val="21"/>
        </w:rPr>
      </w:pPr>
    </w:p>
    <w:p w14:paraId="00AB66AD">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w:t>
      </w:r>
      <w:r>
        <w:rPr>
          <w:rFonts w:hint="eastAsia" w:cs="Times New Roman"/>
          <w:b/>
          <w:bCs/>
          <w:spacing w:val="6"/>
          <w:sz w:val="21"/>
          <w:szCs w:val="21"/>
          <w:highlight w:val="none"/>
        </w:rPr>
        <w:t>件的残疾人福利性单位</w:t>
      </w:r>
      <w:r>
        <w:rPr>
          <w:rFonts w:hint="eastAsia" w:cs="Times New Roman"/>
          <w:spacing w:val="6"/>
          <w:sz w:val="21"/>
          <w:szCs w:val="21"/>
          <w:highlight w:val="none"/>
        </w:rPr>
        <w:t>，且本单位参加______（采购人）单位的______（项目名称）项目采购活动由本单位提供服务。</w:t>
      </w:r>
    </w:p>
    <w:p w14:paraId="731BAAF5">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6C0829E1">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14:paraId="387EB5BE">
      <w:pPr>
        <w:tabs>
          <w:tab w:val="left" w:pos="4860"/>
        </w:tabs>
        <w:adjustRightInd w:val="0"/>
        <w:snapToGrid w:val="0"/>
        <w:spacing w:line="288" w:lineRule="auto"/>
        <w:ind w:right="1560" w:firstLine="444" w:firstLineChars="200"/>
        <w:outlineLvl w:val="9"/>
        <w:rPr>
          <w:rFonts w:cs="Times New Roman"/>
          <w:spacing w:val="6"/>
          <w:sz w:val="21"/>
          <w:szCs w:val="21"/>
        </w:rPr>
      </w:pPr>
      <w:r>
        <w:rPr>
          <w:rFonts w:hint="eastAsia" w:cs="Times New Roman"/>
          <w:spacing w:val="6"/>
          <w:sz w:val="21"/>
          <w:szCs w:val="21"/>
        </w:rPr>
        <w:t>日  期：</w:t>
      </w:r>
    </w:p>
    <w:p w14:paraId="1A6EE429">
      <w:pPr>
        <w:adjustRightInd w:val="0"/>
        <w:snapToGrid w:val="0"/>
        <w:spacing w:line="288" w:lineRule="auto"/>
        <w:outlineLvl w:val="9"/>
        <w:rPr>
          <w:sz w:val="21"/>
          <w:szCs w:val="21"/>
        </w:rPr>
      </w:pPr>
    </w:p>
    <w:p w14:paraId="42FE6B15">
      <w:pPr>
        <w:adjustRightInd w:val="0"/>
        <w:snapToGrid w:val="0"/>
        <w:spacing w:line="288" w:lineRule="auto"/>
        <w:outlineLvl w:val="9"/>
        <w:rPr>
          <w:b/>
          <w:bCs/>
          <w:sz w:val="21"/>
          <w:szCs w:val="21"/>
        </w:rPr>
      </w:pPr>
      <w:r>
        <w:rPr>
          <w:rFonts w:hint="eastAsia"/>
          <w:b/>
          <w:bCs/>
          <w:sz w:val="21"/>
          <w:szCs w:val="21"/>
        </w:rPr>
        <w:t>说明：</w:t>
      </w:r>
    </w:p>
    <w:p w14:paraId="38C996B3">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14:paraId="3F233E5B">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4BB1C19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14:paraId="4E3BCC7A">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57965E87">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680EC942">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1C3CBFB7">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1F36546">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0CAA5A0E">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606DF6DE">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14:paraId="631A417E">
      <w:pPr>
        <w:rPr>
          <w:rFonts w:cs="Times New Roman"/>
          <w:b/>
          <w:spacing w:val="-6"/>
          <w:sz w:val="21"/>
          <w:szCs w:val="21"/>
        </w:rPr>
      </w:pPr>
      <w:r>
        <w:rPr>
          <w:rFonts w:cs="Times New Roman"/>
          <w:b/>
          <w:spacing w:val="-6"/>
          <w:sz w:val="21"/>
          <w:szCs w:val="21"/>
        </w:rPr>
        <w:br w:type="page"/>
      </w:r>
    </w:p>
    <w:p w14:paraId="54F380FD">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color w:val="auto"/>
          <w:sz w:val="21"/>
          <w:szCs w:val="21"/>
        </w:rPr>
      </w:pPr>
      <w:r>
        <w:rPr>
          <w:rFonts w:hint="eastAsia" w:cs="仿宋_GB2312"/>
          <w:b/>
          <w:sz w:val="21"/>
          <w:szCs w:val="21"/>
        </w:rPr>
        <w:t>（以联合体形式响应的，提供联合协议；本项目不接受联合体响应或者供应商不以联合体形式响应的，则不需要提供）</w:t>
      </w:r>
    </w:p>
    <w:p w14:paraId="3B3DE89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14:paraId="7D9C036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14:paraId="263C5C4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w:t>
      </w:r>
      <w:r>
        <w:rPr>
          <w:rFonts w:hint="eastAsia" w:cs="宋体"/>
          <w:kern w:val="0"/>
          <w:sz w:val="21"/>
          <w:szCs w:val="21"/>
          <w:lang w:val="en-US" w:eastAsia="zh-CN"/>
        </w:rPr>
        <w:t>响应</w:t>
      </w:r>
      <w:r>
        <w:rPr>
          <w:rFonts w:hint="eastAsia" w:ascii="宋体" w:hAnsi="宋体" w:eastAsia="宋体" w:cs="宋体"/>
          <w:kern w:val="0"/>
          <w:sz w:val="21"/>
          <w:szCs w:val="21"/>
          <w:lang w:val="zh-CN"/>
        </w:rPr>
        <w:t>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14:paraId="713B369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3478010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26AC8F3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5B8D0CB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B4F473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143D22D1">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64"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64"/>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65"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65"/>
      <w:r>
        <w:rPr>
          <w:rFonts w:hint="eastAsia" w:ascii="宋体" w:hAnsi="宋体" w:eastAsia="宋体" w:cs="宋体"/>
          <w:b/>
          <w:kern w:val="0"/>
          <w:sz w:val="21"/>
          <w:szCs w:val="21"/>
          <w:lang w:val="zh-CN"/>
        </w:rPr>
        <w:t>）</w:t>
      </w:r>
    </w:p>
    <w:p w14:paraId="0721616B">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66"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66"/>
    </w:p>
    <w:p w14:paraId="718EC22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68443B4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190CCF9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14:paraId="144C644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14:paraId="539CB11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38C97B0D">
      <w:pPr>
        <w:snapToGrid w:val="0"/>
        <w:spacing w:line="288" w:lineRule="auto"/>
        <w:ind w:firstLine="424" w:firstLineChars="202"/>
        <w:rPr>
          <w:rFonts w:ascii="宋体" w:hAnsi="宋体" w:eastAsia="宋体" w:cs="宋体"/>
          <w:kern w:val="0"/>
          <w:sz w:val="21"/>
          <w:szCs w:val="21"/>
          <w:lang w:val="zh-CN"/>
        </w:rPr>
      </w:pPr>
    </w:p>
    <w:p w14:paraId="0CB13C4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5DE5220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28778019">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5929654">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D968268">
      <w:pPr>
        <w:snapToGrid w:val="0"/>
        <w:spacing w:line="288" w:lineRule="auto"/>
        <w:ind w:right="420" w:firstLine="424" w:firstLineChars="202"/>
        <w:rPr>
          <w:rFonts w:ascii="宋体" w:hAnsi="宋体" w:eastAsia="宋体" w:cs="宋体"/>
          <w:sz w:val="21"/>
          <w:szCs w:val="21"/>
        </w:rPr>
      </w:pPr>
    </w:p>
    <w:p w14:paraId="5219D369">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1A8F154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14:paraId="16619DD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14:paraId="42D9ECB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14:paraId="70266F67">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14:paraId="3D0BE683">
      <w:pPr>
        <w:snapToGrid w:val="0"/>
        <w:spacing w:line="288" w:lineRule="auto"/>
        <w:ind w:firstLine="424" w:firstLineChars="202"/>
        <w:rPr>
          <w:rFonts w:ascii="宋体" w:hAnsi="宋体" w:eastAsia="宋体"/>
          <w:sz w:val="21"/>
          <w:szCs w:val="21"/>
        </w:rPr>
      </w:pPr>
    </w:p>
    <w:p w14:paraId="10DCFCA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14:paraId="767C9922">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0667B84A">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14:paraId="479344B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14:paraId="29403C93">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15C3853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14:paraId="2AFDD73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386E6E8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14:paraId="5AA386E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03BDF86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14:paraId="17F5D26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75232DB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14:paraId="37ADD1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2881B3E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14:paraId="7D9EBA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14:paraId="0EB4B24E">
      <w:pPr>
        <w:snapToGrid w:val="0"/>
        <w:spacing w:line="288" w:lineRule="auto"/>
        <w:ind w:firstLine="424" w:firstLineChars="202"/>
        <w:rPr>
          <w:rFonts w:ascii="宋体" w:hAnsi="宋体" w:eastAsia="宋体" w:cs="宋体"/>
          <w:kern w:val="0"/>
          <w:sz w:val="21"/>
          <w:szCs w:val="21"/>
          <w:lang w:val="zh-CN"/>
        </w:rPr>
      </w:pPr>
    </w:p>
    <w:p w14:paraId="41CA13F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14:paraId="51036DB9">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14:paraId="6CAB124A">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14:paraId="2489712E">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14:paraId="4AA5DB13">
      <w:pPr>
        <w:snapToGrid w:val="0"/>
        <w:spacing w:line="288" w:lineRule="auto"/>
        <w:ind w:right="420" w:firstLine="424" w:firstLineChars="202"/>
        <w:rPr>
          <w:rFonts w:ascii="宋体" w:hAnsi="宋体" w:eastAsia="宋体" w:cs="宋体"/>
          <w:sz w:val="21"/>
          <w:szCs w:val="21"/>
        </w:rPr>
      </w:pPr>
    </w:p>
    <w:p w14:paraId="18D1759A">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0DC0BED8"/>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1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0FB14"/>
    <w:multiLevelType w:val="singleLevel"/>
    <w:tmpl w:val="FA10FB1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CF34325"/>
    <w:rsid w:val="14D34F9D"/>
    <w:rsid w:val="15E4710C"/>
    <w:rsid w:val="15ED232D"/>
    <w:rsid w:val="189C2155"/>
    <w:rsid w:val="1D121E99"/>
    <w:rsid w:val="1D340697"/>
    <w:rsid w:val="239E0E21"/>
    <w:rsid w:val="2489657E"/>
    <w:rsid w:val="25476F50"/>
    <w:rsid w:val="28220306"/>
    <w:rsid w:val="2B731BD4"/>
    <w:rsid w:val="2DC72F38"/>
    <w:rsid w:val="2DE74C9D"/>
    <w:rsid w:val="2EC8340B"/>
    <w:rsid w:val="318921E5"/>
    <w:rsid w:val="326A4C4F"/>
    <w:rsid w:val="340F3B9A"/>
    <w:rsid w:val="35393A14"/>
    <w:rsid w:val="37AA0086"/>
    <w:rsid w:val="3C2B5E46"/>
    <w:rsid w:val="3DBE2018"/>
    <w:rsid w:val="3FA00222"/>
    <w:rsid w:val="3FE16D38"/>
    <w:rsid w:val="46742991"/>
    <w:rsid w:val="48211CD3"/>
    <w:rsid w:val="48715062"/>
    <w:rsid w:val="4C793DF2"/>
    <w:rsid w:val="4DCB05E7"/>
    <w:rsid w:val="4E7D6D7D"/>
    <w:rsid w:val="508825A3"/>
    <w:rsid w:val="51942202"/>
    <w:rsid w:val="533B5B9D"/>
    <w:rsid w:val="555C7D6F"/>
    <w:rsid w:val="5B122177"/>
    <w:rsid w:val="5BFD69A3"/>
    <w:rsid w:val="5D41435A"/>
    <w:rsid w:val="6265548D"/>
    <w:rsid w:val="669E1864"/>
    <w:rsid w:val="66CE5F3A"/>
    <w:rsid w:val="6701791E"/>
    <w:rsid w:val="68D93CAA"/>
    <w:rsid w:val="6ACA522C"/>
    <w:rsid w:val="6E290AC9"/>
    <w:rsid w:val="6E9007AE"/>
    <w:rsid w:val="750E1A30"/>
    <w:rsid w:val="76797A09"/>
    <w:rsid w:val="7D074354"/>
    <w:rsid w:val="7E4E3C32"/>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3">
    <w:name w:val="Normal Indent"/>
    <w:basedOn w:val="1"/>
    <w:next w:val="1"/>
    <w:semiHidden/>
    <w:unhideWhenUsed/>
    <w:qFormat/>
    <w:uiPriority w:val="99"/>
    <w:pPr>
      <w:ind w:firstLine="420" w:firstLineChars="200"/>
    </w:pPr>
  </w:style>
  <w:style w:type="paragraph" w:styleId="4">
    <w:name w:val="annotation text"/>
    <w:basedOn w:val="1"/>
    <w:link w:val="24"/>
    <w:unhideWhenUsed/>
    <w:qFormat/>
    <w:uiPriority w:val="99"/>
    <w:pPr>
      <w:jc w:val="left"/>
    </w:pPr>
    <w:rPr>
      <w:rFonts w:ascii="Times New Roman" w:hAnsi="Times New Roman" w:cs="Times New Roman"/>
      <w:sz w:val="28"/>
    </w:rPr>
  </w:style>
  <w:style w:type="paragraph" w:styleId="5">
    <w:name w:val="Body Text"/>
    <w:basedOn w:val="1"/>
    <w:next w:val="1"/>
    <w:link w:val="36"/>
    <w:qFormat/>
    <w:uiPriority w:val="0"/>
    <w:pPr>
      <w:spacing w:after="120"/>
    </w:pPr>
  </w:style>
  <w:style w:type="paragraph" w:styleId="6">
    <w:name w:val="Body Text Indent"/>
    <w:basedOn w:val="1"/>
    <w:next w:val="7"/>
    <w:link w:val="27"/>
    <w:qFormat/>
    <w:uiPriority w:val="0"/>
    <w:pPr>
      <w:spacing w:line="200" w:lineRule="atLeast"/>
      <w:ind w:firstLine="301"/>
    </w:pPr>
    <w:rPr>
      <w:rFonts w:hAnsi="Courier New" w:cs="Times New Roman"/>
      <w:spacing w:val="-4"/>
      <w:sz w:val="18"/>
      <w:szCs w:val="20"/>
    </w:rPr>
  </w:style>
  <w:style w:type="paragraph" w:styleId="7">
    <w:name w:val="Body Text First Indent 2"/>
    <w:basedOn w:val="6"/>
    <w:next w:val="8"/>
    <w:unhideWhenUsed/>
    <w:qFormat/>
    <w:uiPriority w:val="99"/>
    <w:pPr>
      <w:ind w:firstLine="420"/>
    </w:pPr>
  </w:style>
  <w:style w:type="paragraph" w:styleId="8">
    <w:name w:val="Body Text First Indent"/>
    <w:basedOn w:val="5"/>
    <w:next w:val="7"/>
    <w:qFormat/>
    <w:uiPriority w:val="0"/>
    <w:pPr>
      <w:ind w:firstLine="420" w:firstLineChars="100"/>
    </w:pPr>
    <w:rPr>
      <w:rFonts w:cs="Times New Roman"/>
      <w:sz w:val="21"/>
    </w:rPr>
  </w:style>
  <w:style w:type="paragraph" w:styleId="9">
    <w:name w:val="Plain Text"/>
    <w:basedOn w:val="1"/>
    <w:link w:val="37"/>
    <w:semiHidden/>
    <w:unhideWhenUsed/>
    <w:qFormat/>
    <w:uiPriority w:val="99"/>
    <w:rPr>
      <w:rFonts w:hAnsi="Courier New" w:cs="Courier New" w:asciiTheme="minorEastAsia" w:eastAsiaTheme="minorEastAsia"/>
    </w:rPr>
  </w:style>
  <w:style w:type="paragraph" w:styleId="10">
    <w:name w:val="Balloon Text"/>
    <w:basedOn w:val="1"/>
    <w:link w:val="26"/>
    <w:qFormat/>
    <w:uiPriority w:val="0"/>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kern w:val="0"/>
    </w:rPr>
  </w:style>
  <w:style w:type="paragraph" w:styleId="14">
    <w:name w:val="annotation subject"/>
    <w:basedOn w:val="4"/>
    <w:next w:val="4"/>
    <w:link w:val="34"/>
    <w:semiHidden/>
    <w:unhideWhenUsed/>
    <w:qFormat/>
    <w:uiPriority w:val="0"/>
    <w:rPr>
      <w:rFonts w:ascii="宋体" w:hAnsi="宋体" w:cs="宋体"/>
      <w:b/>
      <w:bCs/>
      <w:sz w:val="24"/>
    </w:rPr>
  </w:style>
  <w:style w:type="table" w:styleId="16">
    <w:name w:val="Table Grid"/>
    <w:basedOn w:val="1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000000"/>
      <w:u w:val="none"/>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paragraph" w:customStyle="1" w:styleId="21">
    <w:name w:val="_Style 1"/>
    <w:qFormat/>
    <w:uiPriority w:val="0"/>
    <w:rPr>
      <w:rFonts w:ascii="Calibri" w:hAnsi="Calibri" w:eastAsia="宋体" w:cs="Times New Roman"/>
      <w:kern w:val="2"/>
      <w:sz w:val="28"/>
      <w:szCs w:val="22"/>
      <w:lang w:val="en-US" w:eastAsia="zh-CN" w:bidi="ar-SA"/>
    </w:rPr>
  </w:style>
  <w:style w:type="character" w:customStyle="1" w:styleId="22">
    <w:name w:val="页眉 字符"/>
    <w:basedOn w:val="17"/>
    <w:link w:val="12"/>
    <w:qFormat/>
    <w:uiPriority w:val="99"/>
    <w:rPr>
      <w:sz w:val="18"/>
      <w:szCs w:val="18"/>
    </w:rPr>
  </w:style>
  <w:style w:type="character" w:customStyle="1" w:styleId="23">
    <w:name w:val="页脚 字符"/>
    <w:basedOn w:val="17"/>
    <w:link w:val="11"/>
    <w:qFormat/>
    <w:uiPriority w:val="99"/>
    <w:rPr>
      <w:sz w:val="18"/>
      <w:szCs w:val="18"/>
    </w:rPr>
  </w:style>
  <w:style w:type="character" w:customStyle="1" w:styleId="24">
    <w:name w:val="批注文字 字符"/>
    <w:basedOn w:val="17"/>
    <w:link w:val="4"/>
    <w:qFormat/>
    <w:uiPriority w:val="99"/>
    <w:rPr>
      <w:rFonts w:ascii="Times New Roman" w:hAnsi="Times New Roman" w:eastAsia="宋体" w:cs="Times New Roman"/>
      <w:sz w:val="28"/>
      <w:szCs w:val="24"/>
    </w:rPr>
  </w:style>
  <w:style w:type="character" w:customStyle="1" w:styleId="25">
    <w:name w:val="正文文本缩进 字符"/>
    <w:basedOn w:val="17"/>
    <w:qFormat/>
    <w:uiPriority w:val="0"/>
    <w:rPr>
      <w:rFonts w:ascii="宋体" w:hAnsi="宋体" w:eastAsia="宋体" w:cs="宋体"/>
      <w:sz w:val="24"/>
      <w:szCs w:val="24"/>
    </w:rPr>
  </w:style>
  <w:style w:type="character" w:customStyle="1" w:styleId="26">
    <w:name w:val="批注框文本 字符"/>
    <w:basedOn w:val="17"/>
    <w:link w:val="10"/>
    <w:qFormat/>
    <w:uiPriority w:val="0"/>
    <w:rPr>
      <w:rFonts w:ascii="宋体" w:hAnsi="宋体" w:eastAsia="宋体" w:cs="宋体"/>
      <w:sz w:val="18"/>
      <w:szCs w:val="18"/>
    </w:rPr>
  </w:style>
  <w:style w:type="character" w:customStyle="1" w:styleId="27">
    <w:name w:val="正文文本缩进 字符1"/>
    <w:link w:val="6"/>
    <w:qFormat/>
    <w:uiPriority w:val="0"/>
    <w:rPr>
      <w:rFonts w:ascii="宋体" w:hAnsi="Courier New" w:eastAsia="宋体" w:cs="Times New Roman"/>
      <w:spacing w:val="-4"/>
      <w:sz w:val="18"/>
      <w:szCs w:val="20"/>
    </w:rPr>
  </w:style>
  <w:style w:type="character" w:customStyle="1" w:styleId="28">
    <w:name w:val="正文文本缩进 字符2"/>
    <w:qFormat/>
    <w:uiPriority w:val="0"/>
    <w:rPr>
      <w:rFonts w:ascii="宋体" w:hAnsi="Courier New"/>
      <w:spacing w:val="-4"/>
      <w:kern w:val="2"/>
      <w:sz w:val="18"/>
    </w:rPr>
  </w:style>
  <w:style w:type="character" w:customStyle="1" w:styleId="29">
    <w:name w:val="未处理的提及1"/>
    <w:basedOn w:val="17"/>
    <w:semiHidden/>
    <w:unhideWhenUsed/>
    <w:qFormat/>
    <w:uiPriority w:val="99"/>
    <w:rPr>
      <w:color w:val="605E5C"/>
      <w:shd w:val="clear" w:color="auto" w:fill="E1DFDD"/>
    </w:rPr>
  </w:style>
  <w:style w:type="paragraph" w:styleId="30">
    <w:name w:val="List Paragraph"/>
    <w:basedOn w:val="1"/>
    <w:qFormat/>
    <w:uiPriority w:val="99"/>
    <w:pPr>
      <w:ind w:firstLine="420" w:firstLineChars="200"/>
    </w:pPr>
  </w:style>
  <w:style w:type="paragraph" w:customStyle="1" w:styleId="31">
    <w:name w:val="纯文本1"/>
    <w:basedOn w:val="1"/>
    <w:next w:val="9"/>
    <w:link w:val="33"/>
    <w:qFormat/>
    <w:uiPriority w:val="99"/>
    <w:pPr>
      <w:spacing w:before="156" w:beforeLines="50" w:after="156" w:afterLines="50" w:line="400" w:lineRule="atLeast"/>
    </w:pPr>
    <w:rPr>
      <w:rFonts w:hAnsi="Courier New" w:cs="Times New Roman"/>
    </w:rPr>
  </w:style>
  <w:style w:type="character" w:customStyle="1" w:styleId="32">
    <w:name w:val="纯文本 字符"/>
    <w:basedOn w:val="17"/>
    <w:qFormat/>
    <w:uiPriority w:val="0"/>
    <w:rPr>
      <w:rFonts w:ascii="宋体" w:hAnsi="Courier New" w:eastAsia="宋体" w:cs="Courier New"/>
      <w:kern w:val="2"/>
      <w:sz w:val="24"/>
      <w:szCs w:val="24"/>
    </w:rPr>
  </w:style>
  <w:style w:type="character" w:customStyle="1" w:styleId="33">
    <w:name w:val="纯文本 字符1"/>
    <w:link w:val="31"/>
    <w:qFormat/>
    <w:uiPriority w:val="99"/>
    <w:rPr>
      <w:rFonts w:ascii="宋体" w:hAnsi="Courier New" w:eastAsia="宋体" w:cs="Times New Roman"/>
      <w:kern w:val="2"/>
      <w:sz w:val="24"/>
      <w:szCs w:val="24"/>
    </w:rPr>
  </w:style>
  <w:style w:type="character" w:customStyle="1" w:styleId="34">
    <w:name w:val="批注主题 字符"/>
    <w:basedOn w:val="24"/>
    <w:link w:val="14"/>
    <w:semiHidden/>
    <w:qFormat/>
    <w:uiPriority w:val="0"/>
    <w:rPr>
      <w:rFonts w:ascii="宋体" w:hAnsi="宋体" w:eastAsia="宋体" w:cs="宋体"/>
      <w:b/>
      <w:bCs/>
      <w:sz w:val="24"/>
      <w:szCs w:val="24"/>
    </w:rPr>
  </w:style>
  <w:style w:type="character" w:customStyle="1" w:styleId="35">
    <w:name w:val="Unresolved Mention"/>
    <w:basedOn w:val="17"/>
    <w:semiHidden/>
    <w:unhideWhenUsed/>
    <w:qFormat/>
    <w:uiPriority w:val="99"/>
    <w:rPr>
      <w:color w:val="605E5C"/>
      <w:shd w:val="clear" w:color="auto" w:fill="E1DFDD"/>
    </w:rPr>
  </w:style>
  <w:style w:type="character" w:customStyle="1" w:styleId="36">
    <w:name w:val="正文文本 字符"/>
    <w:basedOn w:val="17"/>
    <w:link w:val="5"/>
    <w:qFormat/>
    <w:uiPriority w:val="0"/>
    <w:rPr>
      <w:rFonts w:ascii="宋体" w:hAnsi="宋体" w:eastAsia="宋体" w:cs="宋体"/>
      <w:sz w:val="24"/>
      <w:szCs w:val="24"/>
    </w:rPr>
  </w:style>
  <w:style w:type="character" w:customStyle="1" w:styleId="37">
    <w:name w:val="纯文本 字符2"/>
    <w:basedOn w:val="17"/>
    <w:link w:val="9"/>
    <w:semiHidden/>
    <w:qFormat/>
    <w:uiPriority w:val="99"/>
    <w:rPr>
      <w:rFonts w:hAnsi="Courier New" w:cs="Courier New" w:asciiTheme="minorEastAsia"/>
      <w:sz w:val="24"/>
      <w:szCs w:val="24"/>
    </w:rPr>
  </w:style>
  <w:style w:type="table" w:customStyle="1" w:styleId="38">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正文-间隔"/>
    <w:basedOn w:val="1"/>
    <w:qFormat/>
    <w:uiPriority w:val="0"/>
    <w:pPr>
      <w:spacing w:line="360" w:lineRule="auto"/>
      <w:ind w:firstLine="200" w:firstLineChars="200"/>
    </w:pPr>
    <w:rPr>
      <w:rFonts w:ascii="仿宋_GB2312" w:hAnsi="仿宋_GB2312" w:eastAsia="仿宋_GB2312" w:cs="Times New Roman (正文 CS 字体)"/>
      <w:sz w:val="24"/>
      <w:szCs w:val="24"/>
    </w:rPr>
  </w:style>
  <w:style w:type="paragraph" w:customStyle="1" w:styleId="40">
    <w:name w:val="Default"/>
    <w:next w:val="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3">
    <w:name w:val="on"/>
    <w:basedOn w:val="17"/>
    <w:qFormat/>
    <w:uiPriority w:val="0"/>
    <w:rPr>
      <w:color w:val="C40001"/>
    </w:rPr>
  </w:style>
  <w:style w:type="character" w:customStyle="1" w:styleId="44">
    <w:name w:val="first-child"/>
    <w:basedOn w:val="17"/>
    <w:qFormat/>
    <w:uiPriority w:val="0"/>
  </w:style>
  <w:style w:type="character" w:customStyle="1" w:styleId="45">
    <w:name w:val="first-child1"/>
    <w:basedOn w:val="17"/>
    <w:qFormat/>
    <w:uiPriority w:val="0"/>
  </w:style>
  <w:style w:type="character" w:customStyle="1" w:styleId="46">
    <w:name w:val="bar"/>
    <w:basedOn w:val="17"/>
    <w:qFormat/>
    <w:uiPriority w:val="0"/>
  </w:style>
  <w:style w:type="paragraph" w:styleId="47">
    <w:name w:val="No Spacing"/>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25736</Words>
  <Characters>27034</Characters>
  <Lines>223</Lines>
  <Paragraphs>62</Paragraphs>
  <TotalTime>1</TotalTime>
  <ScaleCrop>false</ScaleCrop>
  <LinksUpToDate>false</LinksUpToDate>
  <CharactersWithSpaces>27103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2024-11-08T12:32:54Z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3830E512F4C54353AC0DBD2A2CD23617_13</vt:lpwstr>
  </property>
</Properties>
</file>