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F7FC">
      <w:pPr>
        <w:adjustRightInd w:val="0"/>
        <w:snapToGrid w:val="0"/>
        <w:spacing w:line="288" w:lineRule="auto"/>
        <w:rPr>
          <w:rFonts w:ascii="楷体" w:hAnsi="楷体" w:eastAsia="楷体" w:cs="Times New Roman"/>
          <w:b/>
          <w:color w:val="auto"/>
          <w:spacing w:val="-6"/>
          <w:sz w:val="44"/>
          <w:szCs w:val="44"/>
          <w:highlight w:val="none"/>
        </w:rPr>
      </w:pPr>
    </w:p>
    <w:p w14:paraId="23659D30">
      <w:pPr>
        <w:adjustRightInd w:val="0"/>
        <w:snapToGrid w:val="0"/>
        <w:spacing w:line="288" w:lineRule="auto"/>
        <w:rPr>
          <w:rFonts w:ascii="楷体" w:hAnsi="楷体" w:eastAsia="楷体" w:cs="Times New Roman"/>
          <w:b/>
          <w:color w:val="auto"/>
          <w:spacing w:val="-6"/>
          <w:sz w:val="44"/>
          <w:szCs w:val="44"/>
          <w:highlight w:val="none"/>
        </w:rPr>
      </w:pPr>
    </w:p>
    <w:p w14:paraId="51A1AD79">
      <w:pPr>
        <w:adjustRightInd w:val="0"/>
        <w:snapToGrid w:val="0"/>
        <w:spacing w:line="288" w:lineRule="auto"/>
        <w:rPr>
          <w:rFonts w:ascii="楷体" w:hAnsi="楷体" w:eastAsia="楷体" w:cs="Times New Roman"/>
          <w:b/>
          <w:color w:val="auto"/>
          <w:spacing w:val="-6"/>
          <w:sz w:val="44"/>
          <w:szCs w:val="44"/>
          <w:highlight w:val="none"/>
        </w:rPr>
      </w:pPr>
    </w:p>
    <w:p w14:paraId="6BC43A58">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中国计量大学</w:t>
      </w:r>
    </w:p>
    <w:p w14:paraId="6E744DE8">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六自由度激光跟踪测量系统</w:t>
      </w:r>
    </w:p>
    <w:p w14:paraId="0476C9A3">
      <w:pPr>
        <w:adjustRightInd w:val="0"/>
        <w:snapToGrid w:val="0"/>
        <w:spacing w:line="288" w:lineRule="auto"/>
        <w:jc w:val="center"/>
        <w:rPr>
          <w:rFonts w:ascii="楷体" w:hAnsi="楷体" w:eastAsia="楷体" w:cs="Times New Roman"/>
          <w:b/>
          <w:color w:val="auto"/>
          <w:spacing w:val="-6"/>
          <w:sz w:val="48"/>
          <w:szCs w:val="48"/>
          <w:highlight w:val="none"/>
        </w:rPr>
      </w:pPr>
    </w:p>
    <w:p w14:paraId="5227F3B6">
      <w:pPr>
        <w:adjustRightInd w:val="0"/>
        <w:snapToGrid w:val="0"/>
        <w:spacing w:line="288" w:lineRule="auto"/>
        <w:jc w:val="center"/>
        <w:rPr>
          <w:rFonts w:ascii="楷体" w:hAnsi="楷体" w:eastAsia="楷体" w:cs="Times New Roman"/>
          <w:b/>
          <w:color w:val="auto"/>
          <w:spacing w:val="-6"/>
          <w:sz w:val="48"/>
          <w:szCs w:val="48"/>
          <w:highlight w:val="none"/>
        </w:rPr>
      </w:pPr>
    </w:p>
    <w:p w14:paraId="69484699">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33414D79">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697B04ED">
      <w:pPr>
        <w:adjustRightInd w:val="0"/>
        <w:snapToGrid w:val="0"/>
        <w:spacing w:line="288" w:lineRule="auto"/>
        <w:jc w:val="center"/>
        <w:rPr>
          <w:rFonts w:ascii="楷体" w:hAnsi="楷体" w:eastAsia="楷体" w:cs="Times New Roman"/>
          <w:color w:val="auto"/>
          <w:sz w:val="44"/>
          <w:szCs w:val="44"/>
          <w:highlight w:val="none"/>
        </w:rPr>
      </w:pPr>
    </w:p>
    <w:p w14:paraId="4821AB28">
      <w:pPr>
        <w:adjustRightInd w:val="0"/>
        <w:snapToGrid w:val="0"/>
        <w:spacing w:line="288" w:lineRule="auto"/>
        <w:jc w:val="center"/>
        <w:rPr>
          <w:rFonts w:ascii="楷体" w:hAnsi="楷体" w:eastAsia="楷体" w:cs="Times New Roman"/>
          <w:color w:val="auto"/>
          <w:sz w:val="44"/>
          <w:szCs w:val="44"/>
          <w:highlight w:val="none"/>
        </w:rPr>
      </w:pPr>
    </w:p>
    <w:p w14:paraId="651C961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六自由度激光跟踪测量系统</w:t>
      </w:r>
    </w:p>
    <w:p w14:paraId="6536D56B">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QSZB-Z(H)-B24480(GK)</w:t>
      </w:r>
    </w:p>
    <w:p w14:paraId="6D20FD36">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人：中国计量大学</w:t>
      </w:r>
    </w:p>
    <w:p w14:paraId="1BA6D78A">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3C0BCEE0">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[2024]69834号、[2024]69835号</w:t>
      </w:r>
    </w:p>
    <w:p w14:paraId="2BB750EB">
      <w:pPr>
        <w:adjustRightInd w:val="0"/>
        <w:snapToGrid w:val="0"/>
        <w:spacing w:line="288" w:lineRule="auto"/>
        <w:rPr>
          <w:rFonts w:ascii="楷体" w:hAnsi="楷体" w:eastAsia="楷体" w:cs="Times New Roman"/>
          <w:b/>
          <w:color w:val="auto"/>
          <w:szCs w:val="21"/>
          <w:highlight w:val="none"/>
        </w:rPr>
      </w:pPr>
    </w:p>
    <w:p w14:paraId="148DF0D0">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384141D4">
      <w:pPr>
        <w:adjustRightInd w:val="0"/>
        <w:snapToGrid w:val="0"/>
        <w:spacing w:line="288" w:lineRule="auto"/>
        <w:rPr>
          <w:rFonts w:ascii="楷体" w:hAnsi="楷体" w:eastAsia="楷体" w:cs="Times New Roman"/>
          <w:b/>
          <w:color w:val="auto"/>
          <w:sz w:val="30"/>
          <w:szCs w:val="30"/>
          <w:highlight w:val="none"/>
        </w:rPr>
      </w:pPr>
    </w:p>
    <w:p w14:paraId="4F9F7262">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48C641A3">
      <w:pPr>
        <w:adjustRightInd w:val="0"/>
        <w:snapToGrid w:val="0"/>
        <w:spacing w:line="288" w:lineRule="auto"/>
        <w:rPr>
          <w:rFonts w:ascii="楷体" w:hAnsi="楷体" w:eastAsia="楷体" w:cs="Times New Roman"/>
          <w:b/>
          <w:color w:val="auto"/>
          <w:sz w:val="30"/>
          <w:szCs w:val="30"/>
          <w:highlight w:val="none"/>
        </w:rPr>
      </w:pPr>
    </w:p>
    <w:p w14:paraId="4ABAD2C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A5C782">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175240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12572FF">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16D3923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28C3F1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7B62050D">
      <w:pPr>
        <w:widowControl/>
        <w:adjustRightInd w:val="0"/>
        <w:snapToGrid w:val="0"/>
        <w:spacing w:line="288" w:lineRule="auto"/>
        <w:jc w:val="left"/>
        <w:rPr>
          <w:rFonts w:ascii="宋体" w:hAnsi="宋体" w:eastAsia="宋体" w:cs="Times New Roman"/>
          <w:color w:val="auto"/>
          <w:szCs w:val="21"/>
          <w:highlight w:val="none"/>
        </w:rPr>
      </w:pPr>
    </w:p>
    <w:p w14:paraId="078269D3">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058CDCD9">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60A755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37E6D78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六自由度激光跟踪测量系统</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eastAsia="zh-CN"/>
        </w:rPr>
        <w:t>11月14日9:00:00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D48F17">
      <w:pPr>
        <w:adjustRightInd w:val="0"/>
        <w:snapToGrid w:val="0"/>
        <w:spacing w:line="288" w:lineRule="auto"/>
        <w:rPr>
          <w:rFonts w:ascii="宋体" w:hAnsi="宋体" w:eastAsia="宋体" w:cs="宋体"/>
          <w:b/>
          <w:color w:val="auto"/>
          <w:szCs w:val="21"/>
          <w:highlight w:val="none"/>
        </w:rPr>
      </w:pPr>
      <w:bookmarkStart w:id="0" w:name="_Toc35393790"/>
      <w:bookmarkStart w:id="1" w:name="_Toc28359079"/>
      <w:bookmarkStart w:id="2" w:name="_Toc35393621"/>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78CC1EA9">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QSZB-Z(H)-B24480(GK)</w:t>
      </w:r>
    </w:p>
    <w:p w14:paraId="4D03C636">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六自由度激光跟踪测量系统</w:t>
      </w:r>
    </w:p>
    <w:bookmarkEnd w:id="4"/>
    <w:p w14:paraId="531D0F2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1450000</w:t>
      </w:r>
      <w:r>
        <w:rPr>
          <w:rFonts w:hint="eastAsia" w:ascii="宋体" w:hAnsi="宋体" w:eastAsia="宋体" w:cs="Times New Roman"/>
          <w:color w:val="auto"/>
          <w:szCs w:val="21"/>
          <w:highlight w:val="none"/>
        </w:rPr>
        <w:t>元</w:t>
      </w:r>
    </w:p>
    <w:p w14:paraId="44857D8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.最高限价：1450000元</w:t>
      </w:r>
    </w:p>
    <w:p w14:paraId="7E0DFEB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p>
    <w:p w14:paraId="3F645E7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国产产品：</w:t>
      </w:r>
      <w:r>
        <w:rPr>
          <w:rFonts w:hint="eastAsia" w:ascii="宋体" w:hAnsi="宋体" w:eastAsia="宋体" w:cs="Times New Roman"/>
          <w:color w:val="auto"/>
          <w:szCs w:val="21"/>
          <w:highlight w:val="none"/>
        </w:rPr>
        <w:t>自合同签订之日起</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0日内交付并安装完毕；</w:t>
      </w:r>
    </w:p>
    <w:p w14:paraId="7EABCD9D">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val="en-US" w:eastAsia="zh-CN"/>
        </w:rPr>
        <w:t>进口</w:t>
      </w:r>
      <w:r>
        <w:rPr>
          <w:rFonts w:hint="eastAsia" w:ascii="宋体" w:hAnsi="宋体" w:eastAsia="宋体" w:cs="Times New Roman"/>
          <w:color w:val="auto"/>
          <w:szCs w:val="21"/>
          <w:highlight w:val="none"/>
        </w:rPr>
        <w:t>产品：</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应于“进出口货物征免税证明”办理后</w:t>
      </w:r>
      <w:r>
        <w:rPr>
          <w:rFonts w:hint="eastAsia" w:ascii="宋体" w:hAnsi="宋体" w:eastAsia="宋体" w:cs="Times New Roman"/>
          <w:color w:val="auto"/>
          <w:szCs w:val="21"/>
          <w:highlight w:val="none"/>
          <w:lang w:val="en-US" w:eastAsia="zh-CN"/>
        </w:rPr>
        <w:t>90</w:t>
      </w:r>
      <w:r>
        <w:rPr>
          <w:rFonts w:hint="eastAsia" w:ascii="宋体" w:hAnsi="宋体" w:eastAsia="宋体" w:cs="Times New Roman"/>
          <w:color w:val="auto"/>
          <w:szCs w:val="21"/>
          <w:highlight w:val="none"/>
        </w:rPr>
        <w:t>天内将所供商品按时、安全运至</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rPr>
        <w:t>指定地点，安装调试完毕后交</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rPr>
        <w:t>验收。</w:t>
      </w:r>
    </w:p>
    <w:p w14:paraId="16884C6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37943F37">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64E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7B90F7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3006" w:type="dxa"/>
            <w:tcBorders>
              <w:right w:val="single" w:color="auto" w:sz="4" w:space="0"/>
              <w:tl2br w:val="nil"/>
              <w:tr2bl w:val="nil"/>
            </w:tcBorders>
            <w:vAlign w:val="center"/>
          </w:tcPr>
          <w:p w14:paraId="359C4B1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38D657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00C3084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310A60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D68B09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BA7E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639ACA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3162A32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六自由度激光跟踪测量系统</w:t>
            </w:r>
          </w:p>
        </w:tc>
        <w:tc>
          <w:tcPr>
            <w:tcW w:w="708" w:type="dxa"/>
            <w:tcBorders>
              <w:tl2br w:val="nil"/>
              <w:tr2bl w:val="nil"/>
            </w:tcBorders>
            <w:vAlign w:val="center"/>
          </w:tcPr>
          <w:p w14:paraId="5F49CA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6803B04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套</w:t>
            </w:r>
          </w:p>
        </w:tc>
        <w:tc>
          <w:tcPr>
            <w:tcW w:w="3119" w:type="dxa"/>
            <w:tcBorders>
              <w:right w:val="single" w:color="auto" w:sz="4" w:space="0"/>
              <w:tl2br w:val="nil"/>
              <w:tr2bl w:val="nil"/>
            </w:tcBorders>
            <w:vAlign w:val="center"/>
          </w:tcPr>
          <w:p w14:paraId="61140E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14:paraId="13AEF5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是</w:t>
            </w:r>
          </w:p>
        </w:tc>
      </w:tr>
    </w:tbl>
    <w:p w14:paraId="2A1DBE26">
      <w:pPr>
        <w:adjustRightInd w:val="0"/>
        <w:snapToGrid w:val="0"/>
        <w:spacing w:line="288" w:lineRule="auto"/>
        <w:rPr>
          <w:rFonts w:ascii="宋体" w:hAnsi="宋体" w:eastAsia="宋体" w:cs="宋体"/>
          <w:b/>
          <w:color w:val="auto"/>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5D5A76C9">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4B78DB9">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2F1EFD2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0448BAD0">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3B48644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eastAsia="zh-CN"/>
        </w:rPr>
        <w:t>11月14日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00DF88D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152B798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8AF867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5DC55131">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6FBF92D1">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eastAsia="zh-CN"/>
        </w:rPr>
        <w:t>11月14日9:00:00</w:t>
      </w:r>
      <w:r>
        <w:rPr>
          <w:rFonts w:hint="eastAsia" w:ascii="宋体" w:hAnsi="宋体" w:eastAsia="宋体" w:cs="Times New Roman"/>
          <w:bCs/>
          <w:color w:val="auto"/>
          <w:szCs w:val="21"/>
          <w:highlight w:val="none"/>
        </w:rPr>
        <w:t>（北京时间）</w:t>
      </w:r>
    </w:p>
    <w:p w14:paraId="5C0E2004">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05EAB93A">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eastAsia="zh-CN"/>
        </w:rPr>
        <w:t>11月14日9:00:00</w:t>
      </w:r>
      <w:r>
        <w:rPr>
          <w:rFonts w:hint="eastAsia" w:ascii="宋体" w:hAnsi="宋体" w:eastAsia="宋体" w:cs="Times New Roman"/>
          <w:bCs/>
          <w:color w:val="auto"/>
          <w:szCs w:val="21"/>
          <w:highlight w:val="none"/>
        </w:rPr>
        <w:t>（北京时间）</w:t>
      </w:r>
    </w:p>
    <w:p w14:paraId="14F160C9">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38A2C9F1">
      <w:pPr>
        <w:adjustRightInd w:val="0"/>
        <w:snapToGrid w:val="0"/>
        <w:spacing w:line="288" w:lineRule="auto"/>
        <w:rPr>
          <w:rFonts w:ascii="宋体" w:hAnsi="宋体" w:eastAsia="宋体" w:cs="宋体"/>
          <w:b/>
          <w:color w:val="auto"/>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5B8523FB">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B298A71">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254C5971">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9B8D7B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E464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F309B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254E7F6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5043CA0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00AC9DF">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08"/>
      <w:bookmarkStart w:id="31" w:name="_Toc28359085"/>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E385BBE">
      <w:pPr>
        <w:adjustRightInd w:val="0"/>
        <w:snapToGrid w:val="0"/>
        <w:spacing w:line="288" w:lineRule="auto"/>
        <w:ind w:firstLine="451" w:firstLineChars="215"/>
        <w:rPr>
          <w:rFonts w:ascii="宋体" w:hAnsi="宋体" w:eastAsia="宋体" w:cs="Times New Roman"/>
          <w:color w:val="auto"/>
          <w:szCs w:val="21"/>
          <w:highlight w:val="none"/>
        </w:rPr>
      </w:pPr>
      <w:bookmarkStart w:id="33" w:name="_Hlk124147873"/>
      <w:r>
        <w:rPr>
          <w:rFonts w:hint="eastAsia" w:ascii="宋体" w:hAnsi="宋体" w:eastAsia="宋体" w:cs="Times New Roman"/>
          <w:color w:val="auto"/>
          <w:szCs w:val="21"/>
          <w:highlight w:val="none"/>
        </w:rPr>
        <w:t>1.采购人信息</w:t>
      </w:r>
    </w:p>
    <w:p w14:paraId="401F29E4">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名称：中国计量大学</w:t>
      </w:r>
    </w:p>
    <w:p w14:paraId="0119877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地址：杭州市下沙高教园区学源街258号</w:t>
      </w:r>
    </w:p>
    <w:p w14:paraId="74E151C7">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06894AE2">
      <w:pPr>
        <w:adjustRightInd w:val="0"/>
        <w:snapToGrid w:val="0"/>
        <w:spacing w:line="288" w:lineRule="auto"/>
        <w:ind w:firstLine="451" w:firstLineChars="21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江老师</w:t>
      </w:r>
    </w:p>
    <w:p w14:paraId="1AB9A4CD">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项目联系方式（询问）：18858182847</w:t>
      </w:r>
    </w:p>
    <w:p w14:paraId="0E8CDF3A">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质疑联系人：顾老师</w:t>
      </w:r>
    </w:p>
    <w:p w14:paraId="1FA482EB">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质疑联系方式：0571-86836056</w:t>
      </w:r>
    </w:p>
    <w:p w14:paraId="5AD21558">
      <w:pPr>
        <w:adjustRightInd w:val="0"/>
        <w:snapToGrid w:val="0"/>
        <w:spacing w:line="288" w:lineRule="auto"/>
        <w:ind w:firstLine="451" w:firstLineChars="215"/>
        <w:rPr>
          <w:rFonts w:ascii="宋体" w:hAnsi="宋体" w:eastAsia="宋体" w:cs="Times New Roman"/>
          <w:color w:val="auto"/>
          <w:szCs w:val="21"/>
          <w:highlight w:val="none"/>
        </w:rPr>
      </w:pPr>
    </w:p>
    <w:p w14:paraId="0A965CD2">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680FD8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1D1F47E">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07BDD0C3">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26A3AEA">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w:t>
      </w:r>
    </w:p>
    <w:p w14:paraId="6FC828F4">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33F9DE2A">
      <w:pPr>
        <w:adjustRightInd w:val="0"/>
        <w:snapToGrid w:val="0"/>
        <w:spacing w:line="288" w:lineRule="auto"/>
        <w:ind w:firstLine="451" w:firstLineChars="21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5D6E5A33">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155F554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14:paraId="511F1CE9">
      <w:pPr>
        <w:adjustRightInd w:val="0"/>
        <w:snapToGrid w:val="0"/>
        <w:spacing w:line="288" w:lineRule="auto"/>
        <w:ind w:firstLine="451" w:firstLineChars="215"/>
        <w:rPr>
          <w:rFonts w:ascii="宋体" w:hAnsi="宋体" w:eastAsia="宋体" w:cs="Times New Roman"/>
          <w:color w:val="auto"/>
          <w:szCs w:val="21"/>
          <w:highlight w:val="none"/>
        </w:rPr>
      </w:pPr>
    </w:p>
    <w:p w14:paraId="2C2310AE">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14:paraId="7CB744F7">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名称：浙江省财政厅政府采购监管处、浙江省政府采购行政裁决服务中心（杭州）</w:t>
      </w:r>
    </w:p>
    <w:p w14:paraId="0B3FA191">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地址：杭州市上城区清泰街549号城建综合大楼11楼（快递仅限ems或顺丰）</w:t>
      </w:r>
    </w:p>
    <w:p w14:paraId="73CA49D5">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237A351">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联系人：朱女士、王女士</w:t>
      </w:r>
    </w:p>
    <w:p w14:paraId="28BAF4CD">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监督投诉电话：0571-87227671,0571-87800218</w:t>
      </w:r>
    </w:p>
    <w:p w14:paraId="2BE434E2">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政策咨询：何一平、冯华，0571-87058424、87055741</w:t>
      </w:r>
    </w:p>
    <w:p w14:paraId="153040CB">
      <w:pPr>
        <w:adjustRightInd w:val="0"/>
        <w:snapToGrid w:val="0"/>
        <w:spacing w:line="288" w:lineRule="auto"/>
        <w:ind w:firstLine="451" w:firstLineChars="215"/>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预算金额未达100万元的采购项目，由采购人处理采购争议。</w:t>
      </w:r>
    </w:p>
    <w:p w14:paraId="327C1281">
      <w:pPr>
        <w:adjustRightInd w:val="0"/>
        <w:snapToGrid w:val="0"/>
        <w:spacing w:line="288" w:lineRule="auto"/>
        <w:ind w:firstLine="370"/>
        <w:rPr>
          <w:rFonts w:ascii="宋体" w:hAnsi="宋体" w:eastAsia="宋体" w:cs="Times New Roman"/>
          <w:color w:val="auto"/>
          <w:spacing w:val="-6"/>
          <w:szCs w:val="21"/>
          <w:highlight w:val="none"/>
        </w:rPr>
      </w:pPr>
    </w:p>
    <w:p w14:paraId="2C3F62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14:paraId="7D87A077">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5A4AFE64">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00BB0F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3C9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C14D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57881C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47FFFE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46F8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04D99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B174D0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5449A4B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允许采购进口产品</w:t>
            </w:r>
          </w:p>
        </w:tc>
      </w:tr>
      <w:tr w14:paraId="327F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E3CB0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661607B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3AFDF51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1610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8785B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1E03FC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28A389C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0BA0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1666A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BB8646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6CFA19A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F54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1098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35D9ED4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4DA9F35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2669626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44FD771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06D519B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C0E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5D8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96C4CD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273681F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5537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376E6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4497059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534F0B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4005AE8F">
      <w:pPr>
        <w:adjustRightInd w:val="0"/>
        <w:snapToGrid w:val="0"/>
        <w:spacing w:line="288" w:lineRule="auto"/>
        <w:rPr>
          <w:rFonts w:ascii="宋体" w:hAnsi="宋体" w:eastAsia="宋体" w:cs="Times New Roman"/>
          <w:b/>
          <w:color w:val="auto"/>
          <w:spacing w:val="-4"/>
          <w:szCs w:val="21"/>
          <w:highlight w:val="none"/>
        </w:rPr>
      </w:pPr>
    </w:p>
    <w:p w14:paraId="02C2FF5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CF77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C56E84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DADF3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1.中标人须于合同签订后七个工作日内向采购人支付合同总价 1% 的履约保证金。履约保证金在合同履约期间无违约情形的，项目验收结束后，于七个工作日内无息退还。</w:t>
            </w:r>
          </w:p>
          <w:p w14:paraId="0AB09C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2.履约保证金形式：银行转账或电汇或银行、保险公司出具的保函。</w:t>
            </w:r>
          </w:p>
        </w:tc>
      </w:tr>
      <w:tr w14:paraId="44907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0BB64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7A0A1BB">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一、国产产品：</w:t>
            </w:r>
          </w:p>
          <w:p w14:paraId="488BB3F4">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14:paraId="224F7335">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中标人为大型企业的，项目履约完成，经采购人验收合格后，收到发票后7个工作日内，采购人支付合同总价的100%。</w:t>
            </w:r>
          </w:p>
          <w:p w14:paraId="08ECD6B0">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2.中标人应开具增值税专用发票。</w:t>
            </w:r>
          </w:p>
          <w:p w14:paraId="26DDB498">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p w14:paraId="1B5B29EC">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二、进口产品：</w:t>
            </w:r>
          </w:p>
          <w:p w14:paraId="7DB614F8">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签订、办理好“进出口货物征免税证明”后7个工作日内，采购人预付合同金额的40%，由采购人指定的外贸代理公司开具100%不可撤销即期信用证（90%即期，10%凭验收报告），采购人见装运单支付合同金额的50%给外贸代理公司。项目履约完成，经采购人验收合格后，收到发票后7个工作日内，采购人向外贸代理公司支付合同金额的10%。</w:t>
            </w:r>
          </w:p>
        </w:tc>
      </w:tr>
      <w:bookmarkEnd w:id="35"/>
    </w:tbl>
    <w:p w14:paraId="3D8D291C">
      <w:pPr>
        <w:adjustRightInd w:val="0"/>
        <w:snapToGrid w:val="0"/>
        <w:spacing w:line="288" w:lineRule="auto"/>
        <w:rPr>
          <w:rFonts w:ascii="宋体" w:hAnsi="宋体" w:eastAsia="宋体" w:cs="Times New Roman"/>
          <w:color w:val="auto"/>
          <w:spacing w:val="-4"/>
          <w:szCs w:val="21"/>
          <w:highlight w:val="none"/>
        </w:rPr>
      </w:pPr>
    </w:p>
    <w:p w14:paraId="582FE04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3508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5937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E3A9C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国产产品：自合同签订之日起</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0日内交付并安装完毕；</w:t>
            </w:r>
          </w:p>
          <w:p w14:paraId="6F2E28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进口产品：中标人应于“进出口货物征免税证明”办理后</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0天内将所供商品按时、安全运至采购人指定地点，安装调试完毕后交采购人验收。</w:t>
            </w:r>
          </w:p>
        </w:tc>
      </w:tr>
      <w:tr w14:paraId="5C86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43" w:type="dxa"/>
            <w:tcBorders>
              <w:top w:val="single" w:color="auto" w:sz="4" w:space="0"/>
              <w:left w:val="single" w:color="auto" w:sz="4" w:space="0"/>
              <w:bottom w:val="single" w:color="auto" w:sz="4" w:space="0"/>
              <w:right w:val="single" w:color="auto" w:sz="4" w:space="0"/>
            </w:tcBorders>
            <w:vAlign w:val="center"/>
          </w:tcPr>
          <w:p w14:paraId="2EC9C2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1882A7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4EEC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C97F8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C4E89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14:paraId="75F9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3F10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A432D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2A6A90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5D373A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7BE0E9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5DB20E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lang w:bidi="ar"/>
              </w:rPr>
              <w:t>5.如在使用过程中发生故障，无法正常使用时，中标人在接到采购人通知后，保修响应时间2小时以内，电话技术支持4小时内解决问题；若需上门维修，则8小时内到达现场并进行维修，最迟在</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个工作日内修复。</w:t>
            </w:r>
          </w:p>
          <w:p w14:paraId="1B9318B7">
            <w:pPr>
              <w:keepNext w:val="0"/>
              <w:keepLines w:val="0"/>
              <w:suppressLineNumbers w:val="0"/>
              <w:spacing w:before="0" w:beforeAutospacing="0" w:after="0" w:afterAutospacing="0"/>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lang w:bidi="ar"/>
              </w:rPr>
              <w:t>6.投标人提供的产品应能保证在使用地的自然环境、气候条件、公用设施等情况下全天候正常使用。</w:t>
            </w:r>
            <w:r>
              <w:rPr>
                <w:rFonts w:hint="eastAsia" w:ascii="宋体" w:hAnsi="宋体" w:eastAsia="宋体" w:cs="宋体"/>
                <w:b/>
                <w:color w:val="auto"/>
                <w:szCs w:val="21"/>
                <w:highlight w:val="none"/>
                <w:lang w:bidi="ar"/>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投标文件和合同保持一致。</w:t>
            </w:r>
          </w:p>
        </w:tc>
      </w:tr>
      <w:tr w14:paraId="54596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4F315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D4429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31FA04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3CC6EC6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25311BB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7B0AEE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C574F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34729B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C01B2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3DB54A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1ABBE8C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0E7212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382D6D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254BE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0B34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BC43C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1B29E8F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24DF1C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4F3BC5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11119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232EDC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5C582D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6D6EAAE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03DBA7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0D6AE5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37969A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2B7A13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6D61769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5C2B1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4D8A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0EC779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4EF0E4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0F6A41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72D59967">
      <w:pPr>
        <w:adjustRightInd w:val="0"/>
        <w:snapToGrid w:val="0"/>
        <w:spacing w:line="288" w:lineRule="auto"/>
        <w:rPr>
          <w:rFonts w:ascii="宋体" w:hAnsi="宋体" w:eastAsia="宋体" w:cs="Times New Roman"/>
          <w:b/>
          <w:color w:val="auto"/>
          <w:szCs w:val="21"/>
          <w:highlight w:val="none"/>
        </w:rPr>
      </w:pPr>
    </w:p>
    <w:p w14:paraId="5F7075DA">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7C60C341">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5BF7CD14">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宋体"/>
          <w:b/>
          <w:bCs/>
          <w:color w:val="auto"/>
          <w:szCs w:val="21"/>
          <w:highlight w:val="none"/>
          <w:lang w:eastAsia="zh-CN"/>
        </w:rPr>
        <w:t>六自由度激光跟踪测量系统</w:t>
      </w:r>
      <w:r>
        <w:rPr>
          <w:rFonts w:hint="eastAsia" w:ascii="宋体" w:hAnsi="宋体" w:eastAsia="宋体" w:cs="宋体"/>
          <w:b/>
          <w:bCs/>
          <w:color w:val="auto"/>
          <w:szCs w:val="21"/>
          <w:highlight w:val="none"/>
        </w:rPr>
        <w:t>的使用需求。</w:t>
      </w:r>
    </w:p>
    <w:p w14:paraId="7352392B">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32"/>
        <w:gridCol w:w="633"/>
        <w:gridCol w:w="632"/>
        <w:gridCol w:w="6148"/>
      </w:tblGrid>
      <w:tr w14:paraId="53F7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411CEDE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bookmarkStart w:id="38" w:name="_Hlk170139210"/>
            <w:bookmarkStart w:id="39" w:name="OLE_LINK16"/>
            <w:r>
              <w:rPr>
                <w:rFonts w:hint="eastAsia" w:ascii="宋体" w:hAnsi="宋体" w:eastAsia="宋体" w:cs="宋体"/>
                <w:b/>
                <w:bCs/>
                <w:color w:val="auto"/>
                <w:sz w:val="21"/>
                <w:szCs w:val="21"/>
                <w:highlight w:val="none"/>
              </w:rPr>
              <w:t>序号</w:t>
            </w:r>
          </w:p>
        </w:tc>
        <w:tc>
          <w:tcPr>
            <w:tcW w:w="1732" w:type="dxa"/>
            <w:vAlign w:val="center"/>
          </w:tcPr>
          <w:p w14:paraId="40AC322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33" w:type="dxa"/>
            <w:vAlign w:val="center"/>
          </w:tcPr>
          <w:p w14:paraId="42950F0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32" w:type="dxa"/>
            <w:vAlign w:val="center"/>
          </w:tcPr>
          <w:p w14:paraId="7EB33CA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148" w:type="dxa"/>
            <w:vAlign w:val="center"/>
          </w:tcPr>
          <w:p w14:paraId="4F7AAB4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14:paraId="5577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63A21A9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732" w:type="dxa"/>
            <w:vAlign w:val="center"/>
          </w:tcPr>
          <w:p w14:paraId="51DEE126">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六自由度激光跟踪测量系统</w:t>
            </w:r>
          </w:p>
        </w:tc>
        <w:tc>
          <w:tcPr>
            <w:tcW w:w="633" w:type="dxa"/>
            <w:vAlign w:val="center"/>
          </w:tcPr>
          <w:p w14:paraId="5172BD5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32" w:type="dxa"/>
            <w:vAlign w:val="center"/>
          </w:tcPr>
          <w:p w14:paraId="1C0C4B1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148" w:type="dxa"/>
            <w:vAlign w:val="center"/>
          </w:tcPr>
          <w:p w14:paraId="008B2653">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、用途：</w:t>
            </w:r>
          </w:p>
          <w:p w14:paraId="19CDB9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lang w:eastAsia="zh-CN"/>
              </w:rPr>
              <w:t>用于四轴及六轴工业机械臂DH参数校准补偿以及六维运动性能检测；还可用于大型零部件的尺寸与形位公差检测分析，机器人及自动划线引导、大型装置设施安装时的空间位置检测与调整。</w:t>
            </w:r>
          </w:p>
          <w:p w14:paraId="5E60083E">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、主要参数：</w:t>
            </w:r>
          </w:p>
          <w:p w14:paraId="6C4CE7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1.激光跟踪仪测量空间：</w:t>
            </w:r>
          </w:p>
          <w:p w14:paraId="0191EA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 单站位最大测量范围：3D测量半径≥20m，6D测量半径≥10m；</w:t>
            </w:r>
          </w:p>
          <w:p w14:paraId="02E81A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水平方向：≥±360°，无极限，可以连续旋转；</w:t>
            </w:r>
          </w:p>
          <w:p w14:paraId="1C67F1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 水平方向测量工作不受仪器摆放位置限制，一次定位即可测量水平任意方向；</w:t>
            </w:r>
          </w:p>
          <w:p w14:paraId="114979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 垂直方向：≥±145°（天顶方向为零位）；除仪器底座正下方位置外其余位置均可测量；方便工业机器人高仰角测量；</w:t>
            </w:r>
          </w:p>
          <w:p w14:paraId="54F2E4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2.测量与跟踪性能要求：</w:t>
            </w:r>
          </w:p>
          <w:p w14:paraId="1D288B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 3D数据输出速度：≥1000点/秒；</w:t>
            </w:r>
          </w:p>
          <w:p w14:paraId="0D239E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 横向跟踪速度：≥4m/s；</w:t>
            </w:r>
          </w:p>
          <w:p w14:paraId="2AC82A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 径向跟踪速度：≥6m/s；</w:t>
            </w:r>
          </w:p>
          <w:p w14:paraId="20FBE2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 横向加速度：≥2g；</w:t>
            </w:r>
          </w:p>
          <w:p w14:paraId="112A6C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 纵向跟踪速度：无限大；</w:t>
            </w:r>
          </w:p>
          <w:p w14:paraId="7C9B05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3.激光跟踪仪激光性能指标：</w:t>
            </w:r>
          </w:p>
          <w:p w14:paraId="405EC5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双激光：绝对测距仪加激光干涉仪，具备良好的绝对测距精度以及动态测量速度，设备采用无鸟巢设计，不需要反复回鸟巢接光；</w:t>
            </w:r>
          </w:p>
          <w:p w14:paraId="067923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 激光管预热时间：冷启动小于8分钟，热启动小于5分钟且能达到性能最佳状态；</w:t>
            </w:r>
          </w:p>
          <w:p w14:paraId="2FB538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 干涉仪精度（IFM）：≤0.3μm/m；</w:t>
            </w:r>
          </w:p>
          <w:p w14:paraId="1AE043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3.4绝对测距仪激光精度：≤10μm（全量程范围内）；</w:t>
            </w:r>
          </w:p>
          <w:p w14:paraId="2B151C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4.激光安全等级：激光跟踪仪系统2级；</w:t>
            </w:r>
          </w:p>
          <w:p w14:paraId="6C7481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5.测量精度：</w:t>
            </w:r>
          </w:p>
          <w:p w14:paraId="39043C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 角度重复性：≤10μm+3μm/m；</w:t>
            </w:r>
          </w:p>
          <w:p w14:paraId="391FFF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▲5.2 反射球Uxyz全量程测量精度（MPE）：≤20μm+6μm/m；</w:t>
            </w:r>
          </w:p>
          <w:p w14:paraId="363E90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6.辅助功能：断光续接自动寻找靶标时间不高于0.2秒；内置电子水平仪，精度：≤1弧秒（2σ）；</w:t>
            </w:r>
          </w:p>
          <w:p w14:paraId="7524DE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7.靶球精度指标：1.5in反射球：球度≤±3μm,光学几何中心度≤±3μm，接光角度≥±30°；</w:t>
            </w:r>
          </w:p>
          <w:p w14:paraId="1159E6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8.智能六维测头；</w:t>
            </w:r>
          </w:p>
          <w:p w14:paraId="22CF43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同时具备隐藏点测量功能及6D姿态测量功能；六维传感器测头精度（MPE）：≤35μm（基于跟踪仪本体不确定度）；</w:t>
            </w:r>
          </w:p>
          <w:p w14:paraId="51F3F8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六维传感器六维数据（X,Y,Z,Rx,Ry,Rz）输出频率：≥1000点/秒；</w:t>
            </w:r>
          </w:p>
          <w:p w14:paraId="42F177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六维传感器转动角度：360度，倾斜角度：≥±45度，偏转角度：≥±45度；</w:t>
            </w:r>
          </w:p>
          <w:p w14:paraId="777A23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六维传感器测杆长度：200mm加长杆；测杆适配器内置芯片，可存储测杆测针参数，切换测杆不需要重复校准能够快速识别参数；手持测头采用电池供电模式，单块电池供电时间不低于6h；测头具备至少4个可自定义功能按键；具备接光超限提示音及提示灯；</w:t>
            </w:r>
          </w:p>
          <w:p w14:paraId="3AF9A3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9.配套支撑机构：采用稳定式支撑脚架，底盘至少具备两个滚轮可以拖动；</w:t>
            </w:r>
          </w:p>
          <w:p w14:paraId="4D0AD4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▲10.防护等级：IP54防尘、防水；</w:t>
            </w:r>
          </w:p>
          <w:p w14:paraId="115149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11.设备安装、支撑方式：重型三脚架支撑，支撑稳固，测得数据可靠；</w:t>
            </w:r>
          </w:p>
          <w:p w14:paraId="42C0D0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12.环境传感器性能：可实时监控温度、湿度、大气压；</w:t>
            </w:r>
          </w:p>
          <w:p w14:paraId="60B0583E">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val="en-US" w:eastAsia="zh-CN"/>
              </w:rPr>
              <w:t>控制主机配置不低于</w:t>
            </w:r>
            <w:r>
              <w:rPr>
                <w:rFonts w:hint="eastAsia" w:ascii="宋体" w:hAnsi="宋体" w:eastAsia="宋体" w:cs="宋体"/>
                <w:color w:val="auto"/>
                <w:sz w:val="21"/>
                <w:szCs w:val="21"/>
                <w:highlight w:val="none"/>
                <w:lang w:eastAsia="zh-CN"/>
              </w:rPr>
              <w:t>：i7-9850H 2.6G 12M6C</w:t>
            </w:r>
            <w:r>
              <w:rPr>
                <w:rFonts w:hint="eastAsia" w:ascii="宋体" w:hAnsi="宋体" w:eastAsia="宋体" w:cs="宋体"/>
                <w:color w:val="auto"/>
                <w:sz w:val="21"/>
                <w:szCs w:val="21"/>
                <w:highlight w:val="none"/>
                <w:lang w:val="en-US" w:eastAsia="zh-CN"/>
              </w:rPr>
              <w:t xml:space="preserve"> CPU，</w:t>
            </w:r>
            <w:r>
              <w:rPr>
                <w:rFonts w:hint="eastAsia" w:ascii="宋体" w:hAnsi="宋体" w:eastAsia="宋体" w:cs="宋体"/>
                <w:color w:val="auto"/>
                <w:sz w:val="21"/>
                <w:szCs w:val="21"/>
                <w:highlight w:val="none"/>
                <w:lang w:eastAsia="zh-CN"/>
              </w:rPr>
              <w:t>8GB内存，1T 7200硬盘，T1000 4GB显卡，</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lang w:eastAsia="zh-CN"/>
              </w:rPr>
              <w:t>DVD</w:t>
            </w:r>
            <w:r>
              <w:rPr>
                <w:rFonts w:hint="eastAsia" w:ascii="宋体" w:hAnsi="宋体" w:eastAsia="宋体" w:cs="宋体"/>
                <w:color w:val="auto"/>
                <w:sz w:val="21"/>
                <w:szCs w:val="21"/>
                <w:highlight w:val="none"/>
                <w:lang w:val="en-US" w:eastAsia="zh-CN"/>
              </w:rPr>
              <w:t>光驱，</w:t>
            </w:r>
            <w:r>
              <w:rPr>
                <w:rFonts w:hint="eastAsia" w:ascii="宋体" w:hAnsi="宋体" w:eastAsia="宋体" w:cs="宋体"/>
                <w:color w:val="auto"/>
                <w:sz w:val="21"/>
                <w:szCs w:val="21"/>
                <w:highlight w:val="none"/>
                <w:lang w:eastAsia="zh-CN"/>
              </w:rPr>
              <w:t>WIN10 64</w:t>
            </w:r>
            <w:r>
              <w:rPr>
                <w:rFonts w:hint="eastAsia" w:ascii="宋体" w:hAnsi="宋体" w:eastAsia="宋体" w:cs="宋体"/>
                <w:color w:val="auto"/>
                <w:sz w:val="21"/>
                <w:szCs w:val="21"/>
                <w:highlight w:val="none"/>
                <w:lang w:val="en-US" w:eastAsia="zh-CN"/>
              </w:rPr>
              <w:t>位专业版操作系统；</w:t>
            </w:r>
          </w:p>
          <w:p w14:paraId="13CDA1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★14.工业机器人性能测试软件要求：软件能支持串联、并联工业机器人DH参数校准补偿，包括杆长、零位、减速比、耦合比等参数；软件能支持工业机器人六维姿态测量，包含ISO9283、GB/T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12642-2013《工业机器人性能规范及其试验方法》中规定完成位姿准确度和位姿重复性、多方向位姿准确度变动、距离准确度和距离重复性、位置稳定时间、位置超调量、位姿特性漂移、轨迹准确度和轨迹重复性、重定型轨迹准确度、拐角偏差、轨迹速度特性、最小定位时间、摆动偏差、互换性、静态柔顺性等14项性能测试要求；软件可导入工业机器人数模，数模可以跟随与工业机器人实物一起运动，方便诊断程序的可靠性。</w:t>
            </w:r>
          </w:p>
        </w:tc>
      </w:tr>
      <w:bookmarkEnd w:id="38"/>
      <w:bookmarkEnd w:id="39"/>
    </w:tbl>
    <w:p w14:paraId="203E2F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B11387A">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263B06D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3DF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FDBF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43413B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67690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63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D534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484C0C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64C343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本招标文件适用于中国计量大学</w:t>
            </w:r>
            <w:r>
              <w:rPr>
                <w:rFonts w:hint="eastAsia" w:ascii="宋体" w:hAnsi="宋体" w:eastAsia="宋体"/>
                <w:color w:val="auto"/>
                <w:szCs w:val="21"/>
                <w:highlight w:val="none"/>
                <w:lang w:eastAsia="zh-CN"/>
              </w:rPr>
              <w:t>六自由度激光跟踪测量系统</w:t>
            </w:r>
            <w:r>
              <w:rPr>
                <w:rFonts w:hint="eastAsia" w:ascii="宋体" w:hAnsi="宋体" w:eastAsia="宋体"/>
                <w:color w:val="auto"/>
                <w:szCs w:val="21"/>
                <w:highlight w:val="none"/>
              </w:rPr>
              <w:t>的招标、评标、定标、验收、合同履约、付款等（法律、法规另有规定的，从其规定）。</w:t>
            </w:r>
          </w:p>
        </w:tc>
      </w:tr>
      <w:tr w14:paraId="57B9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76D4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2ED005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75A84C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6DD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A6CD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65E7A1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9F45A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251AF6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2024年1月</w:t>
            </w:r>
            <w:r>
              <w:rPr>
                <w:rFonts w:hint="eastAsia" w:ascii="宋体" w:hAnsi="宋体" w:eastAsia="宋体"/>
                <w:color w:val="auto"/>
                <w:szCs w:val="21"/>
                <w:highlight w:val="none"/>
              </w:rPr>
              <w:t>（含）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59FD08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33D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9F08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0FDB72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47CCAA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04D4177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0272A9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DD55C1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2551"/>
              <w:gridCol w:w="3070"/>
            </w:tblGrid>
            <w:tr w14:paraId="05224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7D48AB58">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中标金额（万元）</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05483776">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收费标准（费率，%）</w:t>
                  </w:r>
                </w:p>
              </w:tc>
            </w:tr>
            <w:tr w14:paraId="6BF21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5B58293B">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100以下</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48F4DC85">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1.05</w:t>
                  </w:r>
                </w:p>
              </w:tc>
            </w:tr>
            <w:tr w14:paraId="60656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3CE97943">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100-500</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3D074E41">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2"/>
                      <w:sz w:val="21"/>
                      <w:szCs w:val="21"/>
                      <w:highlight w:val="none"/>
                      <w:lang w:val="en-US"/>
                    </w:rPr>
                  </w:pPr>
                  <w:r>
                    <w:rPr>
                      <w:rFonts w:hint="eastAsia" w:ascii="宋体" w:hAnsi="宋体" w:eastAsia="宋体" w:cs="宋体"/>
                      <w:kern w:val="2"/>
                      <w:sz w:val="21"/>
                      <w:szCs w:val="21"/>
                      <w:highlight w:val="none"/>
                      <w:lang w:val="en-US" w:eastAsia="zh-CN" w:bidi="ar"/>
                    </w:rPr>
                    <w:t>0.77</w:t>
                  </w:r>
                </w:p>
              </w:tc>
            </w:tr>
          </w:tbl>
          <w:p w14:paraId="3330047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14:paraId="0F2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2282D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57CCDA90">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256EDE6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960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9CEC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2F917D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5585B8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2236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9E81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255060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05336A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3571A9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hint="default" w:ascii="宋体" w:hAnsi="宋体" w:eastAsia="宋体"/>
                <w:color w:val="auto"/>
                <w:szCs w:val="21"/>
                <w:highlight w:val="none"/>
                <w:u w:val="single"/>
              </w:rPr>
              <w:t>。</w:t>
            </w:r>
          </w:p>
          <w:p w14:paraId="666E10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5AA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5848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0BA794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55B094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69420DD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1E8BD3F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43005D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509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F64C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A2ADB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67EBA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680F3A7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638102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906EB6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81EF1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14:paraId="06ED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F0D66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142D13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83AF3F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F6B50E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13FC4BB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0CB3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A0E4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328387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4A0CB7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DDF70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2.国产设备采用人民币报价，报价须包含设备（包括主机、标准附件、备品备件、专用工具）价、设备运杂费、保险费、利润、税金等；</w:t>
            </w:r>
          </w:p>
          <w:p w14:paraId="7A35535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3.如进口设备的价格采用免税的人民币报价，报价须包含设备（包括主机、标准附件、备品备件、专用工具）价、国际运费、国际运输保险费、国内运输保险费、因贸易战等产生的加征关税（如对原产于美国的进口设备加征的关税费等）、外贸代理费等。同时提供美元报价，交货方式为CIP中国计量大学，由中标人委托相关外贸公司办理免税事宜（外贸公司由采购人认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14:paraId="23D0C0F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4.投标报价是履行合同的最终价格，有关本项目实施所涉及的一切费用均计入报价；总价不为零，分项报价中部分产品、服务单价为零的，视作已包含在总价中。</w:t>
            </w:r>
          </w:p>
          <w:p w14:paraId="040A79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5.投标文件只允许有一个报价，有选择的报价将不予接受；</w:t>
            </w:r>
          </w:p>
          <w:p w14:paraId="10CA4AAF">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▲6</w:t>
            </w:r>
            <w:r>
              <w:rPr>
                <w:rFonts w:hint="default"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p w14:paraId="18AA1649">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7.供应商不得进行影响产品质量或者诚信履约的恶意报价。供应商报价低于项目预算50%的，应当在报价文件中提供书面说明，详细阐述不影响产品质量或者诚信履约的具体原因。</w:t>
            </w:r>
          </w:p>
        </w:tc>
      </w:tr>
      <w:tr w14:paraId="6D8B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0977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AC617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625BA3C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D1C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E1DA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46F3A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037EC2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2CC3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0CE7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32590E3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F4B8E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444C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2ED1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32F513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3CB292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6605B81">
      <w:pPr>
        <w:adjustRightInd w:val="0"/>
        <w:snapToGrid w:val="0"/>
        <w:spacing w:line="288" w:lineRule="auto"/>
        <w:rPr>
          <w:rFonts w:ascii="宋体" w:hAnsi="宋体" w:eastAsia="宋体"/>
          <w:color w:val="auto"/>
          <w:szCs w:val="21"/>
          <w:highlight w:val="none"/>
        </w:rPr>
      </w:pPr>
    </w:p>
    <w:p w14:paraId="2A7BB9B4">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5B87007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FF80F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14:paraId="7191738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F46C6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本招标文件适用于中国计量大学</w:t>
      </w:r>
      <w:r>
        <w:rPr>
          <w:rFonts w:hint="eastAsia" w:ascii="宋体" w:hAnsi="宋体" w:eastAsia="宋体" w:cs="Times New Roman"/>
          <w:color w:val="auto"/>
          <w:spacing w:val="-6"/>
          <w:szCs w:val="21"/>
          <w:highlight w:val="none"/>
          <w:lang w:eastAsia="zh-CN"/>
        </w:rPr>
        <w:t>六自由度激光跟踪测量系统</w:t>
      </w:r>
      <w:r>
        <w:rPr>
          <w:rFonts w:hint="eastAsia" w:ascii="宋体" w:hAnsi="宋体" w:eastAsia="宋体" w:cs="Times New Roman"/>
          <w:color w:val="auto"/>
          <w:spacing w:val="-6"/>
          <w:szCs w:val="21"/>
          <w:highlight w:val="none"/>
        </w:rPr>
        <w:t>的招标、评标、定标、验收、合同履约、付款等（法律、法规另有规定的，从其规定）。</w:t>
      </w:r>
    </w:p>
    <w:p w14:paraId="2EA54F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288AFE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”系指中国计量大学；</w:t>
      </w:r>
    </w:p>
    <w:p w14:paraId="0960F98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31856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2977C03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5247CF61">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18495E2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14:paraId="5A62BF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6ECDA29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E2B1B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66AAA8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52B1630C">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0B1EDD53">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190293F5">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B3E9696">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2551"/>
        <w:gridCol w:w="3070"/>
      </w:tblGrid>
      <w:tr w14:paraId="38FF7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E0262ED">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中标金额（万元）</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4ED1B66D">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收费标准（费率，%）</w:t>
            </w:r>
          </w:p>
        </w:tc>
      </w:tr>
      <w:tr w14:paraId="369EF8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72A420FB">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100以下</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4AB8DDC6">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1.05</w:t>
            </w:r>
          </w:p>
        </w:tc>
      </w:tr>
      <w:tr w14:paraId="4256F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5BAC71C">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100-500</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A7B99F6">
            <w:pPr>
              <w:keepNext w:val="0"/>
              <w:keepLines w:val="0"/>
              <w:widowControl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2"/>
                <w:sz w:val="21"/>
                <w:szCs w:val="21"/>
                <w:highlight w:val="none"/>
                <w:lang w:val="en-US"/>
              </w:rPr>
            </w:pPr>
            <w:r>
              <w:rPr>
                <w:rFonts w:hint="eastAsia" w:ascii="宋体" w:hAnsi="宋体" w:eastAsia="宋体" w:cs="宋体"/>
                <w:kern w:val="2"/>
                <w:sz w:val="21"/>
                <w:szCs w:val="21"/>
                <w:highlight w:val="none"/>
                <w:lang w:val="en-US" w:eastAsia="zh-CN" w:bidi="ar"/>
              </w:rPr>
              <w:t>0.77</w:t>
            </w:r>
          </w:p>
        </w:tc>
      </w:tr>
    </w:tbl>
    <w:p w14:paraId="589945F9">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3D0447A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DE57A6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53E34B6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2024年1月</w:t>
      </w:r>
      <w:r>
        <w:rPr>
          <w:rFonts w:hint="eastAsia" w:ascii="宋体" w:hAnsi="宋体" w:eastAsia="宋体" w:cs="Times New Roman"/>
          <w:color w:val="auto"/>
          <w:spacing w:val="-6"/>
          <w:szCs w:val="21"/>
          <w:highlight w:val="none"/>
        </w:rPr>
        <w:t>（含）</w:t>
      </w:r>
      <w:r>
        <w:rPr>
          <w:rFonts w:ascii="宋体" w:hAnsi="宋体" w:eastAsia="宋体" w:cs="Times New Roman"/>
          <w:color w:val="auto"/>
          <w:spacing w:val="-6"/>
          <w:szCs w:val="21"/>
          <w:highlight w:val="none"/>
        </w:rPr>
        <w:t>以后任意一月）；</w:t>
      </w:r>
    </w:p>
    <w:p w14:paraId="09C156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632E2E91">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1B3259B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56415A2E">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E9EFBE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AA555A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0BFF880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015396D">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w:t>
      </w:r>
    </w:p>
    <w:p w14:paraId="755AA2DD">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60540DB">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1C48843F">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14:paraId="122E4ED5">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66017AE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55D5877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6F55C3E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152A11C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C65ED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42CC6AD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57E9079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2950729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1E28194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6B8C74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20BD523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10FA496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0454A94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65644664">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2273111"/>
      <w:bookmarkStart w:id="44"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229AC6EA">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B02C40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76965C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90A0882">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28584DB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5F11FB5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D45B7F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548CCD2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088F27F2">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4E23635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1A3D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730275D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2B63DC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FA162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6E14612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5C06D41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154C5712">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355416E4">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A9479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C274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3"/>
    </w:p>
    <w:p w14:paraId="3A82276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4"/>
    <w:p w14:paraId="282A62DE">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0EF081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772FE0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3C0628C">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1C3E1A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7D24BA2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6636DC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2A2381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0753FCE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D3EF1B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00AA953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B4A647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2B2F0D4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359CFD4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6D9721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619043CF">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8284C6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05ECE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5E97847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3EFBB3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6"/>
    <w:p w14:paraId="5D7A0A4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6C9EA9A0">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3321D2E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7" w:name="_Hlk96329183"/>
      <w:r>
        <w:rPr>
          <w:rFonts w:hint="eastAsia" w:ascii="宋体" w:hAnsi="宋体" w:eastAsia="宋体"/>
          <w:color w:val="auto"/>
          <w:spacing w:val="-6"/>
          <w:szCs w:val="21"/>
          <w:highlight w:val="none"/>
        </w:rPr>
        <w:t>加盖公章</w:t>
      </w:r>
      <w:bookmarkEnd w:id="47"/>
      <w:r>
        <w:rPr>
          <w:rFonts w:hint="eastAsia" w:ascii="宋体" w:hAnsi="宋体" w:eastAsia="宋体"/>
          <w:color w:val="auto"/>
          <w:spacing w:val="-6"/>
          <w:szCs w:val="21"/>
          <w:highlight w:val="none"/>
        </w:rPr>
        <w:t>，投标人应写全称。</w:t>
      </w:r>
    </w:p>
    <w:p w14:paraId="41E15EB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FC8EAF9">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25DE5FA6">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6A5351D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769020BF">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04708A">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55F574D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4A4A3E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7575864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6581E00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075EA68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6D71EE3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6F0D57D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4743000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04AD556">
      <w:pPr>
        <w:adjustRightInd w:val="0"/>
        <w:snapToGrid w:val="0"/>
        <w:spacing w:line="288" w:lineRule="auto"/>
        <w:ind w:firstLine="396" w:firstLineChars="200"/>
        <w:jc w:val="left"/>
        <w:rPr>
          <w:rFonts w:ascii="宋体" w:hAnsi="宋体" w:eastAsia="宋体"/>
          <w:color w:val="auto"/>
          <w:spacing w:val="-6"/>
          <w:szCs w:val="21"/>
          <w:highlight w:val="none"/>
        </w:rPr>
      </w:pPr>
      <w:bookmarkStart w:id="48"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8"/>
    <w:p w14:paraId="30681AB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AED765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076BC02F">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714A54">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3B8516B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0737A84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D5E658F">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6E6C1A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664"/>
      <w:r>
        <w:rPr>
          <w:rFonts w:hint="eastAsia" w:ascii="宋体" w:hAnsi="宋体" w:eastAsia="宋体" w:cs="Times New Roman"/>
          <w:color w:val="auto"/>
          <w:spacing w:val="-6"/>
          <w:szCs w:val="21"/>
          <w:highlight w:val="none"/>
        </w:rPr>
        <w:t>1.报价应按招标文件要求的格式编制、填写报价内容（可自行增行），未按招标文件要求编制、填写的投标文件可能被拒绝；</w:t>
      </w:r>
    </w:p>
    <w:p w14:paraId="164244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2.国产设备采用人民币报价，报价须包含设备（包括主机、标准附件、备品备件、专用工具）价、设备运杂费、保险费、利润、税金等；</w:t>
      </w:r>
    </w:p>
    <w:p w14:paraId="608ED5F3">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3.如进口设备的价格采用免税的人民币报价，</w:t>
      </w:r>
      <w:r>
        <w:rPr>
          <w:rFonts w:hint="eastAsia" w:ascii="等线"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须包含设备（包括主机、标准附件、备品备件、专用工具）价、国际运费、国际运输保险费、国内运输保险费、因贸易战等产生的加征关税（如对原产于美国的进口设备加征的关税费等）、外贸代理费等</w:t>
      </w:r>
      <w:r>
        <w:rPr>
          <w:rFonts w:hint="eastAsia" w:ascii="等线"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同时提供美元报价，交货方式为CIP</w:t>
      </w:r>
      <w:r>
        <w:rPr>
          <w:rFonts w:hint="eastAsia" w:ascii="等线" w:hAnsi="宋体" w:eastAsia="宋体" w:cs="Times New Roman"/>
          <w:color w:val="auto"/>
          <w:spacing w:val="-6"/>
          <w:szCs w:val="21"/>
          <w:highlight w:val="none"/>
        </w:rPr>
        <w:t>中国计量大学</w:t>
      </w:r>
      <w:r>
        <w:rPr>
          <w:rFonts w:hint="eastAsia" w:ascii="宋体" w:hAnsi="宋体" w:eastAsia="宋体" w:cs="Times New Roman"/>
          <w:color w:val="auto"/>
          <w:spacing w:val="-6"/>
          <w:szCs w:val="21"/>
          <w:highlight w:val="none"/>
        </w:rPr>
        <w:t>，由中标人委托相关外贸公司办理免税事宜（外贸公司由采购人认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14:paraId="76B77826">
      <w:pPr>
        <w:tabs>
          <w:tab w:val="left" w:pos="0"/>
        </w:tabs>
        <w:spacing w:line="288" w:lineRule="auto"/>
        <w:ind w:firstLine="350" w:firstLineChars="176"/>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注：</w:t>
      </w:r>
    </w:p>
    <w:p w14:paraId="614D64EB">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（1）根据《财政部 海关总署 国家税务总局关于公布进口科学研究、科技开发和教学用品免税清单的通知》（财关税〔2016〕72号）文件的规定，采购人进口该文件附件“进口科学研究、科技开发和教学用品免税清单”所列产品均可予免征进口关税和进口环节增值税、消费税，投标人的投标报价为CIP价，即投标报价不包含进口关税及进口环节增值税、消费税。</w:t>
      </w:r>
    </w:p>
    <w:p w14:paraId="63E54F30">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（2）合同履行过程中的汇率风险由中标人自行承担，由外贸公司与中标人结算。</w:t>
      </w:r>
    </w:p>
    <w:p w14:paraId="09CA2EFC">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（3）自本项目采购公告发布之日至供货实施完成期间若发生加征关税的情况，加征的关税由中标人承担，额外费用应包含在投标总价中。</w:t>
      </w:r>
    </w:p>
    <w:p w14:paraId="65910E14">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（4）进口产品原则上要求从国外直接发货，在中国境内保税区发货的，若产生额外报关等费用由中标人承担，额外费用应包含在投标总价中。</w:t>
      </w:r>
    </w:p>
    <w:p w14:paraId="7F8C89FC">
      <w:pPr>
        <w:tabs>
          <w:tab w:val="left" w:pos="0"/>
        </w:tabs>
        <w:spacing w:line="288" w:lineRule="auto"/>
        <w:ind w:firstLine="348" w:firstLineChars="176"/>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（5）采购人指定的外贸公司的外贸代理费，其收费标准详见下表：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762"/>
        <w:gridCol w:w="5824"/>
      </w:tblGrid>
      <w:tr w14:paraId="257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42" w:type="dxa"/>
            <w:vAlign w:val="center"/>
          </w:tcPr>
          <w:p w14:paraId="2F715288">
            <w:pPr>
              <w:keepNext w:val="0"/>
              <w:keepLines w:val="0"/>
              <w:suppressLineNumbers w:val="0"/>
              <w:tabs>
                <w:tab w:val="left" w:pos="0"/>
              </w:tabs>
              <w:spacing w:before="0" w:beforeAutospacing="0" w:after="0" w:afterAutospacing="0" w:line="288" w:lineRule="auto"/>
              <w:ind w:left="0" w:right="0" w:firstLine="348" w:firstLineChars="176"/>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外贸公司</w:t>
            </w:r>
          </w:p>
        </w:tc>
        <w:tc>
          <w:tcPr>
            <w:tcW w:w="7586" w:type="dxa"/>
            <w:gridSpan w:val="2"/>
            <w:vAlign w:val="center"/>
          </w:tcPr>
          <w:p w14:paraId="586EA883">
            <w:pPr>
              <w:keepNext w:val="0"/>
              <w:keepLines w:val="0"/>
              <w:suppressLineNumbers w:val="0"/>
              <w:tabs>
                <w:tab w:val="left" w:pos="0"/>
              </w:tabs>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外贸代理费</w:t>
            </w:r>
          </w:p>
          <w:p w14:paraId="0D886277">
            <w:pPr>
              <w:keepNext w:val="0"/>
              <w:keepLines w:val="0"/>
              <w:suppressLineNumbers w:val="0"/>
              <w:tabs>
                <w:tab w:val="left" w:pos="0"/>
              </w:tabs>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（美元汇率：1美元=A元人民币，A值按开标当日与开标时间最接近的时间中国银行总行发布的外币对人民币的美元现钞卖出价为准）</w:t>
            </w:r>
          </w:p>
        </w:tc>
      </w:tr>
      <w:tr w14:paraId="3489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2" w:type="dxa"/>
            <w:vAlign w:val="center"/>
          </w:tcPr>
          <w:p w14:paraId="1D69E69A">
            <w:pPr>
              <w:keepNext w:val="0"/>
              <w:keepLines w:val="0"/>
              <w:suppressLineNumbers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bidi="ar"/>
              </w:rPr>
              <w:t>浙江省科学器材进出口有限责任公司</w:t>
            </w:r>
          </w:p>
        </w:tc>
        <w:tc>
          <w:tcPr>
            <w:tcW w:w="1762" w:type="dxa"/>
            <w:vAlign w:val="center"/>
          </w:tcPr>
          <w:p w14:paraId="2E6BEA4C">
            <w:pPr>
              <w:keepNext w:val="0"/>
              <w:keepLines w:val="0"/>
              <w:suppressLineNumbers w:val="0"/>
              <w:spacing w:before="0" w:beforeAutospacing="0" w:after="0" w:afterAutospacing="0" w:line="288" w:lineRule="auto"/>
              <w:ind w:left="0" w:right="0" w:firstLine="348" w:firstLineChars="176"/>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bidi="ar"/>
              </w:rPr>
              <w:t>0.0</w:t>
            </w:r>
            <w:r>
              <w:rPr>
                <w:rFonts w:hint="eastAsia" w:ascii="宋体" w:hAnsi="宋体" w:eastAsia="宋体" w:cs="Times New Roman"/>
                <w:color w:val="auto"/>
                <w:spacing w:val="-6"/>
                <w:szCs w:val="21"/>
                <w:highlight w:val="none"/>
                <w:lang w:val="en-US" w:eastAsia="zh-CN" w:bidi="ar"/>
              </w:rPr>
              <w:t>9</w:t>
            </w:r>
            <w:r>
              <w:rPr>
                <w:rFonts w:hint="eastAsia" w:ascii="宋体" w:hAnsi="宋体" w:eastAsia="宋体" w:cs="Times New Roman"/>
                <w:color w:val="auto"/>
                <w:spacing w:val="-6"/>
                <w:szCs w:val="21"/>
                <w:highlight w:val="none"/>
                <w:lang w:bidi="ar"/>
              </w:rPr>
              <w:t>个点</w:t>
            </w:r>
          </w:p>
        </w:tc>
        <w:tc>
          <w:tcPr>
            <w:tcW w:w="5824" w:type="dxa"/>
            <w:vAlign w:val="center"/>
          </w:tcPr>
          <w:p w14:paraId="49965319">
            <w:pPr>
              <w:keepNext w:val="0"/>
              <w:keepLines w:val="0"/>
              <w:suppressLineNumbers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bidi="ar"/>
              </w:rPr>
              <w:t>外贸代理费的计算公式:进口设备中标价为人民币价，</w:t>
            </w:r>
          </w:p>
          <w:p w14:paraId="09F3C4D9">
            <w:pPr>
              <w:keepNext w:val="0"/>
              <w:keepLines w:val="0"/>
              <w:suppressLineNumbers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bidi="ar"/>
              </w:rPr>
              <w:t>外贸代理费=进口设备中标价×0.0</w:t>
            </w:r>
            <w:r>
              <w:rPr>
                <w:rFonts w:hint="eastAsia" w:ascii="宋体" w:hAnsi="宋体" w:eastAsia="宋体" w:cs="Times New Roman"/>
                <w:color w:val="auto"/>
                <w:spacing w:val="-6"/>
                <w:szCs w:val="21"/>
                <w:highlight w:val="none"/>
                <w:lang w:val="en-US" w:eastAsia="zh-CN" w:bidi="ar"/>
              </w:rPr>
              <w:t>9</w:t>
            </w:r>
            <w:r>
              <w:rPr>
                <w:rFonts w:hint="eastAsia" w:ascii="宋体" w:hAnsi="宋体" w:eastAsia="宋体" w:cs="Times New Roman"/>
                <w:color w:val="auto"/>
                <w:spacing w:val="-6"/>
                <w:szCs w:val="21"/>
                <w:highlight w:val="none"/>
                <w:lang w:bidi="ar"/>
              </w:rPr>
              <w:t>÷（A+0.0</w:t>
            </w:r>
            <w:r>
              <w:rPr>
                <w:rFonts w:hint="eastAsia" w:ascii="宋体" w:hAnsi="宋体" w:eastAsia="宋体" w:cs="Times New Roman"/>
                <w:color w:val="auto"/>
                <w:spacing w:val="-6"/>
                <w:szCs w:val="21"/>
                <w:highlight w:val="none"/>
                <w:lang w:val="en-US" w:eastAsia="zh-CN" w:bidi="ar"/>
              </w:rPr>
              <w:t>9</w:t>
            </w:r>
            <w:r>
              <w:rPr>
                <w:rFonts w:hint="eastAsia" w:ascii="宋体" w:hAnsi="宋体" w:eastAsia="宋体" w:cs="Times New Roman"/>
                <w:color w:val="auto"/>
                <w:spacing w:val="-6"/>
                <w:szCs w:val="21"/>
                <w:highlight w:val="none"/>
                <w:lang w:bidi="ar"/>
              </w:rPr>
              <w:t>）</w:t>
            </w:r>
          </w:p>
        </w:tc>
      </w:tr>
      <w:tr w14:paraId="1826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3"/>
            <w:vAlign w:val="center"/>
          </w:tcPr>
          <w:p w14:paraId="2476F43B">
            <w:pPr>
              <w:keepNext w:val="0"/>
              <w:keepLines w:val="0"/>
              <w:suppressLineNumbers w:val="0"/>
              <w:tabs>
                <w:tab w:val="left" w:pos="0"/>
              </w:tabs>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该外贸代理费包含：外贸公司的服务费、银行手续费用、报关费（制单费、录入费、卫生检疫费、保险费、法定商检费、滞报金、换单费等）、海关监管费、仓储费、运输费及进口所需发生的其他必须或可能发生的费用。</w:t>
            </w:r>
          </w:p>
          <w:p w14:paraId="05A7E5F8">
            <w:pPr>
              <w:keepNext w:val="0"/>
              <w:keepLines w:val="0"/>
              <w:suppressLineNumbers w:val="0"/>
              <w:tabs>
                <w:tab w:val="left" w:pos="0"/>
              </w:tabs>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2.外贸代理费不包含进口产品可能涉及的能效标识检测费用、特种设备检测费用等，需由中标人按实际承担。</w:t>
            </w:r>
          </w:p>
          <w:p w14:paraId="00604DD2">
            <w:pPr>
              <w:keepNext w:val="0"/>
              <w:keepLines w:val="0"/>
              <w:suppressLineNumbers w:val="0"/>
              <w:tabs>
                <w:tab w:val="left" w:pos="0"/>
              </w:tabs>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3.外贸公司由采购人认定。</w:t>
            </w:r>
          </w:p>
        </w:tc>
      </w:tr>
    </w:tbl>
    <w:p w14:paraId="2C838921">
      <w:pPr>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4.投标报价是履行合同的最终价格，有关本项目实施所涉及的一切费用均计入报价；总价不为零，分项报价中部分产品、服务单价为零的，视作已包含在总价中。</w:t>
      </w:r>
    </w:p>
    <w:p w14:paraId="5E60801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5.投标文件只允许有一个报价，有选择的报价将不予接受；</w:t>
      </w:r>
    </w:p>
    <w:p w14:paraId="2484FE0A">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▲6</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CB15F74">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.供应商不得进行影响产品质量或者诚信履约的恶意报价。供应商报价低于项目预算50%的，应当在报价文件中提供书面说明，详细阐述不影响产品质量或者诚信履约的具体原因。</w:t>
      </w:r>
    </w:p>
    <w:bookmarkEnd w:id="49"/>
    <w:p w14:paraId="7028917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3CE4409B">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39FA1C1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0DA179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38884B12">
      <w:pPr>
        <w:adjustRightInd w:val="0"/>
        <w:snapToGrid w:val="0"/>
        <w:spacing w:line="288" w:lineRule="auto"/>
        <w:ind w:firstLine="420" w:firstLineChars="200"/>
        <w:rPr>
          <w:rFonts w:ascii="宋体" w:hAnsi="宋体" w:eastAsia="宋体" w:cs="宋体"/>
          <w:color w:val="auto"/>
          <w:szCs w:val="21"/>
          <w:highlight w:val="none"/>
        </w:rPr>
      </w:pPr>
      <w:bookmarkStart w:id="50" w:name="_Hlk94018682"/>
      <w:r>
        <w:rPr>
          <w:rFonts w:hint="eastAsia" w:ascii="宋体" w:hAnsi="宋体" w:eastAsia="宋体" w:cs="宋体"/>
          <w:color w:val="auto"/>
          <w:szCs w:val="21"/>
          <w:highlight w:val="none"/>
        </w:rPr>
        <w:t>未响应招标文件“▲”标记条款要求的，投标无效。</w:t>
      </w:r>
    </w:p>
    <w:bookmarkEnd w:id="50"/>
    <w:p w14:paraId="414321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E62D7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13CE0D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2A3F28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5CAA6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C97ABCB">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18827E1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DE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286AE8D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C29E9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1C07AF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09D9E6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1B911C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6E4897D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24A5AB61">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A3A58A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430B6C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CFC90C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2BCBC54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7863E48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22FB0ED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245AB9F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5E86A7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8331DA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BC8D8E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26D4466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11CB33A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7E8F4769">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727EA329">
      <w:pPr>
        <w:pStyle w:val="100"/>
        <w:snapToGrid w:val="0"/>
        <w:spacing w:before="0" w:line="288" w:lineRule="auto"/>
        <w:ind w:left="0" w:firstLine="424" w:firstLineChars="201"/>
        <w:rPr>
          <w:rFonts w:ascii="宋体" w:hAnsi="宋体"/>
          <w:color w:val="auto"/>
          <w:szCs w:val="21"/>
          <w:highlight w:val="none"/>
        </w:rPr>
      </w:pPr>
      <w:bookmarkStart w:id="52"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ED4BB28">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14:paraId="0AB914DC">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7D75338C">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A5F058C">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843A05A">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14:paraId="47AA165B">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14:paraId="4B8E37B8">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289EBA53">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65625A2E">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23EB8E9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3BA16167">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906F83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424F47D">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F9521B0">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150AC2D4">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2"/>
    <w:p w14:paraId="03291B1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282DDEF2">
      <w:pPr>
        <w:adjustRightInd w:val="0"/>
        <w:snapToGrid w:val="0"/>
        <w:spacing w:line="288" w:lineRule="auto"/>
        <w:ind w:firstLine="420" w:firstLineChars="200"/>
        <w:rPr>
          <w:rFonts w:ascii="宋体" w:hAnsi="宋体" w:eastAsia="宋体" w:cs="宋体"/>
          <w:color w:val="auto"/>
          <w:kern w:val="0"/>
          <w:szCs w:val="21"/>
          <w:highlight w:val="none"/>
        </w:rPr>
      </w:pPr>
      <w:bookmarkStart w:id="53"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EC53F0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14:paraId="22CD3388">
      <w:pPr>
        <w:adjustRightInd w:val="0"/>
        <w:snapToGrid w:val="0"/>
        <w:spacing w:line="288" w:lineRule="auto"/>
        <w:ind w:firstLine="426" w:firstLineChars="202"/>
        <w:rPr>
          <w:rFonts w:ascii="宋体" w:hAnsi="宋体" w:eastAsia="宋体" w:cs="Arial"/>
          <w:b/>
          <w:color w:val="auto"/>
          <w:kern w:val="0"/>
          <w:szCs w:val="21"/>
          <w:highlight w:val="none"/>
        </w:rPr>
      </w:pPr>
      <w:bookmarkStart w:id="54"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47398F9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7A79F8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263F2E">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165EE5AD">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95A291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4D6F6F1E">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34105C3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9BD130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2CBAE3FA">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AD4B9EB">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5DC5746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701F1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5E33ED0">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1E2675E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596E3A0">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316E7FC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536797DB">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D0FAFE">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14:paraId="58A3A73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740B7136">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14:paraId="542ACE07">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。本项目推荐2名中标候选人。</w:t>
      </w:r>
    </w:p>
    <w:p w14:paraId="0A81B3E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14:paraId="1DF911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11C976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3333F18">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29FE71C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511C340">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7441D46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2774E27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AC2A8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038E9F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0A0307B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4BC498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890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96CD898">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9CC31B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5EB644F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0AFB2F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F5913A2">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006506">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0CEDE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B7D194E">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60B668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22FD4D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5333A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58753B5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1BDBA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68C24E6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43E964E9">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3B11A80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73117193">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6F6A5E3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6502841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1646508B">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539186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DADEAD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6D9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7E2959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6758EF3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650970E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6574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499CFE1">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价格分（30）</w:t>
            </w:r>
          </w:p>
        </w:tc>
      </w:tr>
      <w:tr w14:paraId="4BA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BFE5BA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C99DF3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3229A0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3D4127C">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11E5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401EED6">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商务分（5）</w:t>
            </w:r>
          </w:p>
        </w:tc>
      </w:tr>
      <w:tr w14:paraId="453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3C885C6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5434A84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23A8A0F9">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【客观分】投标人提供自2021年1月1日以来（以合同签订时间为准）同类合同业绩（以提供的合同扫描件为准）：每提供1份合同业绩得1分，最高得3分。</w:t>
            </w:r>
          </w:p>
        </w:tc>
      </w:tr>
      <w:tr w14:paraId="663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17059D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7DF0039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64BFDABA">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【客观分】投标产品属于品目清单范围且提供国家确定的认证机构出具的有效的节能产品认证证书（扫描件加盖公章）的得1分；</w:t>
            </w:r>
          </w:p>
          <w:p w14:paraId="7C89E1F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投标产品属于品目清单范围且提供国家确定的认证机构出具的有效的环境标志产品认证证书（扫描件加盖公章）的得1分；</w:t>
            </w:r>
          </w:p>
          <w:p w14:paraId="45BF21D0">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76F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ADD0E7">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技术分（65）</w:t>
            </w:r>
          </w:p>
        </w:tc>
      </w:tr>
      <w:tr w14:paraId="44F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C8EA8A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2D2EB73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vAlign w:val="center"/>
          </w:tcPr>
          <w:p w14:paraId="3EA8419A">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【客观分】不符合（负偏离）技术要求中标注“▲”条款（不可偏离）的响应无效；</w:t>
            </w:r>
          </w:p>
          <w:p w14:paraId="7AEB063E">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文件明确的全部技术条款要求的该项得满分；</w:t>
            </w:r>
          </w:p>
          <w:p w14:paraId="3DCAA36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技术条款低于技术要求（负偏离）的，标注“★”的每项扣3分，未标注“★”的每项扣2分；</w:t>
            </w:r>
          </w:p>
          <w:p w14:paraId="3D4F32C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负偏离扣分30分及以上的视为采购人不能接受的附加条件。</w:t>
            </w:r>
          </w:p>
        </w:tc>
      </w:tr>
      <w:tr w14:paraId="1232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Merge w:val="restart"/>
            <w:tcBorders>
              <w:top w:val="single" w:color="auto" w:sz="4" w:space="0"/>
              <w:left w:val="single" w:color="auto" w:sz="4" w:space="0"/>
              <w:right w:val="single" w:color="auto" w:sz="4" w:space="0"/>
            </w:tcBorders>
            <w:vAlign w:val="center"/>
          </w:tcPr>
          <w:p w14:paraId="1501426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52BF05E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16E91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【主观分】投标产品功能满足项目特点和实际需要，功能先进，后续维护成本低（评分范围：5,4,3,2,1,0）。</w:t>
            </w:r>
          </w:p>
        </w:tc>
      </w:tr>
      <w:tr w14:paraId="1E65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3DA55D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F7E1B5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0A5569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【主观分】投标产品配置合理，兼容性强（评分范围：5,4,3,2,1,0）。</w:t>
            </w:r>
          </w:p>
        </w:tc>
      </w:tr>
      <w:tr w14:paraId="4EE8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44008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57236F6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47806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【主观分】项目实施计划详细完整，符合项目进度要求，投入人员数量丰富（评分范围：5,4,3,2,1,0）。</w:t>
            </w:r>
          </w:p>
        </w:tc>
      </w:tr>
      <w:tr w14:paraId="07DD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A8F6A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176B58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6DD0F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【主观分】安装、调试方法或方案详细完整，各种措施合理可行，有助于项目实施（评分范围：5,4,3,2,1,0）。</w:t>
            </w:r>
          </w:p>
        </w:tc>
      </w:tr>
      <w:tr w14:paraId="7258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742FA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4CC3F8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C7BB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【主观分】售后服务方案、售后服务承诺可行，服务承诺落实的保障措施强（评分范围：5,4,3,2,1,0）。</w:t>
            </w:r>
          </w:p>
        </w:tc>
      </w:tr>
      <w:tr w14:paraId="040A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EA0BA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48D80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3633A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【主观分】服务力量和服务保障措施强，培训计划内容、培训范围完整且有针对性（评分范围：5,4,3,2,1,0）。</w:t>
            </w:r>
          </w:p>
        </w:tc>
      </w:tr>
      <w:tr w14:paraId="57CF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02904F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5E52EF7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E89A6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【主观分】质保期满后配件、附件、备品备件的收费标准合理，配件、附件、备品备件的保障措施强（评分范围：5,4,3,2,1,0）。</w:t>
            </w:r>
          </w:p>
        </w:tc>
      </w:tr>
    </w:tbl>
    <w:p w14:paraId="58874041">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1A954B6A">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的规定：对符合规定的小微企业报价给予10%的扣除后计算价格得分。</w:t>
      </w:r>
    </w:p>
    <w:p w14:paraId="4222C062">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4B6B568A">
      <w:pPr>
        <w:adjustRightInd w:val="0"/>
        <w:snapToGrid w:val="0"/>
        <w:spacing w:line="288" w:lineRule="auto"/>
        <w:rPr>
          <w:rFonts w:ascii="宋体" w:hAnsi="宋体" w:eastAsia="宋体" w:cs="Times New Roman"/>
          <w:b/>
          <w:bCs/>
          <w:color w:val="auto"/>
          <w:spacing w:val="-6"/>
          <w:szCs w:val="21"/>
          <w:highlight w:val="none"/>
        </w:rPr>
      </w:pPr>
      <w:bookmarkStart w:id="55" w:name="_Hlk81817373"/>
      <w:bookmarkStart w:id="56"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14:paraId="02D9DC1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6"/>
    <w:p w14:paraId="5363D776">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29364109">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71F263E">
      <w:pPr>
        <w:keepNext w:val="0"/>
        <w:keepLines w:val="0"/>
        <w:pageBreakBefore w:val="0"/>
        <w:widowControl w:val="0"/>
        <w:kinsoku/>
        <w:wordWrap/>
        <w:overflowPunct/>
        <w:topLinePunct w:val="0"/>
        <w:bidi w:val="0"/>
        <w:spacing w:line="288" w:lineRule="auto"/>
        <w:ind w:left="0" w:leftChars="0" w:right="0" w:firstLine="602" w:firstLineChars="200"/>
        <w:jc w:val="center"/>
        <w:textAlignment w:val="auto"/>
        <w:rPr>
          <w:rFonts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30"/>
          <w:szCs w:val="30"/>
          <w:highlight w:val="none"/>
        </w:rPr>
        <w:t>中国计量大学采购合同（国产设备）</w:t>
      </w:r>
    </w:p>
    <w:p w14:paraId="42D3C308">
      <w:pPr>
        <w:keepNext w:val="0"/>
        <w:keepLines w:val="0"/>
        <w:pageBreakBefore w:val="0"/>
        <w:widowControl w:val="0"/>
        <w:kinsoku/>
        <w:wordWrap/>
        <w:overflowPunct/>
        <w:topLinePunct w:val="0"/>
        <w:bidi w:val="0"/>
        <w:snapToGrid w:val="0"/>
        <w:spacing w:line="288" w:lineRule="auto"/>
        <w:ind w:left="0" w:leftChars="0" w:right="0" w:firstLine="420" w:firstLineChars="200"/>
        <w:contextualSpacing/>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合同编号：</w:t>
      </w:r>
    </w:p>
    <w:p w14:paraId="6E1E5DFC">
      <w:pPr>
        <w:keepNext w:val="0"/>
        <w:keepLines w:val="0"/>
        <w:pageBreakBefore w:val="0"/>
        <w:widowControl w:val="0"/>
        <w:kinsoku/>
        <w:wordWrap/>
        <w:overflowPunct/>
        <w:topLinePunct w:val="0"/>
        <w:bidi w:val="0"/>
        <w:snapToGrid w:val="0"/>
        <w:spacing w:line="288" w:lineRule="auto"/>
        <w:ind w:left="0" w:leftChars="0" w:right="0" w:firstLine="420" w:firstLineChars="200"/>
        <w:contextualSpacing/>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确认书编号：浙财采确</w:t>
      </w:r>
    </w:p>
    <w:p w14:paraId="046DBBD9">
      <w:pPr>
        <w:keepNext w:val="0"/>
        <w:keepLines w:val="0"/>
        <w:pageBreakBefore w:val="0"/>
        <w:widowControl w:val="0"/>
        <w:kinsoku/>
        <w:wordWrap/>
        <w:overflowPunct/>
        <w:topLinePunct w:val="0"/>
        <w:bidi w:val="0"/>
        <w:snapToGrid w:val="0"/>
        <w:spacing w:line="288" w:lineRule="auto"/>
        <w:ind w:left="0" w:leftChars="0" w:right="0"/>
        <w:contextualSpacing/>
        <w:textAlignment w:val="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甲方（需方）：</w:t>
      </w:r>
      <w:r>
        <w:rPr>
          <w:rFonts w:hint="eastAsia" w:ascii="Times New Roman" w:hAnsi="Times New Roman" w:eastAsia="宋体" w:cs="Times New Roman"/>
          <w:b/>
          <w:color w:val="auto"/>
          <w:sz w:val="24"/>
          <w:szCs w:val="24"/>
          <w:highlight w:val="none"/>
          <w:u w:val="single"/>
        </w:rPr>
        <w:t xml:space="preserve">     中国计量大学                 </w:t>
      </w:r>
    </w:p>
    <w:p w14:paraId="2EEB37C9">
      <w:pPr>
        <w:keepNext w:val="0"/>
        <w:keepLines w:val="0"/>
        <w:pageBreakBefore w:val="0"/>
        <w:widowControl w:val="0"/>
        <w:kinsoku/>
        <w:wordWrap/>
        <w:overflowPunct/>
        <w:topLinePunct w:val="0"/>
        <w:bidi w:val="0"/>
        <w:snapToGrid w:val="0"/>
        <w:spacing w:line="288" w:lineRule="auto"/>
        <w:ind w:left="0" w:leftChars="0" w:right="0" w:firstLine="282" w:firstLineChars="117"/>
        <w:contextualSpacing/>
        <w:textAlignment w:val="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乙方（供方）：</w:t>
      </w:r>
      <w:r>
        <w:rPr>
          <w:rFonts w:hint="eastAsia" w:ascii="Times New Roman" w:hAnsi="Times New Roman" w:eastAsia="宋体" w:cs="Times New Roman"/>
          <w:b/>
          <w:color w:val="auto"/>
          <w:sz w:val="24"/>
          <w:szCs w:val="24"/>
          <w:highlight w:val="none"/>
          <w:u w:val="single"/>
        </w:rPr>
        <w:t xml:space="preserve">                                  </w:t>
      </w:r>
    </w:p>
    <w:p w14:paraId="496578DC">
      <w:pPr>
        <w:keepNext w:val="0"/>
        <w:keepLines w:val="0"/>
        <w:pageBreakBefore w:val="0"/>
        <w:widowControl w:val="0"/>
        <w:tabs>
          <w:tab w:val="left" w:pos="6240"/>
        </w:tabs>
        <w:kinsoku/>
        <w:wordWrap/>
        <w:overflowPunct/>
        <w:topLinePunct w:val="0"/>
        <w:bidi w:val="0"/>
        <w:snapToGrid w:val="0"/>
        <w:spacing w:line="288" w:lineRule="auto"/>
        <w:ind w:left="0" w:leftChars="0" w:right="0"/>
        <w:contextualSpacing/>
        <w:jc w:val="left"/>
        <w:textAlignment w:val="auto"/>
        <w:rPr>
          <w:rFonts w:ascii="Times New Roman" w:hAnsi="Times New Roman" w:eastAsia="宋体" w:cs="Times New Roman"/>
          <w:color w:val="auto"/>
          <w:szCs w:val="21"/>
          <w:highlight w:val="none"/>
        </w:rPr>
      </w:pPr>
    </w:p>
    <w:p w14:paraId="594FC3D5">
      <w:pPr>
        <w:keepNext w:val="0"/>
        <w:keepLines w:val="0"/>
        <w:pageBreakBefore w:val="0"/>
        <w:widowControl w:val="0"/>
        <w:kinsoku/>
        <w:wordWrap/>
        <w:overflowPunct/>
        <w:topLinePunct w:val="0"/>
        <w:bidi w:val="0"/>
        <w:snapToGrid w:val="0"/>
        <w:spacing w:line="288" w:lineRule="auto"/>
        <w:ind w:left="0" w:leftChars="0" w:right="0" w:firstLine="420"/>
        <w:contextualSpacing/>
        <w:textAlignment w:val="auto"/>
        <w:rPr>
          <w:rFonts w:ascii="宋体" w:hAnsi="宋体" w:eastAsia="宋体" w:cs="Times New Roman"/>
          <w:snapToGrid w:val="0"/>
          <w:color w:val="auto"/>
          <w:kern w:val="0"/>
          <w:szCs w:val="21"/>
          <w:highlight w:val="none"/>
        </w:rPr>
      </w:pPr>
      <w:r>
        <w:rPr>
          <w:rFonts w:hint="eastAsia" w:ascii="Times New Roman" w:hAnsi="Times New Roman" w:eastAsia="宋体" w:cs="Times New Roman"/>
          <w:color w:val="auto"/>
          <w:szCs w:val="21"/>
          <w:highlight w:val="none"/>
        </w:rPr>
        <w:t>依照《中华人民共和国民法典》及其他有关法律、行政法规，遵循平等、自愿、公平和诚实信用的原则，双方</w:t>
      </w:r>
      <w:r>
        <w:rPr>
          <w:rFonts w:hint="eastAsia" w:ascii="宋体" w:hAnsi="宋体" w:eastAsia="宋体" w:cs="Times New Roman"/>
          <w:snapToGrid w:val="0"/>
          <w:color w:val="auto"/>
          <w:kern w:val="0"/>
          <w:szCs w:val="21"/>
          <w:highlight w:val="none"/>
        </w:rPr>
        <w:t>根据对</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 xml:space="preserve">  （项目名称和编号）</w:t>
      </w:r>
      <w:r>
        <w:rPr>
          <w:rFonts w:hint="eastAsia" w:ascii="宋体" w:hAnsi="宋体" w:eastAsia="宋体" w:cs="Times New Roman"/>
          <w:snapToGrid w:val="0"/>
          <w:color w:val="auto"/>
          <w:kern w:val="0"/>
          <w:szCs w:val="21"/>
          <w:highlight w:val="none"/>
          <w:u w:val="single"/>
        </w:rPr>
        <w:t>公开招标</w:t>
      </w:r>
      <w:r>
        <w:rPr>
          <w:rFonts w:hint="eastAsia" w:ascii="宋体" w:hAnsi="宋体" w:eastAsia="宋体" w:cs="Times New Roman"/>
          <w:snapToGrid w:val="0"/>
          <w:color w:val="auto"/>
          <w:kern w:val="0"/>
          <w:szCs w:val="21"/>
          <w:highlight w:val="none"/>
        </w:rPr>
        <w:t>（采购方式）的采购结果,签署本合同。</w:t>
      </w:r>
    </w:p>
    <w:p w14:paraId="51FA20FC">
      <w:pPr>
        <w:keepNext w:val="0"/>
        <w:keepLines w:val="0"/>
        <w:pageBreakBefore w:val="0"/>
        <w:widowControl w:val="0"/>
        <w:kinsoku/>
        <w:wordWrap/>
        <w:overflowPunct/>
        <w:topLinePunct w:val="0"/>
        <w:bidi w:val="0"/>
        <w:snapToGrid w:val="0"/>
        <w:spacing w:line="288" w:lineRule="auto"/>
        <w:ind w:left="0" w:leftChars="0" w:right="0" w:firstLine="398" w:firstLineChars="200"/>
        <w:contextualSpacing/>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一、采购商品清单及价格</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14:paraId="14A3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14:paraId="394507FB">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1068" w:type="dxa"/>
            <w:vAlign w:val="center"/>
          </w:tcPr>
          <w:p w14:paraId="654A8C49">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货物名称</w:t>
            </w:r>
          </w:p>
        </w:tc>
        <w:tc>
          <w:tcPr>
            <w:tcW w:w="1364" w:type="dxa"/>
            <w:vAlign w:val="center"/>
          </w:tcPr>
          <w:p w14:paraId="0B94727B">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规格型号</w:t>
            </w:r>
          </w:p>
        </w:tc>
        <w:tc>
          <w:tcPr>
            <w:tcW w:w="1492" w:type="dxa"/>
            <w:vAlign w:val="center"/>
          </w:tcPr>
          <w:p w14:paraId="4255FCBA">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品牌/厂家/</w:t>
            </w:r>
          </w:p>
          <w:p w14:paraId="1F40BEB1">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原产地</w:t>
            </w:r>
          </w:p>
        </w:tc>
        <w:tc>
          <w:tcPr>
            <w:tcW w:w="856" w:type="dxa"/>
            <w:vAlign w:val="center"/>
          </w:tcPr>
          <w:p w14:paraId="4067A843">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计量</w:t>
            </w:r>
          </w:p>
          <w:p w14:paraId="66AF2DD2">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w:t>
            </w:r>
          </w:p>
        </w:tc>
        <w:tc>
          <w:tcPr>
            <w:tcW w:w="850" w:type="dxa"/>
            <w:vAlign w:val="center"/>
          </w:tcPr>
          <w:p w14:paraId="4AAD3EF5">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数量</w:t>
            </w:r>
          </w:p>
        </w:tc>
        <w:tc>
          <w:tcPr>
            <w:tcW w:w="992" w:type="dxa"/>
            <w:vAlign w:val="center"/>
          </w:tcPr>
          <w:p w14:paraId="11337DA8">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单价(元)</w:t>
            </w:r>
          </w:p>
        </w:tc>
        <w:tc>
          <w:tcPr>
            <w:tcW w:w="1552" w:type="dxa"/>
            <w:vAlign w:val="center"/>
          </w:tcPr>
          <w:p w14:paraId="1F325EE3">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总价(元)</w:t>
            </w:r>
          </w:p>
        </w:tc>
      </w:tr>
      <w:tr w14:paraId="08D6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14:paraId="5D2AABD0">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1068" w:type="dxa"/>
            <w:vAlign w:val="center"/>
          </w:tcPr>
          <w:p w14:paraId="4D02AE0A">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364" w:type="dxa"/>
            <w:vAlign w:val="center"/>
          </w:tcPr>
          <w:p w14:paraId="6C93775B">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492" w:type="dxa"/>
            <w:vAlign w:val="center"/>
          </w:tcPr>
          <w:p w14:paraId="5F01755C">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856" w:type="dxa"/>
            <w:vAlign w:val="center"/>
          </w:tcPr>
          <w:p w14:paraId="7E565053">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850" w:type="dxa"/>
            <w:vAlign w:val="center"/>
          </w:tcPr>
          <w:p w14:paraId="4EA3DD96">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992" w:type="dxa"/>
            <w:vAlign w:val="center"/>
          </w:tcPr>
          <w:p w14:paraId="18CCFA64">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552" w:type="dxa"/>
            <w:vAlign w:val="center"/>
          </w:tcPr>
          <w:p w14:paraId="4B6EC071">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r>
      <w:tr w14:paraId="595F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14:paraId="26E48ED4">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p>
        </w:tc>
        <w:tc>
          <w:tcPr>
            <w:tcW w:w="1068" w:type="dxa"/>
            <w:vAlign w:val="center"/>
          </w:tcPr>
          <w:p w14:paraId="45794283">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364" w:type="dxa"/>
            <w:vAlign w:val="center"/>
          </w:tcPr>
          <w:p w14:paraId="1811B5C3">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492" w:type="dxa"/>
            <w:vAlign w:val="center"/>
          </w:tcPr>
          <w:p w14:paraId="3CB2389D">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856" w:type="dxa"/>
            <w:vAlign w:val="center"/>
          </w:tcPr>
          <w:p w14:paraId="3CFE3639">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850" w:type="dxa"/>
            <w:vAlign w:val="center"/>
          </w:tcPr>
          <w:p w14:paraId="6223B206">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992" w:type="dxa"/>
            <w:vAlign w:val="center"/>
          </w:tcPr>
          <w:p w14:paraId="4A3BB184">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c>
          <w:tcPr>
            <w:tcW w:w="1552" w:type="dxa"/>
            <w:vAlign w:val="center"/>
          </w:tcPr>
          <w:p w14:paraId="3B3FC39A">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firstLine="420" w:firstLineChars="200"/>
              <w:jc w:val="center"/>
              <w:textAlignment w:val="auto"/>
              <w:rPr>
                <w:rFonts w:hint="default" w:ascii="Times New Roman" w:hAnsi="Times New Roman" w:eastAsia="宋体" w:cs="Times New Roman"/>
                <w:color w:val="auto"/>
                <w:szCs w:val="21"/>
                <w:highlight w:val="none"/>
              </w:rPr>
            </w:pPr>
          </w:p>
        </w:tc>
      </w:tr>
      <w:tr w14:paraId="104E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14:paraId="01D5BFD2">
            <w:pPr>
              <w:keepNext w:val="0"/>
              <w:keepLines w:val="0"/>
              <w:pageBreakBefore w:val="0"/>
              <w:widowControl w:val="0"/>
              <w:suppressLineNumbers w:val="0"/>
              <w:kinsoku/>
              <w:wordWrap/>
              <w:overflowPunct/>
              <w:topLinePunct w:val="0"/>
              <w:bidi w:val="0"/>
              <w:adjustRightInd w:val="0"/>
              <w:snapToGrid w:val="0"/>
              <w:spacing w:beforeAutospacing="0" w:afterAutospacing="0" w:line="288" w:lineRule="auto"/>
              <w:ind w:left="0" w:leftChars="0" w:right="0"/>
              <w:jc w:val="left"/>
              <w:textAlignment w:val="auto"/>
              <w:rPr>
                <w:rFonts w:hint="default" w:ascii="Times New Roman" w:hAnsi="Times New Roman" w:eastAsia="宋体" w:cs="Times New Roman"/>
                <w:snapToGrid w:val="0"/>
                <w:color w:val="auto"/>
                <w:szCs w:val="21"/>
                <w:highlight w:val="none"/>
              </w:rPr>
            </w:pPr>
            <w:r>
              <w:rPr>
                <w:rFonts w:hint="eastAsia" w:ascii="Times New Roman" w:hAnsi="宋体" w:eastAsia="宋体" w:cs="Times New Roman"/>
                <w:color w:val="auto"/>
                <w:szCs w:val="21"/>
                <w:highlight w:val="none"/>
              </w:rPr>
              <w:t>合同总价：人民币小写：</w:t>
            </w:r>
            <w:r>
              <w:rPr>
                <w:rFonts w:hint="eastAsia" w:ascii="Times New Roman" w:hAnsi="宋体" w:eastAsia="宋体" w:cs="Times New Roman"/>
                <w:color w:val="auto"/>
                <w:szCs w:val="21"/>
                <w:highlight w:val="none"/>
                <w:u w:val="single"/>
              </w:rPr>
              <w:t xml:space="preserve">¥            </w:t>
            </w:r>
            <w:r>
              <w:rPr>
                <w:rFonts w:hint="eastAsia" w:ascii="Times New Roman" w:hAnsi="宋体" w:eastAsia="宋体" w:cs="Times New Roman"/>
                <w:color w:val="auto"/>
                <w:szCs w:val="21"/>
                <w:highlight w:val="none"/>
              </w:rPr>
              <w:t xml:space="preserve"> 大写：</w:t>
            </w:r>
            <w:r>
              <w:rPr>
                <w:rFonts w:hint="eastAsia" w:ascii="Times New Roman" w:hAnsi="宋体" w:eastAsia="宋体" w:cs="Times New Roman"/>
                <w:color w:val="auto"/>
                <w:szCs w:val="21"/>
                <w:highlight w:val="none"/>
                <w:u w:val="single"/>
              </w:rPr>
              <w:t xml:space="preserve">                            </w:t>
            </w:r>
          </w:p>
        </w:tc>
      </w:tr>
    </w:tbl>
    <w:p w14:paraId="5CB8B8F7">
      <w:pPr>
        <w:keepNext w:val="0"/>
        <w:keepLines w:val="0"/>
        <w:pageBreakBefore w:val="0"/>
        <w:widowControl w:val="0"/>
        <w:kinsoku/>
        <w:wordWrap/>
        <w:overflowPunct/>
        <w:topLinePunct w:val="0"/>
        <w:bidi w:val="0"/>
        <w:spacing w:line="288" w:lineRule="auto"/>
        <w:ind w:left="0" w:leftChars="0" w:right="0" w:firstLine="891" w:firstLineChars="45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注：以上合同总价包括运抵使用单位的运输、安装、调试、验收、税金等费用。</w:t>
      </w:r>
    </w:p>
    <w:p w14:paraId="7D13EB50">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二、技术资料</w:t>
      </w:r>
    </w:p>
    <w:p w14:paraId="672708ED">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、乙方应按招标文件规定的时间向甲方提供合同货物的有关技术资料。</w:t>
      </w:r>
    </w:p>
    <w:p w14:paraId="33DB6B91">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2</w:t>
      </w:r>
      <w:r>
        <w:rPr>
          <w:rFonts w:hint="eastAsia" w:ascii="Times New Roman" w:hAnsi="Times New Roman" w:eastAsia="宋体" w:cs="Times New Roman"/>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1B4DD7A0">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三、知识产权</w:t>
      </w:r>
    </w:p>
    <w:p w14:paraId="47C367E7">
      <w:pPr>
        <w:keepNext w:val="0"/>
        <w:keepLines w:val="0"/>
        <w:pageBreakBefore w:val="0"/>
        <w:widowControl w:val="0"/>
        <w:kinsoku/>
        <w:wordWrap/>
        <w:overflowPunct/>
        <w:topLinePunct w:val="0"/>
        <w:bidi w:val="0"/>
        <w:spacing w:line="288" w:lineRule="auto"/>
        <w:ind w:left="0" w:leftChars="0" w:right="0" w:firstLine="425" w:firstLineChars="215"/>
        <w:contextualSpacing/>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乙方应保证所提供的货物或其任何一部分均不会侵犯任何第三方的知识产权，由此产生的知识产权纠纷由乙方承担全部责任。</w:t>
      </w:r>
    </w:p>
    <w:p w14:paraId="52772D62">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四、履约保证金</w:t>
      </w:r>
    </w:p>
    <w:p w14:paraId="10E907BD">
      <w:pPr>
        <w:keepNext w:val="0"/>
        <w:keepLines w:val="0"/>
        <w:pageBreakBefore w:val="0"/>
        <w:widowControl w:val="0"/>
        <w:kinsoku/>
        <w:wordWrap/>
        <w:overflowPunct/>
        <w:topLinePunct w:val="0"/>
        <w:bidi w:val="0"/>
        <w:spacing w:line="288" w:lineRule="auto"/>
        <w:ind w:left="0" w:leftChars="0" w:right="0" w:firstLine="420" w:firstLineChars="200"/>
        <w:contextualSpacing/>
        <w:textAlignment w:val="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1、乙方须于合同签订后七个工作日内向甲方支付合同总价</w:t>
      </w:r>
      <w:r>
        <w:rPr>
          <w:rFonts w:hint="eastAsia" w:ascii="宋体" w:hAnsi="宋体" w:eastAsia="宋体" w:cs="Times New Roman"/>
          <w:color w:val="auto"/>
          <w:szCs w:val="21"/>
          <w:highlight w:val="none"/>
          <w:u w:val="single"/>
        </w:rPr>
        <w:t xml:space="preserve"> 1% </w:t>
      </w:r>
      <w:r>
        <w:rPr>
          <w:rFonts w:hint="eastAsia" w:ascii="宋体" w:hAnsi="宋体" w:eastAsia="宋体" w:cs="宋体"/>
          <w:color w:val="auto"/>
          <w:szCs w:val="21"/>
          <w:highlight w:val="none"/>
        </w:rPr>
        <w:t>的履约保证金，共计人民币</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宋体"/>
          <w:color w:val="auto"/>
          <w:szCs w:val="21"/>
          <w:highlight w:val="none"/>
        </w:rPr>
        <w:t>元。履约保证金在合同履约期间无违约情形的，项目验收合格通过后，于</w:t>
      </w:r>
      <w:r>
        <w:rPr>
          <w:rFonts w:hint="eastAsia" w:ascii="宋体" w:hAnsi="宋体" w:eastAsia="宋体" w:cs="宋体"/>
          <w:color w:val="auto"/>
          <w:szCs w:val="21"/>
          <w:highlight w:val="none"/>
          <w:u w:val="single"/>
        </w:rPr>
        <w:t xml:space="preserve"> 七 </w:t>
      </w:r>
      <w:r>
        <w:rPr>
          <w:rFonts w:hint="eastAsia" w:ascii="宋体" w:hAnsi="宋体" w:eastAsia="宋体" w:cs="宋体"/>
          <w:color w:val="auto"/>
          <w:szCs w:val="21"/>
          <w:highlight w:val="none"/>
        </w:rPr>
        <w:t>个工作日内无息退还</w:t>
      </w:r>
      <w:r>
        <w:rPr>
          <w:rFonts w:hint="eastAsia" w:ascii="宋体" w:hAnsi="宋体" w:eastAsia="宋体" w:cs="宋体"/>
          <w:color w:val="auto"/>
          <w:spacing w:val="-6"/>
          <w:szCs w:val="21"/>
          <w:highlight w:val="none"/>
        </w:rPr>
        <w:t>。</w:t>
      </w:r>
    </w:p>
    <w:p w14:paraId="11ECDE3D">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2、履约保证金形式：银行转账或电汇或银行、保险公司出具的保函。</w:t>
      </w:r>
    </w:p>
    <w:p w14:paraId="6C7218C9">
      <w:pPr>
        <w:keepNext w:val="0"/>
        <w:keepLines w:val="0"/>
        <w:pageBreakBefore w:val="0"/>
        <w:widowControl w:val="0"/>
        <w:kinsoku/>
        <w:wordWrap/>
        <w:overflowPunct/>
        <w:topLinePunct w:val="0"/>
        <w:bidi w:val="0"/>
        <w:spacing w:line="288" w:lineRule="auto"/>
        <w:ind w:left="0" w:leftChars="0" w:right="0" w:firstLine="420" w:firstLineChars="200"/>
        <w:contextualSpacing/>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3、乙方没有按时支付履约保证金的，甲方有权单方终止本合同，由此产生的损失由乙方承担。</w:t>
      </w:r>
    </w:p>
    <w:p w14:paraId="1E2E388D">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 xml:space="preserve">五、交货时间、地点 </w:t>
      </w:r>
    </w:p>
    <w:p w14:paraId="1E8FB4CD">
      <w:pPr>
        <w:keepNext w:val="0"/>
        <w:keepLines w:val="0"/>
        <w:pageBreakBefore w:val="0"/>
        <w:widowControl w:val="0"/>
        <w:kinsoku/>
        <w:wordWrap/>
        <w:overflowPunct/>
        <w:topLinePunct w:val="0"/>
        <w:bidi w:val="0"/>
        <w:spacing w:line="288" w:lineRule="auto"/>
        <w:ind w:left="0" w:leftChars="0" w:right="0" w:firstLine="420" w:firstLineChars="200"/>
        <w:contextualSpacing/>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乙方应于</w:t>
      </w:r>
      <w:r>
        <w:rPr>
          <w:rFonts w:hint="eastAsia" w:ascii="Times New Roman" w:hAnsi="Times New Roman" w:eastAsia="宋体" w:cs="Times New Roman"/>
          <w:color w:val="auto"/>
          <w:spacing w:val="-6"/>
          <w:szCs w:val="21"/>
          <w:highlight w:val="none"/>
        </w:rPr>
        <w:t>合同签订以后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天内将所供商品按时、安全运至甲方指定地点，并安装调试完毕后交甲方验收。</w:t>
      </w:r>
    </w:p>
    <w:p w14:paraId="53A07DF2">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六、调试与验收</w:t>
      </w:r>
    </w:p>
    <w:p w14:paraId="750274C7">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宋体" w:hAnsi="宋体" w:eastAsia="宋体" w:cs="宋体"/>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14:paraId="6CE7439A">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2、到货验收：到货后，甲方对乙方提交的货物依据招标文件上的技术规格要求和国家有关质量标准进行现场到货验收，主要</w:t>
      </w:r>
      <w:r>
        <w:rPr>
          <w:rFonts w:hint="eastAsia" w:ascii="Times New Roman" w:hAnsi="Times New Roman" w:eastAsia="宋体" w:cs="Times New Roman"/>
          <w:color w:val="auto"/>
          <w:szCs w:val="21"/>
          <w:highlight w:val="none"/>
        </w:rPr>
        <w:t>检查货物原产地、规格、型号、配置是否符合要求。</w:t>
      </w:r>
      <w:r>
        <w:rPr>
          <w:rFonts w:hint="eastAsia" w:ascii="Times New Roman" w:hAnsi="Times New Roman" w:eastAsia="宋体" w:cs="Times New Roman"/>
          <w:color w:val="auto"/>
          <w:spacing w:val="-6"/>
          <w:szCs w:val="21"/>
          <w:highlight w:val="none"/>
        </w:rPr>
        <w:t>符合招投标文件技术要求的给予签收，初步验收不合格的不予签收。</w:t>
      </w:r>
    </w:p>
    <w:p w14:paraId="04DCB145">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16989B49">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4、对技术复杂的货物，甲方可请国家法定检测机构或者双方认可的第三方机构参与到货验收及交付验收，并由其出具质量检测报告。验收费用由乙方承担。</w:t>
      </w:r>
    </w:p>
    <w:p w14:paraId="0C791AD5">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5、如发现有重大的质量问题：</w:t>
      </w:r>
    </w:p>
    <w:p w14:paraId="4DCBF5A0">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（1）甲乙双方可协商，乙方</w:t>
      </w:r>
      <w:r>
        <w:rPr>
          <w:rFonts w:hint="eastAsia" w:ascii="Times New Roman" w:hAnsi="Times New Roman" w:eastAsia="宋体" w:cs="Times New Roman"/>
          <w:color w:val="auto"/>
          <w:szCs w:val="21"/>
          <w:highlight w:val="none"/>
        </w:rPr>
        <w:t>应在合理的期限内负责更换直至符合质量要求；</w:t>
      </w:r>
    </w:p>
    <w:p w14:paraId="70C66DBF">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Times New Roman" w:hAnsi="Times New Roman" w:eastAsia="宋体" w:cs="Times New Roman"/>
          <w:color w:val="auto"/>
          <w:spacing w:val="-6"/>
          <w:szCs w:val="21"/>
          <w:highlight w:val="none"/>
          <w:u w:val="single"/>
        </w:rPr>
        <w:t xml:space="preserve"> </w:t>
      </w:r>
      <w:r>
        <w:rPr>
          <w:rFonts w:ascii="Times New Roman" w:hAnsi="Times New Roman" w:eastAsia="宋体" w:cs="Times New Roman"/>
          <w:color w:val="auto"/>
          <w:spacing w:val="-6"/>
          <w:szCs w:val="21"/>
          <w:highlight w:val="none"/>
          <w:u w:val="single"/>
        </w:rPr>
        <w:t>10</w:t>
      </w:r>
      <w:r>
        <w:rPr>
          <w:rFonts w:hint="eastAsia"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Times New Roman"/>
          <w:color w:val="auto"/>
          <w:spacing w:val="-6"/>
          <w:szCs w:val="21"/>
          <w:highlight w:val="none"/>
        </w:rPr>
        <w:t>的赔偿金。</w:t>
      </w:r>
    </w:p>
    <w:p w14:paraId="2EA08A0E">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6、当出现退货情况时，乙方应在</w:t>
      </w:r>
      <w:r>
        <w:rPr>
          <w:rFonts w:hint="eastAsia" w:ascii="Times New Roman" w:hAnsi="Times New Roman" w:eastAsia="宋体" w:cs="Times New Roman"/>
          <w:color w:val="auto"/>
          <w:spacing w:val="-6"/>
          <w:szCs w:val="21"/>
          <w:highlight w:val="none"/>
          <w:u w:val="single"/>
        </w:rPr>
        <w:t xml:space="preserve">  10  </w:t>
      </w:r>
      <w:r>
        <w:rPr>
          <w:rFonts w:hint="eastAsia" w:ascii="Times New Roman" w:hAnsi="Times New Roman" w:eastAsia="宋体" w:cs="Times New Roman"/>
          <w:color w:val="auto"/>
          <w:spacing w:val="-6"/>
          <w:szCs w:val="21"/>
          <w:highlight w:val="none"/>
        </w:rPr>
        <w:t>天内将货物搬回，逾期没有将货物搬回的，视为乙方将货物抛弃，甲方有权随意处理，货物搬运和处理费用由乙方承担。</w:t>
      </w:r>
    </w:p>
    <w:p w14:paraId="4A36856E">
      <w:pPr>
        <w:keepNext w:val="0"/>
        <w:keepLines w:val="0"/>
        <w:pageBreakBefore w:val="0"/>
        <w:widowControl w:val="0"/>
        <w:kinsoku/>
        <w:wordWrap/>
        <w:overflowPunct/>
        <w:topLinePunct w:val="0"/>
        <w:bidi w:val="0"/>
        <w:spacing w:line="288" w:lineRule="auto"/>
        <w:ind w:left="0" w:leftChars="0" w:right="0" w:firstLine="422"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b/>
          <w:color w:val="auto"/>
          <w:szCs w:val="21"/>
          <w:highlight w:val="none"/>
        </w:rPr>
        <w:t>七、货款的支付</w:t>
      </w:r>
    </w:p>
    <w:p w14:paraId="073473EC">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20" w:firstLineChars="200"/>
        <w:jc w:val="left"/>
        <w:textAlignment w:val="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元（大写：</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）；项目履约完成，经甲方验收合格后，收到发票后7个工作日内，甲方支付合同总价的60%，即¥</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元（大写：</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w:t>
      </w:r>
    </w:p>
    <w:p w14:paraId="7936CF2E">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735" w:firstLineChars="350"/>
        <w:jc w:val="left"/>
        <w:textAlignment w:val="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乙方为大型企业的，项目履约完成，经甲方验收合格后，收到发票后7个工作日内，甲方支付合同总价的100%，即¥</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元（大写：</w:t>
      </w:r>
      <w:r>
        <w:rPr>
          <w:rFonts w:hint="eastAsia" w:ascii="宋体" w:hAnsi="宋体" w:eastAsia="宋体" w:cs="Times New Roman"/>
          <w:color w:val="auto"/>
          <w:szCs w:val="21"/>
          <w:highlight w:val="none"/>
          <w:u w:val="single"/>
        </w:rPr>
        <w:t xml:space="preserve">       </w:t>
      </w:r>
      <w:r>
        <w:rPr>
          <w:rFonts w:hint="eastAsia" w:ascii="宋体" w:hAnsi="宋体" w:eastAsia="宋体" w:cs="Arial"/>
          <w:color w:val="auto"/>
          <w:kern w:val="0"/>
          <w:szCs w:val="21"/>
          <w:highlight w:val="none"/>
        </w:rPr>
        <w:t>）。</w:t>
      </w:r>
    </w:p>
    <w:p w14:paraId="3E127F1B">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20" w:firstLineChars="200"/>
        <w:jc w:val="left"/>
        <w:textAlignment w:val="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2、乙方应开具增值税专用发票。</w:t>
      </w:r>
    </w:p>
    <w:p w14:paraId="21529A17">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20" w:firstLineChars="200"/>
        <w:jc w:val="left"/>
        <w:textAlignment w:val="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【注：在签订合同时，乙方明确表示无需预付款或者主动要求降低预付款比例的，可降低预付款比例（预付款保函同步调整）。签订合同时根据乙方实际情况修改，并删除无关内容。】</w:t>
      </w:r>
    </w:p>
    <w:p w14:paraId="683CF6F8">
      <w:pPr>
        <w:keepNext w:val="0"/>
        <w:keepLines w:val="0"/>
        <w:pageBreakBefore w:val="0"/>
        <w:widowControl w:val="0"/>
        <w:kinsoku/>
        <w:wordWrap/>
        <w:overflowPunct/>
        <w:topLinePunct w:val="0"/>
        <w:bidi w:val="0"/>
        <w:spacing w:line="288" w:lineRule="auto"/>
        <w:ind w:left="0" w:leftChars="0" w:right="0" w:firstLine="422"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b/>
          <w:color w:val="auto"/>
          <w:szCs w:val="21"/>
          <w:highlight w:val="none"/>
        </w:rPr>
        <w:t>八、质量保证与售后服务</w:t>
      </w:r>
    </w:p>
    <w:p w14:paraId="64A8F79C">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1、乙方应按招标文件规定的货物性能、技术要求、质量标准向甲方提供未经使用的全新产品。</w:t>
      </w:r>
    </w:p>
    <w:p w14:paraId="1461B094">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 xml:space="preserve">2、产品质量保修期为 </w:t>
      </w:r>
      <w:r>
        <w:rPr>
          <w:rFonts w:hint="eastAsia"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Times New Roman"/>
          <w:color w:val="auto"/>
          <w:spacing w:val="-6"/>
          <w:szCs w:val="21"/>
          <w:highlight w:val="none"/>
        </w:rPr>
        <w:t>年，质保期从验收合格后开始计算。</w:t>
      </w:r>
    </w:p>
    <w:p w14:paraId="33974C41">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3、在质保期内，乙方应对货物出现的质量及安全问题负责处理解决并承担一切费用。保修期后，乙方需继续为甲方服务，仅收取零配件成本费，免人工费和差旅费，所涉及软件终身免费升级。</w:t>
      </w:r>
    </w:p>
    <w:p w14:paraId="503E0C59">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4、如在使用过程中发生故障，无法正常使用时，乙方在接到甲方通知后，保修响应时间</w:t>
      </w:r>
      <w:r>
        <w:rPr>
          <w:rFonts w:hint="eastAsia" w:ascii="Times New Roman" w:hAnsi="Times New Roman" w:eastAsia="宋体" w:cs="Times New Roman"/>
          <w:color w:val="auto"/>
          <w:spacing w:val="-6"/>
          <w:szCs w:val="21"/>
          <w:highlight w:val="none"/>
          <w:u w:val="single"/>
        </w:rPr>
        <w:t>2</w:t>
      </w:r>
      <w:r>
        <w:rPr>
          <w:rFonts w:hint="eastAsia" w:ascii="Times New Roman" w:hAnsi="Times New Roman" w:eastAsia="宋体" w:cs="Times New Roman"/>
          <w:color w:val="auto"/>
          <w:spacing w:val="-6"/>
          <w:szCs w:val="21"/>
          <w:highlight w:val="none"/>
        </w:rPr>
        <w:t>小时以内，电话技术支持</w:t>
      </w:r>
      <w:r>
        <w:rPr>
          <w:rFonts w:hint="eastAsia" w:ascii="Times New Roman" w:hAnsi="Times New Roman" w:eastAsia="宋体" w:cs="Times New Roman"/>
          <w:color w:val="auto"/>
          <w:spacing w:val="-6"/>
          <w:szCs w:val="21"/>
          <w:highlight w:val="none"/>
          <w:u w:val="single"/>
        </w:rPr>
        <w:t>4</w:t>
      </w:r>
      <w:r>
        <w:rPr>
          <w:rFonts w:hint="eastAsia" w:ascii="Times New Roman" w:hAnsi="Times New Roman" w:eastAsia="宋体" w:cs="Times New Roman"/>
          <w:color w:val="auto"/>
          <w:spacing w:val="-6"/>
          <w:szCs w:val="21"/>
          <w:highlight w:val="none"/>
        </w:rPr>
        <w:t>小时内解决问题；若需上门维修，则</w:t>
      </w:r>
      <w:r>
        <w:rPr>
          <w:rFonts w:ascii="Times New Roman" w:hAnsi="Times New Roman" w:eastAsia="宋体" w:cs="Times New Roman"/>
          <w:color w:val="auto"/>
          <w:spacing w:val="-6"/>
          <w:szCs w:val="21"/>
          <w:highlight w:val="none"/>
          <w:u w:val="single"/>
        </w:rPr>
        <w:t>8</w:t>
      </w:r>
      <w:r>
        <w:rPr>
          <w:rFonts w:hint="eastAsia" w:ascii="Times New Roman" w:hAnsi="Times New Roman" w:eastAsia="宋体" w:cs="Times New Roman"/>
          <w:color w:val="auto"/>
          <w:spacing w:val="-6"/>
          <w:szCs w:val="21"/>
          <w:highlight w:val="none"/>
        </w:rPr>
        <w:t>小时内到达现场并进行维修，最迟在</w:t>
      </w:r>
      <w:r>
        <w:rPr>
          <w:rFonts w:ascii="Times New Roman" w:hAnsi="Times New Roman" w:eastAsia="宋体" w:cs="Times New Roman"/>
          <w:color w:val="auto"/>
          <w:spacing w:val="-6"/>
          <w:szCs w:val="21"/>
          <w:highlight w:val="none"/>
          <w:u w:val="single"/>
        </w:rPr>
        <w:t>2</w:t>
      </w:r>
      <w:r>
        <w:rPr>
          <w:rFonts w:hint="eastAsia" w:ascii="Times New Roman" w:hAnsi="Times New Roman" w:eastAsia="宋体" w:cs="Times New Roman"/>
          <w:color w:val="auto"/>
          <w:spacing w:val="-6"/>
          <w:szCs w:val="21"/>
          <w:highlight w:val="none"/>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14:paraId="2673BABD">
      <w:pPr>
        <w:keepNext w:val="0"/>
        <w:keepLines w:val="0"/>
        <w:pageBreakBefore w:val="0"/>
        <w:widowControl w:val="0"/>
        <w:kinsoku/>
        <w:wordWrap/>
        <w:overflowPunct/>
        <w:topLinePunct w:val="0"/>
        <w:bidi w:val="0"/>
        <w:spacing w:line="288" w:lineRule="auto"/>
        <w:ind w:left="0" w:leftChars="0" w:right="0" w:firstLine="422" w:firstLineChars="200"/>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九、违约责任</w:t>
      </w:r>
    </w:p>
    <w:p w14:paraId="01DAB02B">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1、乙方逾期履行合同的，甲方有权没收履约保证金，并自逾期之日起，乙方每天按合同总金额0.2%向甲方偿付违约金。</w:t>
      </w:r>
    </w:p>
    <w:p w14:paraId="43FD8C03">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 xml:space="preserve">2、乙方逾期交货超过 </w:t>
      </w:r>
      <w:r>
        <w:rPr>
          <w:rFonts w:hint="eastAsia" w:ascii="Times New Roman" w:hAnsi="Times New Roman" w:eastAsia="宋体" w:cs="Times New Roman"/>
          <w:color w:val="auto"/>
          <w:spacing w:val="-6"/>
          <w:szCs w:val="21"/>
          <w:highlight w:val="none"/>
          <w:u w:val="single"/>
        </w:rPr>
        <w:t xml:space="preserve"> 30 </w:t>
      </w:r>
      <w:r>
        <w:rPr>
          <w:rFonts w:hint="eastAsia" w:ascii="Times New Roman" w:hAnsi="Times New Roman" w:eastAsia="宋体" w:cs="Times New Roman"/>
          <w:color w:val="auto"/>
          <w:spacing w:val="-6"/>
          <w:szCs w:val="21"/>
          <w:highlight w:val="none"/>
        </w:rPr>
        <w:t>天，甲方有权终止合同，且乙方仍须支付相应的违约金；如造成甲方损失超过违约金的，超出部分由乙方继续承担赔偿责任。</w:t>
      </w:r>
    </w:p>
    <w:p w14:paraId="1B3A3BE7">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3、甲方逾期付款的，乙方有权要求甲方自逾期之日起每天按合同总金额0.2%向乙方偿付违约金。</w:t>
      </w:r>
    </w:p>
    <w:p w14:paraId="3CF21439">
      <w:pPr>
        <w:keepNext w:val="0"/>
        <w:keepLines w:val="0"/>
        <w:pageBreakBefore w:val="0"/>
        <w:widowControl w:val="0"/>
        <w:kinsoku/>
        <w:wordWrap/>
        <w:overflowPunct/>
        <w:topLinePunct w:val="0"/>
        <w:bidi w:val="0"/>
        <w:spacing w:line="288" w:lineRule="auto"/>
        <w:ind w:left="0" w:leftChars="0" w:right="0" w:firstLine="398"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b/>
          <w:bCs/>
          <w:color w:val="auto"/>
          <w:spacing w:val="-6"/>
          <w:szCs w:val="21"/>
          <w:highlight w:val="none"/>
        </w:rPr>
        <w:t>十、不可抗力事件处理</w:t>
      </w:r>
    </w:p>
    <w:p w14:paraId="7D6E89AF">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w:t>
      </w:r>
      <w:r>
        <w:rPr>
          <w:rFonts w:ascii="Times New Roman" w:hAnsi="Times New Roman" w:eastAsia="宋体" w:cs="Times New Roman"/>
          <w:color w:val="auto"/>
          <w:spacing w:val="-6"/>
          <w:szCs w:val="21"/>
          <w:highlight w:val="none"/>
        </w:rPr>
        <w:t xml:space="preserve"> </w:t>
      </w:r>
      <w:r>
        <w:rPr>
          <w:rFonts w:hint="eastAsia" w:ascii="Times New Roman" w:hAnsi="Times New Roman" w:eastAsia="宋体" w:cs="Times New Roman"/>
          <w:color w:val="auto"/>
          <w:spacing w:val="-6"/>
          <w:szCs w:val="21"/>
          <w:highlight w:val="none"/>
        </w:rPr>
        <w:t>在合同有效期内，任何一方因不可抗力事件导致不能履行合同，则合同履行期可延长，其延长期与不可抗力影响期相同。</w:t>
      </w:r>
    </w:p>
    <w:p w14:paraId="26B0BCAE">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2</w:t>
      </w:r>
      <w:r>
        <w:rPr>
          <w:rFonts w:hint="eastAsia" w:ascii="Times New Roman" w:hAnsi="Times New Roman" w:eastAsia="宋体" w:cs="Times New Roman"/>
          <w:color w:val="auto"/>
          <w:spacing w:val="-6"/>
          <w:szCs w:val="21"/>
          <w:highlight w:val="none"/>
        </w:rPr>
        <w:t>、不可抗力事件发生后，应立即通知对方，并寄送有关权威机构出具的证明。</w:t>
      </w:r>
    </w:p>
    <w:p w14:paraId="6A43888E">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3</w:t>
      </w:r>
      <w:r>
        <w:rPr>
          <w:rFonts w:hint="eastAsia" w:ascii="Times New Roman" w:hAnsi="Times New Roman" w:eastAsia="宋体" w:cs="Times New Roman"/>
          <w:color w:val="auto"/>
          <w:spacing w:val="-6"/>
          <w:szCs w:val="21"/>
          <w:highlight w:val="none"/>
        </w:rPr>
        <w:t>、不可抗力事件延续</w:t>
      </w:r>
      <w:r>
        <w:rPr>
          <w:rFonts w:ascii="Times New Roman" w:hAnsi="Times New Roman" w:eastAsia="宋体" w:cs="Times New Roman"/>
          <w:color w:val="auto"/>
          <w:spacing w:val="-6"/>
          <w:szCs w:val="21"/>
          <w:highlight w:val="none"/>
        </w:rPr>
        <w:t>120</w:t>
      </w:r>
      <w:r>
        <w:rPr>
          <w:rFonts w:hint="eastAsia" w:ascii="Times New Roman" w:hAnsi="Times New Roman" w:eastAsia="宋体" w:cs="Times New Roman"/>
          <w:color w:val="auto"/>
          <w:spacing w:val="-6"/>
          <w:szCs w:val="21"/>
          <w:highlight w:val="none"/>
        </w:rPr>
        <w:t>天以上，双方应通过友好协商，确定是否继续履行合同。</w:t>
      </w:r>
    </w:p>
    <w:p w14:paraId="268B3EE0">
      <w:pPr>
        <w:keepNext w:val="0"/>
        <w:keepLines w:val="0"/>
        <w:pageBreakBefore w:val="0"/>
        <w:widowControl w:val="0"/>
        <w:kinsoku/>
        <w:wordWrap/>
        <w:overflowPunct/>
        <w:topLinePunct w:val="0"/>
        <w:bidi w:val="0"/>
        <w:spacing w:line="288" w:lineRule="auto"/>
        <w:ind w:left="0" w:leftChars="0" w:right="0" w:firstLine="422"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b/>
          <w:color w:val="auto"/>
          <w:szCs w:val="21"/>
          <w:highlight w:val="none"/>
        </w:rPr>
        <w:t>十一、争议解决</w:t>
      </w:r>
    </w:p>
    <w:p w14:paraId="31AE3F60">
      <w:pPr>
        <w:keepNext w:val="0"/>
        <w:keepLines w:val="0"/>
        <w:pageBreakBefore w:val="0"/>
        <w:widowControl w:val="0"/>
        <w:kinsoku/>
        <w:wordWrap/>
        <w:overflowPunct/>
        <w:topLinePunct w:val="0"/>
        <w:bidi w:val="0"/>
        <w:spacing w:line="288" w:lineRule="auto"/>
        <w:ind w:left="0" w:leftChars="0" w:right="0" w:firstLine="396" w:firstLineChars="200"/>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spacing w:val="-6"/>
          <w:szCs w:val="21"/>
          <w:highlight w:val="none"/>
        </w:rPr>
        <w:t>双方在执行合同过程中所发生的一切争议，应首先通过协商解决，协商不成，应向甲方所在地人民法院起诉。</w:t>
      </w:r>
    </w:p>
    <w:p w14:paraId="3983646C">
      <w:pPr>
        <w:keepNext w:val="0"/>
        <w:keepLines w:val="0"/>
        <w:pageBreakBefore w:val="0"/>
        <w:widowControl w:val="0"/>
        <w:kinsoku/>
        <w:wordWrap/>
        <w:overflowPunct/>
        <w:topLinePunct w:val="0"/>
        <w:bidi w:val="0"/>
        <w:spacing w:line="288" w:lineRule="auto"/>
        <w:ind w:left="0" w:leftChars="0" w:right="0" w:firstLine="405" w:firstLineChars="192"/>
        <w:contextualSpacing/>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十二、合同生效</w:t>
      </w:r>
    </w:p>
    <w:p w14:paraId="3BF4B4C4">
      <w:pPr>
        <w:keepNext w:val="0"/>
        <w:keepLines w:val="0"/>
        <w:pageBreakBefore w:val="0"/>
        <w:widowControl w:val="0"/>
        <w:kinsoku/>
        <w:wordWrap/>
        <w:overflowPunct/>
        <w:topLinePunct w:val="0"/>
        <w:bidi w:val="0"/>
        <w:spacing w:line="288" w:lineRule="auto"/>
        <w:ind w:left="0" w:leftChars="0" w:right="0" w:firstLine="109" w:firstLineChars="52"/>
        <w:contextualSpacing/>
        <w:textAlignment w:val="auto"/>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1、本合同经甲、乙双方法定代表人或授权代表签字并加盖单位公章后生效。</w:t>
      </w:r>
    </w:p>
    <w:p w14:paraId="3C77F8E5">
      <w:pPr>
        <w:keepNext w:val="0"/>
        <w:keepLines w:val="0"/>
        <w:pageBreakBefore w:val="0"/>
        <w:widowControl w:val="0"/>
        <w:kinsoku/>
        <w:wordWrap/>
        <w:overflowPunct/>
        <w:topLinePunct w:val="0"/>
        <w:bidi w:val="0"/>
        <w:spacing w:line="288" w:lineRule="auto"/>
        <w:ind w:left="0" w:leftChars="0" w:right="0" w:firstLine="109" w:firstLineChars="52"/>
        <w:contextualSpacing/>
        <w:textAlignment w:val="auto"/>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2、本合同未尽事宜，双方可协商签订补充协议，补充协议和本合同具有同等法律效力。</w:t>
      </w:r>
    </w:p>
    <w:p w14:paraId="0D7AC8EB">
      <w:pPr>
        <w:keepNext w:val="0"/>
        <w:keepLines w:val="0"/>
        <w:pageBreakBefore w:val="0"/>
        <w:widowControl w:val="0"/>
        <w:kinsoku/>
        <w:wordWrap/>
        <w:overflowPunct/>
        <w:topLinePunct w:val="0"/>
        <w:bidi w:val="0"/>
        <w:spacing w:line="288" w:lineRule="auto"/>
        <w:ind w:left="0" w:leftChars="0" w:right="0" w:firstLine="424" w:firstLineChars="202"/>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zCs w:val="24"/>
          <w:highlight w:val="none"/>
        </w:rPr>
        <w:t>3、</w:t>
      </w:r>
      <w:r>
        <w:rPr>
          <w:rFonts w:hint="eastAsia" w:ascii="Times New Roman" w:hAnsi="Times New Roman" w:eastAsia="宋体" w:cs="Times New Roman"/>
          <w:color w:val="auto"/>
          <w:spacing w:val="-6"/>
          <w:szCs w:val="21"/>
          <w:highlight w:val="none"/>
        </w:rPr>
        <w:t>本合同一式柒份，甲方执陆份，乙方执壹份。</w:t>
      </w:r>
    </w:p>
    <w:p w14:paraId="50A8A828">
      <w:pPr>
        <w:keepNext w:val="0"/>
        <w:keepLines w:val="0"/>
        <w:pageBreakBefore w:val="0"/>
        <w:widowControl w:val="0"/>
        <w:kinsoku/>
        <w:wordWrap/>
        <w:overflowPunct/>
        <w:topLinePunct w:val="0"/>
        <w:bidi w:val="0"/>
        <w:spacing w:line="288" w:lineRule="auto"/>
        <w:ind w:left="0" w:leftChars="0" w:right="0" w:firstLine="424" w:firstLineChars="202"/>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zCs w:val="24"/>
          <w:highlight w:val="none"/>
        </w:rPr>
        <w:t>4、</w:t>
      </w:r>
      <w:r>
        <w:rPr>
          <w:rFonts w:hint="eastAsia" w:ascii="Times New Roman" w:hAnsi="Times New Roman" w:eastAsia="宋体" w:cs="Times New Roman"/>
          <w:color w:val="auto"/>
          <w:spacing w:val="-6"/>
          <w:szCs w:val="21"/>
          <w:highlight w:val="none"/>
        </w:rPr>
        <w:t>与本合同有关的招投标文件及相关承诺系本合同的组成部分。</w:t>
      </w:r>
    </w:p>
    <w:p w14:paraId="5D86A215">
      <w:pPr>
        <w:keepNext w:val="0"/>
        <w:keepLines w:val="0"/>
        <w:pageBreakBefore w:val="0"/>
        <w:widowControl w:val="0"/>
        <w:kinsoku/>
        <w:wordWrap/>
        <w:overflowPunct/>
        <w:topLinePunct w:val="0"/>
        <w:bidi w:val="0"/>
        <w:spacing w:line="288" w:lineRule="auto"/>
        <w:ind w:left="0" w:leftChars="0" w:right="0"/>
        <w:contextualSpacing/>
        <w:textAlignment w:val="auto"/>
        <w:rPr>
          <w:rFonts w:ascii="Times New Roman" w:hAnsi="Times New Roman" w:eastAsia="宋体" w:cs="Times New Roman"/>
          <w:color w:val="auto"/>
          <w:spacing w:val="-6"/>
          <w:szCs w:val="21"/>
          <w:highlight w:val="none"/>
        </w:rPr>
      </w:pPr>
    </w:p>
    <w:tbl>
      <w:tblPr>
        <w:tblStyle w:val="24"/>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6F66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752ACB5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甲  方（需方）</w:t>
            </w:r>
          </w:p>
        </w:tc>
        <w:tc>
          <w:tcPr>
            <w:tcW w:w="4644" w:type="dxa"/>
            <w:vAlign w:val="bottom"/>
          </w:tcPr>
          <w:p w14:paraId="04458BA7">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乙  方（供方）</w:t>
            </w:r>
          </w:p>
        </w:tc>
      </w:tr>
      <w:tr w14:paraId="239B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7A7F9B7">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单位名称（章）：中国计量大学</w:t>
            </w:r>
          </w:p>
        </w:tc>
        <w:tc>
          <w:tcPr>
            <w:tcW w:w="4644" w:type="dxa"/>
            <w:vAlign w:val="center"/>
          </w:tcPr>
          <w:p w14:paraId="7CEF30F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w:t>
            </w:r>
          </w:p>
        </w:tc>
      </w:tr>
      <w:tr w14:paraId="3299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280B201B">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 浙江省杭州市钱塘区学源街258号</w:t>
            </w:r>
          </w:p>
        </w:tc>
        <w:tc>
          <w:tcPr>
            <w:tcW w:w="4644" w:type="dxa"/>
            <w:vAlign w:val="center"/>
          </w:tcPr>
          <w:p w14:paraId="3FAB3D0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w:t>
            </w:r>
          </w:p>
        </w:tc>
      </w:tr>
      <w:tr w14:paraId="285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F552159">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c>
          <w:tcPr>
            <w:tcW w:w="4644" w:type="dxa"/>
            <w:vAlign w:val="center"/>
          </w:tcPr>
          <w:p w14:paraId="4D6D96F7">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r>
      <w:tr w14:paraId="1E5D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0758286">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c>
          <w:tcPr>
            <w:tcW w:w="4644" w:type="dxa"/>
            <w:vAlign w:val="center"/>
          </w:tcPr>
          <w:p w14:paraId="7BC66F79">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r>
      <w:tr w14:paraId="11DE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17450C2">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电话：0571-</w:t>
            </w:r>
            <w:r>
              <w:rPr>
                <w:rFonts w:hint="default" w:ascii="Times New Roman" w:hAnsi="Times New Roman" w:eastAsia="宋体" w:cs="Times New Roman"/>
                <w:color w:val="auto"/>
                <w:szCs w:val="21"/>
                <w:highlight w:val="none"/>
              </w:rPr>
              <w:t>868</w:t>
            </w:r>
            <w:r>
              <w:rPr>
                <w:rFonts w:hint="eastAsia" w:ascii="Times New Roman" w:hAnsi="Times New Roman" w:eastAsia="宋体" w:cs="Times New Roman"/>
                <w:color w:val="auto"/>
                <w:szCs w:val="21"/>
                <w:highlight w:val="none"/>
              </w:rPr>
              <w:t>75788     传真：0571-86875640</w:t>
            </w:r>
          </w:p>
        </w:tc>
        <w:tc>
          <w:tcPr>
            <w:tcW w:w="4644" w:type="dxa"/>
            <w:vAlign w:val="center"/>
          </w:tcPr>
          <w:p w14:paraId="299093B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r>
      <w:tr w14:paraId="0E28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5DD1E39">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开户银行：工行高新支行</w:t>
            </w:r>
          </w:p>
        </w:tc>
        <w:tc>
          <w:tcPr>
            <w:tcW w:w="4644" w:type="dxa"/>
            <w:vAlign w:val="center"/>
          </w:tcPr>
          <w:p w14:paraId="714E2116">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w:t>
            </w:r>
          </w:p>
        </w:tc>
      </w:tr>
      <w:tr w14:paraId="2E9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2B3A972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账号：1202026209008932114</w:t>
            </w:r>
          </w:p>
        </w:tc>
        <w:tc>
          <w:tcPr>
            <w:tcW w:w="4644" w:type="dxa"/>
            <w:vAlign w:val="center"/>
          </w:tcPr>
          <w:p w14:paraId="491CFDC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w:t>
            </w:r>
          </w:p>
        </w:tc>
      </w:tr>
      <w:tr w14:paraId="653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4ADBD2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纳税人识别号：123300004700090698</w:t>
            </w:r>
          </w:p>
        </w:tc>
        <w:tc>
          <w:tcPr>
            <w:tcW w:w="4644" w:type="dxa"/>
            <w:vAlign w:val="center"/>
          </w:tcPr>
          <w:p w14:paraId="0E5D829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w:t>
            </w:r>
          </w:p>
        </w:tc>
      </w:tr>
      <w:tr w14:paraId="6B24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4F205D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邮政编号：310018                                                                                                                                                                                                                                         </w:t>
            </w:r>
          </w:p>
        </w:tc>
        <w:tc>
          <w:tcPr>
            <w:tcW w:w="4644" w:type="dxa"/>
            <w:vAlign w:val="center"/>
          </w:tcPr>
          <w:p w14:paraId="41AF16F3">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邮政编号：</w:t>
            </w:r>
          </w:p>
        </w:tc>
      </w:tr>
      <w:tr w14:paraId="35FB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47F97B7">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c>
          <w:tcPr>
            <w:tcW w:w="4644" w:type="dxa"/>
            <w:vAlign w:val="center"/>
          </w:tcPr>
          <w:p w14:paraId="4546476F">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r>
      <w:tr w14:paraId="2420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2FC5DBC8">
            <w:pPr>
              <w:keepNext w:val="0"/>
              <w:keepLines w:val="0"/>
              <w:pageBreakBefore w:val="0"/>
              <w:widowControl w:val="0"/>
              <w:suppressLineNumbers w:val="0"/>
              <w:kinsoku/>
              <w:wordWrap/>
              <w:overflowPunct/>
              <w:topLinePunct w:val="0"/>
              <w:bidi w:val="0"/>
              <w:spacing w:beforeAutospacing="0" w:afterAutospacing="0" w:line="288" w:lineRule="auto"/>
              <w:ind w:left="0" w:leftChars="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签约地点：杭州市钱塘区</w:t>
            </w:r>
          </w:p>
        </w:tc>
      </w:tr>
    </w:tbl>
    <w:p w14:paraId="5EC8B5C7">
      <w:pPr>
        <w:keepNext w:val="0"/>
        <w:keepLines w:val="0"/>
        <w:pageBreakBefore w:val="0"/>
        <w:widowControl w:val="0"/>
        <w:tabs>
          <w:tab w:val="left" w:pos="525"/>
        </w:tabs>
        <w:kinsoku/>
        <w:wordWrap/>
        <w:overflowPunct/>
        <w:topLinePunct w:val="0"/>
        <w:bidi w:val="0"/>
        <w:spacing w:line="288" w:lineRule="auto"/>
        <w:ind w:left="0" w:leftChars="0" w:right="0" w:firstLine="422" w:firstLineChars="200"/>
        <w:textAlignment w:val="auto"/>
        <w:rPr>
          <w:rFonts w:ascii="Times New Roman" w:hAnsi="宋体" w:eastAsia="宋体" w:cs="Times New Roman"/>
          <w:b/>
          <w:bCs/>
          <w:color w:val="auto"/>
          <w:szCs w:val="21"/>
          <w:highlight w:val="none"/>
        </w:rPr>
      </w:pPr>
      <w:r>
        <w:rPr>
          <w:rFonts w:hint="eastAsia" w:ascii="Times New Roman" w:hAnsi="宋体" w:eastAsia="宋体" w:cs="Times New Roman"/>
          <w:b/>
          <w:bCs/>
          <w:color w:val="auto"/>
          <w:szCs w:val="21"/>
          <w:highlight w:val="none"/>
        </w:rPr>
        <w:t>合同附件：</w:t>
      </w:r>
    </w:p>
    <w:p w14:paraId="063C03EF">
      <w:pPr>
        <w:keepNext w:val="0"/>
        <w:keepLines w:val="0"/>
        <w:pageBreakBefore w:val="0"/>
        <w:widowControl w:val="0"/>
        <w:tabs>
          <w:tab w:val="left" w:pos="525"/>
        </w:tabs>
        <w:kinsoku/>
        <w:wordWrap/>
        <w:overflowPunct/>
        <w:topLinePunct w:val="0"/>
        <w:bidi w:val="0"/>
        <w:spacing w:line="288" w:lineRule="auto"/>
        <w:ind w:left="0" w:leftChars="0" w:right="0" w:firstLine="422" w:firstLineChars="200"/>
        <w:textAlignment w:val="auto"/>
        <w:rPr>
          <w:rFonts w:ascii="Times New Roman" w:hAnsi="宋体" w:eastAsia="宋体" w:cs="Times New Roman"/>
          <w:b/>
          <w:bCs/>
          <w:color w:val="auto"/>
          <w:szCs w:val="21"/>
          <w:highlight w:val="none"/>
        </w:rPr>
      </w:pPr>
      <w:r>
        <w:rPr>
          <w:rFonts w:ascii="Times New Roman" w:hAnsi="宋体" w:eastAsia="宋体" w:cs="Times New Roman"/>
          <w:b/>
          <w:bCs/>
          <w:color w:val="auto"/>
          <w:szCs w:val="21"/>
          <w:highlight w:val="none"/>
        </w:rPr>
        <w:t>配置清单：</w:t>
      </w:r>
    </w:p>
    <w:tbl>
      <w:tblPr>
        <w:tblStyle w:val="2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14:paraId="636F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0E5313D">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序号</w:t>
            </w:r>
          </w:p>
        </w:tc>
        <w:tc>
          <w:tcPr>
            <w:tcW w:w="979" w:type="dxa"/>
            <w:vAlign w:val="center"/>
          </w:tcPr>
          <w:p w14:paraId="4B983348">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名称</w:t>
            </w:r>
          </w:p>
        </w:tc>
        <w:tc>
          <w:tcPr>
            <w:tcW w:w="2329" w:type="dxa"/>
            <w:vAlign w:val="center"/>
          </w:tcPr>
          <w:p w14:paraId="6374258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hanging="102"/>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规格</w:t>
            </w:r>
            <w:r>
              <w:rPr>
                <w:rFonts w:hint="default" w:ascii="Times New Roman" w:hAnsi="Times New Roman" w:eastAsia="宋体" w:cs="Times New Roman"/>
                <w:b/>
                <w:color w:val="auto"/>
                <w:szCs w:val="21"/>
                <w:highlight w:val="none"/>
              </w:rPr>
              <w:t>/</w:t>
            </w:r>
            <w:r>
              <w:rPr>
                <w:rFonts w:hint="default" w:ascii="Times New Roman" w:hAnsi="宋体" w:eastAsia="宋体" w:cs="Times New Roman"/>
                <w:b/>
                <w:color w:val="auto"/>
                <w:szCs w:val="21"/>
                <w:highlight w:val="none"/>
              </w:rPr>
              <w:t>型号</w:t>
            </w:r>
          </w:p>
        </w:tc>
        <w:tc>
          <w:tcPr>
            <w:tcW w:w="1985" w:type="dxa"/>
          </w:tcPr>
          <w:p w14:paraId="6A4CD76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hanging="102"/>
              <w:jc w:val="center"/>
              <w:textAlignment w:val="auto"/>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品牌/厂家/</w:t>
            </w:r>
          </w:p>
          <w:p w14:paraId="39DFF97C">
            <w:pPr>
              <w:keepNext w:val="0"/>
              <w:keepLines w:val="0"/>
              <w:pageBreakBefore w:val="0"/>
              <w:widowControl w:val="0"/>
              <w:suppressLineNumbers w:val="0"/>
              <w:kinsoku/>
              <w:wordWrap/>
              <w:overflowPunct/>
              <w:topLinePunct w:val="0"/>
              <w:bidi w:val="0"/>
              <w:spacing w:beforeAutospacing="0" w:afterAutospacing="0" w:line="288" w:lineRule="auto"/>
              <w:ind w:left="0" w:leftChars="0" w:right="0" w:hanging="102"/>
              <w:jc w:val="center"/>
              <w:textAlignment w:val="auto"/>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原产地</w:t>
            </w:r>
          </w:p>
        </w:tc>
        <w:tc>
          <w:tcPr>
            <w:tcW w:w="1417" w:type="dxa"/>
            <w:vAlign w:val="center"/>
          </w:tcPr>
          <w:p w14:paraId="6B1A8E94">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宋体" w:eastAsia="宋体" w:cs="Times New Roman"/>
                <w:b/>
                <w:color w:val="auto"/>
                <w:szCs w:val="21"/>
                <w:highlight w:val="none"/>
              </w:rPr>
            </w:pPr>
            <w:r>
              <w:rPr>
                <w:rFonts w:hint="default" w:ascii="Times New Roman" w:hAnsi="宋体" w:eastAsia="宋体" w:cs="Times New Roman"/>
                <w:b/>
                <w:color w:val="auto"/>
                <w:szCs w:val="21"/>
                <w:highlight w:val="none"/>
              </w:rPr>
              <w:t>数量</w:t>
            </w:r>
          </w:p>
        </w:tc>
        <w:tc>
          <w:tcPr>
            <w:tcW w:w="1073" w:type="dxa"/>
            <w:vAlign w:val="center"/>
          </w:tcPr>
          <w:p w14:paraId="6A8E7235">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单价（元）</w:t>
            </w:r>
          </w:p>
        </w:tc>
        <w:tc>
          <w:tcPr>
            <w:tcW w:w="1418" w:type="dxa"/>
            <w:vAlign w:val="center"/>
          </w:tcPr>
          <w:p w14:paraId="725457D2">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总价（元）</w:t>
            </w:r>
          </w:p>
        </w:tc>
      </w:tr>
      <w:tr w14:paraId="222F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5CCD30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79" w:type="dxa"/>
            <w:vAlign w:val="center"/>
          </w:tcPr>
          <w:p w14:paraId="117F8DC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5EFDC35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1985" w:type="dxa"/>
          </w:tcPr>
          <w:p w14:paraId="5F19221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7318BC4F">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75ABD4C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178C8E7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r w14:paraId="6585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0B7ADA8">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79" w:type="dxa"/>
            <w:vAlign w:val="center"/>
          </w:tcPr>
          <w:p w14:paraId="79CDCC7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5F9ED98B">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1985" w:type="dxa"/>
          </w:tcPr>
          <w:p w14:paraId="2CBD1916">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58CD22D2">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066B1723">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61132C9F">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r w14:paraId="60B7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34B242E">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79" w:type="dxa"/>
            <w:vAlign w:val="center"/>
          </w:tcPr>
          <w:p w14:paraId="7D95FC44">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2DB29924">
            <w:pPr>
              <w:keepNext w:val="0"/>
              <w:keepLines w:val="0"/>
              <w:pageBreakBefore w:val="0"/>
              <w:widowControl w:val="0"/>
              <w:suppressLineNumbers w:val="0"/>
              <w:kinsoku/>
              <w:wordWrap/>
              <w:overflowPunct/>
              <w:topLinePunct w:val="0"/>
              <w:bidi w:val="0"/>
              <w:spacing w:beforeAutospacing="0" w:afterAutospacing="0" w:line="288" w:lineRule="auto"/>
              <w:ind w:left="105" w:leftChars="0" w:right="0" w:hanging="105" w:hangingChars="50"/>
              <w:jc w:val="center"/>
              <w:textAlignment w:val="auto"/>
              <w:rPr>
                <w:rFonts w:hint="default" w:ascii="Times New Roman" w:hAnsi="Times New Roman" w:eastAsia="宋体" w:cs="Arial"/>
                <w:color w:val="auto"/>
                <w:szCs w:val="21"/>
                <w:highlight w:val="none"/>
              </w:rPr>
            </w:pPr>
          </w:p>
        </w:tc>
        <w:tc>
          <w:tcPr>
            <w:tcW w:w="1985" w:type="dxa"/>
          </w:tcPr>
          <w:p w14:paraId="35C77339">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0587FFDD">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0E0B9E0B">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6ACAA76B">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r w14:paraId="4E5A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63709A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979" w:type="dxa"/>
            <w:vAlign w:val="center"/>
          </w:tcPr>
          <w:p w14:paraId="6A9FD5B9">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07E85E5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1985" w:type="dxa"/>
          </w:tcPr>
          <w:p w14:paraId="6942E8C8">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5CD9F2CC">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42C6E5F6">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39DCF1DC">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r w14:paraId="4D1A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4121DD7">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979" w:type="dxa"/>
            <w:vAlign w:val="center"/>
          </w:tcPr>
          <w:p w14:paraId="14376E0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46254F4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1985" w:type="dxa"/>
          </w:tcPr>
          <w:p w14:paraId="3AF6BDFF">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34A616C1">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5D35E9BD">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407AC805">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r w14:paraId="328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BF80198">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979" w:type="dxa"/>
            <w:vAlign w:val="center"/>
          </w:tcPr>
          <w:p w14:paraId="77414492">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2329" w:type="dxa"/>
            <w:vAlign w:val="center"/>
          </w:tcPr>
          <w:p w14:paraId="15AF9A20">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Arial"/>
                <w:color w:val="auto"/>
                <w:szCs w:val="21"/>
                <w:highlight w:val="none"/>
              </w:rPr>
            </w:pPr>
          </w:p>
        </w:tc>
        <w:tc>
          <w:tcPr>
            <w:tcW w:w="1985" w:type="dxa"/>
          </w:tcPr>
          <w:p w14:paraId="3D0B3AA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7" w:type="dxa"/>
          </w:tcPr>
          <w:p w14:paraId="2015FEA6">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073" w:type="dxa"/>
            <w:vAlign w:val="center"/>
          </w:tcPr>
          <w:p w14:paraId="4B8B3C4A">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c>
          <w:tcPr>
            <w:tcW w:w="1418" w:type="dxa"/>
          </w:tcPr>
          <w:p w14:paraId="133D9AC3">
            <w:pPr>
              <w:keepNext w:val="0"/>
              <w:keepLines w:val="0"/>
              <w:pageBreakBefore w:val="0"/>
              <w:widowControl w:val="0"/>
              <w:suppressLineNumbers w:val="0"/>
              <w:kinsoku/>
              <w:wordWrap/>
              <w:overflowPunct/>
              <w:topLinePunct w:val="0"/>
              <w:bidi w:val="0"/>
              <w:spacing w:beforeAutospacing="0" w:afterAutospacing="0" w:line="288" w:lineRule="auto"/>
              <w:ind w:left="0" w:leftChars="0" w:right="0"/>
              <w:jc w:val="center"/>
              <w:textAlignment w:val="auto"/>
              <w:rPr>
                <w:rFonts w:hint="default" w:ascii="Times New Roman" w:hAnsi="Times New Roman" w:eastAsia="宋体" w:cs="Times New Roman"/>
                <w:color w:val="auto"/>
                <w:szCs w:val="21"/>
                <w:highlight w:val="none"/>
              </w:rPr>
            </w:pPr>
          </w:p>
        </w:tc>
      </w:tr>
    </w:tbl>
    <w:p w14:paraId="6A9DA946">
      <w:pPr>
        <w:rPr>
          <w:rFonts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br w:type="page"/>
      </w:r>
    </w:p>
    <w:p w14:paraId="7AAB5E10">
      <w:pPr>
        <w:keepNext w:val="0"/>
        <w:keepLines w:val="0"/>
        <w:pageBreakBefore w:val="0"/>
        <w:kinsoku/>
        <w:wordWrap/>
        <w:overflowPunct/>
        <w:topLinePunct w:val="0"/>
        <w:autoSpaceDE/>
        <w:autoSpaceDN/>
        <w:bidi w:val="0"/>
        <w:spacing w:beforeAutospacing="0" w:afterAutospacing="0" w:line="288" w:lineRule="auto"/>
        <w:ind w:left="0" w:right="0" w:firstLine="602" w:firstLineChars="200"/>
        <w:jc w:val="center"/>
        <w:textAlignment w:val="auto"/>
        <w:rPr>
          <w:rFonts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中国计量大学采购合同（进口设备）</w:t>
      </w:r>
    </w:p>
    <w:p w14:paraId="7B66FF83">
      <w:pPr>
        <w:keepNext w:val="0"/>
        <w:keepLines w:val="0"/>
        <w:pageBreakBefore w:val="0"/>
        <w:kinsoku/>
        <w:wordWrap/>
        <w:overflowPunct/>
        <w:topLinePunct w:val="0"/>
        <w:autoSpaceDE/>
        <w:autoSpaceDN/>
        <w:bidi w:val="0"/>
        <w:snapToGrid w:val="0"/>
        <w:spacing w:beforeAutospacing="0" w:afterAutospacing="0" w:line="288" w:lineRule="auto"/>
        <w:ind w:left="0" w:right="0" w:firstLine="420" w:firstLineChars="200"/>
        <w:contextualSpacing/>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合同编号：</w:t>
      </w:r>
    </w:p>
    <w:p w14:paraId="56EC737F">
      <w:pPr>
        <w:keepNext w:val="0"/>
        <w:keepLines w:val="0"/>
        <w:pageBreakBefore w:val="0"/>
        <w:kinsoku/>
        <w:wordWrap/>
        <w:overflowPunct/>
        <w:topLinePunct w:val="0"/>
        <w:autoSpaceDE/>
        <w:autoSpaceDN/>
        <w:bidi w:val="0"/>
        <w:snapToGrid w:val="0"/>
        <w:spacing w:beforeAutospacing="0" w:afterAutospacing="0" w:line="288" w:lineRule="auto"/>
        <w:ind w:left="0" w:right="0" w:firstLine="420" w:firstLineChars="200"/>
        <w:contextualSpacing/>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确认书编号：浙财采确</w:t>
      </w:r>
    </w:p>
    <w:p w14:paraId="27B43325">
      <w:pPr>
        <w:keepNext w:val="0"/>
        <w:keepLines w:val="0"/>
        <w:pageBreakBefore w:val="0"/>
        <w:kinsoku/>
        <w:wordWrap/>
        <w:overflowPunct/>
        <w:topLinePunct w:val="0"/>
        <w:autoSpaceDE/>
        <w:autoSpaceDN/>
        <w:bidi w:val="0"/>
        <w:spacing w:beforeAutospacing="0" w:afterAutospacing="0" w:line="288" w:lineRule="auto"/>
        <w:ind w:left="0" w:right="0"/>
        <w:jc w:val="left"/>
        <w:textAlignment w:val="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甲方（需方）：</w:t>
      </w:r>
      <w:r>
        <w:rPr>
          <w:rFonts w:hint="eastAsia" w:ascii="Times New Roman" w:hAnsi="Times New Roman" w:eastAsia="宋体" w:cs="Times New Roman"/>
          <w:b/>
          <w:bCs/>
          <w:color w:val="auto"/>
          <w:sz w:val="24"/>
          <w:szCs w:val="24"/>
          <w:highlight w:val="none"/>
          <w:u w:val="single"/>
        </w:rPr>
        <w:t xml:space="preserve">     中国计量大学             </w:t>
      </w:r>
      <w:r>
        <w:rPr>
          <w:rFonts w:hint="eastAsia" w:ascii="Times New Roman" w:hAnsi="Times New Roman" w:eastAsia="宋体" w:cs="Times New Roman"/>
          <w:b/>
          <w:bCs/>
          <w:color w:val="auto"/>
          <w:sz w:val="24"/>
          <w:szCs w:val="24"/>
          <w:highlight w:val="none"/>
        </w:rPr>
        <w:t xml:space="preserve"> </w:t>
      </w:r>
    </w:p>
    <w:p w14:paraId="767161E6">
      <w:pPr>
        <w:keepNext w:val="0"/>
        <w:keepLines w:val="0"/>
        <w:pageBreakBefore w:val="0"/>
        <w:kinsoku/>
        <w:wordWrap/>
        <w:overflowPunct/>
        <w:topLinePunct w:val="0"/>
        <w:autoSpaceDE/>
        <w:autoSpaceDN/>
        <w:bidi w:val="0"/>
        <w:spacing w:beforeAutospacing="0" w:afterAutospacing="0" w:line="288" w:lineRule="auto"/>
        <w:ind w:left="0" w:right="0"/>
        <w:jc w:val="left"/>
        <w:textAlignment w:val="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乙方（供方）：</w:t>
      </w:r>
      <w:r>
        <w:rPr>
          <w:rFonts w:hint="eastAsia" w:ascii="Times New Roman" w:hAnsi="Times New Roman" w:eastAsia="宋体" w:cs="Times New Roman"/>
          <w:b/>
          <w:bCs/>
          <w:color w:val="auto"/>
          <w:sz w:val="24"/>
          <w:szCs w:val="24"/>
          <w:highlight w:val="none"/>
          <w:u w:val="single"/>
        </w:rPr>
        <w:t xml:space="preserve">                              </w:t>
      </w:r>
      <w:r>
        <w:rPr>
          <w:rFonts w:hint="eastAsia" w:ascii="Times New Roman" w:hAnsi="Times New Roman" w:eastAsia="宋体" w:cs="Times New Roman"/>
          <w:b/>
          <w:bCs/>
          <w:color w:val="auto"/>
          <w:sz w:val="24"/>
          <w:szCs w:val="24"/>
          <w:highlight w:val="none"/>
        </w:rPr>
        <w:t xml:space="preserve"> </w:t>
      </w:r>
    </w:p>
    <w:p w14:paraId="6D6C8FD7">
      <w:pPr>
        <w:keepNext w:val="0"/>
        <w:keepLines w:val="0"/>
        <w:pageBreakBefore w:val="0"/>
        <w:kinsoku/>
        <w:wordWrap/>
        <w:overflowPunct/>
        <w:topLinePunct w:val="0"/>
        <w:autoSpaceDE/>
        <w:autoSpaceDN/>
        <w:bidi w:val="0"/>
        <w:spacing w:beforeAutospacing="0" w:afterAutospacing="0" w:line="288" w:lineRule="auto"/>
        <w:ind w:left="0" w:right="0" w:firstLine="420" w:firstLineChars="200"/>
        <w:jc w:val="left"/>
        <w:textAlignment w:val="auto"/>
        <w:rPr>
          <w:rFonts w:ascii="Times New Roman" w:hAnsi="Times New Roman" w:eastAsia="宋体" w:cs="Times New Roman"/>
          <w:color w:val="auto"/>
          <w:szCs w:val="21"/>
          <w:highlight w:val="none"/>
        </w:rPr>
      </w:pPr>
    </w:p>
    <w:p w14:paraId="0B12D5A2">
      <w:pPr>
        <w:keepNext w:val="0"/>
        <w:keepLines w:val="0"/>
        <w:pageBreakBefore w:val="0"/>
        <w:kinsoku/>
        <w:wordWrap/>
        <w:overflowPunct/>
        <w:topLinePunct w:val="0"/>
        <w:autoSpaceDE/>
        <w:autoSpaceDN/>
        <w:bidi w:val="0"/>
        <w:spacing w:beforeAutospacing="0" w:afterAutospacing="0" w:line="288" w:lineRule="auto"/>
        <w:ind w:left="0" w:right="0" w:firstLine="420" w:firstLineChars="200"/>
        <w:jc w:val="left"/>
        <w:textAlignment w:val="auto"/>
        <w:rPr>
          <w:rFonts w:ascii="宋体" w:hAnsi="宋体" w:eastAsia="宋体" w:cs="Times New Roman"/>
          <w:snapToGrid w:val="0"/>
          <w:color w:val="auto"/>
          <w:kern w:val="0"/>
          <w:sz w:val="24"/>
          <w:szCs w:val="24"/>
          <w:highlight w:val="none"/>
        </w:rPr>
      </w:pPr>
      <w:r>
        <w:rPr>
          <w:rFonts w:hint="eastAsia" w:ascii="Times New Roman" w:hAnsi="Times New Roman" w:eastAsia="宋体" w:cs="Times New Roman"/>
          <w:color w:val="auto"/>
          <w:szCs w:val="21"/>
          <w:highlight w:val="none"/>
        </w:rPr>
        <w:t>依照《中华人民共和国民法典》及其他有关法律、行政法规，遵循平等、自愿、公平和诚实信用的原则，双方</w:t>
      </w:r>
      <w:r>
        <w:rPr>
          <w:rFonts w:hint="eastAsia" w:ascii="宋体" w:hAnsi="宋体" w:eastAsia="宋体" w:cs="Times New Roman"/>
          <w:snapToGrid w:val="0"/>
          <w:color w:val="auto"/>
          <w:kern w:val="0"/>
          <w:szCs w:val="21"/>
          <w:highlight w:val="none"/>
        </w:rPr>
        <w:t>根据对</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 xml:space="preserve">  （项目名称和编号）</w:t>
      </w:r>
      <w:r>
        <w:rPr>
          <w:rFonts w:hint="eastAsia" w:ascii="宋体" w:hAnsi="宋体" w:eastAsia="宋体" w:cs="Times New Roman"/>
          <w:snapToGrid w:val="0"/>
          <w:color w:val="auto"/>
          <w:kern w:val="0"/>
          <w:szCs w:val="21"/>
          <w:highlight w:val="none"/>
          <w:u w:val="single"/>
        </w:rPr>
        <w:t>公开招标</w:t>
      </w:r>
      <w:r>
        <w:rPr>
          <w:rFonts w:hint="eastAsia" w:ascii="宋体" w:hAnsi="宋体" w:eastAsia="宋体" w:cs="Times New Roman"/>
          <w:snapToGrid w:val="0"/>
          <w:color w:val="auto"/>
          <w:kern w:val="0"/>
          <w:szCs w:val="21"/>
          <w:highlight w:val="none"/>
        </w:rPr>
        <w:t>（采购方式）的采购结果,</w:t>
      </w:r>
      <w:r>
        <w:rPr>
          <w:rFonts w:hint="eastAsia" w:ascii="Times New Roman" w:hAnsi="Times New Roman" w:eastAsia="宋体" w:cs="Times New Roman"/>
          <w:color w:val="auto"/>
          <w:szCs w:val="24"/>
          <w:highlight w:val="none"/>
        </w:rPr>
        <w:t xml:space="preserve"> </w:t>
      </w:r>
      <w:r>
        <w:rPr>
          <w:rFonts w:hint="eastAsia" w:ascii="宋体" w:hAnsi="宋体" w:eastAsia="宋体" w:cs="Times New Roman"/>
          <w:snapToGrid w:val="0"/>
          <w:color w:val="auto"/>
          <w:kern w:val="0"/>
          <w:szCs w:val="21"/>
          <w:highlight w:val="none"/>
        </w:rPr>
        <w:t>签署本合同。</w:t>
      </w:r>
    </w:p>
    <w:p w14:paraId="10625339">
      <w:pPr>
        <w:keepNext w:val="0"/>
        <w:keepLines w:val="0"/>
        <w:pageBreakBefore w:val="0"/>
        <w:kinsoku/>
        <w:wordWrap/>
        <w:overflowPunct/>
        <w:topLinePunct w:val="0"/>
        <w:autoSpaceDE/>
        <w:autoSpaceDN/>
        <w:bidi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一、采购商品清单及价格</w:t>
      </w:r>
    </w:p>
    <w:tbl>
      <w:tblPr>
        <w:tblStyle w:val="24"/>
        <w:tblW w:w="9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2128"/>
        <w:gridCol w:w="850"/>
        <w:gridCol w:w="850"/>
        <w:gridCol w:w="2268"/>
      </w:tblGrid>
      <w:tr w14:paraId="2F08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14" w:type="dxa"/>
            <w:vAlign w:val="center"/>
          </w:tcPr>
          <w:p w14:paraId="04FE6BB5">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default" w:ascii="Times New Roman" w:hAnsi="宋体" w:eastAsia="宋体" w:cs="Times New Roman"/>
                <w:snapToGrid w:val="0"/>
                <w:color w:val="auto"/>
                <w:kern w:val="0"/>
                <w:szCs w:val="21"/>
                <w:highlight w:val="none"/>
              </w:rPr>
              <w:t>序号</w:t>
            </w:r>
          </w:p>
        </w:tc>
        <w:tc>
          <w:tcPr>
            <w:tcW w:w="1205" w:type="dxa"/>
            <w:vAlign w:val="center"/>
          </w:tcPr>
          <w:p w14:paraId="0562B718">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宋体" w:eastAsia="宋体" w:cs="Times New Roman"/>
                <w:snapToGrid w:val="0"/>
                <w:color w:val="auto"/>
                <w:kern w:val="0"/>
                <w:szCs w:val="21"/>
                <w:highlight w:val="none"/>
              </w:rPr>
              <w:t>货物</w:t>
            </w:r>
            <w:r>
              <w:rPr>
                <w:rFonts w:hint="default" w:ascii="Times New Roman" w:hAnsi="宋体" w:eastAsia="宋体" w:cs="Times New Roman"/>
                <w:snapToGrid w:val="0"/>
                <w:color w:val="auto"/>
                <w:kern w:val="0"/>
                <w:szCs w:val="21"/>
                <w:highlight w:val="none"/>
              </w:rPr>
              <w:t>名称</w:t>
            </w:r>
          </w:p>
        </w:tc>
        <w:tc>
          <w:tcPr>
            <w:tcW w:w="1347" w:type="dxa"/>
            <w:vAlign w:val="center"/>
          </w:tcPr>
          <w:p w14:paraId="58EDE65C">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宋体" w:eastAsia="宋体" w:cs="Times New Roman"/>
                <w:snapToGrid w:val="0"/>
                <w:color w:val="auto"/>
                <w:kern w:val="0"/>
                <w:szCs w:val="21"/>
                <w:highlight w:val="none"/>
              </w:rPr>
              <w:t>规格型号</w:t>
            </w:r>
          </w:p>
        </w:tc>
        <w:tc>
          <w:tcPr>
            <w:tcW w:w="2128" w:type="dxa"/>
            <w:vAlign w:val="center"/>
          </w:tcPr>
          <w:p w14:paraId="4FFD5994">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宋体" w:eastAsia="宋体" w:cs="Times New Roman"/>
                <w:snapToGrid w:val="0"/>
                <w:color w:val="auto"/>
                <w:kern w:val="0"/>
                <w:szCs w:val="21"/>
                <w:highlight w:val="none"/>
              </w:rPr>
              <w:t>品牌/厂家</w:t>
            </w:r>
            <w:r>
              <w:rPr>
                <w:rFonts w:hint="default" w:ascii="Times New Roman" w:hAnsi="Times New Roman" w:eastAsia="宋体" w:cs="Times New Roman"/>
                <w:snapToGrid w:val="0"/>
                <w:color w:val="auto"/>
                <w:kern w:val="0"/>
                <w:szCs w:val="21"/>
                <w:highlight w:val="none"/>
              </w:rPr>
              <w:t>/</w:t>
            </w:r>
          </w:p>
          <w:p w14:paraId="0D3E76FC">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宋体" w:eastAsia="宋体" w:cs="Times New Roman"/>
                <w:snapToGrid w:val="0"/>
                <w:color w:val="auto"/>
                <w:kern w:val="0"/>
                <w:szCs w:val="21"/>
                <w:highlight w:val="none"/>
              </w:rPr>
              <w:t>原产地</w:t>
            </w:r>
          </w:p>
        </w:tc>
        <w:tc>
          <w:tcPr>
            <w:tcW w:w="850" w:type="dxa"/>
          </w:tcPr>
          <w:p w14:paraId="3BD581D2">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计量</w:t>
            </w:r>
          </w:p>
          <w:p w14:paraId="29A4CCC8">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宋体" w:eastAsia="宋体" w:cs="Times New Roman"/>
                <w:snapToGrid w:val="0"/>
                <w:color w:val="auto"/>
                <w:kern w:val="0"/>
                <w:szCs w:val="21"/>
                <w:highlight w:val="none"/>
              </w:rPr>
            </w:pPr>
            <w:r>
              <w:rPr>
                <w:rFonts w:hint="eastAsia" w:ascii="Times New Roman" w:hAnsi="Times New Roman" w:eastAsia="宋体" w:cs="Times New Roman"/>
                <w:color w:val="auto"/>
                <w:szCs w:val="21"/>
                <w:highlight w:val="none"/>
              </w:rPr>
              <w:t>单位</w:t>
            </w:r>
          </w:p>
        </w:tc>
        <w:tc>
          <w:tcPr>
            <w:tcW w:w="850" w:type="dxa"/>
            <w:vAlign w:val="center"/>
          </w:tcPr>
          <w:p w14:paraId="287C00F5">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default" w:ascii="Times New Roman" w:hAnsi="宋体" w:eastAsia="宋体" w:cs="Times New Roman"/>
                <w:snapToGrid w:val="0"/>
                <w:color w:val="auto"/>
                <w:kern w:val="0"/>
                <w:szCs w:val="21"/>
                <w:highlight w:val="none"/>
              </w:rPr>
              <w:t>数量</w:t>
            </w:r>
          </w:p>
        </w:tc>
        <w:tc>
          <w:tcPr>
            <w:tcW w:w="2268" w:type="dxa"/>
            <w:vAlign w:val="center"/>
          </w:tcPr>
          <w:p w14:paraId="568D07ED">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中标价</w:t>
            </w:r>
          </w:p>
          <w:p w14:paraId="7EFC1702">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(人民币)</w:t>
            </w:r>
          </w:p>
        </w:tc>
      </w:tr>
      <w:tr w14:paraId="0966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14" w:type="dxa"/>
            <w:vAlign w:val="center"/>
          </w:tcPr>
          <w:p w14:paraId="1A7C5277">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spacing w:val="20"/>
                <w:kern w:val="0"/>
                <w:szCs w:val="21"/>
                <w:highlight w:val="none"/>
              </w:rPr>
            </w:pPr>
            <w:r>
              <w:rPr>
                <w:rFonts w:hint="eastAsia" w:ascii="Times New Roman" w:hAnsi="Times New Roman" w:eastAsia="宋体" w:cs="Times New Roman"/>
                <w:snapToGrid w:val="0"/>
                <w:color w:val="auto"/>
                <w:spacing w:val="20"/>
                <w:kern w:val="0"/>
                <w:szCs w:val="21"/>
                <w:highlight w:val="none"/>
              </w:rPr>
              <w:t>1</w:t>
            </w:r>
          </w:p>
        </w:tc>
        <w:tc>
          <w:tcPr>
            <w:tcW w:w="1205" w:type="dxa"/>
            <w:vAlign w:val="center"/>
          </w:tcPr>
          <w:p w14:paraId="6D19DB64">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textAlignment w:val="auto"/>
              <w:rPr>
                <w:rFonts w:hint="default" w:ascii="Times New Roman" w:hAnsi="Times New Roman" w:eastAsia="宋体" w:cs="Times New Roman"/>
                <w:snapToGrid w:val="0"/>
                <w:color w:val="auto"/>
                <w:kern w:val="0"/>
                <w:szCs w:val="21"/>
                <w:highlight w:val="none"/>
              </w:rPr>
            </w:pPr>
          </w:p>
        </w:tc>
        <w:tc>
          <w:tcPr>
            <w:tcW w:w="1347" w:type="dxa"/>
            <w:vAlign w:val="center"/>
          </w:tcPr>
          <w:p w14:paraId="1336E8F8">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spacing w:val="20"/>
                <w:kern w:val="0"/>
                <w:szCs w:val="21"/>
                <w:highlight w:val="none"/>
              </w:rPr>
            </w:pPr>
          </w:p>
        </w:tc>
        <w:tc>
          <w:tcPr>
            <w:tcW w:w="2128" w:type="dxa"/>
            <w:vAlign w:val="center"/>
          </w:tcPr>
          <w:p w14:paraId="53DC3A18">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spacing w:val="20"/>
                <w:kern w:val="0"/>
                <w:szCs w:val="21"/>
                <w:highlight w:val="none"/>
              </w:rPr>
            </w:pPr>
          </w:p>
        </w:tc>
        <w:tc>
          <w:tcPr>
            <w:tcW w:w="850" w:type="dxa"/>
          </w:tcPr>
          <w:p w14:paraId="139452A0">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pacing w:val="20"/>
                <w:szCs w:val="21"/>
                <w:highlight w:val="none"/>
              </w:rPr>
            </w:pPr>
          </w:p>
        </w:tc>
        <w:tc>
          <w:tcPr>
            <w:tcW w:w="850" w:type="dxa"/>
            <w:vAlign w:val="center"/>
          </w:tcPr>
          <w:p w14:paraId="4DC1B524">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pacing w:val="20"/>
                <w:szCs w:val="21"/>
                <w:highlight w:val="none"/>
              </w:rPr>
            </w:pPr>
          </w:p>
        </w:tc>
        <w:tc>
          <w:tcPr>
            <w:tcW w:w="2268" w:type="dxa"/>
            <w:vAlign w:val="center"/>
          </w:tcPr>
          <w:p w14:paraId="2554A738">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r>
      <w:tr w14:paraId="1CD9E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14" w:type="dxa"/>
            <w:vAlign w:val="center"/>
          </w:tcPr>
          <w:p w14:paraId="6D3A37E4">
            <w:pPr>
              <w:keepNext w:val="0"/>
              <w:keepLines w:val="0"/>
              <w:pageBreakBefore w:val="0"/>
              <w:suppressLineNumbers w:val="0"/>
              <w:kinsoku/>
              <w:wordWrap/>
              <w:overflowPunct/>
              <w:topLinePunct w:val="0"/>
              <w:autoSpaceDE/>
              <w:autoSpaceDN/>
              <w:bidi w:val="0"/>
              <w:adjustRightInd w:val="0"/>
              <w:snapToGrid w:val="0"/>
              <w:spacing w:beforeAutospacing="0" w:afterAutospacing="0" w:line="288" w:lineRule="auto"/>
              <w:ind w:left="0" w:right="0"/>
              <w:jc w:val="center"/>
              <w:textAlignment w:val="auto"/>
              <w:rPr>
                <w:rFonts w:hint="default" w:ascii="Times New Roman" w:hAnsi="Times New Roman" w:eastAsia="宋体" w:cs="Times New Roman"/>
                <w:snapToGrid w:val="0"/>
                <w:color w:val="auto"/>
                <w:spacing w:val="20"/>
                <w:kern w:val="0"/>
                <w:szCs w:val="21"/>
                <w:highlight w:val="none"/>
              </w:rPr>
            </w:pPr>
            <w:r>
              <w:rPr>
                <w:rFonts w:hint="eastAsia" w:ascii="Times New Roman" w:hAnsi="Times New Roman" w:eastAsia="宋体" w:cs="Times New Roman"/>
                <w:snapToGrid w:val="0"/>
                <w:color w:val="auto"/>
                <w:spacing w:val="20"/>
                <w:kern w:val="0"/>
                <w:szCs w:val="21"/>
                <w:highlight w:val="none"/>
              </w:rPr>
              <w:t>2</w:t>
            </w:r>
          </w:p>
        </w:tc>
        <w:tc>
          <w:tcPr>
            <w:tcW w:w="1205" w:type="dxa"/>
            <w:vAlign w:val="center"/>
          </w:tcPr>
          <w:p w14:paraId="3973B8C3">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宋体" w:hAnsi="宋体" w:eastAsia="宋体" w:cs="Times New Roman"/>
                <w:color w:val="auto"/>
                <w:szCs w:val="21"/>
                <w:highlight w:val="none"/>
              </w:rPr>
            </w:pPr>
          </w:p>
        </w:tc>
        <w:tc>
          <w:tcPr>
            <w:tcW w:w="1347" w:type="dxa"/>
            <w:vAlign w:val="center"/>
          </w:tcPr>
          <w:p w14:paraId="632334B8">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c>
          <w:tcPr>
            <w:tcW w:w="2128" w:type="dxa"/>
            <w:vAlign w:val="center"/>
          </w:tcPr>
          <w:p w14:paraId="1C24CD4E">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c>
          <w:tcPr>
            <w:tcW w:w="850" w:type="dxa"/>
          </w:tcPr>
          <w:p w14:paraId="594D962F">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c>
          <w:tcPr>
            <w:tcW w:w="850" w:type="dxa"/>
            <w:vAlign w:val="center"/>
          </w:tcPr>
          <w:p w14:paraId="4110EE95">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c>
          <w:tcPr>
            <w:tcW w:w="2268" w:type="dxa"/>
            <w:vAlign w:val="center"/>
          </w:tcPr>
          <w:p w14:paraId="0E54FD27">
            <w:pPr>
              <w:keepNext w:val="0"/>
              <w:keepLines w:val="0"/>
              <w:pageBreakBefore w:val="0"/>
              <w:suppressLineNumbers w:val="0"/>
              <w:kinsoku/>
              <w:wordWrap/>
              <w:overflowPunct/>
              <w:topLinePunct w:val="0"/>
              <w:autoSpaceDE/>
              <w:autoSpaceDN/>
              <w:bidi w:val="0"/>
              <w:snapToGrid w:val="0"/>
              <w:spacing w:beforeAutospacing="0" w:afterAutospacing="0" w:line="288" w:lineRule="auto"/>
              <w:ind w:left="0" w:right="0"/>
              <w:jc w:val="center"/>
              <w:textAlignment w:val="auto"/>
              <w:rPr>
                <w:rFonts w:hint="default" w:ascii="Times New Roman" w:hAnsi="Times New Roman" w:eastAsia="宋体" w:cs="Times New Roman"/>
                <w:color w:val="auto"/>
                <w:spacing w:val="-6"/>
                <w:szCs w:val="21"/>
                <w:highlight w:val="none"/>
              </w:rPr>
            </w:pPr>
          </w:p>
        </w:tc>
      </w:tr>
      <w:tr w14:paraId="11A0D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9362" w:type="dxa"/>
            <w:gridSpan w:val="7"/>
            <w:vAlign w:val="center"/>
          </w:tcPr>
          <w:p w14:paraId="53788F11">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textAlignment w:val="auto"/>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合同总价：</w:t>
            </w:r>
            <w:r>
              <w:rPr>
                <w:rFonts w:hint="default" w:ascii="Times New Roman" w:hAnsi="Arial" w:eastAsia="宋体" w:cs="Times New Roman"/>
                <w:color w:val="auto"/>
                <w:spacing w:val="-6"/>
                <w:szCs w:val="21"/>
                <w:highlight w:val="none"/>
              </w:rPr>
              <w:t>人民币小写：</w:t>
            </w:r>
            <w:r>
              <w:rPr>
                <w:rFonts w:hint="default" w:ascii="Times New Roman" w:hAnsi="Times New Roman" w:eastAsia="宋体" w:cs="Times New Roman"/>
                <w:color w:val="auto"/>
                <w:szCs w:val="21"/>
                <w:highlight w:val="none"/>
                <w:u w:val="single"/>
              </w:rPr>
              <w:t>¥</w:t>
            </w:r>
            <w:r>
              <w:rPr>
                <w:rFonts w:hint="default"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Times New Roman"/>
                <w:color w:val="auto"/>
                <w:spacing w:val="-6"/>
                <w:szCs w:val="21"/>
                <w:highlight w:val="none"/>
              </w:rPr>
              <w:t xml:space="preserve"> </w:t>
            </w:r>
            <w:r>
              <w:rPr>
                <w:rFonts w:hint="default" w:ascii="Times New Roman" w:hAnsi="Arial" w:eastAsia="宋体" w:cs="Times New Roman"/>
                <w:color w:val="auto"/>
                <w:spacing w:val="-6"/>
                <w:szCs w:val="21"/>
                <w:highlight w:val="none"/>
              </w:rPr>
              <w:t>大写：</w:t>
            </w:r>
            <w:r>
              <w:rPr>
                <w:rFonts w:hint="eastAsia" w:ascii="Times New Roman" w:hAnsi="Arial" w:eastAsia="宋体" w:cs="Times New Roman"/>
                <w:color w:val="auto"/>
                <w:spacing w:val="-6"/>
                <w:szCs w:val="21"/>
                <w:highlight w:val="none"/>
                <w:u w:val="single"/>
              </w:rPr>
              <w:t xml:space="preserve">                               </w:t>
            </w:r>
          </w:p>
        </w:tc>
      </w:tr>
    </w:tbl>
    <w:p w14:paraId="60D0E281">
      <w:pPr>
        <w:keepNext w:val="0"/>
        <w:keepLines w:val="0"/>
        <w:pageBreakBefore w:val="0"/>
        <w:kinsoku/>
        <w:wordWrap/>
        <w:overflowPunct/>
        <w:topLinePunct w:val="0"/>
        <w:autoSpaceDE/>
        <w:autoSpaceDN/>
        <w:bidi w:val="0"/>
        <w:spacing w:beforeAutospacing="0" w:afterAutospacing="0" w:line="288" w:lineRule="auto"/>
        <w:ind w:left="0" w:right="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注：</w:t>
      </w:r>
      <w:r>
        <w:rPr>
          <w:rFonts w:ascii="Times New Roman" w:hAnsi="Times New Roman" w:eastAsia="宋体" w:cs="宋体"/>
          <w:color w:val="auto"/>
          <w:spacing w:val="-6"/>
          <w:szCs w:val="21"/>
          <w:highlight w:val="none"/>
        </w:rPr>
        <w:t>1</w:t>
      </w:r>
      <w:r>
        <w:rPr>
          <w:rFonts w:hint="eastAsia" w:ascii="Times New Roman" w:hAnsi="Times New Roman" w:eastAsia="宋体" w:cs="宋体"/>
          <w:color w:val="auto"/>
          <w:spacing w:val="-6"/>
          <w:szCs w:val="21"/>
          <w:highlight w:val="none"/>
        </w:rPr>
        <w:t>、本合同涉及货物委托外贸代理公司</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14:paraId="04865DE4">
      <w:pPr>
        <w:keepNext w:val="0"/>
        <w:keepLines w:val="0"/>
        <w:pageBreakBefore w:val="0"/>
        <w:kinsoku/>
        <w:wordWrap/>
        <w:overflowPunct/>
        <w:topLinePunct w:val="0"/>
        <w:autoSpaceDE/>
        <w:autoSpaceDN/>
        <w:bidi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 xml:space="preserve">2、本项目开标当日（ </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年</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月</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日）美元的现汇卖出价为</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，乙方以美元的现汇卖出价加外贸代理费</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个点进行结算，外贸代理费共计人民币¥</w:t>
      </w:r>
      <w:r>
        <w:rPr>
          <w:rFonts w:hint="eastAsia" w:ascii="Times New Roman" w:hAnsi="Times New Roman" w:eastAsia="宋体" w:cs="宋体"/>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元，外贸代理费包含在合同总价内。不能享受国家的减免税政策的设备，其税金由乙方承担。自本项目采购公告发布之日至供货实施完成期间若发生加征关税的情况，加征的关税由乙方承担。</w:t>
      </w:r>
    </w:p>
    <w:p w14:paraId="7DF7B3FF">
      <w:pPr>
        <w:keepNext w:val="0"/>
        <w:keepLines w:val="0"/>
        <w:pageBreakBefore w:val="0"/>
        <w:kinsoku/>
        <w:wordWrap/>
        <w:overflowPunct/>
        <w:topLinePunct w:val="0"/>
        <w:autoSpaceDE/>
        <w:autoSpaceDN/>
        <w:bidi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3、合同履行过程中的汇率风险由乙方承担，由乙方与外贸代理公司结算。</w:t>
      </w:r>
    </w:p>
    <w:p w14:paraId="1D9586B4">
      <w:pPr>
        <w:keepNext w:val="0"/>
        <w:keepLines w:val="0"/>
        <w:pageBreakBefore w:val="0"/>
        <w:kinsoku/>
        <w:wordWrap/>
        <w:overflowPunct/>
        <w:topLinePunct w:val="0"/>
        <w:autoSpaceDE/>
        <w:autoSpaceDN/>
        <w:bidi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二、技术资料</w:t>
      </w:r>
    </w:p>
    <w:p w14:paraId="00376FC0">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乙方应按招标文件规定的时间向甲方提供合同货物有关全套中英文对照的技术资料和必备的附件。</w:t>
      </w:r>
    </w:p>
    <w:p w14:paraId="6381E3CB">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2</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6E86E9BA">
      <w:pPr>
        <w:keepNext w:val="0"/>
        <w:keepLines w:val="0"/>
        <w:pageBreakBefore w:val="0"/>
        <w:kinsoku/>
        <w:wordWrap/>
        <w:overflowPunct/>
        <w:topLinePunct w:val="0"/>
        <w:autoSpaceDE/>
        <w:autoSpaceDN/>
        <w:bidi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三、知识产权</w:t>
      </w:r>
    </w:p>
    <w:p w14:paraId="1C8FE156">
      <w:pPr>
        <w:keepNext w:val="0"/>
        <w:keepLines w:val="0"/>
        <w:pageBreakBefore w:val="0"/>
        <w:kinsoku/>
        <w:wordWrap/>
        <w:overflowPunct/>
        <w:topLinePunct w:val="0"/>
        <w:autoSpaceDE/>
        <w:autoSpaceDN/>
        <w:bidi w:val="0"/>
        <w:snapToGrid w:val="0"/>
        <w:spacing w:beforeAutospacing="0" w:afterAutospacing="0" w:line="288" w:lineRule="auto"/>
        <w:ind w:left="0" w:right="0" w:firstLine="425" w:firstLineChars="215"/>
        <w:textAlignment w:val="auto"/>
        <w:rPr>
          <w:rFonts w:ascii="宋体" w:hAnsi="Courier New" w:eastAsia="宋体" w:cs="宋体"/>
          <w:color w:val="auto"/>
          <w:spacing w:val="-6"/>
          <w:szCs w:val="21"/>
          <w:highlight w:val="none"/>
        </w:rPr>
      </w:pPr>
      <w:r>
        <w:rPr>
          <w:rFonts w:hint="eastAsia" w:ascii="宋体" w:hAnsi="Courier New" w:eastAsia="宋体" w:cs="宋体"/>
          <w:color w:val="auto"/>
          <w:spacing w:val="-6"/>
          <w:szCs w:val="21"/>
          <w:highlight w:val="none"/>
        </w:rPr>
        <w:t>乙方应保证所提供的货物或其任何一部分均不会侵犯任何第三方的知识产权，由此产生的知识产权纠纷由乙方承担全部责任。</w:t>
      </w:r>
    </w:p>
    <w:p w14:paraId="6EA57EEE">
      <w:pPr>
        <w:keepNext w:val="0"/>
        <w:keepLines w:val="0"/>
        <w:pageBreakBefore w:val="0"/>
        <w:kinsoku/>
        <w:wordWrap/>
        <w:overflowPunct/>
        <w:topLinePunct w:val="0"/>
        <w:autoSpaceDE/>
        <w:autoSpaceDN/>
        <w:bidi w:val="0"/>
        <w:spacing w:beforeAutospacing="0" w:afterAutospacing="0" w:line="288" w:lineRule="auto"/>
        <w:ind w:left="0" w:right="0" w:firstLine="413" w:firstLineChars="196"/>
        <w:textAlignment w:val="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四、履约保证金</w:t>
      </w:r>
    </w:p>
    <w:p w14:paraId="352F22D6">
      <w:pPr>
        <w:keepNext w:val="0"/>
        <w:keepLines w:val="0"/>
        <w:pageBreakBefore w:val="0"/>
        <w:kinsoku/>
        <w:wordWrap/>
        <w:overflowPunct/>
        <w:topLinePunct w:val="0"/>
        <w:autoSpaceDE/>
        <w:autoSpaceDN/>
        <w:bidi w:val="0"/>
        <w:spacing w:beforeAutospacing="0" w:afterAutospacing="0" w:line="288" w:lineRule="auto"/>
        <w:ind w:left="0" w:right="0" w:firstLine="420" w:firstLineChars="200"/>
        <w:contextualSpacing/>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1、乙方须于合同签订后七个工作日内向甲方支付合同总价</w:t>
      </w:r>
      <w:r>
        <w:rPr>
          <w:rFonts w:hint="eastAsia" w:ascii="宋体" w:hAnsi="宋体" w:eastAsia="宋体" w:cs="Times New Roman"/>
          <w:color w:val="auto"/>
          <w:szCs w:val="21"/>
          <w:highlight w:val="none"/>
          <w:u w:val="single"/>
        </w:rPr>
        <w:t xml:space="preserve"> 1% </w:t>
      </w:r>
      <w:r>
        <w:rPr>
          <w:rFonts w:hint="eastAsia" w:ascii="宋体" w:hAnsi="宋体" w:eastAsia="宋体" w:cs="Times New Roman"/>
          <w:color w:val="auto"/>
          <w:szCs w:val="21"/>
          <w:highlight w:val="none"/>
        </w:rPr>
        <w:t>的履约保证金，共计人民币¥</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 。履约证金在合同履约期间无违约情形的，项目验收合格通过后，于</w:t>
      </w:r>
      <w:r>
        <w:rPr>
          <w:rFonts w:hint="eastAsia" w:ascii="宋体" w:hAnsi="宋体" w:eastAsia="宋体" w:cs="Times New Roman"/>
          <w:color w:val="auto"/>
          <w:szCs w:val="21"/>
          <w:highlight w:val="none"/>
          <w:u w:val="single"/>
        </w:rPr>
        <w:t xml:space="preserve"> 七 </w:t>
      </w:r>
      <w:r>
        <w:rPr>
          <w:rFonts w:hint="eastAsia" w:ascii="宋体" w:hAnsi="宋体" w:eastAsia="宋体" w:cs="Times New Roman"/>
          <w:color w:val="auto"/>
          <w:szCs w:val="21"/>
          <w:highlight w:val="none"/>
        </w:rPr>
        <w:t>个工作日内无息退还。</w:t>
      </w:r>
    </w:p>
    <w:p w14:paraId="385355C2">
      <w:pPr>
        <w:keepNext w:val="0"/>
        <w:keepLines w:val="0"/>
        <w:pageBreakBefore w:val="0"/>
        <w:kinsoku/>
        <w:wordWrap/>
        <w:overflowPunct/>
        <w:topLinePunct w:val="0"/>
        <w:autoSpaceDE/>
        <w:autoSpaceDN/>
        <w:bidi w:val="0"/>
        <w:snapToGrid w:val="0"/>
        <w:spacing w:beforeAutospacing="0" w:afterAutospacing="0" w:line="288" w:lineRule="auto"/>
        <w:ind w:left="0" w:right="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2、履约保证金形式：银行转账或电汇或银行、保险公司出具的保函。</w:t>
      </w:r>
    </w:p>
    <w:p w14:paraId="23256941">
      <w:pPr>
        <w:keepNext w:val="0"/>
        <w:keepLines w:val="0"/>
        <w:pageBreakBefore w:val="0"/>
        <w:kinsoku/>
        <w:wordWrap/>
        <w:overflowPunct/>
        <w:topLinePunct w:val="0"/>
        <w:autoSpaceDE/>
        <w:autoSpaceDN/>
        <w:bidi w:val="0"/>
        <w:snapToGrid w:val="0"/>
        <w:spacing w:beforeAutospacing="0" w:afterAutospacing="0" w:line="288" w:lineRule="auto"/>
        <w:ind w:left="0" w:right="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3、乙方没有按时支付履约保证金的，甲方有权单方终止本合同，由此产生的损失由乙方承担。</w:t>
      </w:r>
    </w:p>
    <w:p w14:paraId="39E15B45">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五、交货时间、地点</w:t>
      </w:r>
    </w:p>
    <w:p w14:paraId="34C9CAC6">
      <w:pPr>
        <w:keepNext w:val="0"/>
        <w:keepLines w:val="0"/>
        <w:pageBreakBefore w:val="0"/>
        <w:kinsoku/>
        <w:wordWrap/>
        <w:overflowPunct/>
        <w:topLinePunct w:val="0"/>
        <w:autoSpaceDE/>
        <w:autoSpaceDN/>
        <w:bidi w:val="0"/>
        <w:snapToGrid w:val="0"/>
        <w:spacing w:beforeAutospacing="0" w:afterAutospacing="0" w:line="288" w:lineRule="auto"/>
        <w:ind w:left="0" w:right="0" w:firstLine="420" w:firstLineChars="200"/>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乙方应于</w:t>
      </w:r>
      <w:r>
        <w:rPr>
          <w:rFonts w:hint="eastAsia" w:ascii="宋体" w:hAnsi="Courier New" w:eastAsia="宋体" w:cs="宋体"/>
          <w:color w:val="auto"/>
          <w:spacing w:val="-6"/>
          <w:szCs w:val="21"/>
          <w:highlight w:val="none"/>
        </w:rPr>
        <w:t>“进出口货物征免税证明”</w:t>
      </w:r>
      <w:r>
        <w:rPr>
          <w:rFonts w:hint="eastAsia" w:ascii="Times New Roman" w:hAnsi="Times New Roman" w:eastAsia="宋体" w:cs="Times New Roman"/>
          <w:color w:val="auto"/>
          <w:spacing w:val="-6"/>
          <w:szCs w:val="21"/>
          <w:highlight w:val="none"/>
        </w:rPr>
        <w:t>办理后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天内将所供商品按时、安全运至甲方指定地点，安装调试完毕后交甲方验收。</w:t>
      </w:r>
    </w:p>
    <w:p w14:paraId="0416D807">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六、调试与验收</w:t>
      </w:r>
    </w:p>
    <w:p w14:paraId="63B089A2">
      <w:pPr>
        <w:keepNext w:val="0"/>
        <w:keepLines w:val="0"/>
        <w:pageBreakBefore w:val="0"/>
        <w:kinsoku/>
        <w:wordWrap/>
        <w:overflowPunct/>
        <w:topLinePunct w:val="0"/>
        <w:autoSpaceDE/>
        <w:autoSpaceDN/>
        <w:bidi w:val="0"/>
        <w:spacing w:beforeAutospacing="0" w:afterAutospacing="0" w:line="288" w:lineRule="auto"/>
        <w:ind w:left="0" w:right="0" w:firstLine="396" w:firstLineChars="200"/>
        <w:contextualSpacing/>
        <w:textAlignment w:val="auto"/>
        <w:rPr>
          <w:rFonts w:ascii="宋体" w:hAnsi="宋体" w:eastAsia="宋体" w:cs="宋体"/>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、乙方交货前应对产品做出全面检查和对验收文件进行整理，并列出清单，作为甲方收货验收和使用的技术条件依据，检验的结果和相关文件、资料等应随货物交甲方。</w:t>
      </w:r>
    </w:p>
    <w:p w14:paraId="39426DDE">
      <w:pPr>
        <w:keepNext w:val="0"/>
        <w:keepLines w:val="0"/>
        <w:pageBreakBefore w:val="0"/>
        <w:kinsoku/>
        <w:wordWrap/>
        <w:overflowPunct/>
        <w:topLinePunct w:val="0"/>
        <w:autoSpaceDE/>
        <w:autoSpaceDN/>
        <w:bidi w:val="0"/>
        <w:spacing w:beforeAutospacing="0" w:afterAutospacing="0" w:line="288" w:lineRule="auto"/>
        <w:ind w:left="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2、到货验收：到货后，甲方对乙方提交的货物依据招标文件上的技术规格要求和国家有关质量标准进行现场到货验收，主要</w:t>
      </w:r>
      <w:r>
        <w:rPr>
          <w:rFonts w:hint="eastAsia" w:ascii="Times New Roman" w:hAnsi="Times New Roman" w:eastAsia="宋体" w:cs="Times New Roman"/>
          <w:color w:val="auto"/>
          <w:szCs w:val="21"/>
          <w:highlight w:val="none"/>
        </w:rPr>
        <w:t>检查货物原产地、规格、型号、配置是否符合要求。</w:t>
      </w:r>
      <w:r>
        <w:rPr>
          <w:rFonts w:hint="eastAsia" w:ascii="Times New Roman" w:hAnsi="Times New Roman" w:eastAsia="宋体" w:cs="Times New Roman"/>
          <w:color w:val="auto"/>
          <w:spacing w:val="-6"/>
          <w:szCs w:val="21"/>
          <w:highlight w:val="none"/>
        </w:rPr>
        <w:t>符合招投标文件技术要求的给予签收，初步验收不合格的不予签收。</w:t>
      </w:r>
    </w:p>
    <w:p w14:paraId="4B23BC23">
      <w:pPr>
        <w:keepNext w:val="0"/>
        <w:keepLines w:val="0"/>
        <w:pageBreakBefore w:val="0"/>
        <w:kinsoku/>
        <w:wordWrap/>
        <w:overflowPunct/>
        <w:topLinePunct w:val="0"/>
        <w:autoSpaceDE/>
        <w:autoSpaceDN/>
        <w:bidi w:val="0"/>
        <w:spacing w:beforeAutospacing="0" w:afterAutospacing="0" w:line="288" w:lineRule="auto"/>
        <w:ind w:left="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0B61BE1F">
      <w:pPr>
        <w:keepNext w:val="0"/>
        <w:keepLines w:val="0"/>
        <w:pageBreakBefore w:val="0"/>
        <w:kinsoku/>
        <w:wordWrap/>
        <w:overflowPunct/>
        <w:topLinePunct w:val="0"/>
        <w:autoSpaceDE/>
        <w:autoSpaceDN/>
        <w:bidi w:val="0"/>
        <w:spacing w:beforeAutospacing="0" w:afterAutospacing="0" w:line="288" w:lineRule="auto"/>
        <w:ind w:left="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4、对技术复杂的货物，甲方可请国家法定检测机构或者双方认可的第三方机构参与到货验收及交付验收，并由其出具质量检测报告。验收费用由乙方承担。</w:t>
      </w:r>
    </w:p>
    <w:p w14:paraId="24EEDA72">
      <w:pPr>
        <w:keepNext w:val="0"/>
        <w:keepLines w:val="0"/>
        <w:pageBreakBefore w:val="0"/>
        <w:kinsoku/>
        <w:wordWrap/>
        <w:overflowPunct/>
        <w:topLinePunct w:val="0"/>
        <w:autoSpaceDE/>
        <w:autoSpaceDN/>
        <w:bidi w:val="0"/>
        <w:spacing w:beforeAutospacing="0" w:afterAutospacing="0" w:line="288" w:lineRule="auto"/>
        <w:ind w:left="0" w:right="0" w:firstLine="396" w:firstLineChars="200"/>
        <w:contextualSpacing/>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5、如发现有重大的质量问题：</w:t>
      </w:r>
    </w:p>
    <w:p w14:paraId="328A3BC8">
      <w:pPr>
        <w:keepNext w:val="0"/>
        <w:keepLines w:val="0"/>
        <w:pageBreakBefore w:val="0"/>
        <w:kinsoku/>
        <w:wordWrap/>
        <w:overflowPunct/>
        <w:topLinePunct w:val="0"/>
        <w:autoSpaceDE/>
        <w:autoSpaceDN/>
        <w:bidi w:val="0"/>
        <w:snapToGrid w:val="0"/>
        <w:spacing w:beforeAutospacing="0" w:afterAutospacing="0" w:line="288" w:lineRule="auto"/>
        <w:ind w:left="0" w:right="0" w:firstLine="297" w:firstLineChars="15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（1）甲乙双方可协商，乙方应在合理的期限内负责更换直至符合质量要求；</w:t>
      </w:r>
    </w:p>
    <w:p w14:paraId="72186099">
      <w:pPr>
        <w:keepNext w:val="0"/>
        <w:keepLines w:val="0"/>
        <w:pageBreakBefore w:val="0"/>
        <w:kinsoku/>
        <w:wordWrap/>
        <w:overflowPunct/>
        <w:topLinePunct w:val="0"/>
        <w:autoSpaceDE/>
        <w:autoSpaceDN/>
        <w:bidi w:val="0"/>
        <w:snapToGrid w:val="0"/>
        <w:spacing w:beforeAutospacing="0" w:afterAutospacing="0" w:line="288" w:lineRule="auto"/>
        <w:ind w:left="0" w:right="0" w:firstLine="297" w:firstLineChars="15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Times New Roman" w:hAnsi="Times New Roman" w:eastAsia="宋体" w:cs="Times New Roman"/>
          <w:color w:val="auto"/>
          <w:spacing w:val="-6"/>
          <w:szCs w:val="21"/>
          <w:highlight w:val="none"/>
          <w:u w:val="single"/>
        </w:rPr>
        <w:t xml:space="preserve"> 10％ </w:t>
      </w:r>
      <w:r>
        <w:rPr>
          <w:rFonts w:hint="eastAsia" w:ascii="Times New Roman" w:hAnsi="Times New Roman" w:eastAsia="宋体" w:cs="Times New Roman"/>
          <w:color w:val="auto"/>
          <w:spacing w:val="-6"/>
          <w:szCs w:val="21"/>
          <w:highlight w:val="none"/>
        </w:rPr>
        <w:t>的赔偿金。</w:t>
      </w:r>
    </w:p>
    <w:p w14:paraId="07D6EF65">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6、当出现退货情况时，乙方应在</w:t>
      </w:r>
      <w:r>
        <w:rPr>
          <w:rFonts w:hint="eastAsia" w:ascii="Times New Roman" w:hAnsi="Times New Roman" w:eastAsia="宋体" w:cs="Times New Roman"/>
          <w:color w:val="auto"/>
          <w:spacing w:val="-6"/>
          <w:szCs w:val="21"/>
          <w:highlight w:val="none"/>
          <w:u w:val="single"/>
        </w:rPr>
        <w:t xml:space="preserve">  10  </w:t>
      </w:r>
      <w:r>
        <w:rPr>
          <w:rFonts w:hint="eastAsia" w:ascii="Times New Roman" w:hAnsi="Times New Roman" w:eastAsia="宋体" w:cs="Times New Roman"/>
          <w:color w:val="auto"/>
          <w:spacing w:val="-6"/>
          <w:szCs w:val="21"/>
          <w:highlight w:val="none"/>
        </w:rPr>
        <w:t>天内将货物搬回，逾期没有将货物搬回的，视为乙方将货物抛弃，甲方有权随意处理，货物搬运和处理费用由乙方承担。</w:t>
      </w:r>
    </w:p>
    <w:p w14:paraId="043984A7">
      <w:pPr>
        <w:keepNext w:val="0"/>
        <w:keepLines w:val="0"/>
        <w:pageBreakBefore w:val="0"/>
        <w:kinsoku/>
        <w:wordWrap/>
        <w:overflowPunct/>
        <w:topLinePunct w:val="0"/>
        <w:autoSpaceDE/>
        <w:autoSpaceDN/>
        <w:bidi w:val="0"/>
        <w:snapToGrid w:val="0"/>
        <w:spacing w:beforeAutospacing="0" w:afterAutospacing="0" w:line="288" w:lineRule="auto"/>
        <w:ind w:left="0" w:right="0" w:firstLine="398" w:firstLineChars="200"/>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七、货款的支付</w:t>
      </w:r>
    </w:p>
    <w:p w14:paraId="1D2185CE">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合同签订、办理好“进出口货物征免税证明”后7个工作日内，甲方预付合同金额的40%，由甲方指定的外贸代理公司开具100%不可撤销即期信用证（90%即期，10%凭验收报告），甲方见装运单支付合同金额的50%给外贸代理公司。项目履约完成，经甲方验收合格后，收到发票后7个工作日内，甲方向外贸代理公司支付合同金额的10%。</w:t>
      </w:r>
    </w:p>
    <w:p w14:paraId="5A640F20">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八、质量保证与售后服务</w:t>
      </w:r>
    </w:p>
    <w:p w14:paraId="64BA8D2D">
      <w:pPr>
        <w:keepNext w:val="0"/>
        <w:keepLines w:val="0"/>
        <w:pageBreakBefore w:val="0"/>
        <w:kinsoku/>
        <w:wordWrap/>
        <w:overflowPunct/>
        <w:topLinePunct w:val="0"/>
        <w:autoSpaceDE/>
        <w:autoSpaceDN/>
        <w:bidi w:val="0"/>
        <w:spacing w:beforeAutospacing="0" w:afterAutospacing="0" w:line="288" w:lineRule="auto"/>
        <w:ind w:left="0" w:right="0" w:firstLine="396"/>
        <w:contextualSpacing/>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、乙方应按招标文件规定的货物性能、技术要求、质量标准向甲方提供未经使用的全新产品。</w:t>
      </w:r>
    </w:p>
    <w:p w14:paraId="763E9FA6">
      <w:pPr>
        <w:keepNext w:val="0"/>
        <w:keepLines w:val="0"/>
        <w:pageBreakBefore w:val="0"/>
        <w:kinsoku/>
        <w:wordWrap/>
        <w:overflowPunct/>
        <w:topLinePunct w:val="0"/>
        <w:autoSpaceDE/>
        <w:autoSpaceDN/>
        <w:bidi w:val="0"/>
        <w:snapToGrid w:val="0"/>
        <w:spacing w:beforeAutospacing="0" w:afterAutospacing="0" w:line="288" w:lineRule="auto"/>
        <w:ind w:left="0" w:right="0" w:firstLine="425" w:firstLineChars="215"/>
        <w:textAlignment w:val="auto"/>
        <w:rPr>
          <w:rFonts w:ascii="宋体" w:hAnsi="Courier New" w:eastAsia="宋体" w:cs="宋体"/>
          <w:color w:val="auto"/>
          <w:spacing w:val="-6"/>
          <w:szCs w:val="21"/>
          <w:highlight w:val="none"/>
        </w:rPr>
      </w:pPr>
      <w:r>
        <w:rPr>
          <w:rFonts w:hint="eastAsia" w:ascii="宋体" w:hAnsi="Courier New" w:eastAsia="宋体" w:cs="Times New Roman"/>
          <w:color w:val="auto"/>
          <w:spacing w:val="-6"/>
          <w:szCs w:val="21"/>
          <w:highlight w:val="none"/>
        </w:rPr>
        <w:t>2、</w:t>
      </w:r>
      <w:r>
        <w:rPr>
          <w:rFonts w:hint="eastAsia" w:ascii="宋体" w:hAnsi="Courier New" w:eastAsia="宋体" w:cs="宋体"/>
          <w:color w:val="auto"/>
          <w:spacing w:val="-6"/>
          <w:szCs w:val="21"/>
          <w:highlight w:val="none"/>
        </w:rPr>
        <w:t>产品质量保修期为</w:t>
      </w:r>
      <w:r>
        <w:rPr>
          <w:rFonts w:hint="eastAsia" w:ascii="宋体" w:hAnsi="Courier New" w:eastAsia="宋体" w:cs="宋体"/>
          <w:color w:val="auto"/>
          <w:spacing w:val="-6"/>
          <w:szCs w:val="21"/>
          <w:highlight w:val="none"/>
          <w:u w:val="single"/>
        </w:rPr>
        <w:t xml:space="preserve">    </w:t>
      </w:r>
      <w:r>
        <w:rPr>
          <w:rFonts w:hint="eastAsia" w:ascii="宋体" w:hAnsi="Courier New" w:eastAsia="宋体" w:cs="宋体"/>
          <w:color w:val="auto"/>
          <w:spacing w:val="-6"/>
          <w:szCs w:val="21"/>
          <w:highlight w:val="none"/>
        </w:rPr>
        <w:t>年，保修期从验收合格后开始计算。</w:t>
      </w:r>
    </w:p>
    <w:p w14:paraId="02402037">
      <w:pPr>
        <w:keepNext w:val="0"/>
        <w:keepLines w:val="0"/>
        <w:pageBreakBefore w:val="0"/>
        <w:kinsoku/>
        <w:wordWrap/>
        <w:overflowPunct/>
        <w:topLinePunct w:val="0"/>
        <w:autoSpaceDE/>
        <w:autoSpaceDN/>
        <w:bidi w:val="0"/>
        <w:snapToGrid w:val="0"/>
        <w:spacing w:beforeAutospacing="0" w:afterAutospacing="0" w:line="288" w:lineRule="auto"/>
        <w:ind w:left="0" w:right="0" w:firstLine="425" w:firstLineChars="215"/>
        <w:textAlignment w:val="auto"/>
        <w:rPr>
          <w:rFonts w:ascii="Times New Roman" w:hAnsi="Times New Roman" w:eastAsia="宋体" w:cs="宋体"/>
          <w:color w:val="auto"/>
          <w:spacing w:val="-6"/>
          <w:szCs w:val="21"/>
          <w:highlight w:val="none"/>
        </w:rPr>
      </w:pPr>
      <w:r>
        <w:rPr>
          <w:rFonts w:hint="eastAsia" w:ascii="宋体" w:hAnsi="Courier New" w:eastAsia="宋体" w:cs="Times New Roman"/>
          <w:color w:val="auto"/>
          <w:spacing w:val="-6"/>
          <w:szCs w:val="21"/>
          <w:highlight w:val="none"/>
        </w:rPr>
        <w:t>3、</w:t>
      </w:r>
      <w:r>
        <w:rPr>
          <w:rFonts w:hint="eastAsia" w:ascii="宋体" w:hAnsi="Courier New" w:eastAsia="宋体" w:cs="宋体"/>
          <w:color w:val="auto"/>
          <w:spacing w:val="-6"/>
          <w:szCs w:val="21"/>
          <w:highlight w:val="none"/>
        </w:rPr>
        <w:t>在质保期内，乙方应对货物出现的质量及安全问题负责处理解决并承担一切费用。质保期后，乙方应继续为甲方服务，仅收取零配件成本费，免人工费和差旅费，</w:t>
      </w:r>
      <w:r>
        <w:rPr>
          <w:rFonts w:hint="eastAsia" w:ascii="宋体" w:hAnsi="宋体" w:eastAsia="宋体" w:cs="Times New Roman"/>
          <w:color w:val="auto"/>
          <w:spacing w:val="-6"/>
          <w:szCs w:val="21"/>
          <w:highlight w:val="none"/>
        </w:rPr>
        <w:t>所涉及软件终身免费升级</w:t>
      </w:r>
      <w:r>
        <w:rPr>
          <w:rFonts w:hint="eastAsia" w:ascii="宋体" w:hAnsi="Courier New" w:eastAsia="宋体" w:cs="宋体"/>
          <w:color w:val="auto"/>
          <w:spacing w:val="-6"/>
          <w:szCs w:val="21"/>
          <w:highlight w:val="none"/>
        </w:rPr>
        <w:t>。</w:t>
      </w:r>
    </w:p>
    <w:p w14:paraId="6E957116">
      <w:pPr>
        <w:keepNext w:val="0"/>
        <w:keepLines w:val="0"/>
        <w:pageBreakBefore w:val="0"/>
        <w:kinsoku/>
        <w:wordWrap/>
        <w:overflowPunct/>
        <w:topLinePunct w:val="0"/>
        <w:autoSpaceDE/>
        <w:autoSpaceDN/>
        <w:bidi w:val="0"/>
        <w:snapToGrid w:val="0"/>
        <w:spacing w:beforeAutospacing="0" w:afterAutospacing="0" w:line="288" w:lineRule="auto"/>
        <w:ind w:left="0" w:right="0" w:firstLine="425" w:firstLineChars="215"/>
        <w:textAlignment w:val="auto"/>
        <w:rPr>
          <w:rFonts w:ascii="宋体" w:hAnsi="Courier New" w:eastAsia="宋体" w:cs="Times New Roman"/>
          <w:color w:val="auto"/>
          <w:spacing w:val="-6"/>
          <w:szCs w:val="21"/>
          <w:highlight w:val="none"/>
        </w:rPr>
      </w:pPr>
      <w:r>
        <w:rPr>
          <w:rFonts w:hint="eastAsia" w:ascii="宋体" w:hAnsi="Courier New" w:eastAsia="宋体" w:cs="宋体"/>
          <w:color w:val="auto"/>
          <w:spacing w:val="-6"/>
          <w:szCs w:val="21"/>
          <w:highlight w:val="none"/>
        </w:rPr>
        <w:t>4、乙方提供的货物在质保期内因货物本身的质量问题发生故障，乙方应负责免费更换。对达不到技术要求者，根据实际情况，经双方协商，可按以下办法处理：</w:t>
      </w:r>
    </w:p>
    <w:p w14:paraId="4C1C1966">
      <w:pPr>
        <w:keepNext w:val="0"/>
        <w:keepLines w:val="0"/>
        <w:pageBreakBefore w:val="0"/>
        <w:kinsoku/>
        <w:wordWrap/>
        <w:overflowPunct/>
        <w:topLinePunct w:val="0"/>
        <w:autoSpaceDE/>
        <w:autoSpaceDN/>
        <w:bidi w:val="0"/>
        <w:snapToGrid w:val="0"/>
        <w:spacing w:beforeAutospacing="0" w:afterAutospacing="0" w:line="288" w:lineRule="auto"/>
        <w:ind w:left="0" w:right="0" w:firstLine="297" w:firstLineChars="15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宋体"/>
          <w:color w:val="auto"/>
          <w:spacing w:val="-6"/>
          <w:szCs w:val="21"/>
          <w:highlight w:val="none"/>
        </w:rPr>
        <w:t>（1）更换：由乙方承担所发生的全部费用。</w:t>
      </w:r>
    </w:p>
    <w:p w14:paraId="3017E8F1">
      <w:pPr>
        <w:keepNext w:val="0"/>
        <w:keepLines w:val="0"/>
        <w:pageBreakBefore w:val="0"/>
        <w:kinsoku/>
        <w:wordWrap/>
        <w:overflowPunct/>
        <w:topLinePunct w:val="0"/>
        <w:autoSpaceDE/>
        <w:autoSpaceDN/>
        <w:bidi w:val="0"/>
        <w:snapToGrid w:val="0"/>
        <w:spacing w:beforeAutospacing="0" w:afterAutospacing="0" w:line="288" w:lineRule="auto"/>
        <w:ind w:left="0" w:right="0" w:firstLine="297" w:firstLineChars="15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宋体"/>
          <w:color w:val="auto"/>
          <w:spacing w:val="-6"/>
          <w:szCs w:val="21"/>
          <w:highlight w:val="none"/>
        </w:rPr>
        <w:t>（2）退货：乙方应退还甲方支付的合同款，同时应承担该货物的直接费用（运输、保险、检验、清关及银行手续费等）。</w:t>
      </w:r>
    </w:p>
    <w:p w14:paraId="42B9D6FE">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Times New Roman"/>
          <w:color w:val="auto"/>
          <w:spacing w:val="-6"/>
          <w:szCs w:val="21"/>
          <w:highlight w:val="none"/>
        </w:rPr>
        <w:t>5、</w:t>
      </w:r>
      <w:r>
        <w:rPr>
          <w:rFonts w:hint="eastAsia" w:ascii="Times New Roman" w:hAnsi="Times New Roman" w:eastAsia="宋体" w:cs="宋体"/>
          <w:color w:val="auto"/>
          <w:spacing w:val="-6"/>
          <w:szCs w:val="21"/>
          <w:highlight w:val="none"/>
        </w:rPr>
        <w:t>如在使用过程中发生故障，无法正常使用时，乙方在接到甲方通知后</w:t>
      </w:r>
      <w:r>
        <w:rPr>
          <w:rFonts w:hint="eastAsia" w:ascii="宋体" w:hAnsi="宋体" w:eastAsia="宋体" w:cs="Times New Roman"/>
          <w:color w:val="auto"/>
          <w:spacing w:val="-6"/>
          <w:szCs w:val="21"/>
          <w:highlight w:val="none"/>
        </w:rPr>
        <w:t>，保</w:t>
      </w:r>
      <w:r>
        <w:rPr>
          <w:rFonts w:hint="eastAsia" w:ascii="Times New Roman" w:hAnsi="Times New Roman" w:eastAsia="宋体" w:cs="宋体"/>
          <w:color w:val="auto"/>
          <w:spacing w:val="-6"/>
          <w:szCs w:val="21"/>
          <w:highlight w:val="none"/>
        </w:rPr>
        <w:t>修响应时间</w:t>
      </w:r>
      <w:r>
        <w:rPr>
          <w:rFonts w:hint="eastAsia" w:ascii="Times New Roman" w:hAnsi="Times New Roman" w:eastAsia="宋体" w:cs="Times New Roman"/>
          <w:color w:val="auto"/>
          <w:spacing w:val="-6"/>
          <w:szCs w:val="21"/>
          <w:highlight w:val="none"/>
          <w:u w:val="single"/>
        </w:rPr>
        <w:t>2</w:t>
      </w:r>
      <w:r>
        <w:rPr>
          <w:rFonts w:hint="eastAsia" w:ascii="Times New Roman" w:hAnsi="Times New Roman" w:eastAsia="宋体" w:cs="宋体"/>
          <w:color w:val="auto"/>
          <w:spacing w:val="-6"/>
          <w:szCs w:val="21"/>
          <w:highlight w:val="none"/>
        </w:rPr>
        <w:t>小时以内，电话技术支持</w:t>
      </w:r>
      <w:r>
        <w:rPr>
          <w:rFonts w:hint="eastAsia" w:ascii="Times New Roman" w:hAnsi="Times New Roman" w:eastAsia="宋体" w:cs="宋体"/>
          <w:color w:val="auto"/>
          <w:spacing w:val="-6"/>
          <w:szCs w:val="21"/>
          <w:highlight w:val="none"/>
          <w:u w:val="single"/>
        </w:rPr>
        <w:t>4</w:t>
      </w:r>
      <w:r>
        <w:rPr>
          <w:rFonts w:hint="eastAsia" w:ascii="Times New Roman" w:hAnsi="Times New Roman" w:eastAsia="宋体" w:cs="宋体"/>
          <w:color w:val="auto"/>
          <w:spacing w:val="-6"/>
          <w:szCs w:val="21"/>
          <w:highlight w:val="none"/>
        </w:rPr>
        <w:t>小时内解决问题；若需上门维修，则</w:t>
      </w:r>
      <w:r>
        <w:rPr>
          <w:rFonts w:ascii="Times New Roman" w:hAnsi="Times New Roman" w:eastAsia="宋体" w:cs="Times New Roman"/>
          <w:color w:val="auto"/>
          <w:spacing w:val="-6"/>
          <w:szCs w:val="21"/>
          <w:highlight w:val="none"/>
          <w:u w:val="single"/>
        </w:rPr>
        <w:t>8</w:t>
      </w:r>
      <w:r>
        <w:rPr>
          <w:rFonts w:hint="eastAsia" w:ascii="Times New Roman" w:hAnsi="Times New Roman" w:eastAsia="宋体" w:cs="宋体"/>
          <w:color w:val="auto"/>
          <w:spacing w:val="-6"/>
          <w:szCs w:val="21"/>
          <w:highlight w:val="none"/>
        </w:rPr>
        <w:t>小时内到达现场并进行维修，最迟在</w:t>
      </w:r>
      <w:r>
        <w:rPr>
          <w:rFonts w:ascii="Times New Roman" w:hAnsi="Times New Roman" w:eastAsia="宋体" w:cs="Times New Roman"/>
          <w:color w:val="auto"/>
          <w:spacing w:val="-6"/>
          <w:szCs w:val="21"/>
          <w:highlight w:val="none"/>
          <w:u w:val="single"/>
        </w:rPr>
        <w:t>2</w:t>
      </w:r>
      <w:r>
        <w:rPr>
          <w:rFonts w:hint="eastAsia" w:ascii="Times New Roman" w:hAnsi="Times New Roman" w:eastAsia="宋体" w:cs="宋体"/>
          <w:color w:val="auto"/>
          <w:spacing w:val="-6"/>
          <w:szCs w:val="21"/>
          <w:highlight w:val="none"/>
        </w:rPr>
        <w:t>个工作日内修复。如果乙方没有在约定时间内响应或上门维修或修复的，甲方有权请其他人员维修，产生费用由乙方承担。保修内出现无法排除的故障，乙方需无条件为甲方更换同型号产品，以确保甲方的正常使用。</w:t>
      </w:r>
    </w:p>
    <w:p w14:paraId="2DE7AE46">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九、违约责任</w:t>
      </w:r>
    </w:p>
    <w:p w14:paraId="7D958BF2">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乙方逾期履行合同的，自逾期之日起，乙方向甲方每日偿付合同总价</w:t>
      </w:r>
      <w:r>
        <w:rPr>
          <w:rFonts w:hint="eastAsia" w:ascii="Times New Roman" w:hAnsi="Times New Roman" w:eastAsia="宋体" w:cs="宋体"/>
          <w:color w:val="auto"/>
          <w:spacing w:val="-6"/>
          <w:szCs w:val="21"/>
          <w:highlight w:val="none"/>
          <w:u w:val="single"/>
        </w:rPr>
        <w:t>0.2%</w:t>
      </w:r>
      <w:r>
        <w:rPr>
          <w:rFonts w:hint="eastAsia" w:ascii="Times New Roman" w:hAnsi="Times New Roman" w:eastAsia="宋体" w:cs="宋体"/>
          <w:color w:val="auto"/>
          <w:spacing w:val="-6"/>
          <w:szCs w:val="21"/>
          <w:highlight w:val="none"/>
        </w:rPr>
        <w:t>的违约金。</w:t>
      </w:r>
    </w:p>
    <w:p w14:paraId="1D786310">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2</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乙方逾期交货超过</w:t>
      </w:r>
      <w:r>
        <w:rPr>
          <w:rFonts w:hint="eastAsia" w:ascii="Times New Roman" w:hAnsi="Times New Roman" w:eastAsia="宋体" w:cs="宋体"/>
          <w:color w:val="auto"/>
          <w:spacing w:val="-6"/>
          <w:szCs w:val="21"/>
          <w:highlight w:val="none"/>
          <w:u w:val="single"/>
        </w:rPr>
        <w:t>3</w:t>
      </w:r>
      <w:r>
        <w:rPr>
          <w:rFonts w:hint="eastAsia" w:ascii="Times New Roman" w:hAnsi="Times New Roman" w:eastAsia="宋体" w:cs="宋体"/>
          <w:color w:val="auto"/>
          <w:spacing w:val="-6"/>
          <w:szCs w:val="21"/>
          <w:highlight w:val="none"/>
        </w:rPr>
        <w:t>个月，则甲方有权单方面终止合同，并要求乙方承付上述的违约金。</w:t>
      </w:r>
      <w:r>
        <w:rPr>
          <w:rFonts w:hint="eastAsia" w:ascii="Times New Roman" w:hAnsi="Times New Roman" w:eastAsia="宋体" w:cs="Times New Roman"/>
          <w:color w:val="auto"/>
          <w:spacing w:val="-6"/>
          <w:szCs w:val="21"/>
          <w:highlight w:val="none"/>
        </w:rPr>
        <w:t>如造成甲方损失超过违约金的，超出部分由乙方继续承担赔偿责任。</w:t>
      </w:r>
    </w:p>
    <w:p w14:paraId="21571D6D">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3、甲方逾期付款的，乙方有权要求甲方自逾期之日起每天按合同总金额0.2%向乙方偿付违约金。</w:t>
      </w:r>
    </w:p>
    <w:p w14:paraId="1D64EFA4">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十、不可抗力事件处理</w:t>
      </w:r>
    </w:p>
    <w:p w14:paraId="7A54476B">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w:t>
      </w:r>
      <w:r>
        <w:rPr>
          <w:rFonts w:ascii="Times New Roman" w:hAnsi="Times New Roman" w:eastAsia="宋体" w:cs="Times New Roman"/>
          <w:color w:val="auto"/>
          <w:spacing w:val="-6"/>
          <w:szCs w:val="21"/>
          <w:highlight w:val="none"/>
        </w:rPr>
        <w:t xml:space="preserve"> </w:t>
      </w:r>
      <w:r>
        <w:rPr>
          <w:rFonts w:hint="eastAsia" w:ascii="Times New Roman" w:hAnsi="Times New Roman" w:eastAsia="宋体" w:cs="宋体"/>
          <w:color w:val="auto"/>
          <w:spacing w:val="-6"/>
          <w:szCs w:val="21"/>
          <w:highlight w:val="none"/>
        </w:rPr>
        <w:t>在合同有效期内，任何一方因不可抗力事件导致不能履行合同，则合同履行期可延长，其延长期与不可抗力影响期相同。</w:t>
      </w:r>
    </w:p>
    <w:p w14:paraId="74B911EE">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2</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不可抗力事件发生后，应立即通知对方，并寄送有关权威机构出具的证明。</w:t>
      </w:r>
    </w:p>
    <w:p w14:paraId="028701EE">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ascii="Times New Roman" w:hAnsi="Times New Roman" w:eastAsia="宋体" w:cs="Times New Roman"/>
          <w:color w:val="auto"/>
          <w:spacing w:val="-6"/>
          <w:szCs w:val="21"/>
          <w:highlight w:val="none"/>
        </w:rPr>
        <w:t>3</w:t>
      </w:r>
      <w:r>
        <w:rPr>
          <w:rFonts w:hint="eastAsia" w:ascii="Times New Roman" w:hAnsi="Times New Roman" w:eastAsia="宋体" w:cs="Times New Roman"/>
          <w:color w:val="auto"/>
          <w:spacing w:val="-6"/>
          <w:szCs w:val="21"/>
          <w:highlight w:val="none"/>
        </w:rPr>
        <w:t>、</w:t>
      </w:r>
      <w:r>
        <w:rPr>
          <w:rFonts w:hint="eastAsia" w:ascii="Times New Roman" w:hAnsi="Times New Roman" w:eastAsia="宋体" w:cs="宋体"/>
          <w:color w:val="auto"/>
          <w:spacing w:val="-6"/>
          <w:szCs w:val="21"/>
          <w:highlight w:val="none"/>
        </w:rPr>
        <w:t>不可抗力事件延续</w:t>
      </w:r>
      <w:r>
        <w:rPr>
          <w:rFonts w:ascii="Times New Roman" w:hAnsi="Times New Roman" w:eastAsia="宋体" w:cs="Times New Roman"/>
          <w:color w:val="auto"/>
          <w:spacing w:val="-6"/>
          <w:szCs w:val="21"/>
          <w:highlight w:val="none"/>
        </w:rPr>
        <w:t>120</w:t>
      </w:r>
      <w:r>
        <w:rPr>
          <w:rFonts w:hint="eastAsia" w:ascii="Times New Roman" w:hAnsi="Times New Roman" w:eastAsia="宋体" w:cs="宋体"/>
          <w:color w:val="auto"/>
          <w:spacing w:val="-6"/>
          <w:szCs w:val="21"/>
          <w:highlight w:val="none"/>
        </w:rPr>
        <w:t>天以上，双方应通过友好协商，确定是否继续履行合同。</w:t>
      </w:r>
    </w:p>
    <w:p w14:paraId="4DDC5F17">
      <w:pPr>
        <w:keepNext w:val="0"/>
        <w:keepLines w:val="0"/>
        <w:pageBreakBefore w:val="0"/>
        <w:kinsoku/>
        <w:wordWrap/>
        <w:overflowPunct/>
        <w:topLinePunct w:val="0"/>
        <w:autoSpaceDE/>
        <w:autoSpaceDN/>
        <w:bidi w:val="0"/>
        <w:snapToGrid w:val="0"/>
        <w:spacing w:beforeAutospacing="0" w:afterAutospacing="0" w:line="288" w:lineRule="auto"/>
        <w:ind w:left="0" w:right="0" w:firstLine="390" w:firstLineChars="196"/>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十一、争议解决</w:t>
      </w:r>
    </w:p>
    <w:p w14:paraId="76AB7E4D">
      <w:pPr>
        <w:keepNext w:val="0"/>
        <w:keepLines w:val="0"/>
        <w:pageBreakBefore w:val="0"/>
        <w:kinsoku/>
        <w:wordWrap/>
        <w:overflowPunct/>
        <w:topLinePunct w:val="0"/>
        <w:autoSpaceDE/>
        <w:autoSpaceDN/>
        <w:bidi w:val="0"/>
        <w:adjustRightInd w:val="0"/>
        <w:snapToGrid w:val="0"/>
        <w:spacing w:beforeAutospacing="0" w:afterAutospacing="0" w:line="288" w:lineRule="auto"/>
        <w:ind w:left="0" w:right="0" w:firstLine="415" w:firstLineChars="210"/>
        <w:jc w:val="left"/>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14:paraId="1B547B4D">
      <w:pPr>
        <w:keepNext w:val="0"/>
        <w:keepLines w:val="0"/>
        <w:pageBreakBefore w:val="0"/>
        <w:kinsoku/>
        <w:wordWrap/>
        <w:overflowPunct/>
        <w:topLinePunct w:val="0"/>
        <w:autoSpaceDE/>
        <w:autoSpaceDN/>
        <w:bidi w:val="0"/>
        <w:adjustRightInd w:val="0"/>
        <w:snapToGrid w:val="0"/>
        <w:spacing w:beforeAutospacing="0" w:afterAutospacing="0" w:line="288" w:lineRule="auto"/>
        <w:ind w:left="0" w:right="0" w:firstLine="390" w:firstLineChars="196"/>
        <w:jc w:val="left"/>
        <w:textAlignment w:val="auto"/>
        <w:rPr>
          <w:rFonts w:ascii="Times New Roman" w:hAnsi="Times New Roman" w:eastAsia="宋体" w:cs="宋体"/>
          <w:b/>
          <w:bCs/>
          <w:color w:val="auto"/>
          <w:spacing w:val="-6"/>
          <w:szCs w:val="21"/>
          <w:highlight w:val="none"/>
        </w:rPr>
      </w:pPr>
      <w:r>
        <w:rPr>
          <w:rFonts w:hint="eastAsia" w:ascii="Times New Roman" w:hAnsi="Times New Roman" w:eastAsia="宋体" w:cs="宋体"/>
          <w:b/>
          <w:bCs/>
          <w:color w:val="auto"/>
          <w:spacing w:val="-6"/>
          <w:szCs w:val="21"/>
          <w:highlight w:val="none"/>
        </w:rPr>
        <w:t>十二、合同生效</w:t>
      </w:r>
    </w:p>
    <w:p w14:paraId="1EBAE16D">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1</w:t>
      </w:r>
      <w:r>
        <w:rPr>
          <w:rFonts w:hint="eastAsia" w:ascii="Times New Roman" w:hAnsi="Times New Roman" w:eastAsia="宋体" w:cs="Times New Roman"/>
          <w:color w:val="auto"/>
          <w:spacing w:val="-6"/>
          <w:szCs w:val="21"/>
          <w:highlight w:val="none"/>
        </w:rPr>
        <w:t>、本</w:t>
      </w:r>
      <w:r>
        <w:rPr>
          <w:rFonts w:hint="eastAsia" w:ascii="Times New Roman" w:hAnsi="Times New Roman" w:eastAsia="宋体" w:cs="宋体"/>
          <w:color w:val="auto"/>
          <w:spacing w:val="-6"/>
          <w:szCs w:val="21"/>
          <w:highlight w:val="none"/>
        </w:rPr>
        <w:t>合同经甲、乙双方法定代表人或授权代表签字并加盖单位公章后生效。</w:t>
      </w:r>
    </w:p>
    <w:p w14:paraId="073516BC">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Times New Roman"/>
          <w:color w:val="auto"/>
          <w:spacing w:val="-6"/>
          <w:szCs w:val="21"/>
          <w:highlight w:val="none"/>
        </w:rPr>
        <w:t>2、</w:t>
      </w:r>
      <w:r>
        <w:rPr>
          <w:rFonts w:hint="eastAsia" w:ascii="Times New Roman" w:hAnsi="Times New Roman" w:eastAsia="宋体" w:cs="宋体"/>
          <w:color w:val="auto"/>
          <w:spacing w:val="-6"/>
          <w:szCs w:val="21"/>
          <w:highlight w:val="none"/>
        </w:rPr>
        <w:t>本合同未尽事宜，双方可协商签订补充协议，补充协议和本合同具有同等法律效力。</w:t>
      </w:r>
    </w:p>
    <w:p w14:paraId="35AD9361">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3、</w:t>
      </w:r>
      <w:r>
        <w:rPr>
          <w:rFonts w:hint="eastAsia" w:ascii="Times New Roman" w:hAnsi="Times New Roman" w:eastAsia="宋体" w:cs="宋体"/>
          <w:color w:val="auto"/>
          <w:spacing w:val="-6"/>
          <w:szCs w:val="21"/>
          <w:highlight w:val="none"/>
        </w:rPr>
        <w:t>本合同一式柒份，甲方执陆份，乙方壹份。</w:t>
      </w:r>
    </w:p>
    <w:p w14:paraId="2A93DA4A">
      <w:pPr>
        <w:keepNext w:val="0"/>
        <w:keepLines w:val="0"/>
        <w:pageBreakBefore w:val="0"/>
        <w:kinsoku/>
        <w:wordWrap/>
        <w:overflowPunct/>
        <w:topLinePunct w:val="0"/>
        <w:autoSpaceDE/>
        <w:autoSpaceDN/>
        <w:bidi w:val="0"/>
        <w:snapToGrid w:val="0"/>
        <w:spacing w:beforeAutospacing="0" w:afterAutospacing="0" w:line="288" w:lineRule="auto"/>
        <w:ind w:left="0" w:right="0" w:firstLine="396" w:firstLineChars="200"/>
        <w:textAlignment w:val="auto"/>
        <w:rPr>
          <w:rFonts w:ascii="Times New Roman" w:hAnsi="Times New Roman" w:eastAsia="宋体" w:cs="宋体"/>
          <w:color w:val="auto"/>
          <w:spacing w:val="-6"/>
          <w:szCs w:val="21"/>
          <w:highlight w:val="none"/>
        </w:rPr>
      </w:pPr>
      <w:r>
        <w:rPr>
          <w:rFonts w:hint="eastAsia" w:ascii="Times New Roman" w:hAnsi="Times New Roman" w:eastAsia="宋体" w:cs="宋体"/>
          <w:color w:val="auto"/>
          <w:spacing w:val="-6"/>
          <w:szCs w:val="21"/>
          <w:highlight w:val="none"/>
        </w:rPr>
        <w:t>4、与本合同有关的招投标文件及相关承诺系本合同的组成部分。</w:t>
      </w:r>
    </w:p>
    <w:tbl>
      <w:tblPr>
        <w:tblStyle w:val="24"/>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7E7C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69791F0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甲  方（需方）</w:t>
            </w:r>
          </w:p>
        </w:tc>
        <w:tc>
          <w:tcPr>
            <w:tcW w:w="4644" w:type="dxa"/>
            <w:vAlign w:val="bottom"/>
          </w:tcPr>
          <w:p w14:paraId="4F09D32D">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乙  方（供方）</w:t>
            </w:r>
          </w:p>
        </w:tc>
      </w:tr>
      <w:tr w14:paraId="2CCC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9B36D1F">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单位名称（章）：中国计量大学</w:t>
            </w:r>
          </w:p>
        </w:tc>
        <w:tc>
          <w:tcPr>
            <w:tcW w:w="4644" w:type="dxa"/>
            <w:vAlign w:val="center"/>
          </w:tcPr>
          <w:p w14:paraId="4501979F">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w:t>
            </w:r>
          </w:p>
        </w:tc>
      </w:tr>
      <w:tr w14:paraId="6626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27C6FFB">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 浙江省杭州市钱塘区学源街258号</w:t>
            </w:r>
          </w:p>
        </w:tc>
        <w:tc>
          <w:tcPr>
            <w:tcW w:w="4644" w:type="dxa"/>
            <w:vAlign w:val="center"/>
          </w:tcPr>
          <w:p w14:paraId="0886D213">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w:t>
            </w:r>
          </w:p>
        </w:tc>
      </w:tr>
      <w:tr w14:paraId="2370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4309754">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c>
          <w:tcPr>
            <w:tcW w:w="4644" w:type="dxa"/>
            <w:vAlign w:val="center"/>
          </w:tcPr>
          <w:p w14:paraId="6AB11129">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r>
      <w:tr w14:paraId="4B4A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03DEF4F">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c>
          <w:tcPr>
            <w:tcW w:w="4644" w:type="dxa"/>
            <w:vAlign w:val="center"/>
          </w:tcPr>
          <w:p w14:paraId="674ED828">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r>
      <w:tr w14:paraId="2534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2340C561">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电话：0571-</w:t>
            </w:r>
            <w:r>
              <w:rPr>
                <w:rFonts w:hint="default" w:ascii="Times New Roman" w:hAnsi="Times New Roman" w:eastAsia="宋体" w:cs="Times New Roman"/>
                <w:color w:val="auto"/>
                <w:szCs w:val="21"/>
                <w:highlight w:val="none"/>
              </w:rPr>
              <w:t>86875788</w:t>
            </w:r>
            <w:r>
              <w:rPr>
                <w:rFonts w:hint="eastAsia" w:ascii="Times New Roman" w:hAnsi="Times New Roman" w:eastAsia="宋体" w:cs="Times New Roman"/>
                <w:color w:val="auto"/>
                <w:szCs w:val="21"/>
                <w:highlight w:val="none"/>
              </w:rPr>
              <w:t xml:space="preserve">      传真：0571-86875640</w:t>
            </w:r>
          </w:p>
        </w:tc>
        <w:tc>
          <w:tcPr>
            <w:tcW w:w="4644" w:type="dxa"/>
            <w:vAlign w:val="center"/>
          </w:tcPr>
          <w:p w14:paraId="03400564">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r>
      <w:tr w14:paraId="70DB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732023A">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开户银行：工行高新支行</w:t>
            </w:r>
          </w:p>
        </w:tc>
        <w:tc>
          <w:tcPr>
            <w:tcW w:w="4644" w:type="dxa"/>
            <w:vAlign w:val="center"/>
          </w:tcPr>
          <w:p w14:paraId="3EAC0A61">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w:t>
            </w:r>
          </w:p>
        </w:tc>
      </w:tr>
      <w:tr w14:paraId="6E0C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E16DE3C">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  1202026209008932114</w:t>
            </w:r>
          </w:p>
        </w:tc>
        <w:tc>
          <w:tcPr>
            <w:tcW w:w="4644" w:type="dxa"/>
            <w:vAlign w:val="center"/>
          </w:tcPr>
          <w:p w14:paraId="4B9B200D">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w:t>
            </w:r>
          </w:p>
        </w:tc>
      </w:tr>
      <w:tr w14:paraId="450D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15AE489B">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纳税人识别号：123300004700090698</w:t>
            </w:r>
          </w:p>
        </w:tc>
        <w:tc>
          <w:tcPr>
            <w:tcW w:w="4644" w:type="dxa"/>
            <w:vAlign w:val="center"/>
          </w:tcPr>
          <w:p w14:paraId="0AAA9D32">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w:t>
            </w:r>
          </w:p>
        </w:tc>
      </w:tr>
      <w:tr w14:paraId="0CC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7072DAF">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邮政编号：310018                                                                                                                                                                                                                                         </w:t>
            </w:r>
          </w:p>
        </w:tc>
        <w:tc>
          <w:tcPr>
            <w:tcW w:w="4644" w:type="dxa"/>
            <w:vAlign w:val="center"/>
          </w:tcPr>
          <w:p w14:paraId="78ED6B7C">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邮政编号：</w:t>
            </w:r>
          </w:p>
        </w:tc>
      </w:tr>
      <w:tr w14:paraId="3E5B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61F9C7D4">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c>
          <w:tcPr>
            <w:tcW w:w="4644" w:type="dxa"/>
            <w:vAlign w:val="center"/>
          </w:tcPr>
          <w:p w14:paraId="775B969B">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r>
      <w:tr w14:paraId="096E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08D83822">
            <w:pPr>
              <w:keepNext w:val="0"/>
              <w:keepLines w:val="0"/>
              <w:pageBreakBefore w:val="0"/>
              <w:suppressLineNumbers w:val="0"/>
              <w:kinsoku/>
              <w:wordWrap/>
              <w:overflowPunct/>
              <w:topLinePunct w:val="0"/>
              <w:autoSpaceDE/>
              <w:autoSpaceDN/>
              <w:bidi w:val="0"/>
              <w:spacing w:beforeAutospacing="0" w:afterAutospacing="0" w:line="288" w:lineRule="auto"/>
              <w:ind w:left="0" w:right="0"/>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签约地点：杭州市钱塘区</w:t>
            </w:r>
          </w:p>
        </w:tc>
      </w:tr>
    </w:tbl>
    <w:p w14:paraId="117B383B">
      <w:pPr>
        <w:keepNext w:val="0"/>
        <w:keepLines w:val="0"/>
        <w:pageBreakBefore w:val="0"/>
        <w:tabs>
          <w:tab w:val="left" w:pos="525"/>
        </w:tabs>
        <w:kinsoku/>
        <w:wordWrap/>
        <w:overflowPunct/>
        <w:topLinePunct w:val="0"/>
        <w:autoSpaceDE/>
        <w:autoSpaceDN/>
        <w:bidi w:val="0"/>
        <w:spacing w:beforeAutospacing="0" w:afterAutospacing="0" w:line="288" w:lineRule="auto"/>
        <w:ind w:left="0" w:right="0"/>
        <w:textAlignment w:val="auto"/>
        <w:rPr>
          <w:rFonts w:ascii="Times New Roman" w:hAnsi="宋体" w:eastAsia="宋体" w:cs="Times New Roman"/>
          <w:b/>
          <w:bCs/>
          <w:color w:val="auto"/>
          <w:szCs w:val="21"/>
          <w:highlight w:val="none"/>
        </w:rPr>
      </w:pPr>
      <w:r>
        <w:rPr>
          <w:rFonts w:hint="eastAsia" w:ascii="Times New Roman" w:hAnsi="宋体" w:eastAsia="宋体" w:cs="Times New Roman"/>
          <w:b/>
          <w:bCs/>
          <w:color w:val="auto"/>
          <w:szCs w:val="21"/>
          <w:highlight w:val="none"/>
        </w:rPr>
        <w:t>合同附件：</w:t>
      </w:r>
    </w:p>
    <w:p w14:paraId="1551B4F2">
      <w:pPr>
        <w:keepNext w:val="0"/>
        <w:keepLines w:val="0"/>
        <w:pageBreakBefore w:val="0"/>
        <w:tabs>
          <w:tab w:val="left" w:pos="525"/>
        </w:tabs>
        <w:kinsoku/>
        <w:wordWrap/>
        <w:overflowPunct/>
        <w:topLinePunct w:val="0"/>
        <w:autoSpaceDE/>
        <w:autoSpaceDN/>
        <w:bidi w:val="0"/>
        <w:spacing w:beforeAutospacing="0" w:afterAutospacing="0" w:line="288" w:lineRule="auto"/>
        <w:ind w:left="0" w:right="0"/>
        <w:textAlignment w:val="auto"/>
        <w:rPr>
          <w:rFonts w:ascii="Times New Roman" w:hAnsi="宋体" w:eastAsia="宋体" w:cs="Times New Roman"/>
          <w:b/>
          <w:bCs/>
          <w:color w:val="auto"/>
          <w:szCs w:val="21"/>
          <w:highlight w:val="none"/>
        </w:rPr>
      </w:pPr>
      <w:r>
        <w:rPr>
          <w:rFonts w:ascii="Times New Roman" w:hAnsi="宋体" w:eastAsia="宋体" w:cs="Times New Roman"/>
          <w:b/>
          <w:bCs/>
          <w:color w:val="auto"/>
          <w:szCs w:val="21"/>
          <w:highlight w:val="none"/>
        </w:rPr>
        <w:t>配置清单：</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612"/>
        <w:gridCol w:w="1705"/>
        <w:gridCol w:w="1861"/>
        <w:gridCol w:w="1163"/>
        <w:gridCol w:w="1163"/>
        <w:gridCol w:w="1153"/>
      </w:tblGrid>
      <w:tr w14:paraId="6A60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449C008F">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序号</w:t>
            </w:r>
          </w:p>
        </w:tc>
        <w:tc>
          <w:tcPr>
            <w:tcW w:w="1612" w:type="dxa"/>
            <w:vAlign w:val="center"/>
          </w:tcPr>
          <w:p w14:paraId="7600F701">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名称</w:t>
            </w:r>
          </w:p>
        </w:tc>
        <w:tc>
          <w:tcPr>
            <w:tcW w:w="1705" w:type="dxa"/>
            <w:vAlign w:val="center"/>
          </w:tcPr>
          <w:p w14:paraId="3FDEFA78">
            <w:pPr>
              <w:keepNext w:val="0"/>
              <w:keepLines w:val="0"/>
              <w:pageBreakBefore w:val="0"/>
              <w:suppressLineNumbers w:val="0"/>
              <w:kinsoku/>
              <w:wordWrap/>
              <w:overflowPunct/>
              <w:topLinePunct w:val="0"/>
              <w:autoSpaceDE/>
              <w:autoSpaceDN/>
              <w:bidi w:val="0"/>
              <w:spacing w:beforeAutospacing="0" w:afterAutospacing="0" w:line="288" w:lineRule="auto"/>
              <w:ind w:left="0" w:right="0" w:hanging="102"/>
              <w:jc w:val="center"/>
              <w:textAlignment w:val="auto"/>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规格</w:t>
            </w:r>
            <w:r>
              <w:rPr>
                <w:rFonts w:hint="default" w:ascii="Times New Roman" w:hAnsi="Times New Roman" w:eastAsia="宋体" w:cs="Times New Roman"/>
                <w:b/>
                <w:color w:val="auto"/>
                <w:szCs w:val="21"/>
                <w:highlight w:val="none"/>
              </w:rPr>
              <w:t>/</w:t>
            </w:r>
            <w:r>
              <w:rPr>
                <w:rFonts w:hint="default" w:ascii="Times New Roman" w:hAnsi="宋体" w:eastAsia="宋体" w:cs="Times New Roman"/>
                <w:b/>
                <w:color w:val="auto"/>
                <w:szCs w:val="21"/>
                <w:highlight w:val="none"/>
              </w:rPr>
              <w:t>型号</w:t>
            </w:r>
          </w:p>
        </w:tc>
        <w:tc>
          <w:tcPr>
            <w:tcW w:w="1861" w:type="dxa"/>
          </w:tcPr>
          <w:p w14:paraId="13B96751">
            <w:pPr>
              <w:keepNext w:val="0"/>
              <w:keepLines w:val="0"/>
              <w:pageBreakBefore w:val="0"/>
              <w:suppressLineNumbers w:val="0"/>
              <w:kinsoku/>
              <w:wordWrap/>
              <w:overflowPunct/>
              <w:topLinePunct w:val="0"/>
              <w:autoSpaceDE/>
              <w:autoSpaceDN/>
              <w:bidi w:val="0"/>
              <w:spacing w:beforeAutospacing="0" w:afterAutospacing="0" w:line="288" w:lineRule="auto"/>
              <w:ind w:left="0" w:right="0" w:hanging="102"/>
              <w:jc w:val="center"/>
              <w:textAlignment w:val="auto"/>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品牌/厂家/</w:t>
            </w:r>
          </w:p>
          <w:p w14:paraId="40909FA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原产地</w:t>
            </w:r>
          </w:p>
        </w:tc>
        <w:tc>
          <w:tcPr>
            <w:tcW w:w="1163" w:type="dxa"/>
            <w:vAlign w:val="center"/>
          </w:tcPr>
          <w:p w14:paraId="74D9188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宋体" w:eastAsia="宋体" w:cs="Times New Roman"/>
                <w:b/>
                <w:color w:val="auto"/>
                <w:szCs w:val="21"/>
                <w:highlight w:val="none"/>
              </w:rPr>
            </w:pPr>
            <w:r>
              <w:rPr>
                <w:rFonts w:hint="default" w:ascii="Times New Roman" w:hAnsi="宋体" w:eastAsia="宋体" w:cs="Times New Roman"/>
                <w:b/>
                <w:color w:val="auto"/>
                <w:szCs w:val="21"/>
                <w:highlight w:val="none"/>
              </w:rPr>
              <w:t>数量</w:t>
            </w:r>
          </w:p>
        </w:tc>
        <w:tc>
          <w:tcPr>
            <w:tcW w:w="1163" w:type="dxa"/>
            <w:vAlign w:val="center"/>
          </w:tcPr>
          <w:p w14:paraId="7A60000A">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单价（人民币）</w:t>
            </w:r>
          </w:p>
        </w:tc>
        <w:tc>
          <w:tcPr>
            <w:tcW w:w="1153" w:type="dxa"/>
          </w:tcPr>
          <w:p w14:paraId="0A2F6C15">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总价（人民币）</w:t>
            </w:r>
          </w:p>
        </w:tc>
      </w:tr>
      <w:tr w14:paraId="51D7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00950926">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612" w:type="dxa"/>
            <w:vAlign w:val="center"/>
          </w:tcPr>
          <w:p w14:paraId="38EB86A8">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7B50ECA4">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861" w:type="dxa"/>
          </w:tcPr>
          <w:p w14:paraId="6B346B2F">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1825751C">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3F8F43FC">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2182046F">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r w14:paraId="68A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3E9DE9EA">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612" w:type="dxa"/>
            <w:vAlign w:val="center"/>
          </w:tcPr>
          <w:p w14:paraId="3AAE9B06">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7D91DDEB">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861" w:type="dxa"/>
          </w:tcPr>
          <w:p w14:paraId="681029A4">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05681183">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0C7422E9">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28956B9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r w14:paraId="0B64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444D892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612" w:type="dxa"/>
            <w:vAlign w:val="center"/>
          </w:tcPr>
          <w:p w14:paraId="655A5969">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04FD17D7">
            <w:pPr>
              <w:keepNext w:val="0"/>
              <w:keepLines w:val="0"/>
              <w:pageBreakBefore w:val="0"/>
              <w:suppressLineNumbers w:val="0"/>
              <w:kinsoku/>
              <w:wordWrap/>
              <w:overflowPunct/>
              <w:topLinePunct w:val="0"/>
              <w:autoSpaceDE/>
              <w:autoSpaceDN/>
              <w:bidi w:val="0"/>
              <w:spacing w:beforeAutospacing="0" w:afterAutospacing="0" w:line="288" w:lineRule="auto"/>
              <w:ind w:left="0" w:right="0" w:hanging="105" w:hangingChars="50"/>
              <w:jc w:val="center"/>
              <w:textAlignment w:val="auto"/>
              <w:rPr>
                <w:rFonts w:hint="default" w:ascii="Times New Roman" w:hAnsi="Times New Roman" w:eastAsia="宋体" w:cs="Arial"/>
                <w:color w:val="auto"/>
                <w:szCs w:val="21"/>
                <w:highlight w:val="none"/>
              </w:rPr>
            </w:pPr>
          </w:p>
        </w:tc>
        <w:tc>
          <w:tcPr>
            <w:tcW w:w="1861" w:type="dxa"/>
          </w:tcPr>
          <w:p w14:paraId="53406288">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5174FE66">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386366E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6D441D7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r w14:paraId="23EB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5810B41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1612" w:type="dxa"/>
            <w:vAlign w:val="center"/>
          </w:tcPr>
          <w:p w14:paraId="78C54CF6">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50EE26A3">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861" w:type="dxa"/>
          </w:tcPr>
          <w:p w14:paraId="091C27A1">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5B314F5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24D4E0DF">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533A4AE4">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r w14:paraId="12BB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076F6F13">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1612" w:type="dxa"/>
            <w:vAlign w:val="center"/>
          </w:tcPr>
          <w:p w14:paraId="402A5762">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528CA80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861" w:type="dxa"/>
          </w:tcPr>
          <w:p w14:paraId="59A84F3E">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0425BBD1">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56909B19">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26F701A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r w14:paraId="23EA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14:paraId="53DE6FB5">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1612" w:type="dxa"/>
            <w:vAlign w:val="center"/>
          </w:tcPr>
          <w:p w14:paraId="01426047">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705" w:type="dxa"/>
            <w:vAlign w:val="center"/>
          </w:tcPr>
          <w:p w14:paraId="31B4485E">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Arial"/>
                <w:color w:val="auto"/>
                <w:szCs w:val="21"/>
                <w:highlight w:val="none"/>
              </w:rPr>
            </w:pPr>
          </w:p>
        </w:tc>
        <w:tc>
          <w:tcPr>
            <w:tcW w:w="1861" w:type="dxa"/>
          </w:tcPr>
          <w:p w14:paraId="0B1FC24C">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tcPr>
          <w:p w14:paraId="7446B1AF">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63" w:type="dxa"/>
            <w:vAlign w:val="center"/>
          </w:tcPr>
          <w:p w14:paraId="371854DA">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c>
          <w:tcPr>
            <w:tcW w:w="1153" w:type="dxa"/>
          </w:tcPr>
          <w:p w14:paraId="32464FAD">
            <w:pPr>
              <w:keepNext w:val="0"/>
              <w:keepLines w:val="0"/>
              <w:pageBreakBefore w:val="0"/>
              <w:suppressLineNumbers w:val="0"/>
              <w:kinsoku/>
              <w:wordWrap/>
              <w:overflowPunct/>
              <w:topLinePunct w:val="0"/>
              <w:autoSpaceDE/>
              <w:autoSpaceDN/>
              <w:bidi w:val="0"/>
              <w:spacing w:beforeAutospacing="0" w:afterAutospacing="0" w:line="288" w:lineRule="auto"/>
              <w:ind w:left="0" w:right="0"/>
              <w:jc w:val="center"/>
              <w:textAlignment w:val="auto"/>
              <w:rPr>
                <w:rFonts w:hint="default" w:ascii="Times New Roman" w:hAnsi="Times New Roman" w:eastAsia="宋体" w:cs="Times New Roman"/>
                <w:color w:val="auto"/>
                <w:szCs w:val="21"/>
                <w:highlight w:val="none"/>
              </w:rPr>
            </w:pPr>
          </w:p>
        </w:tc>
      </w:tr>
    </w:tbl>
    <w:p w14:paraId="65C91421">
      <w:pPr>
        <w:keepNext w:val="0"/>
        <w:keepLines w:val="0"/>
        <w:pageBreakBefore w:val="0"/>
        <w:kinsoku/>
        <w:wordWrap/>
        <w:overflowPunct/>
        <w:topLinePunct w:val="0"/>
        <w:autoSpaceDE/>
        <w:autoSpaceDN/>
        <w:bidi w:val="0"/>
        <w:adjustRightInd w:val="0"/>
        <w:snapToGrid w:val="0"/>
        <w:spacing w:beforeAutospacing="0" w:afterAutospacing="0" w:line="288" w:lineRule="auto"/>
        <w:ind w:left="0" w:right="0"/>
        <w:textAlignment w:val="auto"/>
        <w:rPr>
          <w:rFonts w:ascii="宋体" w:hAnsi="宋体" w:eastAsia="宋体" w:cs="宋体"/>
          <w:b/>
          <w:color w:val="auto"/>
          <w:spacing w:val="-6"/>
          <w:szCs w:val="21"/>
          <w:highlight w:val="none"/>
        </w:rPr>
      </w:pPr>
    </w:p>
    <w:p w14:paraId="4A37B5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55B93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97E8F45">
      <w:pPr>
        <w:adjustRightInd w:val="0"/>
        <w:snapToGrid w:val="0"/>
        <w:spacing w:line="288" w:lineRule="auto"/>
        <w:rPr>
          <w:rFonts w:ascii="宋体" w:hAnsi="宋体" w:eastAsia="宋体" w:cs="Times New Roman"/>
          <w:b/>
          <w:bCs/>
          <w:color w:val="auto"/>
          <w:spacing w:val="-6"/>
          <w:sz w:val="24"/>
          <w:szCs w:val="24"/>
          <w:highlight w:val="none"/>
        </w:rPr>
      </w:pPr>
    </w:p>
    <w:p w14:paraId="62E43593">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601BDA11">
      <w:pPr>
        <w:adjustRightInd w:val="0"/>
        <w:snapToGrid w:val="0"/>
        <w:spacing w:line="288" w:lineRule="auto"/>
        <w:rPr>
          <w:rFonts w:ascii="宋体" w:hAnsi="宋体" w:eastAsia="宋体" w:cs="Times New Roman"/>
          <w:b/>
          <w:bCs/>
          <w:color w:val="auto"/>
          <w:spacing w:val="-6"/>
          <w:sz w:val="24"/>
          <w:szCs w:val="24"/>
          <w:highlight w:val="none"/>
        </w:rPr>
      </w:pPr>
    </w:p>
    <w:p w14:paraId="31A6A6E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5CF72B6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33749FF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18E6066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6D48DC4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08BC6BAC">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03A602F5">
      <w:pPr>
        <w:adjustRightInd w:val="0"/>
        <w:snapToGrid w:val="0"/>
        <w:spacing w:line="288" w:lineRule="auto"/>
        <w:jc w:val="left"/>
        <w:rPr>
          <w:rFonts w:ascii="宋体" w:hAnsi="宋体" w:eastAsia="宋体" w:cs="宋体"/>
          <w:b/>
          <w:color w:val="auto"/>
          <w:spacing w:val="-6"/>
          <w:szCs w:val="21"/>
          <w:highlight w:val="none"/>
        </w:rPr>
      </w:pPr>
    </w:p>
    <w:p w14:paraId="0735C82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9CD32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2729EE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CB3AF6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2024年1月</w:t>
      </w:r>
      <w:r>
        <w:rPr>
          <w:rFonts w:hint="eastAsia" w:ascii="宋体" w:hAnsi="宋体" w:eastAsia="宋体" w:cs="Times New Roman"/>
          <w:color w:val="auto"/>
          <w:spacing w:val="-6"/>
          <w:szCs w:val="21"/>
          <w:highlight w:val="none"/>
        </w:rPr>
        <w:t>（含）</w:t>
      </w:r>
      <w:r>
        <w:rPr>
          <w:rFonts w:ascii="宋体" w:hAnsi="宋体" w:eastAsia="宋体" w:cs="Times New Roman"/>
          <w:color w:val="auto"/>
          <w:spacing w:val="-6"/>
          <w:szCs w:val="21"/>
          <w:highlight w:val="none"/>
        </w:rPr>
        <w:t>以后任意一月）</w:t>
      </w:r>
    </w:p>
    <w:p w14:paraId="101E8F0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71E1E0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966228C">
      <w:pPr>
        <w:adjustRightInd w:val="0"/>
        <w:snapToGrid w:val="0"/>
        <w:spacing w:line="288" w:lineRule="auto"/>
        <w:ind w:firstLine="396"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标的配置清单</w:t>
      </w:r>
    </w:p>
    <w:p w14:paraId="1E6FED1F">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6490CF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07A3D07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7FAB876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357E7DDC">
      <w:pPr>
        <w:adjustRightInd w:val="0"/>
        <w:snapToGrid w:val="0"/>
        <w:spacing w:line="288" w:lineRule="auto"/>
        <w:jc w:val="left"/>
        <w:rPr>
          <w:rFonts w:ascii="宋体" w:hAnsi="宋体" w:eastAsia="宋体" w:cs="Times New Roman"/>
          <w:b/>
          <w:color w:val="auto"/>
          <w:spacing w:val="-6"/>
          <w:szCs w:val="21"/>
          <w:highlight w:val="none"/>
        </w:rPr>
      </w:pPr>
    </w:p>
    <w:p w14:paraId="12B968E9">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3A81F93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DEBFD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7" w:name="_Hlk81815656"/>
      <w:r>
        <w:rPr>
          <w:rFonts w:hint="eastAsia" w:ascii="宋体" w:hAnsi="宋体" w:eastAsia="宋体" w:cs="Times New Roman"/>
          <w:color w:val="auto"/>
          <w:spacing w:val="-6"/>
          <w:szCs w:val="21"/>
          <w:highlight w:val="none"/>
        </w:rPr>
        <w:t>（若属于中小企业）</w:t>
      </w:r>
      <w:bookmarkEnd w:id="57"/>
    </w:p>
    <w:p w14:paraId="75F1BFD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8" w:name="_Hlk81815359"/>
      <w:r>
        <w:rPr>
          <w:rFonts w:hint="eastAsia" w:ascii="宋体" w:hAnsi="宋体" w:eastAsia="宋体" w:cs="Times New Roman"/>
          <w:color w:val="auto"/>
          <w:spacing w:val="-6"/>
          <w:szCs w:val="21"/>
          <w:highlight w:val="none"/>
        </w:rPr>
        <w:t>（若属于监狱企业）</w:t>
      </w:r>
      <w:bookmarkEnd w:id="58"/>
    </w:p>
    <w:p w14:paraId="6CB414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9" w:name="OLE_LINK13"/>
      <w:bookmarkStart w:id="60" w:name="OLE_LINK14"/>
      <w:r>
        <w:rPr>
          <w:rFonts w:hint="eastAsia" w:ascii="宋体" w:hAnsi="宋体" w:eastAsia="宋体" w:cs="Times New Roman"/>
          <w:color w:val="auto"/>
          <w:spacing w:val="-6"/>
          <w:szCs w:val="21"/>
          <w:highlight w:val="none"/>
        </w:rPr>
        <w:t>残疾人福利性单位声明函</w:t>
      </w:r>
      <w:bookmarkEnd w:id="59"/>
      <w:bookmarkEnd w:id="60"/>
      <w:bookmarkStart w:id="61" w:name="_Hlk81815372"/>
      <w:r>
        <w:rPr>
          <w:rFonts w:hint="eastAsia" w:ascii="宋体" w:hAnsi="宋体" w:eastAsia="宋体" w:cs="Times New Roman"/>
          <w:color w:val="auto"/>
          <w:spacing w:val="-6"/>
          <w:szCs w:val="21"/>
          <w:highlight w:val="none"/>
        </w:rPr>
        <w:t>（若属于残疾人福利性单位）</w:t>
      </w:r>
      <w:bookmarkEnd w:id="61"/>
    </w:p>
    <w:p w14:paraId="168917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C249023">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83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93C9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051BA8C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D934F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40ECCD2C">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2E6F243B">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6254EBD6">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07722A9F">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3F38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7FD9CA7">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09DE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176D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BAD37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EF832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8EA1D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E90EB1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6CA2DA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A50D3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B00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34C5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128232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0C88B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86E0D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7AC83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4A176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FB7D8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7AC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07E1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427D7D0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5FED8B1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443648E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0ACB48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57C960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1E435C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6AB1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8AFC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220FD6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5836A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AA918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DA18B4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01857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3C3A01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1F2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E57B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33AD3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56D4D4F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C6923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8A1CBD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05EB66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0946E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80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7464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0ABB9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C5BB3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335E6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9D45F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FCCC24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19788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F1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6376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0462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EBD6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33E093A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DB33A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5AB31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3CF5D9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15671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3A3B8C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781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229A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504CF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997E18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0CEA45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0E432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254DA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01F7D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02D6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05A39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2B1BEC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55DB2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AE9AB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297DA7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7CD46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1554C82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58B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BFF6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22389B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E1723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413FE9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BAD62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6794C8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AF980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25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BE3C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23680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59F06BC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4F9311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D3A38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6CCBB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D2A2C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3C18943F">
      <w:pPr>
        <w:adjustRightInd w:val="0"/>
        <w:snapToGrid w:val="0"/>
        <w:spacing w:line="288" w:lineRule="auto"/>
        <w:rPr>
          <w:rFonts w:ascii="宋体" w:hAnsi="宋体" w:eastAsia="宋体" w:cs="Times New Roman"/>
          <w:color w:val="auto"/>
          <w:spacing w:val="-6"/>
          <w:szCs w:val="21"/>
          <w:highlight w:val="none"/>
        </w:rPr>
      </w:pPr>
    </w:p>
    <w:p w14:paraId="428E7B47">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29F6504C">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F3CEE76">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w:t>
      </w:r>
      <w:bookmarkStart w:id="62" w:name="_GoBack"/>
      <w:bookmarkEnd w:id="62"/>
      <w:r>
        <w:rPr>
          <w:rFonts w:hint="eastAsia" w:ascii="宋体" w:hAnsi="宋体" w:eastAsia="宋体" w:cs="Times New Roman"/>
          <w:b/>
          <w:color w:val="auto"/>
          <w:spacing w:val="-6"/>
          <w:sz w:val="84"/>
          <w:szCs w:val="84"/>
          <w:highlight w:val="none"/>
        </w:rPr>
        <w:t>件</w:t>
      </w:r>
    </w:p>
    <w:p w14:paraId="540B5D8E">
      <w:pPr>
        <w:adjustRightInd w:val="0"/>
        <w:snapToGrid w:val="0"/>
        <w:spacing w:line="288" w:lineRule="auto"/>
        <w:jc w:val="center"/>
        <w:rPr>
          <w:rFonts w:ascii="宋体" w:hAnsi="宋体" w:eastAsia="宋体" w:cs="宋体"/>
          <w:b/>
          <w:bCs/>
          <w:color w:val="auto"/>
          <w:sz w:val="24"/>
          <w:szCs w:val="24"/>
          <w:highlight w:val="none"/>
        </w:rPr>
      </w:pPr>
    </w:p>
    <w:p w14:paraId="48A2BFE9">
      <w:pPr>
        <w:adjustRightInd w:val="0"/>
        <w:snapToGrid w:val="0"/>
        <w:spacing w:line="288" w:lineRule="auto"/>
        <w:jc w:val="center"/>
        <w:rPr>
          <w:rFonts w:ascii="宋体" w:hAnsi="宋体" w:eastAsia="宋体" w:cs="宋体"/>
          <w:b/>
          <w:bCs/>
          <w:color w:val="auto"/>
          <w:sz w:val="24"/>
          <w:szCs w:val="24"/>
          <w:highlight w:val="none"/>
        </w:rPr>
      </w:pPr>
    </w:p>
    <w:p w14:paraId="0696FC6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5FB0D4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0A267B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4FC8ACF">
      <w:pPr>
        <w:adjustRightInd w:val="0"/>
        <w:snapToGrid w:val="0"/>
        <w:spacing w:line="288" w:lineRule="auto"/>
        <w:rPr>
          <w:rFonts w:ascii="宋体" w:hAnsi="宋体" w:eastAsia="宋体" w:cs="Times New Roman"/>
          <w:bCs/>
          <w:color w:val="auto"/>
          <w:spacing w:val="-6"/>
          <w:szCs w:val="21"/>
          <w:highlight w:val="none"/>
        </w:rPr>
      </w:pPr>
    </w:p>
    <w:p w14:paraId="703CB2B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7FEEE2D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198B7F4">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49ADEBF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1D1DE45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7F0FC7B2">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35EA904">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6EDDF9D5">
      <w:pPr>
        <w:adjustRightInd w:val="0"/>
        <w:snapToGrid w:val="0"/>
        <w:spacing w:line="288" w:lineRule="auto"/>
        <w:rPr>
          <w:rFonts w:ascii="宋体" w:hAnsi="宋体" w:eastAsia="宋体" w:cs="Times New Roman"/>
          <w:b/>
          <w:bCs/>
          <w:color w:val="auto"/>
          <w:spacing w:val="-6"/>
          <w:szCs w:val="21"/>
          <w:highlight w:val="none"/>
        </w:rPr>
      </w:pPr>
    </w:p>
    <w:p w14:paraId="68E50BE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致：中国计量大学、浙江求是招标代理有限公司</w:t>
      </w:r>
    </w:p>
    <w:p w14:paraId="759483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90DEB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73C8CE1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641049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560571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7EBF36B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1941CCF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7EC703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9F745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062A65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5959D6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106D503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53A1526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14E515F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CA03F3E">
      <w:pPr>
        <w:adjustRightInd w:val="0"/>
        <w:snapToGrid w:val="0"/>
        <w:spacing w:line="288" w:lineRule="auto"/>
        <w:rPr>
          <w:rFonts w:ascii="宋体" w:hAnsi="宋体" w:eastAsia="宋体" w:cs="Times New Roman"/>
          <w:color w:val="auto"/>
          <w:szCs w:val="21"/>
          <w:highlight w:val="none"/>
        </w:rPr>
      </w:pPr>
    </w:p>
    <w:p w14:paraId="3DE8DB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AFE54F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9C60A87">
      <w:pPr>
        <w:widowControl/>
        <w:adjustRightInd w:val="0"/>
        <w:snapToGrid w:val="0"/>
        <w:spacing w:line="288" w:lineRule="auto"/>
        <w:jc w:val="left"/>
        <w:rPr>
          <w:rFonts w:ascii="宋体" w:hAnsi="宋体" w:eastAsia="宋体" w:cs="宋体"/>
          <w:b/>
          <w:color w:val="auto"/>
          <w:spacing w:val="-6"/>
          <w:szCs w:val="21"/>
          <w:highlight w:val="none"/>
        </w:rPr>
      </w:pPr>
    </w:p>
    <w:p w14:paraId="573896EA">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65EE2C4">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73BC6B77">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EDF5042">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F653F42">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319CF64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A9C640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D55856F">
      <w:pPr>
        <w:adjustRightInd w:val="0"/>
        <w:snapToGrid w:val="0"/>
        <w:spacing w:line="288" w:lineRule="auto"/>
        <w:rPr>
          <w:rFonts w:ascii="宋体" w:hAnsi="宋体" w:eastAsia="宋体" w:cs="Times New Roman"/>
          <w:color w:val="auto"/>
          <w:spacing w:val="-6"/>
          <w:szCs w:val="21"/>
          <w:highlight w:val="none"/>
        </w:rPr>
      </w:pPr>
    </w:p>
    <w:p w14:paraId="1EAC600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致：中国计量大学、浙江求是招标代理有限公司</w:t>
      </w:r>
    </w:p>
    <w:p w14:paraId="26486E22">
      <w:pPr>
        <w:adjustRightInd w:val="0"/>
        <w:snapToGrid w:val="0"/>
        <w:spacing w:line="288" w:lineRule="auto"/>
        <w:ind w:firstLine="396" w:firstLineChars="200"/>
        <w:rPr>
          <w:rFonts w:ascii="宋体" w:hAnsi="宋体" w:eastAsia="宋体" w:cs="Times New Roman"/>
          <w:color w:val="auto"/>
          <w:spacing w:val="-6"/>
          <w:szCs w:val="21"/>
          <w:highlight w:val="none"/>
        </w:rPr>
      </w:pPr>
    </w:p>
    <w:p w14:paraId="3458FF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中国计量大学</w:t>
      </w:r>
      <w:r>
        <w:rPr>
          <w:rFonts w:hint="eastAsia" w:ascii="宋体" w:hAnsi="宋体" w:eastAsia="宋体" w:cs="Times New Roman"/>
          <w:bCs/>
          <w:color w:val="auto"/>
          <w:spacing w:val="-6"/>
          <w:szCs w:val="21"/>
          <w:highlight w:val="none"/>
          <w:u w:val="single"/>
          <w:lang w:eastAsia="zh-CN"/>
        </w:rPr>
        <w:t>六自由度激光跟踪测量系统</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QSZB-Z(H)-B24480(GK)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23174BD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431163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3F9B5A6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67D33E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1C6508F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44DC1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046D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948A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714F95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79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0207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732D61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5471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8488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32B1A1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31A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258F4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4A65A7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53E3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AB3CE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415DF0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41A5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8DA10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08427A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7C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CA3AC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098524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7D82DA30">
      <w:pPr>
        <w:adjustRightInd w:val="0"/>
        <w:snapToGrid w:val="0"/>
        <w:spacing w:line="288" w:lineRule="auto"/>
        <w:rPr>
          <w:rFonts w:ascii="宋体" w:hAnsi="宋体" w:eastAsia="宋体" w:cs="Times New Roman"/>
          <w:color w:val="auto"/>
          <w:spacing w:val="-6"/>
          <w:szCs w:val="21"/>
          <w:highlight w:val="none"/>
        </w:rPr>
      </w:pPr>
    </w:p>
    <w:p w14:paraId="06906E6C">
      <w:pPr>
        <w:adjustRightInd w:val="0"/>
        <w:snapToGrid w:val="0"/>
        <w:spacing w:line="288" w:lineRule="auto"/>
        <w:rPr>
          <w:rFonts w:ascii="宋体" w:hAnsi="宋体" w:eastAsia="宋体" w:cs="Times New Roman"/>
          <w:color w:val="auto"/>
          <w:spacing w:val="-6"/>
          <w:szCs w:val="21"/>
          <w:highlight w:val="none"/>
        </w:rPr>
      </w:pPr>
    </w:p>
    <w:p w14:paraId="0B12869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A8F7CA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2AE3FDF">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DF487EA">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25B98B13">
      <w:pPr>
        <w:adjustRightInd w:val="0"/>
        <w:snapToGrid w:val="0"/>
        <w:spacing w:line="288" w:lineRule="auto"/>
        <w:rPr>
          <w:rFonts w:ascii="宋体" w:hAnsi="宋体" w:eastAsia="宋体" w:cs="Times New Roman"/>
          <w:b/>
          <w:bCs/>
          <w:color w:val="auto"/>
          <w:spacing w:val="-6"/>
          <w:szCs w:val="21"/>
          <w:highlight w:val="none"/>
        </w:rPr>
      </w:pPr>
    </w:p>
    <w:p w14:paraId="30B3F2D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致：中国计量大学、浙江求是招标代理有限公司</w:t>
      </w:r>
    </w:p>
    <w:p w14:paraId="41ADF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中国计量大学</w:t>
      </w:r>
      <w:r>
        <w:rPr>
          <w:rFonts w:hint="eastAsia" w:ascii="宋体" w:hAnsi="宋体" w:eastAsia="宋体" w:cs="Times New Roman"/>
          <w:bCs/>
          <w:color w:val="auto"/>
          <w:spacing w:val="-6"/>
          <w:szCs w:val="21"/>
          <w:highlight w:val="none"/>
          <w:lang w:eastAsia="zh-CN"/>
        </w:rPr>
        <w:t>六自由度激光跟踪测量系统</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QSZB-Z(H)-B24480(GK)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FAAEF5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42EDF8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6880FC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3F018F9">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2024年1月</w:t>
      </w:r>
      <w:r>
        <w:rPr>
          <w:rFonts w:hint="eastAsia" w:ascii="宋体" w:hAnsi="宋体" w:eastAsia="宋体" w:cs="Times New Roman"/>
          <w:color w:val="auto"/>
          <w:spacing w:val="-6"/>
          <w:szCs w:val="21"/>
          <w:highlight w:val="none"/>
          <w:u w:val="single"/>
        </w:rPr>
        <w:t>（含）以后任意一月）。</w:t>
      </w:r>
    </w:p>
    <w:p w14:paraId="28E55E8B">
      <w:pPr>
        <w:adjustRightInd w:val="0"/>
        <w:snapToGrid w:val="0"/>
        <w:spacing w:line="288" w:lineRule="auto"/>
        <w:rPr>
          <w:rFonts w:ascii="宋体" w:hAnsi="宋体" w:eastAsia="宋体" w:cs="Times New Roman"/>
          <w:color w:val="auto"/>
          <w:spacing w:val="-6"/>
          <w:szCs w:val="21"/>
          <w:highlight w:val="none"/>
        </w:rPr>
      </w:pPr>
    </w:p>
    <w:p w14:paraId="48E92E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1508B1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2FFDBC9">
      <w:pPr>
        <w:adjustRightInd w:val="0"/>
        <w:snapToGrid w:val="0"/>
        <w:spacing w:line="288" w:lineRule="auto"/>
        <w:rPr>
          <w:rFonts w:ascii="宋体" w:hAnsi="宋体" w:eastAsia="宋体" w:cs="Times New Roman"/>
          <w:color w:val="auto"/>
          <w:szCs w:val="21"/>
          <w:highlight w:val="none"/>
        </w:rPr>
      </w:pPr>
    </w:p>
    <w:p w14:paraId="24933FE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38773FAB">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5A9A96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4C5C25A3">
      <w:pPr>
        <w:adjustRightInd w:val="0"/>
        <w:snapToGrid w:val="0"/>
        <w:spacing w:line="288" w:lineRule="auto"/>
        <w:rPr>
          <w:rFonts w:ascii="宋体" w:hAnsi="宋体" w:eastAsia="宋体" w:cs="Times New Roman"/>
          <w:color w:val="auto"/>
          <w:szCs w:val="21"/>
          <w:highlight w:val="none"/>
        </w:rPr>
      </w:pPr>
    </w:p>
    <w:p w14:paraId="6CDBCC23">
      <w:pPr>
        <w:adjustRightInd w:val="0"/>
        <w:snapToGrid w:val="0"/>
        <w:spacing w:line="288" w:lineRule="auto"/>
        <w:rPr>
          <w:rFonts w:ascii="宋体" w:hAnsi="宋体" w:eastAsia="宋体" w:cs="Times New Roman"/>
          <w:color w:val="auto"/>
          <w:szCs w:val="21"/>
          <w:highlight w:val="none"/>
        </w:rPr>
      </w:pPr>
    </w:p>
    <w:p w14:paraId="49A67DA2">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19D4D413">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114D515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FF2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701" w:type="dxa"/>
          </w:tcPr>
          <w:p w14:paraId="56EA1D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5B6D74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2B5C9EC5">
      <w:pPr>
        <w:adjustRightInd w:val="0"/>
        <w:snapToGrid w:val="0"/>
        <w:spacing w:line="288" w:lineRule="auto"/>
        <w:rPr>
          <w:rFonts w:ascii="Times New Roman" w:hAnsi="Times New Roman" w:eastAsia="宋体" w:cs="Times New Roman"/>
          <w:color w:val="auto"/>
          <w:szCs w:val="21"/>
          <w:highlight w:val="none"/>
        </w:rPr>
      </w:pPr>
    </w:p>
    <w:p w14:paraId="73BF4B5C">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437CDA1">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2024年1月</w:t>
      </w:r>
      <w:r>
        <w:rPr>
          <w:rFonts w:hint="eastAsia" w:ascii="宋体" w:hAnsi="宋体" w:eastAsia="宋体" w:cs="Times New Roman"/>
          <w:b/>
          <w:bCs/>
          <w:color w:val="auto"/>
          <w:szCs w:val="21"/>
          <w:highlight w:val="none"/>
        </w:rPr>
        <w:t>（含）以后任意一月）</w:t>
      </w:r>
    </w:p>
    <w:p w14:paraId="1A695B9E">
      <w:pPr>
        <w:rPr>
          <w:rFonts w:ascii="Times New Roman" w:hAnsi="Times New Roman" w:eastAsia="宋体" w:cs="Times New Roman"/>
          <w:color w:val="auto"/>
          <w:szCs w:val="21"/>
          <w:highlight w:val="none"/>
        </w:rPr>
      </w:pPr>
    </w:p>
    <w:p w14:paraId="62BB3AE6">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9BA319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4DCC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CAF8A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9967B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FB29B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A918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EE314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0F2E311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3E407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B48CD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759BFB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9D93B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6D55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D2FE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EAC1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B1428F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5B4CF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F76F8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390A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1FF20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C1535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25BE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1FC27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6FA20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C349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BF3ADC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CFA4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2194A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50E45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3E5D6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20259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7B22F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2AEE35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1A48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B6CC33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3D4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06228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A209B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48F309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7B46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4BA0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054BF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D966D9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300B4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CFB9F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4A75F6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1F036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63E843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796C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172EA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76C17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4C8B8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627BA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CE8A6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71EE3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8BD0B7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291D08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520AC941">
      <w:pPr>
        <w:adjustRightInd w:val="0"/>
        <w:snapToGrid w:val="0"/>
        <w:spacing w:line="288" w:lineRule="auto"/>
        <w:rPr>
          <w:rFonts w:ascii="宋体" w:hAnsi="宋体" w:eastAsia="宋体" w:cs="Times New Roman"/>
          <w:color w:val="auto"/>
          <w:szCs w:val="21"/>
          <w:highlight w:val="none"/>
        </w:rPr>
      </w:pPr>
    </w:p>
    <w:p w14:paraId="4F7354F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0875F47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0570C4F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31E77FA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0E58F863">
      <w:pPr>
        <w:adjustRightInd w:val="0"/>
        <w:snapToGrid w:val="0"/>
        <w:spacing w:line="288" w:lineRule="auto"/>
        <w:rPr>
          <w:rFonts w:ascii="宋体" w:hAnsi="宋体" w:eastAsia="宋体" w:cs="Times New Roman"/>
          <w:color w:val="auto"/>
          <w:spacing w:val="-6"/>
          <w:szCs w:val="21"/>
          <w:highlight w:val="none"/>
        </w:rPr>
      </w:pPr>
    </w:p>
    <w:p w14:paraId="619548AD">
      <w:pPr>
        <w:adjustRightInd w:val="0"/>
        <w:snapToGrid w:val="0"/>
        <w:spacing w:line="288" w:lineRule="auto"/>
        <w:rPr>
          <w:rFonts w:ascii="宋体" w:hAnsi="宋体" w:eastAsia="宋体" w:cs="Times New Roman"/>
          <w:color w:val="auto"/>
          <w:spacing w:val="-6"/>
          <w:szCs w:val="21"/>
          <w:highlight w:val="none"/>
        </w:rPr>
      </w:pPr>
    </w:p>
    <w:p w14:paraId="32EE826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855B6E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087F5DB">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51D1F25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F49740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人：中国计量大学</w:t>
      </w:r>
    </w:p>
    <w:p w14:paraId="5A5AC6C8">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六自由度激光跟踪测量系统</w:t>
      </w:r>
    </w:p>
    <w:p w14:paraId="574930D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QSZB-Z(H)-B24480(GK)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4C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925BB8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286109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1878F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B760E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287E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A687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5C0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C236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EEC2A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8AEE6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04A0B0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584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7D08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52523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AFDE05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4663ED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218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232FEF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FC7BC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0FFD9D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7A4DB4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6FD8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7F9C8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00C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55A3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17674F5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4291CC5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1243708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16D0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75091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40C103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5509E94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7550AAE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1257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D151A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10994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7C27C0C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13DD5BB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6A5C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3CEB3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262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5B36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05F9D6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840F0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7B6A4E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EE7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4620F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0EC74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39385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260FF0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3C76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E50979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483888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435E79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3A591B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09E7C654">
      <w:pPr>
        <w:adjustRightInd w:val="0"/>
        <w:snapToGrid w:val="0"/>
        <w:spacing w:line="288" w:lineRule="auto"/>
        <w:rPr>
          <w:rFonts w:ascii="宋体" w:hAnsi="宋体" w:eastAsia="宋体" w:cs="Times New Roman"/>
          <w:b/>
          <w:bCs/>
          <w:color w:val="auto"/>
          <w:spacing w:val="-6"/>
          <w:szCs w:val="21"/>
          <w:highlight w:val="none"/>
        </w:rPr>
      </w:pPr>
    </w:p>
    <w:p w14:paraId="4668227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205A9E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231EA4C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F4C20E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5C28D3C6">
      <w:pPr>
        <w:adjustRightInd w:val="0"/>
        <w:snapToGrid w:val="0"/>
        <w:spacing w:line="288" w:lineRule="auto"/>
        <w:rPr>
          <w:rFonts w:ascii="宋体" w:hAnsi="宋体" w:eastAsia="宋体" w:cs="Times New Roman"/>
          <w:color w:val="auto"/>
          <w:spacing w:val="-6"/>
          <w:szCs w:val="21"/>
          <w:highlight w:val="none"/>
        </w:rPr>
      </w:pPr>
    </w:p>
    <w:p w14:paraId="312915D0">
      <w:pPr>
        <w:adjustRightInd w:val="0"/>
        <w:snapToGrid w:val="0"/>
        <w:spacing w:line="288" w:lineRule="auto"/>
        <w:rPr>
          <w:rFonts w:ascii="宋体" w:hAnsi="宋体" w:eastAsia="宋体" w:cs="Times New Roman"/>
          <w:color w:val="auto"/>
          <w:spacing w:val="-6"/>
          <w:szCs w:val="21"/>
          <w:highlight w:val="none"/>
        </w:rPr>
      </w:pPr>
    </w:p>
    <w:p w14:paraId="54AB261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E35E6F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color w:val="auto"/>
          <w:spacing w:val="-6"/>
          <w:szCs w:val="21"/>
          <w:highlight w:val="none"/>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7BB2F369">
      <w:pPr>
        <w:adjustRightInd w:val="0"/>
        <w:snapToGrid w:val="0"/>
        <w:spacing w:line="288" w:lineRule="auto"/>
        <w:rPr>
          <w:rFonts w:ascii="宋体" w:hAnsi="宋体" w:eastAsia="宋体" w:cs="宋体"/>
          <w:b/>
          <w:color w:val="auto"/>
          <w:spacing w:val="-6"/>
          <w:szCs w:val="21"/>
          <w:highlight w:val="none"/>
        </w:rPr>
      </w:pPr>
    </w:p>
    <w:p w14:paraId="1FD5AD8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9BCA3FB">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6BCAE611">
      <w:pPr>
        <w:adjustRightInd w:val="0"/>
        <w:snapToGrid w:val="0"/>
        <w:spacing w:line="288" w:lineRule="auto"/>
        <w:rPr>
          <w:rFonts w:ascii="宋体" w:hAnsi="宋体" w:eastAsia="宋体" w:cs="宋体"/>
          <w:b/>
          <w:color w:val="auto"/>
          <w:spacing w:val="-6"/>
          <w:szCs w:val="21"/>
          <w:highlight w:val="none"/>
        </w:rPr>
      </w:pPr>
    </w:p>
    <w:p w14:paraId="63F57EC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784690F6">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F79045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B5B020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924A96E">
      <w:pPr>
        <w:adjustRightInd w:val="0"/>
        <w:snapToGrid w:val="0"/>
        <w:spacing w:line="288" w:lineRule="auto"/>
        <w:rPr>
          <w:rFonts w:ascii="宋体" w:hAnsi="宋体" w:eastAsia="宋体" w:cs="Times New Roman"/>
          <w:b/>
          <w:color w:val="auto"/>
          <w:szCs w:val="21"/>
          <w:highlight w:val="none"/>
        </w:rPr>
      </w:pPr>
    </w:p>
    <w:p w14:paraId="2325DFAB">
      <w:pPr>
        <w:adjustRightInd w:val="0"/>
        <w:snapToGrid w:val="0"/>
        <w:spacing w:line="288" w:lineRule="auto"/>
        <w:rPr>
          <w:rFonts w:ascii="宋体" w:hAnsi="宋体" w:eastAsia="宋体" w:cs="Times New Roman"/>
          <w:b/>
          <w:color w:val="auto"/>
          <w:szCs w:val="21"/>
          <w:highlight w:val="none"/>
        </w:rPr>
      </w:pPr>
    </w:p>
    <w:p w14:paraId="14050731">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6CBB605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11BBBE9B">
      <w:pPr>
        <w:adjustRightInd w:val="0"/>
        <w:snapToGrid w:val="0"/>
        <w:spacing w:line="288" w:lineRule="auto"/>
        <w:rPr>
          <w:rFonts w:ascii="宋体" w:hAnsi="宋体" w:eastAsia="宋体" w:cs="宋体"/>
          <w:b/>
          <w:color w:val="auto"/>
          <w:spacing w:val="-6"/>
          <w:szCs w:val="21"/>
          <w:highlight w:val="none"/>
        </w:rPr>
      </w:pPr>
    </w:p>
    <w:p w14:paraId="7EEA2EE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14:paraId="63988CD1">
      <w:pPr>
        <w:widowControl/>
        <w:adjustRightInd w:val="0"/>
        <w:snapToGrid w:val="0"/>
        <w:spacing w:line="288" w:lineRule="auto"/>
        <w:jc w:val="left"/>
        <w:rPr>
          <w:rFonts w:ascii="宋体" w:hAnsi="宋体" w:eastAsia="宋体" w:cs="宋体"/>
          <w:b/>
          <w:color w:val="auto"/>
          <w:spacing w:val="-6"/>
          <w:szCs w:val="21"/>
          <w:highlight w:val="none"/>
        </w:rPr>
      </w:pPr>
    </w:p>
    <w:p w14:paraId="26BC1FC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CDCD83E">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40BF1A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D722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302D5EB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人：中国计量大学</w:t>
      </w:r>
    </w:p>
    <w:p w14:paraId="63CC9A2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六自由度激光跟踪测量系统</w:t>
      </w:r>
    </w:p>
    <w:p w14:paraId="2872265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QSZB-Z(H)-B24480(GK)</w:t>
      </w:r>
    </w:p>
    <w:tbl>
      <w:tblPr>
        <w:tblStyle w:val="24"/>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14:paraId="74DB3E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210172F">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14:paraId="07029AA5">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14:paraId="3301B7D6">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14:paraId="21C7634D">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14:paraId="2F18D526">
            <w:pPr>
              <w:keepNext w:val="0"/>
              <w:keepLines w:val="0"/>
              <w:suppressLineNumbers w:val="0"/>
              <w:spacing w:before="0" w:beforeAutospacing="0" w:after="0" w:afterAutospacing="0"/>
              <w:ind w:left="102" w:right="0" w:hanging="102"/>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14:paraId="038BFAAE">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14:paraId="11989D60">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单价（元）</w:t>
            </w:r>
          </w:p>
        </w:tc>
        <w:tc>
          <w:tcPr>
            <w:tcW w:w="1155" w:type="dxa"/>
            <w:tcBorders>
              <w:top w:val="single" w:color="auto" w:sz="4" w:space="0"/>
              <w:left w:val="nil"/>
              <w:bottom w:val="single" w:color="auto" w:sz="4" w:space="0"/>
              <w:right w:val="single" w:color="auto" w:sz="4" w:space="0"/>
            </w:tcBorders>
            <w:vAlign w:val="center"/>
          </w:tcPr>
          <w:p w14:paraId="1FF9963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总价（元）</w:t>
            </w:r>
          </w:p>
        </w:tc>
        <w:tc>
          <w:tcPr>
            <w:tcW w:w="1155" w:type="dxa"/>
            <w:tcBorders>
              <w:top w:val="single" w:color="auto" w:sz="4" w:space="0"/>
              <w:left w:val="nil"/>
              <w:bottom w:val="single" w:color="auto" w:sz="4" w:space="0"/>
              <w:right w:val="single" w:color="auto" w:sz="4" w:space="0"/>
            </w:tcBorders>
            <w:vAlign w:val="center"/>
          </w:tcPr>
          <w:p w14:paraId="7A1FD79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备注（是否与其他设备组合成一个整体交货）</w:t>
            </w:r>
          </w:p>
        </w:tc>
      </w:tr>
      <w:tr w14:paraId="3236E2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6C547A6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2140ABE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719DBEE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24DC261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D1E7F6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F33F6D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361983E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05507A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1EE10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78F0BE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5AC2BE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406B03C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72FDE10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5B6A02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ED7E1E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8438B8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5E2F4C2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756727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3A86DF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5166AC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F7F7E4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4044A1D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447720F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3D3C38B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CA40E8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C343DA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D01EBC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6183E07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2699187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0A2A10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E22C2FD">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23B3B9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5A3CEE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587FD77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4B33220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4D90FD5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B434FC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14F842B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1627842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E74122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269697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345E7C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9CB968D">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233758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3EEFF7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11C3BC6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0250693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4A6F99E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1CD498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11AE312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4FF4908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21B5F6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5E58E4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47BB4A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14:paraId="390B6B05">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color w:val="auto"/>
                <w:spacing w:val="-6"/>
                <w:szCs w:val="21"/>
                <w:highlight w:val="none"/>
                <w:lang w:bidi="ar"/>
              </w:rPr>
              <w:t>说明：▲采购人将以合同形式有偿取得货物或服务，不接受投标人给予的赠品、回扣或者与采购无关的其他商品、服务。</w:t>
            </w:r>
          </w:p>
          <w:p w14:paraId="1973852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投标总价（人民币元）</w:t>
            </w:r>
          </w:p>
          <w:p w14:paraId="3E15FDA7">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14:paraId="1E548245">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小写：_________________________</w:t>
            </w:r>
          </w:p>
          <w:p w14:paraId="77D62E51">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14:paraId="5641DBD0">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大写：_________________________</w:t>
            </w:r>
          </w:p>
          <w:p w14:paraId="6C21EF3C">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tc>
      </w:tr>
    </w:tbl>
    <w:p w14:paraId="0FD73E16">
      <w:pPr>
        <w:adjustRightInd w:val="0"/>
        <w:snapToGrid w:val="0"/>
        <w:spacing w:line="288" w:lineRule="auto"/>
        <w:rPr>
          <w:rFonts w:ascii="宋体" w:hAnsi="宋体" w:eastAsia="宋体" w:cs="Times New Roman"/>
          <w:color w:val="auto"/>
          <w:spacing w:val="-6"/>
          <w:szCs w:val="21"/>
          <w:highlight w:val="none"/>
        </w:rPr>
      </w:pPr>
    </w:p>
    <w:p w14:paraId="7DA660B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004609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14:paraId="08E914B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2.此表在不改变格式要求的情况下，可自行增行。</w:t>
      </w:r>
    </w:p>
    <w:p w14:paraId="184EA13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3.有关本项目实施所涉及的一切费用均计入报价。</w:t>
      </w:r>
    </w:p>
    <w:p w14:paraId="7A4B0DA0">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4.以上表格要求细分项目及报价。</w:t>
      </w:r>
    </w:p>
    <w:p w14:paraId="154F28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lang w:val="en-US" w:eastAsia="zh-CN"/>
        </w:rPr>
        <w:t>5</w:t>
      </w:r>
      <w:r>
        <w:rPr>
          <w:rFonts w:hint="eastAsia" w:ascii="宋体" w:hAnsi="宋体" w:eastAsia="宋体" w:cs="Times New Roman"/>
          <w:b/>
          <w:color w:val="auto"/>
          <w:spacing w:val="-6"/>
          <w:szCs w:val="21"/>
          <w:highlight w:val="none"/>
        </w:rPr>
        <w:t>.联合体其他成员承担的部分、分包单位承担的部分，应在表中列明。</w:t>
      </w:r>
    </w:p>
    <w:p w14:paraId="369BE657">
      <w:pPr>
        <w:adjustRightInd w:val="0"/>
        <w:snapToGrid w:val="0"/>
        <w:spacing w:line="288" w:lineRule="auto"/>
        <w:rPr>
          <w:rFonts w:ascii="宋体" w:hAnsi="宋体" w:eastAsia="宋体" w:cs="Times New Roman"/>
          <w:color w:val="auto"/>
          <w:szCs w:val="21"/>
          <w:highlight w:val="none"/>
        </w:rPr>
      </w:pPr>
    </w:p>
    <w:p w14:paraId="7E203A2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9C75E0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BFB258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05182DFD">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518653C9">
      <w:pPr>
        <w:adjustRightInd w:val="0"/>
        <w:snapToGrid w:val="0"/>
        <w:spacing w:line="288" w:lineRule="auto"/>
        <w:ind w:firstLine="498" w:firstLineChars="236"/>
        <w:rPr>
          <w:rFonts w:ascii="宋体" w:hAnsi="宋体" w:eastAsia="宋体" w:cs="Times New Roman"/>
          <w:b/>
          <w:color w:val="auto"/>
          <w:szCs w:val="21"/>
          <w:highlight w:val="none"/>
        </w:rPr>
      </w:pPr>
    </w:p>
    <w:p w14:paraId="0A362BE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中国计量大学</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lang w:eastAsia="zh-CN"/>
        </w:rPr>
        <w:t>六自由度激光跟踪测量系统</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7C55E34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lang w:eastAsia="zh-CN"/>
        </w:rPr>
        <w:t>六自由度激光跟踪测量系统</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B73D08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306AB7E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E53B5BB">
      <w:pPr>
        <w:adjustRightInd w:val="0"/>
        <w:snapToGrid w:val="0"/>
        <w:spacing w:line="288" w:lineRule="auto"/>
        <w:ind w:firstLine="495" w:firstLineChars="236"/>
        <w:rPr>
          <w:rFonts w:ascii="宋体" w:hAnsi="宋体" w:eastAsia="宋体" w:cs="Times New Roman"/>
          <w:color w:val="auto"/>
          <w:szCs w:val="21"/>
          <w:highlight w:val="none"/>
        </w:rPr>
      </w:pPr>
    </w:p>
    <w:p w14:paraId="37EA6C0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CC4EF6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545F6AAC">
      <w:pPr>
        <w:adjustRightInd w:val="0"/>
        <w:snapToGrid w:val="0"/>
        <w:spacing w:line="288" w:lineRule="auto"/>
        <w:ind w:firstLine="495" w:firstLineChars="236"/>
        <w:rPr>
          <w:rFonts w:ascii="宋体" w:hAnsi="宋体" w:eastAsia="宋体" w:cs="Times New Roman"/>
          <w:color w:val="auto"/>
          <w:szCs w:val="21"/>
          <w:highlight w:val="none"/>
        </w:rPr>
      </w:pPr>
    </w:p>
    <w:p w14:paraId="7896628C">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B269AA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63D43FB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4434FBB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21E9173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102EE708">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7DC963EC">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4A747148">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83A8295">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4F5C8E14">
      <w:pPr>
        <w:adjustRightInd w:val="0"/>
        <w:snapToGrid w:val="0"/>
        <w:spacing w:line="288" w:lineRule="auto"/>
        <w:rPr>
          <w:rFonts w:ascii="宋体" w:hAnsi="宋体" w:eastAsia="宋体" w:cs="宋体"/>
          <w:color w:val="auto"/>
          <w:kern w:val="0"/>
          <w:szCs w:val="21"/>
          <w:highlight w:val="none"/>
        </w:rPr>
      </w:pPr>
    </w:p>
    <w:p w14:paraId="12F2B6C2">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21CF6844">
      <w:pPr>
        <w:adjustRightInd w:val="0"/>
        <w:snapToGrid w:val="0"/>
        <w:spacing w:line="288" w:lineRule="auto"/>
        <w:rPr>
          <w:rFonts w:ascii="宋体" w:hAnsi="宋体" w:eastAsia="宋体"/>
          <w:color w:val="auto"/>
          <w:szCs w:val="21"/>
          <w:highlight w:val="none"/>
        </w:rPr>
      </w:pPr>
    </w:p>
    <w:p w14:paraId="1EC85DF3">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BEE705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84C37EA">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324F82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317F33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778489D7">
      <w:pPr>
        <w:adjustRightInd w:val="0"/>
        <w:snapToGrid w:val="0"/>
        <w:spacing w:line="288" w:lineRule="auto"/>
        <w:rPr>
          <w:rFonts w:ascii="宋体" w:hAnsi="宋体" w:eastAsia="宋体" w:cs="Times New Roman"/>
          <w:b/>
          <w:color w:val="auto"/>
          <w:spacing w:val="6"/>
          <w:szCs w:val="21"/>
          <w:highlight w:val="none"/>
        </w:rPr>
      </w:pPr>
    </w:p>
    <w:p w14:paraId="7430E9B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080A0AF">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0C4A299">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40DF3A18">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2DDBA02C">
      <w:pPr>
        <w:adjustRightInd w:val="0"/>
        <w:snapToGrid w:val="0"/>
        <w:spacing w:line="288" w:lineRule="auto"/>
        <w:rPr>
          <w:rFonts w:ascii="宋体" w:hAnsi="宋体" w:eastAsia="宋体"/>
          <w:color w:val="auto"/>
          <w:szCs w:val="21"/>
          <w:highlight w:val="none"/>
        </w:rPr>
      </w:pPr>
    </w:p>
    <w:p w14:paraId="0C094D08">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6749DBA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111F389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6BBDDF0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24BDA9C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A4D44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34E287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A1CC5D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A50F5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8B1497B">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0724C8A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221D870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835AE18">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D5ECB6C">
      <w:pPr>
        <w:snapToGrid w:val="0"/>
        <w:spacing w:line="288" w:lineRule="auto"/>
        <w:rPr>
          <w:rFonts w:ascii="宋体" w:hAnsi="宋体" w:eastAsia="宋体" w:cs="仿宋_GB2312"/>
          <w:color w:val="auto"/>
          <w:szCs w:val="21"/>
          <w:highlight w:val="none"/>
          <w:u w:val="single"/>
        </w:rPr>
      </w:pPr>
    </w:p>
    <w:p w14:paraId="34A97F8E">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1C263836">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0064D8D">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4CC2ED1">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CE91824">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68EDC2D9">
      <w:pPr>
        <w:snapToGrid w:val="0"/>
        <w:spacing w:line="288" w:lineRule="auto"/>
        <w:rPr>
          <w:rFonts w:ascii="宋体" w:hAnsi="宋体" w:eastAsia="宋体" w:cs="宋体"/>
          <w:b/>
          <w:bCs/>
          <w:color w:val="auto"/>
          <w:szCs w:val="21"/>
          <w:highlight w:val="none"/>
        </w:rPr>
      </w:pPr>
    </w:p>
    <w:p w14:paraId="794F6186">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3709EC67">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7C4C0E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84A5D6A">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7CCF3913">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22A11F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7485921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77F87E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w:t>
      </w:r>
      <w:r>
        <w:rPr>
          <w:rFonts w:hint="eastAsia" w:ascii="宋体" w:hAnsi="宋体" w:eastAsia="宋体" w:cs="仿宋_GB2312"/>
          <w:color w:val="auto"/>
          <w:kern w:val="0"/>
          <w:szCs w:val="21"/>
          <w:highlight w:val="none"/>
          <w:lang w:val="en-US" w:eastAsia="zh-CN"/>
        </w:rPr>
        <w:t>响</w:t>
      </w:r>
      <w:r>
        <w:rPr>
          <w:rFonts w:hint="eastAsia" w:ascii="宋体" w:hAnsi="宋体" w:eastAsia="宋体" w:cs="仿宋_GB2312"/>
          <w:color w:val="auto"/>
          <w:kern w:val="0"/>
          <w:szCs w:val="21"/>
          <w:highlight w:val="none"/>
          <w:lang w:val="zh-CN"/>
        </w:rPr>
        <w:t>应等均对联合投标各方产生约束力。</w:t>
      </w:r>
    </w:p>
    <w:p w14:paraId="723E771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749A3B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7B813B0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9B3713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6F8473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6E2131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9B23EA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14:paraId="01D4BB94">
      <w:pPr>
        <w:snapToGrid w:val="0"/>
        <w:spacing w:line="288" w:lineRule="auto"/>
        <w:ind w:firstLine="422" w:firstLineChars="201"/>
        <w:rPr>
          <w:rFonts w:ascii="宋体" w:hAnsi="宋体" w:eastAsia="宋体" w:cs="仿宋_GB2312"/>
          <w:color w:val="auto"/>
          <w:kern w:val="0"/>
          <w:szCs w:val="21"/>
          <w:highlight w:val="none"/>
          <w:lang w:val="zh-CN"/>
        </w:rPr>
      </w:pPr>
    </w:p>
    <w:p w14:paraId="3825ACBB">
      <w:pPr>
        <w:snapToGrid w:val="0"/>
        <w:spacing w:line="288" w:lineRule="auto"/>
        <w:ind w:firstLine="422" w:firstLineChars="201"/>
        <w:rPr>
          <w:rFonts w:ascii="宋体" w:hAnsi="宋体" w:eastAsia="宋体" w:cs="仿宋_GB2312"/>
          <w:color w:val="auto"/>
          <w:kern w:val="0"/>
          <w:szCs w:val="21"/>
          <w:highlight w:val="none"/>
          <w:lang w:val="zh-CN"/>
        </w:rPr>
      </w:pPr>
    </w:p>
    <w:p w14:paraId="0EE32293">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65E2058">
      <w:pPr>
        <w:snapToGrid w:val="0"/>
        <w:spacing w:line="288" w:lineRule="auto"/>
        <w:ind w:firstLine="424" w:firstLineChars="201"/>
        <w:rPr>
          <w:rFonts w:ascii="宋体" w:hAnsi="宋体" w:eastAsia="宋体" w:cs="仿宋_GB2312"/>
          <w:b/>
          <w:bCs/>
          <w:color w:val="auto"/>
          <w:kern w:val="0"/>
          <w:szCs w:val="21"/>
          <w:highlight w:val="none"/>
          <w:lang w:val="zh-CN"/>
        </w:rPr>
      </w:pPr>
    </w:p>
    <w:p w14:paraId="5114EB4B">
      <w:pPr>
        <w:snapToGrid w:val="0"/>
        <w:spacing w:line="288" w:lineRule="auto"/>
        <w:ind w:firstLine="424" w:firstLineChars="201"/>
        <w:rPr>
          <w:rFonts w:ascii="宋体" w:hAnsi="宋体" w:eastAsia="宋体" w:cs="Times New Roman"/>
          <w:b/>
          <w:bCs/>
          <w:color w:val="auto"/>
          <w:szCs w:val="21"/>
          <w:highlight w:val="none"/>
        </w:rPr>
      </w:pPr>
    </w:p>
    <w:p w14:paraId="586BB8B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69E0473">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22845527">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126ABD04">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346A70D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0418D08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5E69F18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7E5E41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651A8F5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3EE5D8D7">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504527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B5901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F8D285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6A65BE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38EDD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1E9ED3F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7DB932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4DAE8A68">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025DF87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68AB3B4B">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6ED666AD">
      <w:pPr>
        <w:snapToGrid w:val="0"/>
        <w:spacing w:line="288" w:lineRule="auto"/>
        <w:rPr>
          <w:rFonts w:ascii="宋体" w:hAnsi="宋体" w:eastAsia="宋体" w:cs="仿宋_GB2312"/>
          <w:color w:val="auto"/>
          <w:kern w:val="0"/>
          <w:szCs w:val="21"/>
          <w:highlight w:val="none"/>
          <w:lang w:val="zh-CN"/>
        </w:rPr>
      </w:pPr>
    </w:p>
    <w:p w14:paraId="35C638B0">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2002F561">
      <w:pPr>
        <w:snapToGrid w:val="0"/>
        <w:spacing w:line="288" w:lineRule="auto"/>
        <w:ind w:firstLine="424" w:firstLineChars="201"/>
        <w:rPr>
          <w:rFonts w:ascii="宋体" w:hAnsi="宋体" w:eastAsia="宋体" w:cs="仿宋_GB2312"/>
          <w:b/>
          <w:bCs/>
          <w:color w:val="auto"/>
          <w:kern w:val="0"/>
          <w:szCs w:val="21"/>
          <w:highlight w:val="none"/>
          <w:lang w:val="zh-CN"/>
        </w:rPr>
      </w:pPr>
    </w:p>
    <w:p w14:paraId="7E5A5AB8">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54A6970">
      <w:pPr>
        <w:snapToGrid w:val="0"/>
        <w:spacing w:line="288" w:lineRule="auto"/>
        <w:rPr>
          <w:rFonts w:ascii="宋体" w:hAnsi="宋体" w:eastAsia="宋体" w:cs="仿宋_GB2312"/>
          <w:b/>
          <w:bCs/>
          <w:color w:val="auto"/>
          <w:kern w:val="0"/>
          <w:szCs w:val="21"/>
          <w:highlight w:val="none"/>
          <w:lang w:val="zh-CN"/>
        </w:rPr>
      </w:pPr>
    </w:p>
    <w:p w14:paraId="6C7BFC5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439BE23">
      <w:pPr>
        <w:rPr>
          <w:rFonts w:ascii="等线" w:hAnsi="等线" w:eastAsia="等线" w:cs="Times New Roman"/>
          <w:color w:val="auto"/>
          <w:highlight w:val="none"/>
        </w:rPr>
      </w:pPr>
    </w:p>
    <w:p w14:paraId="179863E8">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DF1A">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8DAB">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19C2">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87FA">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199"/>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E627E"/>
    <w:rsid w:val="002F13BD"/>
    <w:rsid w:val="002F14C6"/>
    <w:rsid w:val="002F300B"/>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37B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61F"/>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47679"/>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23D"/>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25A5"/>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1B21"/>
    <w:rsid w:val="006B4735"/>
    <w:rsid w:val="006B60FC"/>
    <w:rsid w:val="006C0103"/>
    <w:rsid w:val="006C1090"/>
    <w:rsid w:val="006C1CE3"/>
    <w:rsid w:val="006C2C6E"/>
    <w:rsid w:val="006C3E32"/>
    <w:rsid w:val="006C4D6A"/>
    <w:rsid w:val="006C5E79"/>
    <w:rsid w:val="006C6CB7"/>
    <w:rsid w:val="006C7249"/>
    <w:rsid w:val="006D3FAD"/>
    <w:rsid w:val="006D584E"/>
    <w:rsid w:val="006D5DA2"/>
    <w:rsid w:val="006E0B30"/>
    <w:rsid w:val="006E0F3D"/>
    <w:rsid w:val="006E2165"/>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0CB2"/>
    <w:rsid w:val="00742745"/>
    <w:rsid w:val="007433C8"/>
    <w:rsid w:val="00743455"/>
    <w:rsid w:val="0074775E"/>
    <w:rsid w:val="00756626"/>
    <w:rsid w:val="007572BE"/>
    <w:rsid w:val="007608D0"/>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AC4"/>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374ED"/>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70F"/>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946"/>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56DC"/>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23B"/>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D53B99"/>
    <w:rsid w:val="01F81427"/>
    <w:rsid w:val="03295346"/>
    <w:rsid w:val="03534EBC"/>
    <w:rsid w:val="03F93561"/>
    <w:rsid w:val="05D34727"/>
    <w:rsid w:val="06A74829"/>
    <w:rsid w:val="06CC3D0F"/>
    <w:rsid w:val="07B16D61"/>
    <w:rsid w:val="07DB5C37"/>
    <w:rsid w:val="08931933"/>
    <w:rsid w:val="09094BFB"/>
    <w:rsid w:val="0B4A1776"/>
    <w:rsid w:val="0B894074"/>
    <w:rsid w:val="0C786503"/>
    <w:rsid w:val="0D1A04C9"/>
    <w:rsid w:val="10335CB9"/>
    <w:rsid w:val="10757130"/>
    <w:rsid w:val="112B34AD"/>
    <w:rsid w:val="11FF5827"/>
    <w:rsid w:val="13D047DF"/>
    <w:rsid w:val="18090C43"/>
    <w:rsid w:val="18FB5F15"/>
    <w:rsid w:val="1B321622"/>
    <w:rsid w:val="1F9C38D3"/>
    <w:rsid w:val="1FCB36FD"/>
    <w:rsid w:val="20767551"/>
    <w:rsid w:val="212705BE"/>
    <w:rsid w:val="21DB64E2"/>
    <w:rsid w:val="221C4C30"/>
    <w:rsid w:val="222E6BEF"/>
    <w:rsid w:val="22A70B6C"/>
    <w:rsid w:val="23C14303"/>
    <w:rsid w:val="23FF4622"/>
    <w:rsid w:val="25015F9F"/>
    <w:rsid w:val="27432BC1"/>
    <w:rsid w:val="27C77845"/>
    <w:rsid w:val="27F0275A"/>
    <w:rsid w:val="28580092"/>
    <w:rsid w:val="28BC23D4"/>
    <w:rsid w:val="2A840DF7"/>
    <w:rsid w:val="2AA10ED5"/>
    <w:rsid w:val="2ADA0518"/>
    <w:rsid w:val="2C921974"/>
    <w:rsid w:val="2CA95714"/>
    <w:rsid w:val="2D06230A"/>
    <w:rsid w:val="2D225C27"/>
    <w:rsid w:val="2DBE14C9"/>
    <w:rsid w:val="2E2B31E3"/>
    <w:rsid w:val="2F380CDF"/>
    <w:rsid w:val="2F6A64D8"/>
    <w:rsid w:val="2FF95EBC"/>
    <w:rsid w:val="30616EA9"/>
    <w:rsid w:val="31784E5D"/>
    <w:rsid w:val="31817F4C"/>
    <w:rsid w:val="31A44D82"/>
    <w:rsid w:val="32BE120D"/>
    <w:rsid w:val="330C0EF9"/>
    <w:rsid w:val="33506DE6"/>
    <w:rsid w:val="34004E73"/>
    <w:rsid w:val="35194EAC"/>
    <w:rsid w:val="35A54CED"/>
    <w:rsid w:val="36961A70"/>
    <w:rsid w:val="37534CA7"/>
    <w:rsid w:val="37D824F1"/>
    <w:rsid w:val="3A9E7FDB"/>
    <w:rsid w:val="3B0C4DFA"/>
    <w:rsid w:val="3C31043C"/>
    <w:rsid w:val="3C4D26C6"/>
    <w:rsid w:val="3D044EFC"/>
    <w:rsid w:val="3E6946AD"/>
    <w:rsid w:val="3EB60CB3"/>
    <w:rsid w:val="3EC436F9"/>
    <w:rsid w:val="3F740895"/>
    <w:rsid w:val="3FB93DC6"/>
    <w:rsid w:val="402A691C"/>
    <w:rsid w:val="422E66F3"/>
    <w:rsid w:val="4275164D"/>
    <w:rsid w:val="42C51D77"/>
    <w:rsid w:val="430A3262"/>
    <w:rsid w:val="465E46A9"/>
    <w:rsid w:val="46A824B9"/>
    <w:rsid w:val="46BB170B"/>
    <w:rsid w:val="47510906"/>
    <w:rsid w:val="479E3BC1"/>
    <w:rsid w:val="495D70F7"/>
    <w:rsid w:val="4B7D5F80"/>
    <w:rsid w:val="4BDA18A5"/>
    <w:rsid w:val="4BF40741"/>
    <w:rsid w:val="4C5E019B"/>
    <w:rsid w:val="4CBC6892"/>
    <w:rsid w:val="4F64249F"/>
    <w:rsid w:val="4F6E1200"/>
    <w:rsid w:val="4FEE189E"/>
    <w:rsid w:val="500B7C38"/>
    <w:rsid w:val="501C6889"/>
    <w:rsid w:val="52EE781A"/>
    <w:rsid w:val="53F038EA"/>
    <w:rsid w:val="54E01333"/>
    <w:rsid w:val="55317DA4"/>
    <w:rsid w:val="59BA69E3"/>
    <w:rsid w:val="5A661DF4"/>
    <w:rsid w:val="5ACF0178"/>
    <w:rsid w:val="5C3E17F9"/>
    <w:rsid w:val="5C483ABC"/>
    <w:rsid w:val="5D3A6920"/>
    <w:rsid w:val="5D8135CC"/>
    <w:rsid w:val="5E607DF4"/>
    <w:rsid w:val="5E613834"/>
    <w:rsid w:val="5ED57F57"/>
    <w:rsid w:val="600446EC"/>
    <w:rsid w:val="600D2EE6"/>
    <w:rsid w:val="60135B19"/>
    <w:rsid w:val="601E4092"/>
    <w:rsid w:val="61FC5FF2"/>
    <w:rsid w:val="621760F6"/>
    <w:rsid w:val="62246B60"/>
    <w:rsid w:val="644F1ACD"/>
    <w:rsid w:val="65AC57A2"/>
    <w:rsid w:val="65EC1CEB"/>
    <w:rsid w:val="66E2408F"/>
    <w:rsid w:val="66EF1B5C"/>
    <w:rsid w:val="67060D39"/>
    <w:rsid w:val="67FF1998"/>
    <w:rsid w:val="680D1D99"/>
    <w:rsid w:val="69431270"/>
    <w:rsid w:val="6A7F4F75"/>
    <w:rsid w:val="6ACA16F9"/>
    <w:rsid w:val="6B16774A"/>
    <w:rsid w:val="6CBF3526"/>
    <w:rsid w:val="6DCE083D"/>
    <w:rsid w:val="6ECE2681"/>
    <w:rsid w:val="72340F9C"/>
    <w:rsid w:val="73954132"/>
    <w:rsid w:val="74541A6A"/>
    <w:rsid w:val="75903116"/>
    <w:rsid w:val="76E84799"/>
    <w:rsid w:val="774152C9"/>
    <w:rsid w:val="793070F8"/>
    <w:rsid w:val="79D825C1"/>
    <w:rsid w:val="7A6116EF"/>
    <w:rsid w:val="7B5D131E"/>
    <w:rsid w:val="7BFA7B8C"/>
    <w:rsid w:val="7D2C5848"/>
    <w:rsid w:val="7DB41B16"/>
    <w:rsid w:val="7DE0484E"/>
    <w:rsid w:val="7DEB79E2"/>
    <w:rsid w:val="7DFC5027"/>
    <w:rsid w:val="7E002D54"/>
    <w:rsid w:val="7FDC04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w:unhideWhenUsed/>
    <w:qFormat/>
    <w:uiPriority w:val="99"/>
    <w:pPr>
      <w:widowControl w:val="0"/>
      <w:spacing w:after="120"/>
      <w:ind w:firstLine="420" w:firstLineChars="100"/>
      <w:jc w:val="both"/>
    </w:pPr>
    <w:rPr>
      <w:rFonts w:ascii="Calibri" w:hAnsi="Calibri" w:eastAsia="Times New Roman" w:cs="Times New Roman"/>
      <w:kern w:val="2"/>
      <w:sz w:val="24"/>
      <w:szCs w:val="24"/>
      <w:lang w:val="en-US" w:eastAsia="zh-CN" w:bidi="ar-SA"/>
    </w:rPr>
  </w:style>
  <w:style w:type="paragraph" w:styleId="23">
    <w:name w:val="Body Text First Indent 2"/>
    <w:basedOn w:val="11"/>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7"/>
    <w:qFormat/>
    <w:uiPriority w:val="99"/>
    <w:rPr>
      <w:sz w:val="18"/>
      <w:szCs w:val="18"/>
    </w:rPr>
  </w:style>
  <w:style w:type="character" w:customStyle="1" w:styleId="37">
    <w:name w:val="页脚 字符"/>
    <w:basedOn w:val="26"/>
    <w:link w:val="16"/>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5"/>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4"/>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FFD8F-E41B-4EDF-8CF4-1C2308EF2B2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33324</Words>
  <Characters>35095</Characters>
  <Lines>1</Lines>
  <Paragraphs>1</Paragraphs>
  <TotalTime>5</TotalTime>
  <ScaleCrop>false</ScaleCrop>
  <LinksUpToDate>false</LinksUpToDate>
  <CharactersWithSpaces>36912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2024-05-11T04:39:00Z</dcterms:created>
  <dc:creator>hj j</dc:creator>
  <cp:lastModifiedBy>俞炳</cp:lastModifiedBy>
  <cp:lastPrinted>2022-10-31T08:58:00Z</cp:lastPrinted>
  <dcterms:modified xsi:type="dcterms:W3CDTF">2024-10-23T02:25:57Z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E65E285C47F84F6AB38614B51FA7E0C9_13</vt:lpwstr>
  </property>
</Properties>
</file>